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E9E72">
      <w:pPr>
        <w:spacing w:line="360" w:lineRule="auto"/>
        <w:ind w:left="-105" w:right="-105" w:firstLine="800"/>
        <w:jc w:val="center"/>
        <w:rPr>
          <w:rFonts w:ascii="Times New Roman" w:hAnsi="Times New Roman"/>
          <w:color w:val="auto"/>
          <w:sz w:val="40"/>
          <w:szCs w:val="40"/>
          <w:highlight w:val="none"/>
        </w:rPr>
      </w:pPr>
      <w:bookmarkStart w:id="0" w:name="_Toc413921610"/>
      <w:bookmarkStart w:id="1" w:name="_Toc442089497"/>
      <w:bookmarkStart w:id="2" w:name="_Toc431168752"/>
      <w:bookmarkStart w:id="3" w:name="_Toc446592419"/>
      <w:bookmarkStart w:id="4" w:name="_Toc440483507"/>
      <w:bookmarkStart w:id="5" w:name="_Toc424119955"/>
      <w:bookmarkStart w:id="6" w:name="_Toc431299613"/>
      <w:bookmarkStart w:id="7" w:name="_Toc441681879"/>
      <w:bookmarkStart w:id="8" w:name="_Toc446026905"/>
      <w:bookmarkStart w:id="9" w:name="_Toc424488089"/>
    </w:p>
    <w:p w14:paraId="6C6CC1E1">
      <w:pPr>
        <w:spacing w:line="360" w:lineRule="auto"/>
        <w:ind w:left="-105" w:right="-105" w:firstLine="800"/>
        <w:jc w:val="center"/>
        <w:rPr>
          <w:rFonts w:ascii="Times New Roman" w:hAnsi="Times New Roman"/>
          <w:color w:val="auto"/>
          <w:sz w:val="40"/>
          <w:szCs w:val="40"/>
          <w:highlight w:val="none"/>
        </w:rPr>
      </w:pPr>
    </w:p>
    <w:p w14:paraId="42D18422">
      <w:pPr>
        <w:spacing w:line="360" w:lineRule="auto"/>
        <w:ind w:left="-105" w:right="-105" w:firstLine="803"/>
        <w:jc w:val="center"/>
        <w:rPr>
          <w:rFonts w:ascii="Times New Roman" w:hAnsi="Times New Roman"/>
          <w:b/>
          <w:bCs/>
          <w:color w:val="auto"/>
          <w:sz w:val="40"/>
          <w:szCs w:val="40"/>
          <w:highlight w:val="none"/>
        </w:rPr>
      </w:pPr>
    </w:p>
    <w:p w14:paraId="48D312FC">
      <w:pPr>
        <w:spacing w:line="360" w:lineRule="auto"/>
        <w:ind w:left="-105" w:right="-105" w:firstLine="964"/>
        <w:jc w:val="center"/>
        <w:rPr>
          <w:rFonts w:ascii="Times New Roman" w:hAnsi="Times New Roman"/>
          <w:b/>
          <w:bCs/>
          <w:color w:val="auto"/>
          <w:sz w:val="48"/>
          <w:szCs w:val="48"/>
          <w:highlight w:val="none"/>
        </w:rPr>
      </w:pPr>
      <w:r>
        <w:rPr>
          <w:rFonts w:hint="eastAsia" w:ascii="Times New Roman" w:hAnsi="Times New Roman"/>
          <w:b/>
          <w:bCs/>
          <w:color w:val="auto"/>
          <w:sz w:val="48"/>
          <w:szCs w:val="48"/>
          <w:highlight w:val="none"/>
        </w:rPr>
        <w:t>化药化工（无锡）有限公司</w:t>
      </w:r>
    </w:p>
    <w:p w14:paraId="2E0ED9DE">
      <w:pPr>
        <w:spacing w:line="360" w:lineRule="auto"/>
        <w:ind w:left="-105" w:right="-105" w:firstLine="964"/>
        <w:jc w:val="center"/>
        <w:rPr>
          <w:rFonts w:ascii="Times New Roman" w:hAnsi="Times New Roman"/>
          <w:b/>
          <w:bCs/>
          <w:color w:val="auto"/>
          <w:sz w:val="48"/>
          <w:szCs w:val="48"/>
          <w:highlight w:val="none"/>
        </w:rPr>
      </w:pPr>
      <w:r>
        <w:rPr>
          <w:rFonts w:hint="eastAsia" w:ascii="Times New Roman" w:hAnsi="Times New Roman"/>
          <w:b/>
          <w:bCs/>
          <w:color w:val="auto"/>
          <w:sz w:val="48"/>
          <w:szCs w:val="48"/>
          <w:highlight w:val="none"/>
        </w:rPr>
        <w:t>年产剥离液800t项目</w:t>
      </w:r>
    </w:p>
    <w:p w14:paraId="7E036786">
      <w:pPr>
        <w:spacing w:line="360" w:lineRule="auto"/>
        <w:ind w:left="-105" w:right="-105" w:firstLine="964"/>
        <w:jc w:val="center"/>
        <w:rPr>
          <w:rFonts w:ascii="Times New Roman" w:hAnsi="Times New Roman"/>
          <w:b/>
          <w:bCs/>
          <w:color w:val="auto"/>
          <w:sz w:val="48"/>
          <w:szCs w:val="48"/>
          <w:highlight w:val="none"/>
        </w:rPr>
      </w:pPr>
      <w:r>
        <w:rPr>
          <w:rFonts w:ascii="Times New Roman" w:hAnsi="Times New Roman"/>
          <w:b/>
          <w:bCs/>
          <w:color w:val="auto"/>
          <w:sz w:val="48"/>
          <w:szCs w:val="48"/>
          <w:highlight w:val="none"/>
        </w:rPr>
        <w:t>环境影响报告书</w:t>
      </w:r>
    </w:p>
    <w:p w14:paraId="3D555179">
      <w:pPr>
        <w:spacing w:line="360" w:lineRule="auto"/>
        <w:ind w:left="-105" w:right="-105" w:firstLine="964"/>
        <w:jc w:val="center"/>
        <w:rPr>
          <w:rFonts w:ascii="Times New Roman" w:hAnsi="Times New Roman"/>
          <w:b/>
          <w:bCs/>
          <w:color w:val="auto"/>
          <w:sz w:val="48"/>
          <w:szCs w:val="48"/>
          <w:highlight w:val="none"/>
        </w:rPr>
      </w:pPr>
      <w:r>
        <w:rPr>
          <w:rFonts w:ascii="Times New Roman" w:hAnsi="Times New Roman"/>
          <w:b/>
          <w:bCs/>
          <w:color w:val="auto"/>
          <w:sz w:val="48"/>
          <w:szCs w:val="48"/>
          <w:highlight w:val="none"/>
        </w:rPr>
        <w:t>（初稿）</w:t>
      </w:r>
    </w:p>
    <w:p w14:paraId="096B1459">
      <w:pPr>
        <w:spacing w:line="360" w:lineRule="auto"/>
        <w:ind w:left="-105" w:right="-105" w:firstLine="803"/>
        <w:jc w:val="center"/>
        <w:rPr>
          <w:rFonts w:ascii="Times New Roman" w:hAnsi="Times New Roman"/>
          <w:b/>
          <w:bCs/>
          <w:color w:val="auto"/>
          <w:sz w:val="40"/>
          <w:szCs w:val="40"/>
          <w:highlight w:val="none"/>
        </w:rPr>
      </w:pPr>
    </w:p>
    <w:p w14:paraId="42733C97">
      <w:pPr>
        <w:spacing w:line="360" w:lineRule="auto"/>
        <w:ind w:left="-105" w:right="-105" w:firstLine="803"/>
        <w:jc w:val="center"/>
        <w:rPr>
          <w:rFonts w:ascii="Times New Roman" w:hAnsi="Times New Roman"/>
          <w:b/>
          <w:bCs/>
          <w:color w:val="auto"/>
          <w:sz w:val="40"/>
          <w:szCs w:val="40"/>
          <w:highlight w:val="none"/>
        </w:rPr>
      </w:pPr>
    </w:p>
    <w:p w14:paraId="3AC4E4C8">
      <w:pPr>
        <w:spacing w:line="360" w:lineRule="auto"/>
        <w:ind w:left="-105" w:right="-105" w:firstLine="803"/>
        <w:jc w:val="center"/>
        <w:rPr>
          <w:rFonts w:ascii="Times New Roman" w:hAnsi="Times New Roman"/>
          <w:b/>
          <w:bCs/>
          <w:color w:val="auto"/>
          <w:sz w:val="40"/>
          <w:szCs w:val="40"/>
          <w:highlight w:val="none"/>
        </w:rPr>
      </w:pPr>
    </w:p>
    <w:p w14:paraId="5FBC2AFF">
      <w:pPr>
        <w:spacing w:line="360" w:lineRule="auto"/>
        <w:ind w:left="-105" w:right="-105" w:firstLine="803"/>
        <w:jc w:val="center"/>
        <w:rPr>
          <w:rFonts w:ascii="Times New Roman" w:hAnsi="Times New Roman"/>
          <w:b/>
          <w:bCs/>
          <w:color w:val="auto"/>
          <w:sz w:val="40"/>
          <w:szCs w:val="40"/>
          <w:highlight w:val="none"/>
        </w:rPr>
      </w:pPr>
    </w:p>
    <w:p w14:paraId="3A68EB88">
      <w:pPr>
        <w:spacing w:line="360" w:lineRule="auto"/>
        <w:ind w:left="-105" w:right="-105" w:firstLine="803"/>
        <w:jc w:val="center"/>
        <w:rPr>
          <w:rFonts w:ascii="Times New Roman" w:hAnsi="Times New Roman"/>
          <w:b/>
          <w:bCs/>
          <w:color w:val="auto"/>
          <w:sz w:val="40"/>
          <w:szCs w:val="40"/>
          <w:highlight w:val="none"/>
        </w:rPr>
      </w:pPr>
    </w:p>
    <w:p w14:paraId="0D90C583">
      <w:pPr>
        <w:spacing w:line="360" w:lineRule="auto"/>
        <w:ind w:left="-105" w:right="-105" w:firstLine="803"/>
        <w:jc w:val="center"/>
        <w:rPr>
          <w:rFonts w:ascii="Times New Roman" w:hAnsi="Times New Roman"/>
          <w:b/>
          <w:bCs/>
          <w:color w:val="auto"/>
          <w:sz w:val="40"/>
          <w:szCs w:val="40"/>
          <w:highlight w:val="none"/>
        </w:rPr>
      </w:pPr>
    </w:p>
    <w:p w14:paraId="4C1F56D7">
      <w:pPr>
        <w:spacing w:line="360" w:lineRule="auto"/>
        <w:ind w:left="-105" w:right="-105" w:firstLine="803"/>
        <w:jc w:val="center"/>
        <w:rPr>
          <w:rFonts w:ascii="Times New Roman" w:hAnsi="Times New Roman"/>
          <w:b/>
          <w:bCs/>
          <w:color w:val="auto"/>
          <w:sz w:val="40"/>
          <w:szCs w:val="40"/>
          <w:highlight w:val="none"/>
        </w:rPr>
      </w:pPr>
    </w:p>
    <w:p w14:paraId="4A84F815">
      <w:pPr>
        <w:spacing w:line="360" w:lineRule="auto"/>
        <w:ind w:left="-105" w:right="-105" w:firstLine="803"/>
        <w:jc w:val="center"/>
        <w:rPr>
          <w:rFonts w:ascii="Times New Roman" w:hAnsi="Times New Roman"/>
          <w:b/>
          <w:bCs/>
          <w:color w:val="auto"/>
          <w:sz w:val="40"/>
          <w:szCs w:val="40"/>
          <w:highlight w:val="none"/>
        </w:rPr>
      </w:pPr>
    </w:p>
    <w:p w14:paraId="4DEE9106">
      <w:pPr>
        <w:spacing w:line="360" w:lineRule="auto"/>
        <w:ind w:left="-105" w:right="-105" w:firstLine="723"/>
        <w:jc w:val="center"/>
        <w:rPr>
          <w:b/>
          <w:bCs/>
          <w:color w:val="auto"/>
          <w:sz w:val="36"/>
          <w:szCs w:val="36"/>
          <w:highlight w:val="none"/>
        </w:rPr>
      </w:pPr>
      <w:r>
        <w:rPr>
          <w:b/>
          <w:bCs/>
          <w:color w:val="auto"/>
          <w:sz w:val="36"/>
          <w:szCs w:val="36"/>
          <w:highlight w:val="none"/>
        </w:rPr>
        <w:t>建设单位：</w:t>
      </w:r>
      <w:r>
        <w:rPr>
          <w:rFonts w:hint="eastAsia"/>
          <w:b/>
          <w:bCs/>
          <w:color w:val="auto"/>
          <w:sz w:val="36"/>
          <w:szCs w:val="36"/>
          <w:highlight w:val="none"/>
        </w:rPr>
        <w:t>化药化工（无锡）有限公司</w:t>
      </w:r>
    </w:p>
    <w:p w14:paraId="4525A0B9">
      <w:pPr>
        <w:spacing w:line="360" w:lineRule="auto"/>
        <w:ind w:left="-105" w:right="-105" w:firstLine="723"/>
        <w:jc w:val="center"/>
        <w:rPr>
          <w:b/>
          <w:bCs/>
          <w:color w:val="auto"/>
          <w:sz w:val="36"/>
          <w:szCs w:val="36"/>
          <w:highlight w:val="none"/>
        </w:rPr>
      </w:pPr>
      <w:r>
        <w:rPr>
          <w:b/>
          <w:bCs/>
          <w:color w:val="auto"/>
          <w:sz w:val="36"/>
          <w:szCs w:val="36"/>
          <w:highlight w:val="none"/>
        </w:rPr>
        <w:t>评价单位：无锡恒新环境技术有限公司</w:t>
      </w:r>
    </w:p>
    <w:p w14:paraId="57A17E84">
      <w:pPr>
        <w:spacing w:line="360" w:lineRule="auto"/>
        <w:ind w:left="-105" w:right="-105" w:firstLine="723"/>
        <w:jc w:val="center"/>
        <w:rPr>
          <w:rFonts w:ascii="Times New Roman" w:hAnsi="Times New Roman" w:cs="Times New Roman"/>
          <w:b/>
          <w:bCs/>
          <w:color w:val="auto"/>
          <w:sz w:val="30"/>
          <w:szCs w:val="30"/>
          <w:highlight w:val="none"/>
        </w:rPr>
      </w:pPr>
      <w:r>
        <w:rPr>
          <w:rFonts w:ascii="Times New Roman" w:hAnsi="Times New Roman" w:cs="Times New Roman"/>
          <w:b/>
          <w:bCs/>
          <w:color w:val="auto"/>
          <w:sz w:val="36"/>
          <w:szCs w:val="36"/>
          <w:highlight w:val="none"/>
        </w:rPr>
        <w:t>2024年5月</w:t>
      </w:r>
    </w:p>
    <w:p w14:paraId="73ABFF29">
      <w:pPr>
        <w:spacing w:line="360" w:lineRule="auto"/>
        <w:ind w:left="-105" w:right="-105" w:firstLine="482"/>
        <w:jc w:val="center"/>
        <w:rPr>
          <w:rFonts w:ascii="Times New Roman" w:hAnsi="Times New Roman"/>
          <w:b/>
          <w:color w:val="auto"/>
          <w:szCs w:val="28"/>
          <w:highlight w:val="none"/>
        </w:rPr>
      </w:pPr>
      <w:r>
        <w:rPr>
          <w:rFonts w:ascii="Times New Roman" w:hAnsi="Times New Roman"/>
          <w:b/>
          <w:color w:val="auto"/>
          <w:szCs w:val="28"/>
          <w:highlight w:val="none"/>
        </w:rPr>
        <w:br w:type="page"/>
      </w:r>
    </w:p>
    <w:p w14:paraId="341D52FD">
      <w:pPr>
        <w:spacing w:line="360" w:lineRule="auto"/>
        <w:ind w:left="-105" w:right="-105" w:firstLine="482"/>
        <w:jc w:val="center"/>
        <w:rPr>
          <w:rFonts w:ascii="Times New Roman" w:hAnsi="Times New Roman"/>
          <w:b/>
          <w:bCs/>
          <w:color w:val="auto"/>
          <w:sz w:val="28"/>
          <w:szCs w:val="32"/>
          <w:highlight w:val="none"/>
        </w:rPr>
      </w:pPr>
      <w:r>
        <w:rPr>
          <w:rFonts w:ascii="Times New Roman" w:hAnsi="Times New Roman"/>
          <w:b/>
          <w:color w:val="auto"/>
          <w:sz w:val="28"/>
          <w:szCs w:val="32"/>
          <w:highlight w:val="none"/>
        </w:rPr>
        <w:t>目  录</w:t>
      </w:r>
    </w:p>
    <w:p w14:paraId="27F44940">
      <w:pPr>
        <w:pStyle w:val="32"/>
        <w:tabs>
          <w:tab w:val="right" w:leader="dot" w:pos="8504"/>
        </w:tabs>
        <w:rPr>
          <w:color w:val="auto"/>
          <w:highlight w:val="none"/>
        </w:rPr>
      </w:pPr>
      <w:r>
        <w:rPr>
          <w:rFonts w:eastAsia="宋体"/>
          <w:b/>
          <w:color w:val="auto"/>
          <w:kern w:val="0"/>
          <w:szCs w:val="28"/>
          <w:highlight w:val="none"/>
        </w:rPr>
        <w:fldChar w:fldCharType="begin"/>
      </w:r>
      <w:r>
        <w:rPr>
          <w:rFonts w:eastAsia="宋体"/>
          <w:b/>
          <w:color w:val="auto"/>
          <w:kern w:val="0"/>
          <w:szCs w:val="28"/>
          <w:highlight w:val="none"/>
        </w:rPr>
        <w:instrText xml:space="preserve"> TOC \o "1-2" \h \z \u </w:instrText>
      </w:r>
      <w:r>
        <w:rPr>
          <w:rFonts w:eastAsia="宋体"/>
          <w:b/>
          <w:color w:val="auto"/>
          <w:kern w:val="0"/>
          <w:szCs w:val="28"/>
          <w:highlight w:val="none"/>
        </w:rPr>
        <w:fldChar w:fldCharType="separate"/>
      </w:r>
      <w:r>
        <w:rPr>
          <w:rFonts w:eastAsia="宋体"/>
          <w:color w:val="auto"/>
          <w:kern w:val="0"/>
          <w:szCs w:val="28"/>
          <w:highlight w:val="none"/>
        </w:rPr>
        <w:fldChar w:fldCharType="begin"/>
      </w:r>
      <w:r>
        <w:rPr>
          <w:rFonts w:eastAsia="宋体"/>
          <w:color w:val="auto"/>
          <w:kern w:val="0"/>
          <w:szCs w:val="28"/>
          <w:highlight w:val="none"/>
        </w:rPr>
        <w:instrText xml:space="preserve"> HYPERLINK \l _Toc14186 </w:instrText>
      </w:r>
      <w:r>
        <w:rPr>
          <w:rFonts w:eastAsia="宋体"/>
          <w:color w:val="auto"/>
          <w:kern w:val="0"/>
          <w:szCs w:val="28"/>
          <w:highlight w:val="none"/>
        </w:rPr>
        <w:fldChar w:fldCharType="separate"/>
      </w:r>
      <w:r>
        <w:rPr>
          <w:rFonts w:hint="eastAsia" w:ascii="Times New Roman" w:eastAsia="宋体"/>
          <w:color w:val="auto"/>
          <w:szCs w:val="32"/>
          <w:highlight w:val="none"/>
        </w:rPr>
        <w:t xml:space="preserve">1 </w:t>
      </w:r>
      <w:r>
        <w:rPr>
          <w:rFonts w:ascii="Times New Roman" w:eastAsia="宋体"/>
          <w:color w:val="auto"/>
          <w:szCs w:val="32"/>
          <w:highlight w:val="none"/>
        </w:rPr>
        <w:t>概述</w:t>
      </w:r>
      <w:r>
        <w:rPr>
          <w:color w:val="auto"/>
          <w:highlight w:val="none"/>
        </w:rPr>
        <w:tab/>
      </w:r>
      <w:r>
        <w:rPr>
          <w:color w:val="auto"/>
          <w:highlight w:val="none"/>
        </w:rPr>
        <w:fldChar w:fldCharType="begin"/>
      </w:r>
      <w:r>
        <w:rPr>
          <w:color w:val="auto"/>
          <w:highlight w:val="none"/>
        </w:rPr>
        <w:instrText xml:space="preserve"> PAGEREF _Toc14186 \h </w:instrText>
      </w:r>
      <w:r>
        <w:rPr>
          <w:color w:val="auto"/>
          <w:highlight w:val="none"/>
        </w:rPr>
        <w:fldChar w:fldCharType="separate"/>
      </w:r>
      <w:r>
        <w:rPr>
          <w:color w:val="auto"/>
          <w:highlight w:val="none"/>
        </w:rPr>
        <w:t>1</w:t>
      </w:r>
      <w:r>
        <w:rPr>
          <w:color w:val="auto"/>
          <w:highlight w:val="none"/>
        </w:rPr>
        <w:fldChar w:fldCharType="end"/>
      </w:r>
      <w:r>
        <w:rPr>
          <w:rFonts w:eastAsia="宋体"/>
          <w:color w:val="auto"/>
          <w:kern w:val="0"/>
          <w:szCs w:val="28"/>
          <w:highlight w:val="none"/>
        </w:rPr>
        <w:fldChar w:fldCharType="end"/>
      </w:r>
    </w:p>
    <w:p w14:paraId="4BF876B2">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_Toc1693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1.1 </w:t>
      </w:r>
      <w:r>
        <w:rPr>
          <w:rFonts w:ascii="Times New Roman" w:eastAsia="宋体"/>
          <w:color w:val="auto"/>
          <w:szCs w:val="28"/>
          <w:highlight w:val="none"/>
        </w:rPr>
        <w:t>任务由来</w:t>
      </w:r>
      <w:r>
        <w:rPr>
          <w:color w:val="auto"/>
          <w:highlight w:val="none"/>
        </w:rPr>
        <w:tab/>
      </w:r>
      <w:r>
        <w:rPr>
          <w:color w:val="auto"/>
          <w:highlight w:val="none"/>
        </w:rPr>
        <w:fldChar w:fldCharType="begin"/>
      </w:r>
      <w:r>
        <w:rPr>
          <w:color w:val="auto"/>
          <w:highlight w:val="none"/>
        </w:rPr>
        <w:instrText xml:space="preserve"> PAGEREF _Toc1693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szCs w:val="28"/>
          <w:highlight w:val="none"/>
        </w:rPr>
        <w:fldChar w:fldCharType="end"/>
      </w:r>
    </w:p>
    <w:p w14:paraId="34F5837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_Toc9651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1.2 </w:t>
      </w:r>
      <w:r>
        <w:rPr>
          <w:rFonts w:ascii="Times New Roman" w:eastAsia="宋体"/>
          <w:color w:val="auto"/>
          <w:szCs w:val="28"/>
          <w:highlight w:val="none"/>
        </w:rPr>
        <w:t>项目特点</w:t>
      </w:r>
      <w:r>
        <w:rPr>
          <w:color w:val="auto"/>
          <w:highlight w:val="none"/>
        </w:rPr>
        <w:tab/>
      </w:r>
      <w:r>
        <w:rPr>
          <w:color w:val="auto"/>
          <w:highlight w:val="none"/>
        </w:rPr>
        <w:fldChar w:fldCharType="begin"/>
      </w:r>
      <w:r>
        <w:rPr>
          <w:color w:val="auto"/>
          <w:highlight w:val="none"/>
        </w:rPr>
        <w:instrText xml:space="preserve"> PAGEREF _Toc9651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color w:val="auto"/>
          <w:szCs w:val="28"/>
          <w:highlight w:val="none"/>
        </w:rPr>
        <w:fldChar w:fldCharType="end"/>
      </w:r>
    </w:p>
    <w:p w14:paraId="3ACE787C">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_Toc18511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1.3 </w:t>
      </w:r>
      <w:r>
        <w:rPr>
          <w:rFonts w:ascii="Times New Roman" w:eastAsia="宋体"/>
          <w:color w:val="auto"/>
          <w:szCs w:val="28"/>
          <w:highlight w:val="none"/>
        </w:rPr>
        <w:t>关注的主要环境问题</w:t>
      </w:r>
      <w:r>
        <w:rPr>
          <w:color w:val="auto"/>
          <w:highlight w:val="none"/>
        </w:rPr>
        <w:tab/>
      </w:r>
      <w:r>
        <w:rPr>
          <w:color w:val="auto"/>
          <w:highlight w:val="none"/>
        </w:rPr>
        <w:fldChar w:fldCharType="begin"/>
      </w:r>
      <w:r>
        <w:rPr>
          <w:color w:val="auto"/>
          <w:highlight w:val="none"/>
        </w:rPr>
        <w:instrText xml:space="preserve"> PAGEREF _Toc18511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color w:val="auto"/>
          <w:szCs w:val="28"/>
          <w:highlight w:val="none"/>
        </w:rPr>
        <w:fldChar w:fldCharType="end"/>
      </w:r>
    </w:p>
    <w:p w14:paraId="3053E1AB">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_Toc12049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1.4 </w:t>
      </w:r>
      <w:r>
        <w:rPr>
          <w:rFonts w:ascii="Times New Roman" w:eastAsia="宋体"/>
          <w:color w:val="auto"/>
          <w:szCs w:val="28"/>
          <w:highlight w:val="none"/>
        </w:rPr>
        <w:t>评价技术路线</w:t>
      </w:r>
      <w:r>
        <w:rPr>
          <w:color w:val="auto"/>
          <w:highlight w:val="none"/>
        </w:rPr>
        <w:tab/>
      </w:r>
      <w:r>
        <w:rPr>
          <w:color w:val="auto"/>
          <w:highlight w:val="none"/>
        </w:rPr>
        <w:fldChar w:fldCharType="begin"/>
      </w:r>
      <w:r>
        <w:rPr>
          <w:color w:val="auto"/>
          <w:highlight w:val="none"/>
        </w:rPr>
        <w:instrText xml:space="preserve"> PAGEREF _Toc12049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color w:val="auto"/>
          <w:szCs w:val="28"/>
          <w:highlight w:val="none"/>
        </w:rPr>
        <w:fldChar w:fldCharType="end"/>
      </w:r>
    </w:p>
    <w:p w14:paraId="0BEE00FF">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_Toc25719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1.5 </w:t>
      </w:r>
      <w:r>
        <w:rPr>
          <w:rFonts w:ascii="Times New Roman" w:eastAsia="宋体"/>
          <w:color w:val="auto"/>
          <w:szCs w:val="28"/>
          <w:highlight w:val="none"/>
        </w:rPr>
        <w:t>分析判定相关情况</w:t>
      </w:r>
      <w:r>
        <w:rPr>
          <w:color w:val="auto"/>
          <w:highlight w:val="none"/>
        </w:rPr>
        <w:tab/>
      </w:r>
      <w:r>
        <w:rPr>
          <w:color w:val="auto"/>
          <w:highlight w:val="none"/>
        </w:rPr>
        <w:fldChar w:fldCharType="begin"/>
      </w:r>
      <w:r>
        <w:rPr>
          <w:color w:val="auto"/>
          <w:highlight w:val="none"/>
        </w:rPr>
        <w:instrText xml:space="preserve"> PAGEREF _Toc25719 \h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szCs w:val="28"/>
          <w:highlight w:val="none"/>
        </w:rPr>
        <w:fldChar w:fldCharType="end"/>
      </w:r>
    </w:p>
    <w:p w14:paraId="68FEF0EE">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_Toc18162 </w:instrText>
      </w:r>
      <w:r>
        <w:rPr>
          <w:rFonts w:ascii="Times New Roman" w:hAnsi="Times New Roman"/>
          <w:color w:val="auto"/>
          <w:szCs w:val="28"/>
          <w:highlight w:val="none"/>
        </w:rPr>
        <w:fldChar w:fldCharType="separate"/>
      </w:r>
      <w:r>
        <w:rPr>
          <w:rFonts w:hint="default" w:ascii="Times New Roman" w:hAnsi="Times New Roman" w:eastAsia="宋体"/>
          <w:color w:val="auto"/>
          <w:szCs w:val="28"/>
          <w:highlight w:val="none"/>
        </w:rPr>
        <w:t xml:space="preserve">1.6 </w:t>
      </w:r>
      <w:r>
        <w:rPr>
          <w:rFonts w:ascii="Times New Roman" w:eastAsia="宋体"/>
          <w:color w:val="auto"/>
          <w:szCs w:val="28"/>
          <w:highlight w:val="none"/>
        </w:rPr>
        <w:t>环境影响</w:t>
      </w:r>
      <w:r>
        <w:rPr>
          <w:rFonts w:hint="eastAsia" w:ascii="Times New Roman" w:eastAsia="宋体"/>
          <w:color w:val="auto"/>
          <w:szCs w:val="28"/>
          <w:highlight w:val="none"/>
        </w:rPr>
        <w:t>评价</w:t>
      </w:r>
      <w:r>
        <w:rPr>
          <w:rFonts w:ascii="Times New Roman" w:eastAsia="宋体"/>
          <w:color w:val="auto"/>
          <w:szCs w:val="28"/>
          <w:highlight w:val="none"/>
        </w:rPr>
        <w:t>主要结论</w:t>
      </w:r>
      <w:r>
        <w:rPr>
          <w:color w:val="auto"/>
          <w:highlight w:val="none"/>
        </w:rPr>
        <w:tab/>
      </w:r>
      <w:r>
        <w:rPr>
          <w:color w:val="auto"/>
          <w:highlight w:val="none"/>
        </w:rPr>
        <w:fldChar w:fldCharType="begin"/>
      </w:r>
      <w:r>
        <w:rPr>
          <w:color w:val="auto"/>
          <w:highlight w:val="none"/>
        </w:rPr>
        <w:instrText xml:space="preserve"> PAGEREF _Toc18162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szCs w:val="28"/>
          <w:highlight w:val="none"/>
        </w:rPr>
        <w:fldChar w:fldCharType="end"/>
      </w:r>
    </w:p>
    <w:p w14:paraId="6D07DC16">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_Toc6254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2 </w:t>
      </w:r>
      <w:r>
        <w:rPr>
          <w:rFonts w:ascii="Times New Roman" w:eastAsia="宋体"/>
          <w:color w:val="auto"/>
          <w:szCs w:val="32"/>
          <w:highlight w:val="none"/>
        </w:rPr>
        <w:t>总则</w:t>
      </w:r>
      <w:r>
        <w:rPr>
          <w:color w:val="auto"/>
          <w:highlight w:val="none"/>
        </w:rPr>
        <w:tab/>
      </w:r>
      <w:r>
        <w:rPr>
          <w:color w:val="auto"/>
          <w:highlight w:val="none"/>
        </w:rPr>
        <w:fldChar w:fldCharType="begin"/>
      </w:r>
      <w:r>
        <w:rPr>
          <w:color w:val="auto"/>
          <w:highlight w:val="none"/>
        </w:rPr>
        <w:instrText xml:space="preserve"> PAGEREF _Toc6254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szCs w:val="28"/>
          <w:highlight w:val="none"/>
        </w:rPr>
        <w:fldChar w:fldCharType="end"/>
      </w:r>
    </w:p>
    <w:p w14:paraId="1EDFF5D7">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_Toc30307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2.1 </w:t>
      </w:r>
      <w:r>
        <w:rPr>
          <w:rFonts w:ascii="Times New Roman" w:eastAsia="宋体"/>
          <w:color w:val="auto"/>
          <w:szCs w:val="28"/>
          <w:highlight w:val="none"/>
        </w:rPr>
        <w:t>编制依据</w:t>
      </w:r>
      <w:r>
        <w:rPr>
          <w:color w:val="auto"/>
          <w:highlight w:val="none"/>
        </w:rPr>
        <w:tab/>
      </w:r>
      <w:r>
        <w:rPr>
          <w:color w:val="auto"/>
          <w:highlight w:val="none"/>
        </w:rPr>
        <w:fldChar w:fldCharType="begin"/>
      </w:r>
      <w:r>
        <w:rPr>
          <w:color w:val="auto"/>
          <w:highlight w:val="none"/>
        </w:rPr>
        <w:instrText xml:space="preserve"> PAGEREF _Toc30307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szCs w:val="28"/>
          <w:highlight w:val="none"/>
        </w:rPr>
        <w:fldChar w:fldCharType="end"/>
      </w:r>
    </w:p>
    <w:p w14:paraId="54B252FA">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_Toc28093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2.2 </w:t>
      </w:r>
      <w:r>
        <w:rPr>
          <w:rFonts w:ascii="Times New Roman" w:eastAsia="宋体"/>
          <w:color w:val="auto"/>
          <w:szCs w:val="28"/>
          <w:highlight w:val="none"/>
        </w:rPr>
        <w:t>评价目的及原则</w:t>
      </w:r>
      <w:r>
        <w:rPr>
          <w:color w:val="auto"/>
          <w:highlight w:val="none"/>
        </w:rPr>
        <w:tab/>
      </w:r>
      <w:r>
        <w:rPr>
          <w:color w:val="auto"/>
          <w:highlight w:val="none"/>
        </w:rPr>
        <w:fldChar w:fldCharType="begin"/>
      </w:r>
      <w:r>
        <w:rPr>
          <w:color w:val="auto"/>
          <w:highlight w:val="none"/>
        </w:rPr>
        <w:instrText xml:space="preserve"> PAGEREF _Toc28093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color w:val="auto"/>
          <w:szCs w:val="28"/>
          <w:highlight w:val="none"/>
        </w:rPr>
        <w:fldChar w:fldCharType="end"/>
      </w:r>
    </w:p>
    <w:p w14:paraId="6C06DF6E">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_Toc31409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2.3 </w:t>
      </w:r>
      <w:r>
        <w:rPr>
          <w:rFonts w:ascii="Times New Roman" w:eastAsia="宋体"/>
          <w:color w:val="auto"/>
          <w:szCs w:val="28"/>
          <w:highlight w:val="none"/>
        </w:rPr>
        <w:t>评价因子与评价标准</w:t>
      </w:r>
      <w:r>
        <w:rPr>
          <w:color w:val="auto"/>
          <w:highlight w:val="none"/>
        </w:rPr>
        <w:tab/>
      </w:r>
      <w:r>
        <w:rPr>
          <w:color w:val="auto"/>
          <w:highlight w:val="none"/>
        </w:rPr>
        <w:fldChar w:fldCharType="begin"/>
      </w:r>
      <w:r>
        <w:rPr>
          <w:color w:val="auto"/>
          <w:highlight w:val="none"/>
        </w:rPr>
        <w:instrText xml:space="preserve"> PAGEREF _Toc31409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color w:val="auto"/>
          <w:szCs w:val="28"/>
          <w:highlight w:val="none"/>
        </w:rPr>
        <w:fldChar w:fldCharType="end"/>
      </w:r>
    </w:p>
    <w:p w14:paraId="77F7AD0B">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_Toc18110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2.4 </w:t>
      </w:r>
      <w:r>
        <w:rPr>
          <w:rFonts w:ascii="Times New Roman" w:eastAsia="宋体"/>
          <w:color w:val="auto"/>
          <w:szCs w:val="28"/>
          <w:highlight w:val="none"/>
        </w:rPr>
        <w:t>评价工作等级、内容及评价重点</w:t>
      </w:r>
      <w:r>
        <w:rPr>
          <w:color w:val="auto"/>
          <w:highlight w:val="none"/>
        </w:rPr>
        <w:tab/>
      </w:r>
      <w:r>
        <w:rPr>
          <w:color w:val="auto"/>
          <w:highlight w:val="none"/>
        </w:rPr>
        <w:fldChar w:fldCharType="begin"/>
      </w:r>
      <w:r>
        <w:rPr>
          <w:color w:val="auto"/>
          <w:highlight w:val="none"/>
        </w:rPr>
        <w:instrText xml:space="preserve"> PAGEREF _Toc18110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szCs w:val="28"/>
          <w:highlight w:val="none"/>
        </w:rPr>
        <w:fldChar w:fldCharType="end"/>
      </w:r>
    </w:p>
    <w:p w14:paraId="0108A23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_Toc10549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2.5 </w:t>
      </w:r>
      <w:r>
        <w:rPr>
          <w:rFonts w:ascii="Times New Roman" w:eastAsia="宋体"/>
          <w:color w:val="auto"/>
          <w:szCs w:val="28"/>
          <w:highlight w:val="none"/>
        </w:rPr>
        <w:t>评价范围和环境保护目标</w:t>
      </w:r>
      <w:r>
        <w:rPr>
          <w:color w:val="auto"/>
          <w:highlight w:val="none"/>
        </w:rPr>
        <w:tab/>
      </w:r>
      <w:r>
        <w:rPr>
          <w:color w:val="auto"/>
          <w:highlight w:val="none"/>
        </w:rPr>
        <w:fldChar w:fldCharType="begin"/>
      </w:r>
      <w:r>
        <w:rPr>
          <w:color w:val="auto"/>
          <w:highlight w:val="none"/>
        </w:rPr>
        <w:instrText xml:space="preserve"> PAGEREF _Toc10549 \h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szCs w:val="28"/>
          <w:highlight w:val="none"/>
        </w:rPr>
        <w:fldChar w:fldCharType="end"/>
      </w:r>
    </w:p>
    <w:p w14:paraId="60FB34A8">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_Toc14893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2.6 </w:t>
      </w:r>
      <w:r>
        <w:rPr>
          <w:rFonts w:ascii="Times New Roman" w:eastAsia="宋体"/>
          <w:color w:val="auto"/>
          <w:szCs w:val="28"/>
          <w:highlight w:val="none"/>
        </w:rPr>
        <w:t>环境功能区划及相关规划</w:t>
      </w:r>
      <w:r>
        <w:rPr>
          <w:color w:val="auto"/>
          <w:highlight w:val="none"/>
        </w:rPr>
        <w:tab/>
      </w:r>
      <w:r>
        <w:rPr>
          <w:color w:val="auto"/>
          <w:highlight w:val="none"/>
        </w:rPr>
        <w:fldChar w:fldCharType="begin"/>
      </w:r>
      <w:r>
        <w:rPr>
          <w:color w:val="auto"/>
          <w:highlight w:val="none"/>
        </w:rPr>
        <w:instrText xml:space="preserve"> PAGEREF _Toc14893 \h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olor w:val="auto"/>
          <w:szCs w:val="28"/>
          <w:highlight w:val="none"/>
        </w:rPr>
        <w:fldChar w:fldCharType="end"/>
      </w:r>
    </w:p>
    <w:p w14:paraId="1B4E15F0">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_Toc32471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3 </w:t>
      </w:r>
      <w:r>
        <w:rPr>
          <w:rFonts w:ascii="Times New Roman" w:eastAsia="宋体"/>
          <w:color w:val="auto"/>
          <w:szCs w:val="32"/>
          <w:highlight w:val="none"/>
        </w:rPr>
        <w:t>现有项目情况</w:t>
      </w:r>
      <w:r>
        <w:rPr>
          <w:color w:val="auto"/>
          <w:highlight w:val="none"/>
        </w:rPr>
        <w:tab/>
      </w:r>
      <w:r>
        <w:rPr>
          <w:color w:val="auto"/>
          <w:highlight w:val="none"/>
        </w:rPr>
        <w:fldChar w:fldCharType="begin"/>
      </w:r>
      <w:r>
        <w:rPr>
          <w:color w:val="auto"/>
          <w:highlight w:val="none"/>
        </w:rPr>
        <w:instrText xml:space="preserve"> PAGEREF _Toc32471 \h </w:instrText>
      </w:r>
      <w:r>
        <w:rPr>
          <w:color w:val="auto"/>
          <w:highlight w:val="none"/>
        </w:rPr>
        <w:fldChar w:fldCharType="separate"/>
      </w:r>
      <w:r>
        <w:rPr>
          <w:color w:val="auto"/>
          <w:highlight w:val="none"/>
        </w:rPr>
        <w:t>68</w:t>
      </w:r>
      <w:r>
        <w:rPr>
          <w:color w:val="auto"/>
          <w:highlight w:val="none"/>
        </w:rPr>
        <w:fldChar w:fldCharType="end"/>
      </w:r>
      <w:r>
        <w:rPr>
          <w:rFonts w:ascii="Times New Roman" w:hAnsi="Times New Roman"/>
          <w:color w:val="auto"/>
          <w:szCs w:val="28"/>
          <w:highlight w:val="none"/>
        </w:rPr>
        <w:fldChar w:fldCharType="end"/>
      </w:r>
    </w:p>
    <w:p w14:paraId="5CAD214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_Toc30038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3.1 </w:t>
      </w:r>
      <w:r>
        <w:rPr>
          <w:rFonts w:ascii="Times New Roman" w:eastAsia="宋体"/>
          <w:color w:val="auto"/>
          <w:szCs w:val="28"/>
          <w:highlight w:val="none"/>
        </w:rPr>
        <w:t>现有项目概况</w:t>
      </w:r>
      <w:r>
        <w:rPr>
          <w:color w:val="auto"/>
          <w:highlight w:val="none"/>
        </w:rPr>
        <w:tab/>
      </w:r>
      <w:r>
        <w:rPr>
          <w:color w:val="auto"/>
          <w:highlight w:val="none"/>
        </w:rPr>
        <w:fldChar w:fldCharType="begin"/>
      </w:r>
      <w:r>
        <w:rPr>
          <w:color w:val="auto"/>
          <w:highlight w:val="none"/>
        </w:rPr>
        <w:instrText xml:space="preserve"> PAGEREF _Toc30038 \h </w:instrText>
      </w:r>
      <w:r>
        <w:rPr>
          <w:color w:val="auto"/>
          <w:highlight w:val="none"/>
        </w:rPr>
        <w:fldChar w:fldCharType="separate"/>
      </w:r>
      <w:r>
        <w:rPr>
          <w:color w:val="auto"/>
          <w:highlight w:val="none"/>
        </w:rPr>
        <w:t>68</w:t>
      </w:r>
      <w:r>
        <w:rPr>
          <w:color w:val="auto"/>
          <w:highlight w:val="none"/>
        </w:rPr>
        <w:fldChar w:fldCharType="end"/>
      </w:r>
      <w:r>
        <w:rPr>
          <w:rFonts w:ascii="Times New Roman" w:hAnsi="Times New Roman"/>
          <w:color w:val="auto"/>
          <w:szCs w:val="28"/>
          <w:highlight w:val="none"/>
        </w:rPr>
        <w:fldChar w:fldCharType="end"/>
      </w:r>
    </w:p>
    <w:p w14:paraId="1192CCF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_Toc722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3.2 </w:t>
      </w:r>
      <w:r>
        <w:rPr>
          <w:rFonts w:ascii="Times New Roman" w:eastAsia="宋体"/>
          <w:color w:val="auto"/>
          <w:szCs w:val="28"/>
          <w:highlight w:val="none"/>
        </w:rPr>
        <w:t>现有项目生产规模及工程内容</w:t>
      </w:r>
      <w:r>
        <w:rPr>
          <w:color w:val="auto"/>
          <w:highlight w:val="none"/>
        </w:rPr>
        <w:tab/>
      </w:r>
      <w:r>
        <w:rPr>
          <w:color w:val="auto"/>
          <w:highlight w:val="none"/>
        </w:rPr>
        <w:fldChar w:fldCharType="begin"/>
      </w:r>
      <w:r>
        <w:rPr>
          <w:color w:val="auto"/>
          <w:highlight w:val="none"/>
        </w:rPr>
        <w:instrText xml:space="preserve"> PAGEREF _Toc722 \h </w:instrText>
      </w:r>
      <w:r>
        <w:rPr>
          <w:color w:val="auto"/>
          <w:highlight w:val="none"/>
        </w:rPr>
        <w:fldChar w:fldCharType="separate"/>
      </w:r>
      <w:r>
        <w:rPr>
          <w:color w:val="auto"/>
          <w:highlight w:val="none"/>
        </w:rPr>
        <w:t>69</w:t>
      </w:r>
      <w:r>
        <w:rPr>
          <w:color w:val="auto"/>
          <w:highlight w:val="none"/>
        </w:rPr>
        <w:fldChar w:fldCharType="end"/>
      </w:r>
      <w:r>
        <w:rPr>
          <w:rFonts w:ascii="Times New Roman" w:hAnsi="Times New Roman"/>
          <w:color w:val="auto"/>
          <w:szCs w:val="28"/>
          <w:highlight w:val="none"/>
        </w:rPr>
        <w:fldChar w:fldCharType="end"/>
      </w:r>
    </w:p>
    <w:p w14:paraId="5BE1D50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_Toc3106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3.3 </w:t>
      </w:r>
      <w:r>
        <w:rPr>
          <w:rFonts w:ascii="Times New Roman" w:eastAsia="宋体"/>
          <w:color w:val="auto"/>
          <w:szCs w:val="28"/>
          <w:highlight w:val="none"/>
        </w:rPr>
        <w:t>现有项目工程分析</w:t>
      </w:r>
      <w:r>
        <w:rPr>
          <w:color w:val="auto"/>
          <w:highlight w:val="none"/>
        </w:rPr>
        <w:tab/>
      </w:r>
      <w:r>
        <w:rPr>
          <w:color w:val="auto"/>
          <w:highlight w:val="none"/>
        </w:rPr>
        <w:fldChar w:fldCharType="begin"/>
      </w:r>
      <w:r>
        <w:rPr>
          <w:color w:val="auto"/>
          <w:highlight w:val="none"/>
        </w:rPr>
        <w:instrText xml:space="preserve"> PAGEREF _Toc3106 \h </w:instrText>
      </w:r>
      <w:r>
        <w:rPr>
          <w:color w:val="auto"/>
          <w:highlight w:val="none"/>
        </w:rPr>
        <w:fldChar w:fldCharType="separate"/>
      </w:r>
      <w:r>
        <w:rPr>
          <w:color w:val="auto"/>
          <w:highlight w:val="none"/>
        </w:rPr>
        <w:t>73</w:t>
      </w:r>
      <w:r>
        <w:rPr>
          <w:color w:val="auto"/>
          <w:highlight w:val="none"/>
        </w:rPr>
        <w:fldChar w:fldCharType="end"/>
      </w:r>
      <w:r>
        <w:rPr>
          <w:rFonts w:ascii="Times New Roman" w:hAnsi="Times New Roman"/>
          <w:color w:val="auto"/>
          <w:szCs w:val="28"/>
          <w:highlight w:val="none"/>
        </w:rPr>
        <w:fldChar w:fldCharType="end"/>
      </w:r>
    </w:p>
    <w:p w14:paraId="69EE9FF0">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_Toc3286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4 </w:t>
      </w:r>
      <w:r>
        <w:rPr>
          <w:rFonts w:ascii="Times New Roman" w:eastAsia="宋体"/>
          <w:color w:val="auto"/>
          <w:szCs w:val="32"/>
          <w:highlight w:val="none"/>
        </w:rPr>
        <w:t>本项目概况与工程分析</w:t>
      </w:r>
      <w:r>
        <w:rPr>
          <w:color w:val="auto"/>
          <w:highlight w:val="none"/>
        </w:rPr>
        <w:tab/>
      </w:r>
      <w:r>
        <w:rPr>
          <w:color w:val="auto"/>
          <w:highlight w:val="none"/>
        </w:rPr>
        <w:fldChar w:fldCharType="begin"/>
      </w:r>
      <w:r>
        <w:rPr>
          <w:color w:val="auto"/>
          <w:highlight w:val="none"/>
        </w:rPr>
        <w:instrText xml:space="preserve"> PAGEREF _Toc3286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color w:val="auto"/>
          <w:szCs w:val="28"/>
          <w:highlight w:val="none"/>
        </w:rPr>
        <w:fldChar w:fldCharType="end"/>
      </w:r>
    </w:p>
    <w:p w14:paraId="67923499">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_Toc24317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4.1 </w:t>
      </w:r>
      <w:r>
        <w:rPr>
          <w:rFonts w:ascii="Times New Roman" w:eastAsia="宋体"/>
          <w:color w:val="auto"/>
          <w:szCs w:val="28"/>
          <w:highlight w:val="none"/>
        </w:rPr>
        <w:t>项目概况</w:t>
      </w:r>
      <w:r>
        <w:rPr>
          <w:color w:val="auto"/>
          <w:highlight w:val="none"/>
        </w:rPr>
        <w:tab/>
      </w:r>
      <w:r>
        <w:rPr>
          <w:color w:val="auto"/>
          <w:highlight w:val="none"/>
        </w:rPr>
        <w:fldChar w:fldCharType="begin"/>
      </w:r>
      <w:r>
        <w:rPr>
          <w:color w:val="auto"/>
          <w:highlight w:val="none"/>
        </w:rPr>
        <w:instrText xml:space="preserve"> PAGEREF _Toc24317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color w:val="auto"/>
          <w:szCs w:val="28"/>
          <w:highlight w:val="none"/>
        </w:rPr>
        <w:fldChar w:fldCharType="end"/>
      </w:r>
    </w:p>
    <w:p w14:paraId="72F5BC26">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_Toc11571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4.2 </w:t>
      </w:r>
      <w:r>
        <w:rPr>
          <w:rFonts w:ascii="Times New Roman" w:eastAsia="宋体"/>
          <w:color w:val="auto"/>
          <w:szCs w:val="28"/>
          <w:highlight w:val="none"/>
        </w:rPr>
        <w:t>营运期工艺流程及产污环节分析</w:t>
      </w:r>
      <w:r>
        <w:rPr>
          <w:color w:val="auto"/>
          <w:highlight w:val="none"/>
        </w:rPr>
        <w:tab/>
      </w:r>
      <w:r>
        <w:rPr>
          <w:color w:val="auto"/>
          <w:highlight w:val="none"/>
        </w:rPr>
        <w:fldChar w:fldCharType="begin"/>
      </w:r>
      <w:r>
        <w:rPr>
          <w:color w:val="auto"/>
          <w:highlight w:val="none"/>
        </w:rPr>
        <w:instrText xml:space="preserve"> PAGEREF _Toc11571 \h </w:instrText>
      </w:r>
      <w:r>
        <w:rPr>
          <w:color w:val="auto"/>
          <w:highlight w:val="none"/>
        </w:rPr>
        <w:fldChar w:fldCharType="separate"/>
      </w:r>
      <w:r>
        <w:rPr>
          <w:color w:val="auto"/>
          <w:highlight w:val="none"/>
        </w:rPr>
        <w:t>100</w:t>
      </w:r>
      <w:r>
        <w:rPr>
          <w:color w:val="auto"/>
          <w:highlight w:val="none"/>
        </w:rPr>
        <w:fldChar w:fldCharType="end"/>
      </w:r>
      <w:r>
        <w:rPr>
          <w:rFonts w:ascii="Times New Roman" w:hAnsi="Times New Roman"/>
          <w:color w:val="auto"/>
          <w:szCs w:val="28"/>
          <w:highlight w:val="none"/>
        </w:rPr>
        <w:fldChar w:fldCharType="end"/>
      </w:r>
    </w:p>
    <w:p w14:paraId="58952297">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_Toc28735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4.3 </w:t>
      </w:r>
      <w:r>
        <w:rPr>
          <w:rFonts w:ascii="Times New Roman" w:eastAsia="宋体"/>
          <w:color w:val="auto"/>
          <w:szCs w:val="28"/>
          <w:highlight w:val="none"/>
        </w:rPr>
        <w:t>主要原辅材料与资源能源消耗</w:t>
      </w:r>
      <w:r>
        <w:rPr>
          <w:color w:val="auto"/>
          <w:highlight w:val="none"/>
        </w:rPr>
        <w:tab/>
      </w:r>
      <w:r>
        <w:rPr>
          <w:color w:val="auto"/>
          <w:highlight w:val="none"/>
        </w:rPr>
        <w:fldChar w:fldCharType="begin"/>
      </w:r>
      <w:r>
        <w:rPr>
          <w:color w:val="auto"/>
          <w:highlight w:val="none"/>
        </w:rPr>
        <w:instrText xml:space="preserve"> PAGEREF _Toc28735 \h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olor w:val="auto"/>
          <w:szCs w:val="28"/>
          <w:highlight w:val="none"/>
        </w:rPr>
        <w:fldChar w:fldCharType="end"/>
      </w:r>
    </w:p>
    <w:p w14:paraId="77E05912">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_Toc27392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4.4 </w:t>
      </w:r>
      <w:r>
        <w:rPr>
          <w:rFonts w:ascii="Times New Roman" w:eastAsia="宋体"/>
          <w:color w:val="auto"/>
          <w:szCs w:val="28"/>
          <w:highlight w:val="none"/>
        </w:rPr>
        <w:t>主要生产设备及辅助设备</w:t>
      </w:r>
      <w:r>
        <w:rPr>
          <w:color w:val="auto"/>
          <w:highlight w:val="none"/>
        </w:rPr>
        <w:tab/>
      </w:r>
      <w:r>
        <w:rPr>
          <w:color w:val="auto"/>
          <w:highlight w:val="none"/>
        </w:rPr>
        <w:fldChar w:fldCharType="begin"/>
      </w:r>
      <w:r>
        <w:rPr>
          <w:color w:val="auto"/>
          <w:highlight w:val="none"/>
        </w:rPr>
        <w:instrText xml:space="preserve"> PAGEREF _Toc27392 \h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olor w:val="auto"/>
          <w:szCs w:val="28"/>
          <w:highlight w:val="none"/>
        </w:rPr>
        <w:fldChar w:fldCharType="end"/>
      </w:r>
    </w:p>
    <w:p w14:paraId="1D2261C7">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_Toc2111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4.5 物料平衡及</w:t>
      </w:r>
      <w:r>
        <w:rPr>
          <w:rFonts w:ascii="Times New Roman" w:eastAsia="宋体"/>
          <w:color w:val="auto"/>
          <w:szCs w:val="28"/>
          <w:highlight w:val="none"/>
        </w:rPr>
        <w:t>水（汽）平衡</w:t>
      </w:r>
      <w:r>
        <w:rPr>
          <w:color w:val="auto"/>
          <w:highlight w:val="none"/>
        </w:rPr>
        <w:tab/>
      </w:r>
      <w:r>
        <w:rPr>
          <w:color w:val="auto"/>
          <w:highlight w:val="none"/>
        </w:rPr>
        <w:fldChar w:fldCharType="begin"/>
      </w:r>
      <w:r>
        <w:rPr>
          <w:color w:val="auto"/>
          <w:highlight w:val="none"/>
        </w:rPr>
        <w:instrText xml:space="preserve"> PAGEREF _Toc2111 \h </w:instrText>
      </w:r>
      <w:r>
        <w:rPr>
          <w:color w:val="auto"/>
          <w:highlight w:val="none"/>
        </w:rPr>
        <w:fldChar w:fldCharType="separate"/>
      </w:r>
      <w:r>
        <w:rPr>
          <w:color w:val="auto"/>
          <w:highlight w:val="none"/>
        </w:rPr>
        <w:t>109</w:t>
      </w:r>
      <w:r>
        <w:rPr>
          <w:color w:val="auto"/>
          <w:highlight w:val="none"/>
        </w:rPr>
        <w:fldChar w:fldCharType="end"/>
      </w:r>
      <w:r>
        <w:rPr>
          <w:rFonts w:ascii="Times New Roman" w:hAnsi="Times New Roman"/>
          <w:color w:val="auto"/>
          <w:szCs w:val="28"/>
          <w:highlight w:val="none"/>
        </w:rPr>
        <w:fldChar w:fldCharType="end"/>
      </w:r>
    </w:p>
    <w:p w14:paraId="41BD2708">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_Toc15469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4.6 </w:t>
      </w:r>
      <w:r>
        <w:rPr>
          <w:rFonts w:ascii="Times New Roman" w:eastAsia="宋体"/>
          <w:color w:val="auto"/>
          <w:szCs w:val="28"/>
          <w:highlight w:val="none"/>
        </w:rPr>
        <w:t>项目污染物源强核算</w:t>
      </w:r>
      <w:r>
        <w:rPr>
          <w:color w:val="auto"/>
          <w:highlight w:val="none"/>
        </w:rPr>
        <w:tab/>
      </w:r>
      <w:r>
        <w:rPr>
          <w:color w:val="auto"/>
          <w:highlight w:val="none"/>
        </w:rPr>
        <w:fldChar w:fldCharType="begin"/>
      </w:r>
      <w:r>
        <w:rPr>
          <w:color w:val="auto"/>
          <w:highlight w:val="none"/>
        </w:rPr>
        <w:instrText xml:space="preserve"> PAGEREF _Toc15469 \h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szCs w:val="28"/>
          <w:highlight w:val="none"/>
        </w:rPr>
        <w:fldChar w:fldCharType="end"/>
      </w:r>
    </w:p>
    <w:p w14:paraId="33222C92">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_Toc7895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4.7 </w:t>
      </w:r>
      <w:r>
        <w:rPr>
          <w:rFonts w:ascii="Times New Roman" w:eastAsia="宋体"/>
          <w:color w:val="auto"/>
          <w:szCs w:val="28"/>
          <w:highlight w:val="none"/>
        </w:rPr>
        <w:t>污染物产生及排放情况汇总</w:t>
      </w:r>
      <w:r>
        <w:rPr>
          <w:color w:val="auto"/>
          <w:highlight w:val="none"/>
        </w:rPr>
        <w:tab/>
      </w:r>
      <w:r>
        <w:rPr>
          <w:color w:val="auto"/>
          <w:highlight w:val="none"/>
        </w:rPr>
        <w:fldChar w:fldCharType="begin"/>
      </w:r>
      <w:r>
        <w:rPr>
          <w:color w:val="auto"/>
          <w:highlight w:val="none"/>
        </w:rPr>
        <w:instrText xml:space="preserve"> PAGEREF _Toc7895 \h </w:instrText>
      </w:r>
      <w:r>
        <w:rPr>
          <w:color w:val="auto"/>
          <w:highlight w:val="none"/>
        </w:rPr>
        <w:fldChar w:fldCharType="separate"/>
      </w:r>
      <w:r>
        <w:rPr>
          <w:color w:val="auto"/>
          <w:highlight w:val="none"/>
        </w:rPr>
        <w:t>122</w:t>
      </w:r>
      <w:r>
        <w:rPr>
          <w:color w:val="auto"/>
          <w:highlight w:val="none"/>
        </w:rPr>
        <w:fldChar w:fldCharType="end"/>
      </w:r>
      <w:r>
        <w:rPr>
          <w:rFonts w:ascii="Times New Roman" w:hAnsi="Times New Roman"/>
          <w:color w:val="auto"/>
          <w:szCs w:val="28"/>
          <w:highlight w:val="none"/>
        </w:rPr>
        <w:fldChar w:fldCharType="end"/>
      </w:r>
    </w:p>
    <w:p w14:paraId="0BA14E15">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_Toc21161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4.8 </w:t>
      </w:r>
      <w:r>
        <w:rPr>
          <w:rFonts w:ascii="Times New Roman" w:eastAsia="宋体"/>
          <w:color w:val="auto"/>
          <w:szCs w:val="28"/>
          <w:highlight w:val="none"/>
        </w:rPr>
        <w:t>环境风险识别</w:t>
      </w:r>
      <w:r>
        <w:rPr>
          <w:color w:val="auto"/>
          <w:highlight w:val="none"/>
        </w:rPr>
        <w:tab/>
      </w:r>
      <w:r>
        <w:rPr>
          <w:color w:val="auto"/>
          <w:highlight w:val="none"/>
        </w:rPr>
        <w:fldChar w:fldCharType="begin"/>
      </w:r>
      <w:r>
        <w:rPr>
          <w:color w:val="auto"/>
          <w:highlight w:val="none"/>
        </w:rPr>
        <w:instrText xml:space="preserve"> PAGEREF _Toc21161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olor w:val="auto"/>
          <w:szCs w:val="28"/>
          <w:highlight w:val="none"/>
        </w:rPr>
        <w:fldChar w:fldCharType="end"/>
      </w:r>
    </w:p>
    <w:p w14:paraId="1AF4341C">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_Toc24114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4.9 </w:t>
      </w:r>
      <w:r>
        <w:rPr>
          <w:rFonts w:ascii="Times New Roman" w:eastAsia="宋体"/>
          <w:color w:val="auto"/>
          <w:szCs w:val="28"/>
          <w:highlight w:val="none"/>
        </w:rPr>
        <w:t>清洁生产</w:t>
      </w:r>
      <w:r>
        <w:rPr>
          <w:rFonts w:hint="eastAsia" w:ascii="Times New Roman" w:eastAsia="宋体"/>
          <w:color w:val="auto"/>
          <w:szCs w:val="28"/>
          <w:highlight w:val="none"/>
        </w:rPr>
        <w:t>水平</w:t>
      </w:r>
      <w:r>
        <w:rPr>
          <w:rFonts w:ascii="Times New Roman" w:eastAsia="宋体"/>
          <w:color w:val="auto"/>
          <w:szCs w:val="28"/>
          <w:highlight w:val="none"/>
        </w:rPr>
        <w:t>分析</w:t>
      </w:r>
      <w:r>
        <w:rPr>
          <w:color w:val="auto"/>
          <w:highlight w:val="none"/>
        </w:rPr>
        <w:tab/>
      </w:r>
      <w:r>
        <w:rPr>
          <w:color w:val="auto"/>
          <w:highlight w:val="none"/>
        </w:rPr>
        <w:fldChar w:fldCharType="begin"/>
      </w:r>
      <w:r>
        <w:rPr>
          <w:color w:val="auto"/>
          <w:highlight w:val="none"/>
        </w:rPr>
        <w:instrText xml:space="preserve"> PAGEREF _Toc24114 \h </w:instrText>
      </w:r>
      <w:r>
        <w:rPr>
          <w:color w:val="auto"/>
          <w:highlight w:val="none"/>
        </w:rPr>
        <w:fldChar w:fldCharType="separate"/>
      </w:r>
      <w:r>
        <w:rPr>
          <w:color w:val="auto"/>
          <w:highlight w:val="none"/>
        </w:rPr>
        <w:t>137</w:t>
      </w:r>
      <w:r>
        <w:rPr>
          <w:color w:val="auto"/>
          <w:highlight w:val="none"/>
        </w:rPr>
        <w:fldChar w:fldCharType="end"/>
      </w:r>
      <w:r>
        <w:rPr>
          <w:rFonts w:ascii="Times New Roman" w:hAnsi="Times New Roman"/>
          <w:color w:val="auto"/>
          <w:szCs w:val="28"/>
          <w:highlight w:val="none"/>
        </w:rPr>
        <w:fldChar w:fldCharType="end"/>
      </w:r>
    </w:p>
    <w:p w14:paraId="41429A4C">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_Toc24074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5 </w:t>
      </w:r>
      <w:r>
        <w:rPr>
          <w:rFonts w:ascii="Times New Roman" w:eastAsia="宋体"/>
          <w:color w:val="auto"/>
          <w:szCs w:val="32"/>
          <w:highlight w:val="none"/>
        </w:rPr>
        <w:t>环境现状调查与评价</w:t>
      </w:r>
      <w:r>
        <w:rPr>
          <w:color w:val="auto"/>
          <w:highlight w:val="none"/>
        </w:rPr>
        <w:tab/>
      </w:r>
      <w:r>
        <w:rPr>
          <w:color w:val="auto"/>
          <w:highlight w:val="none"/>
        </w:rPr>
        <w:fldChar w:fldCharType="begin"/>
      </w:r>
      <w:r>
        <w:rPr>
          <w:color w:val="auto"/>
          <w:highlight w:val="none"/>
        </w:rPr>
        <w:instrText xml:space="preserve"> PAGEREF _Toc24074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szCs w:val="28"/>
          <w:highlight w:val="none"/>
        </w:rPr>
        <w:fldChar w:fldCharType="end"/>
      </w:r>
    </w:p>
    <w:p w14:paraId="7577D508">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_Toc28889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5.1 </w:t>
      </w:r>
      <w:r>
        <w:rPr>
          <w:rFonts w:ascii="Times New Roman" w:eastAsia="宋体"/>
          <w:color w:val="auto"/>
          <w:szCs w:val="28"/>
          <w:highlight w:val="none"/>
        </w:rPr>
        <w:t>自然环境概况</w:t>
      </w:r>
      <w:r>
        <w:rPr>
          <w:color w:val="auto"/>
          <w:highlight w:val="none"/>
        </w:rPr>
        <w:tab/>
      </w:r>
      <w:r>
        <w:rPr>
          <w:color w:val="auto"/>
          <w:highlight w:val="none"/>
        </w:rPr>
        <w:fldChar w:fldCharType="begin"/>
      </w:r>
      <w:r>
        <w:rPr>
          <w:color w:val="auto"/>
          <w:highlight w:val="none"/>
        </w:rPr>
        <w:instrText xml:space="preserve"> PAGEREF _Toc28889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szCs w:val="28"/>
          <w:highlight w:val="none"/>
        </w:rPr>
        <w:fldChar w:fldCharType="end"/>
      </w:r>
    </w:p>
    <w:p w14:paraId="0C328AA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_Toc21589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5.2 </w:t>
      </w:r>
      <w:r>
        <w:rPr>
          <w:rFonts w:ascii="Times New Roman" w:eastAsia="宋体"/>
          <w:color w:val="auto"/>
          <w:szCs w:val="28"/>
          <w:highlight w:val="none"/>
        </w:rPr>
        <w:t>区域污染源现状调查与评价</w:t>
      </w:r>
      <w:r>
        <w:rPr>
          <w:color w:val="auto"/>
          <w:highlight w:val="none"/>
        </w:rPr>
        <w:tab/>
      </w:r>
      <w:r>
        <w:rPr>
          <w:color w:val="auto"/>
          <w:highlight w:val="none"/>
        </w:rPr>
        <w:fldChar w:fldCharType="begin"/>
      </w:r>
      <w:r>
        <w:rPr>
          <w:color w:val="auto"/>
          <w:highlight w:val="none"/>
        </w:rPr>
        <w:instrText xml:space="preserve"> PAGEREF _Toc21589 \h </w:instrText>
      </w:r>
      <w:r>
        <w:rPr>
          <w:color w:val="auto"/>
          <w:highlight w:val="none"/>
        </w:rPr>
        <w:fldChar w:fldCharType="separate"/>
      </w:r>
      <w:r>
        <w:rPr>
          <w:color w:val="auto"/>
          <w:highlight w:val="none"/>
        </w:rPr>
        <w:t>152</w:t>
      </w:r>
      <w:r>
        <w:rPr>
          <w:color w:val="auto"/>
          <w:highlight w:val="none"/>
        </w:rPr>
        <w:fldChar w:fldCharType="end"/>
      </w:r>
      <w:r>
        <w:rPr>
          <w:rFonts w:ascii="Times New Roman" w:hAnsi="Times New Roman"/>
          <w:color w:val="auto"/>
          <w:szCs w:val="28"/>
          <w:highlight w:val="none"/>
        </w:rPr>
        <w:fldChar w:fldCharType="end"/>
      </w:r>
    </w:p>
    <w:p w14:paraId="6D95A752">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_Toc7514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5.3 </w:t>
      </w:r>
      <w:r>
        <w:rPr>
          <w:rFonts w:ascii="Times New Roman" w:eastAsia="宋体"/>
          <w:color w:val="auto"/>
          <w:szCs w:val="28"/>
          <w:highlight w:val="none"/>
        </w:rPr>
        <w:t>环境质量现状调查与评价</w:t>
      </w:r>
      <w:r>
        <w:rPr>
          <w:color w:val="auto"/>
          <w:highlight w:val="none"/>
        </w:rPr>
        <w:tab/>
      </w:r>
      <w:r>
        <w:rPr>
          <w:color w:val="auto"/>
          <w:highlight w:val="none"/>
        </w:rPr>
        <w:fldChar w:fldCharType="begin"/>
      </w:r>
      <w:r>
        <w:rPr>
          <w:color w:val="auto"/>
          <w:highlight w:val="none"/>
        </w:rPr>
        <w:instrText xml:space="preserve"> PAGEREF _Toc7514 \h </w:instrText>
      </w:r>
      <w:r>
        <w:rPr>
          <w:color w:val="auto"/>
          <w:highlight w:val="none"/>
        </w:rPr>
        <w:fldChar w:fldCharType="separate"/>
      </w:r>
      <w:r>
        <w:rPr>
          <w:color w:val="auto"/>
          <w:highlight w:val="none"/>
        </w:rPr>
        <w:t>153</w:t>
      </w:r>
      <w:r>
        <w:rPr>
          <w:color w:val="auto"/>
          <w:highlight w:val="none"/>
        </w:rPr>
        <w:fldChar w:fldCharType="end"/>
      </w:r>
      <w:r>
        <w:rPr>
          <w:rFonts w:ascii="Times New Roman" w:hAnsi="Times New Roman"/>
          <w:color w:val="auto"/>
          <w:szCs w:val="28"/>
          <w:highlight w:val="none"/>
        </w:rPr>
        <w:fldChar w:fldCharType="end"/>
      </w:r>
    </w:p>
    <w:p w14:paraId="72E8707E">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_Toc21074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6 </w:t>
      </w:r>
      <w:r>
        <w:rPr>
          <w:rFonts w:ascii="Times New Roman" w:eastAsia="宋体"/>
          <w:color w:val="auto"/>
          <w:szCs w:val="32"/>
          <w:highlight w:val="none"/>
        </w:rPr>
        <w:t>环境影响预测与评价</w:t>
      </w:r>
      <w:r>
        <w:rPr>
          <w:color w:val="auto"/>
          <w:highlight w:val="none"/>
        </w:rPr>
        <w:tab/>
      </w:r>
      <w:r>
        <w:rPr>
          <w:color w:val="auto"/>
          <w:highlight w:val="none"/>
        </w:rPr>
        <w:fldChar w:fldCharType="begin"/>
      </w:r>
      <w:r>
        <w:rPr>
          <w:color w:val="auto"/>
          <w:highlight w:val="none"/>
        </w:rPr>
        <w:instrText xml:space="preserve"> PAGEREF _Toc21074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color w:val="auto"/>
          <w:szCs w:val="28"/>
          <w:highlight w:val="none"/>
        </w:rPr>
        <w:fldChar w:fldCharType="end"/>
      </w:r>
    </w:p>
    <w:p w14:paraId="6EFE4F6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_Toc1026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6.1 </w:t>
      </w:r>
      <w:r>
        <w:rPr>
          <w:rFonts w:ascii="Times New Roman" w:eastAsia="宋体"/>
          <w:color w:val="auto"/>
          <w:szCs w:val="28"/>
          <w:highlight w:val="none"/>
        </w:rPr>
        <w:t>大气环境影响分析</w:t>
      </w:r>
      <w:r>
        <w:rPr>
          <w:color w:val="auto"/>
          <w:highlight w:val="none"/>
        </w:rPr>
        <w:tab/>
      </w:r>
      <w:r>
        <w:rPr>
          <w:color w:val="auto"/>
          <w:highlight w:val="none"/>
        </w:rPr>
        <w:fldChar w:fldCharType="begin"/>
      </w:r>
      <w:r>
        <w:rPr>
          <w:color w:val="auto"/>
          <w:highlight w:val="none"/>
        </w:rPr>
        <w:instrText xml:space="preserve"> PAGEREF _Toc1026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color w:val="auto"/>
          <w:szCs w:val="28"/>
          <w:highlight w:val="none"/>
        </w:rPr>
        <w:fldChar w:fldCharType="end"/>
      </w:r>
    </w:p>
    <w:p w14:paraId="7F307E10">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_Toc15132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6.2 </w:t>
      </w:r>
      <w:r>
        <w:rPr>
          <w:rFonts w:ascii="Times New Roman" w:eastAsia="宋体"/>
          <w:color w:val="auto"/>
          <w:szCs w:val="28"/>
          <w:highlight w:val="none"/>
        </w:rPr>
        <w:t>地表水环境影响分析</w:t>
      </w:r>
      <w:r>
        <w:rPr>
          <w:color w:val="auto"/>
          <w:highlight w:val="none"/>
        </w:rPr>
        <w:tab/>
      </w:r>
      <w:r>
        <w:rPr>
          <w:color w:val="auto"/>
          <w:highlight w:val="none"/>
        </w:rPr>
        <w:fldChar w:fldCharType="begin"/>
      </w:r>
      <w:r>
        <w:rPr>
          <w:color w:val="auto"/>
          <w:highlight w:val="none"/>
        </w:rPr>
        <w:instrText xml:space="preserve"> PAGEREF _Toc15132 \h </w:instrText>
      </w:r>
      <w:r>
        <w:rPr>
          <w:color w:val="auto"/>
          <w:highlight w:val="none"/>
        </w:rPr>
        <w:fldChar w:fldCharType="separate"/>
      </w:r>
      <w:r>
        <w:rPr>
          <w:color w:val="auto"/>
          <w:highlight w:val="none"/>
        </w:rPr>
        <w:t>195</w:t>
      </w:r>
      <w:r>
        <w:rPr>
          <w:color w:val="auto"/>
          <w:highlight w:val="none"/>
        </w:rPr>
        <w:fldChar w:fldCharType="end"/>
      </w:r>
      <w:r>
        <w:rPr>
          <w:rFonts w:ascii="Times New Roman" w:hAnsi="Times New Roman"/>
          <w:color w:val="auto"/>
          <w:szCs w:val="28"/>
          <w:highlight w:val="none"/>
        </w:rPr>
        <w:fldChar w:fldCharType="end"/>
      </w:r>
    </w:p>
    <w:p w14:paraId="6A162EFF">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_Toc14203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6.3 </w:t>
      </w:r>
      <w:r>
        <w:rPr>
          <w:rFonts w:ascii="Times New Roman" w:eastAsia="宋体"/>
          <w:color w:val="auto"/>
          <w:szCs w:val="28"/>
          <w:highlight w:val="none"/>
        </w:rPr>
        <w:t>地下水环境影响分析</w:t>
      </w:r>
      <w:r>
        <w:rPr>
          <w:color w:val="auto"/>
          <w:highlight w:val="none"/>
        </w:rPr>
        <w:tab/>
      </w:r>
      <w:r>
        <w:rPr>
          <w:color w:val="auto"/>
          <w:highlight w:val="none"/>
        </w:rPr>
        <w:fldChar w:fldCharType="begin"/>
      </w:r>
      <w:r>
        <w:rPr>
          <w:color w:val="auto"/>
          <w:highlight w:val="none"/>
        </w:rPr>
        <w:instrText xml:space="preserve"> PAGEREF _Toc14203 \h </w:instrText>
      </w:r>
      <w:r>
        <w:rPr>
          <w:color w:val="auto"/>
          <w:highlight w:val="none"/>
        </w:rPr>
        <w:fldChar w:fldCharType="separate"/>
      </w:r>
      <w:r>
        <w:rPr>
          <w:color w:val="auto"/>
          <w:highlight w:val="none"/>
        </w:rPr>
        <w:t>195</w:t>
      </w:r>
      <w:r>
        <w:rPr>
          <w:color w:val="auto"/>
          <w:highlight w:val="none"/>
        </w:rPr>
        <w:fldChar w:fldCharType="end"/>
      </w:r>
      <w:r>
        <w:rPr>
          <w:rFonts w:ascii="Times New Roman" w:hAnsi="Times New Roman"/>
          <w:color w:val="auto"/>
          <w:szCs w:val="28"/>
          <w:highlight w:val="none"/>
        </w:rPr>
        <w:fldChar w:fldCharType="end"/>
      </w:r>
    </w:p>
    <w:p w14:paraId="7517D01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_Toc2761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6.4 </w:t>
      </w:r>
      <w:r>
        <w:rPr>
          <w:rFonts w:ascii="Times New Roman" w:eastAsia="宋体"/>
          <w:color w:val="auto"/>
          <w:szCs w:val="28"/>
          <w:highlight w:val="none"/>
        </w:rPr>
        <w:t>土壤环境影响分析</w:t>
      </w:r>
      <w:r>
        <w:rPr>
          <w:color w:val="auto"/>
          <w:highlight w:val="none"/>
        </w:rPr>
        <w:tab/>
      </w:r>
      <w:r>
        <w:rPr>
          <w:color w:val="auto"/>
          <w:highlight w:val="none"/>
        </w:rPr>
        <w:fldChar w:fldCharType="begin"/>
      </w:r>
      <w:r>
        <w:rPr>
          <w:color w:val="auto"/>
          <w:highlight w:val="none"/>
        </w:rPr>
        <w:instrText xml:space="preserve"> PAGEREF _Toc2761 \h </w:instrText>
      </w:r>
      <w:r>
        <w:rPr>
          <w:color w:val="auto"/>
          <w:highlight w:val="none"/>
        </w:rPr>
        <w:fldChar w:fldCharType="separate"/>
      </w:r>
      <w:r>
        <w:rPr>
          <w:color w:val="auto"/>
          <w:highlight w:val="none"/>
        </w:rPr>
        <w:t>196</w:t>
      </w:r>
      <w:r>
        <w:rPr>
          <w:color w:val="auto"/>
          <w:highlight w:val="none"/>
        </w:rPr>
        <w:fldChar w:fldCharType="end"/>
      </w:r>
      <w:r>
        <w:rPr>
          <w:rFonts w:ascii="Times New Roman" w:hAnsi="Times New Roman"/>
          <w:color w:val="auto"/>
          <w:szCs w:val="28"/>
          <w:highlight w:val="none"/>
        </w:rPr>
        <w:fldChar w:fldCharType="end"/>
      </w:r>
    </w:p>
    <w:p w14:paraId="38EC965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_Toc28497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6.5 </w:t>
      </w:r>
      <w:r>
        <w:rPr>
          <w:rFonts w:ascii="Times New Roman" w:eastAsia="宋体"/>
          <w:color w:val="auto"/>
          <w:szCs w:val="28"/>
          <w:highlight w:val="none"/>
        </w:rPr>
        <w:t>声环境影响分析</w:t>
      </w:r>
      <w:r>
        <w:rPr>
          <w:color w:val="auto"/>
          <w:highlight w:val="none"/>
        </w:rPr>
        <w:tab/>
      </w:r>
      <w:r>
        <w:rPr>
          <w:color w:val="auto"/>
          <w:highlight w:val="none"/>
        </w:rPr>
        <w:fldChar w:fldCharType="begin"/>
      </w:r>
      <w:r>
        <w:rPr>
          <w:color w:val="auto"/>
          <w:highlight w:val="none"/>
        </w:rPr>
        <w:instrText xml:space="preserve"> PAGEREF _Toc28497 \h </w:instrText>
      </w:r>
      <w:r>
        <w:rPr>
          <w:color w:val="auto"/>
          <w:highlight w:val="none"/>
        </w:rPr>
        <w:fldChar w:fldCharType="separate"/>
      </w:r>
      <w:r>
        <w:rPr>
          <w:color w:val="auto"/>
          <w:highlight w:val="none"/>
        </w:rPr>
        <w:t>201</w:t>
      </w:r>
      <w:r>
        <w:rPr>
          <w:color w:val="auto"/>
          <w:highlight w:val="none"/>
        </w:rPr>
        <w:fldChar w:fldCharType="end"/>
      </w:r>
      <w:r>
        <w:rPr>
          <w:rFonts w:ascii="Times New Roman" w:hAnsi="Times New Roman"/>
          <w:color w:val="auto"/>
          <w:szCs w:val="28"/>
          <w:highlight w:val="none"/>
        </w:rPr>
        <w:fldChar w:fldCharType="end"/>
      </w:r>
    </w:p>
    <w:p w14:paraId="4CE77DA8">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_Toc16211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6.6 </w:t>
      </w:r>
      <w:r>
        <w:rPr>
          <w:rFonts w:ascii="Times New Roman" w:eastAsia="宋体"/>
          <w:color w:val="auto"/>
          <w:szCs w:val="28"/>
          <w:highlight w:val="none"/>
        </w:rPr>
        <w:t>固体废弃物环境影响分析</w:t>
      </w:r>
      <w:r>
        <w:rPr>
          <w:color w:val="auto"/>
          <w:highlight w:val="none"/>
        </w:rPr>
        <w:tab/>
      </w:r>
      <w:r>
        <w:rPr>
          <w:color w:val="auto"/>
          <w:highlight w:val="none"/>
        </w:rPr>
        <w:fldChar w:fldCharType="begin"/>
      </w:r>
      <w:r>
        <w:rPr>
          <w:color w:val="auto"/>
          <w:highlight w:val="none"/>
        </w:rPr>
        <w:instrText xml:space="preserve"> PAGEREF _Toc16211 \h </w:instrText>
      </w:r>
      <w:r>
        <w:rPr>
          <w:color w:val="auto"/>
          <w:highlight w:val="none"/>
        </w:rPr>
        <w:fldChar w:fldCharType="separate"/>
      </w:r>
      <w:r>
        <w:rPr>
          <w:color w:val="auto"/>
          <w:highlight w:val="none"/>
        </w:rPr>
        <w:t>205</w:t>
      </w:r>
      <w:r>
        <w:rPr>
          <w:color w:val="auto"/>
          <w:highlight w:val="none"/>
        </w:rPr>
        <w:fldChar w:fldCharType="end"/>
      </w:r>
      <w:r>
        <w:rPr>
          <w:rFonts w:ascii="Times New Roman" w:hAnsi="Times New Roman"/>
          <w:color w:val="auto"/>
          <w:szCs w:val="28"/>
          <w:highlight w:val="none"/>
        </w:rPr>
        <w:fldChar w:fldCharType="end"/>
      </w:r>
    </w:p>
    <w:p w14:paraId="4F79EDB7">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_Toc19372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6.7 </w:t>
      </w:r>
      <w:r>
        <w:rPr>
          <w:rFonts w:ascii="Times New Roman" w:eastAsia="宋体"/>
          <w:color w:val="auto"/>
          <w:szCs w:val="28"/>
          <w:highlight w:val="none"/>
        </w:rPr>
        <w:t>环境风险预测与评价</w:t>
      </w:r>
      <w:r>
        <w:rPr>
          <w:color w:val="auto"/>
          <w:highlight w:val="none"/>
        </w:rPr>
        <w:tab/>
      </w:r>
      <w:r>
        <w:rPr>
          <w:color w:val="auto"/>
          <w:highlight w:val="none"/>
        </w:rPr>
        <w:fldChar w:fldCharType="begin"/>
      </w:r>
      <w:r>
        <w:rPr>
          <w:color w:val="auto"/>
          <w:highlight w:val="none"/>
        </w:rPr>
        <w:instrText xml:space="preserve"> PAGEREF _Toc19372 \h </w:instrText>
      </w:r>
      <w:r>
        <w:rPr>
          <w:color w:val="auto"/>
          <w:highlight w:val="none"/>
        </w:rPr>
        <w:fldChar w:fldCharType="separate"/>
      </w:r>
      <w:r>
        <w:rPr>
          <w:color w:val="auto"/>
          <w:highlight w:val="none"/>
        </w:rPr>
        <w:t>209</w:t>
      </w:r>
      <w:r>
        <w:rPr>
          <w:color w:val="auto"/>
          <w:highlight w:val="none"/>
        </w:rPr>
        <w:fldChar w:fldCharType="end"/>
      </w:r>
      <w:r>
        <w:rPr>
          <w:rFonts w:ascii="Times New Roman" w:hAnsi="Times New Roman"/>
          <w:color w:val="auto"/>
          <w:szCs w:val="28"/>
          <w:highlight w:val="none"/>
        </w:rPr>
        <w:fldChar w:fldCharType="end"/>
      </w:r>
    </w:p>
    <w:p w14:paraId="1C4BF108">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_Toc4600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6.8 </w:t>
      </w:r>
      <w:r>
        <w:rPr>
          <w:rFonts w:ascii="Times New Roman" w:eastAsia="宋体"/>
          <w:color w:val="auto"/>
          <w:szCs w:val="28"/>
          <w:highlight w:val="none"/>
        </w:rPr>
        <w:t>生态环境影响分析与评价</w:t>
      </w:r>
      <w:r>
        <w:rPr>
          <w:color w:val="auto"/>
          <w:highlight w:val="none"/>
        </w:rPr>
        <w:tab/>
      </w:r>
      <w:r>
        <w:rPr>
          <w:color w:val="auto"/>
          <w:highlight w:val="none"/>
        </w:rPr>
        <w:fldChar w:fldCharType="begin"/>
      </w:r>
      <w:r>
        <w:rPr>
          <w:color w:val="auto"/>
          <w:highlight w:val="none"/>
        </w:rPr>
        <w:instrText xml:space="preserve"> PAGEREF _Toc4600 \h </w:instrText>
      </w:r>
      <w:r>
        <w:rPr>
          <w:color w:val="auto"/>
          <w:highlight w:val="none"/>
        </w:rPr>
        <w:fldChar w:fldCharType="separate"/>
      </w:r>
      <w:r>
        <w:rPr>
          <w:color w:val="auto"/>
          <w:highlight w:val="none"/>
        </w:rPr>
        <w:t>218</w:t>
      </w:r>
      <w:r>
        <w:rPr>
          <w:color w:val="auto"/>
          <w:highlight w:val="none"/>
        </w:rPr>
        <w:fldChar w:fldCharType="end"/>
      </w:r>
      <w:r>
        <w:rPr>
          <w:rFonts w:ascii="Times New Roman" w:hAnsi="Times New Roman"/>
          <w:color w:val="auto"/>
          <w:szCs w:val="28"/>
          <w:highlight w:val="none"/>
        </w:rPr>
        <w:fldChar w:fldCharType="end"/>
      </w:r>
    </w:p>
    <w:p w14:paraId="22930094">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_Toc7100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7 </w:t>
      </w:r>
      <w:r>
        <w:rPr>
          <w:rFonts w:ascii="Times New Roman" w:eastAsia="宋体"/>
          <w:color w:val="auto"/>
          <w:szCs w:val="32"/>
          <w:highlight w:val="none"/>
        </w:rPr>
        <w:t>环境保护措施及其经济、技术论证</w:t>
      </w:r>
      <w:r>
        <w:rPr>
          <w:color w:val="auto"/>
          <w:highlight w:val="none"/>
        </w:rPr>
        <w:tab/>
      </w:r>
      <w:r>
        <w:rPr>
          <w:color w:val="auto"/>
          <w:highlight w:val="none"/>
        </w:rPr>
        <w:fldChar w:fldCharType="begin"/>
      </w:r>
      <w:r>
        <w:rPr>
          <w:color w:val="auto"/>
          <w:highlight w:val="none"/>
        </w:rPr>
        <w:instrText xml:space="preserve"> PAGEREF _Toc7100 \h </w:instrText>
      </w:r>
      <w:r>
        <w:rPr>
          <w:color w:val="auto"/>
          <w:highlight w:val="none"/>
        </w:rPr>
        <w:fldChar w:fldCharType="separate"/>
      </w:r>
      <w:r>
        <w:rPr>
          <w:color w:val="auto"/>
          <w:highlight w:val="none"/>
        </w:rPr>
        <w:t>219</w:t>
      </w:r>
      <w:r>
        <w:rPr>
          <w:color w:val="auto"/>
          <w:highlight w:val="none"/>
        </w:rPr>
        <w:fldChar w:fldCharType="end"/>
      </w:r>
      <w:r>
        <w:rPr>
          <w:rFonts w:ascii="Times New Roman" w:hAnsi="Times New Roman"/>
          <w:color w:val="auto"/>
          <w:szCs w:val="28"/>
          <w:highlight w:val="none"/>
        </w:rPr>
        <w:fldChar w:fldCharType="end"/>
      </w:r>
    </w:p>
    <w:p w14:paraId="090987F4">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_Toc19560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7.1 </w:t>
      </w:r>
      <w:r>
        <w:rPr>
          <w:rFonts w:ascii="Times New Roman" w:eastAsia="宋体"/>
          <w:color w:val="auto"/>
          <w:szCs w:val="28"/>
          <w:highlight w:val="none"/>
        </w:rPr>
        <w:t>废气治理措施评述</w:t>
      </w:r>
      <w:r>
        <w:rPr>
          <w:color w:val="auto"/>
          <w:highlight w:val="none"/>
        </w:rPr>
        <w:tab/>
      </w:r>
      <w:r>
        <w:rPr>
          <w:color w:val="auto"/>
          <w:highlight w:val="none"/>
        </w:rPr>
        <w:fldChar w:fldCharType="begin"/>
      </w:r>
      <w:r>
        <w:rPr>
          <w:color w:val="auto"/>
          <w:highlight w:val="none"/>
        </w:rPr>
        <w:instrText xml:space="preserve"> PAGEREF _Toc19560 \h </w:instrText>
      </w:r>
      <w:r>
        <w:rPr>
          <w:color w:val="auto"/>
          <w:highlight w:val="none"/>
        </w:rPr>
        <w:fldChar w:fldCharType="separate"/>
      </w:r>
      <w:r>
        <w:rPr>
          <w:color w:val="auto"/>
          <w:highlight w:val="none"/>
        </w:rPr>
        <w:t>219</w:t>
      </w:r>
      <w:r>
        <w:rPr>
          <w:color w:val="auto"/>
          <w:highlight w:val="none"/>
        </w:rPr>
        <w:fldChar w:fldCharType="end"/>
      </w:r>
      <w:r>
        <w:rPr>
          <w:rFonts w:ascii="Times New Roman" w:hAnsi="Times New Roman"/>
          <w:color w:val="auto"/>
          <w:szCs w:val="28"/>
          <w:highlight w:val="none"/>
        </w:rPr>
        <w:fldChar w:fldCharType="end"/>
      </w:r>
    </w:p>
    <w:p w14:paraId="3AE8532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_Toc25773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7.2 </w:t>
      </w:r>
      <w:r>
        <w:rPr>
          <w:rFonts w:ascii="Times New Roman" w:eastAsia="宋体"/>
          <w:color w:val="auto"/>
          <w:szCs w:val="28"/>
          <w:highlight w:val="none"/>
        </w:rPr>
        <w:t>废水防治措施评述</w:t>
      </w:r>
      <w:r>
        <w:rPr>
          <w:color w:val="auto"/>
          <w:highlight w:val="none"/>
        </w:rPr>
        <w:tab/>
      </w:r>
      <w:r>
        <w:rPr>
          <w:color w:val="auto"/>
          <w:highlight w:val="none"/>
        </w:rPr>
        <w:fldChar w:fldCharType="begin"/>
      </w:r>
      <w:r>
        <w:rPr>
          <w:color w:val="auto"/>
          <w:highlight w:val="none"/>
        </w:rPr>
        <w:instrText xml:space="preserve"> PAGEREF _Toc25773 \h </w:instrText>
      </w:r>
      <w:r>
        <w:rPr>
          <w:color w:val="auto"/>
          <w:highlight w:val="none"/>
        </w:rPr>
        <w:fldChar w:fldCharType="separate"/>
      </w:r>
      <w:r>
        <w:rPr>
          <w:color w:val="auto"/>
          <w:highlight w:val="none"/>
        </w:rPr>
        <w:t>225</w:t>
      </w:r>
      <w:r>
        <w:rPr>
          <w:color w:val="auto"/>
          <w:highlight w:val="none"/>
        </w:rPr>
        <w:fldChar w:fldCharType="end"/>
      </w:r>
      <w:r>
        <w:rPr>
          <w:rFonts w:ascii="Times New Roman" w:hAnsi="Times New Roman"/>
          <w:color w:val="auto"/>
          <w:szCs w:val="28"/>
          <w:highlight w:val="none"/>
        </w:rPr>
        <w:fldChar w:fldCharType="end"/>
      </w:r>
    </w:p>
    <w:p w14:paraId="6A1A09DE">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_Toc8304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7.3 </w:t>
      </w:r>
      <w:r>
        <w:rPr>
          <w:rFonts w:ascii="Times New Roman" w:eastAsia="宋体"/>
          <w:color w:val="auto"/>
          <w:szCs w:val="28"/>
          <w:highlight w:val="none"/>
        </w:rPr>
        <w:t>噪声治理措施评述</w:t>
      </w:r>
      <w:r>
        <w:rPr>
          <w:color w:val="auto"/>
          <w:highlight w:val="none"/>
        </w:rPr>
        <w:tab/>
      </w:r>
      <w:r>
        <w:rPr>
          <w:color w:val="auto"/>
          <w:highlight w:val="none"/>
        </w:rPr>
        <w:fldChar w:fldCharType="begin"/>
      </w:r>
      <w:r>
        <w:rPr>
          <w:color w:val="auto"/>
          <w:highlight w:val="none"/>
        </w:rPr>
        <w:instrText xml:space="preserve"> PAGEREF _Toc8304 \h </w:instrText>
      </w:r>
      <w:r>
        <w:rPr>
          <w:color w:val="auto"/>
          <w:highlight w:val="none"/>
        </w:rPr>
        <w:fldChar w:fldCharType="separate"/>
      </w:r>
      <w:r>
        <w:rPr>
          <w:color w:val="auto"/>
          <w:highlight w:val="none"/>
        </w:rPr>
        <w:t>225</w:t>
      </w:r>
      <w:r>
        <w:rPr>
          <w:color w:val="auto"/>
          <w:highlight w:val="none"/>
        </w:rPr>
        <w:fldChar w:fldCharType="end"/>
      </w:r>
      <w:r>
        <w:rPr>
          <w:rFonts w:ascii="Times New Roman" w:hAnsi="Times New Roman"/>
          <w:color w:val="auto"/>
          <w:szCs w:val="28"/>
          <w:highlight w:val="none"/>
        </w:rPr>
        <w:fldChar w:fldCharType="end"/>
      </w:r>
    </w:p>
    <w:p w14:paraId="091FE18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_Toc5409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7.4 </w:t>
      </w:r>
      <w:r>
        <w:rPr>
          <w:rFonts w:ascii="Times New Roman" w:eastAsia="宋体"/>
          <w:color w:val="auto"/>
          <w:szCs w:val="28"/>
          <w:highlight w:val="none"/>
        </w:rPr>
        <w:t>固体废物污染防治措施</w:t>
      </w:r>
      <w:r>
        <w:rPr>
          <w:color w:val="auto"/>
          <w:highlight w:val="none"/>
        </w:rPr>
        <w:tab/>
      </w:r>
      <w:r>
        <w:rPr>
          <w:color w:val="auto"/>
          <w:highlight w:val="none"/>
        </w:rPr>
        <w:fldChar w:fldCharType="begin"/>
      </w:r>
      <w:r>
        <w:rPr>
          <w:color w:val="auto"/>
          <w:highlight w:val="none"/>
        </w:rPr>
        <w:instrText xml:space="preserve"> PAGEREF _Toc5409 \h </w:instrText>
      </w:r>
      <w:r>
        <w:rPr>
          <w:color w:val="auto"/>
          <w:highlight w:val="none"/>
        </w:rPr>
        <w:fldChar w:fldCharType="separate"/>
      </w:r>
      <w:r>
        <w:rPr>
          <w:color w:val="auto"/>
          <w:highlight w:val="none"/>
        </w:rPr>
        <w:t>227</w:t>
      </w:r>
      <w:r>
        <w:rPr>
          <w:color w:val="auto"/>
          <w:highlight w:val="none"/>
        </w:rPr>
        <w:fldChar w:fldCharType="end"/>
      </w:r>
      <w:r>
        <w:rPr>
          <w:rFonts w:ascii="Times New Roman" w:hAnsi="Times New Roman"/>
          <w:color w:val="auto"/>
          <w:szCs w:val="28"/>
          <w:highlight w:val="none"/>
        </w:rPr>
        <w:fldChar w:fldCharType="end"/>
      </w:r>
    </w:p>
    <w:p w14:paraId="3602D92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_Toc24078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7.5 </w:t>
      </w:r>
      <w:r>
        <w:rPr>
          <w:rFonts w:ascii="Times New Roman" w:eastAsia="宋体"/>
          <w:color w:val="auto"/>
          <w:szCs w:val="28"/>
          <w:highlight w:val="none"/>
        </w:rPr>
        <w:t>地下水、土壤污染防治措施</w:t>
      </w:r>
      <w:r>
        <w:rPr>
          <w:color w:val="auto"/>
          <w:highlight w:val="none"/>
        </w:rPr>
        <w:tab/>
      </w:r>
      <w:r>
        <w:rPr>
          <w:color w:val="auto"/>
          <w:highlight w:val="none"/>
        </w:rPr>
        <w:fldChar w:fldCharType="begin"/>
      </w:r>
      <w:r>
        <w:rPr>
          <w:color w:val="auto"/>
          <w:highlight w:val="none"/>
        </w:rPr>
        <w:instrText xml:space="preserve"> PAGEREF _Toc24078 \h </w:instrText>
      </w:r>
      <w:r>
        <w:rPr>
          <w:color w:val="auto"/>
          <w:highlight w:val="none"/>
        </w:rPr>
        <w:fldChar w:fldCharType="separate"/>
      </w:r>
      <w:r>
        <w:rPr>
          <w:color w:val="auto"/>
          <w:highlight w:val="none"/>
        </w:rPr>
        <w:t>232</w:t>
      </w:r>
      <w:r>
        <w:rPr>
          <w:color w:val="auto"/>
          <w:highlight w:val="none"/>
        </w:rPr>
        <w:fldChar w:fldCharType="end"/>
      </w:r>
      <w:r>
        <w:rPr>
          <w:rFonts w:ascii="Times New Roman" w:hAnsi="Times New Roman"/>
          <w:color w:val="auto"/>
          <w:szCs w:val="28"/>
          <w:highlight w:val="none"/>
        </w:rPr>
        <w:fldChar w:fldCharType="end"/>
      </w:r>
    </w:p>
    <w:p w14:paraId="30A0459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_Toc29050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 xml:space="preserve">7.6 </w:t>
      </w:r>
      <w:r>
        <w:rPr>
          <w:rFonts w:ascii="Times New Roman" w:eastAsia="宋体"/>
          <w:color w:val="auto"/>
          <w:szCs w:val="28"/>
          <w:highlight w:val="none"/>
        </w:rPr>
        <w:t>环境风险防范措施</w:t>
      </w:r>
      <w:r>
        <w:rPr>
          <w:color w:val="auto"/>
          <w:highlight w:val="none"/>
        </w:rPr>
        <w:tab/>
      </w:r>
      <w:r>
        <w:rPr>
          <w:color w:val="auto"/>
          <w:highlight w:val="none"/>
        </w:rPr>
        <w:fldChar w:fldCharType="begin"/>
      </w:r>
      <w:r>
        <w:rPr>
          <w:color w:val="auto"/>
          <w:highlight w:val="none"/>
        </w:rPr>
        <w:instrText xml:space="preserve"> PAGEREF _Toc29050 \h </w:instrText>
      </w:r>
      <w:r>
        <w:rPr>
          <w:color w:val="auto"/>
          <w:highlight w:val="none"/>
        </w:rPr>
        <w:fldChar w:fldCharType="separate"/>
      </w:r>
      <w:r>
        <w:rPr>
          <w:color w:val="auto"/>
          <w:highlight w:val="none"/>
        </w:rPr>
        <w:t>238</w:t>
      </w:r>
      <w:r>
        <w:rPr>
          <w:color w:val="auto"/>
          <w:highlight w:val="none"/>
        </w:rPr>
        <w:fldChar w:fldCharType="end"/>
      </w:r>
      <w:r>
        <w:rPr>
          <w:rFonts w:ascii="Times New Roman" w:hAnsi="Times New Roman"/>
          <w:color w:val="auto"/>
          <w:szCs w:val="28"/>
          <w:highlight w:val="none"/>
        </w:rPr>
        <w:fldChar w:fldCharType="end"/>
      </w:r>
    </w:p>
    <w:p w14:paraId="2178A02B">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_Toc781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7.7 运行期环境治理与保护措施</w:t>
      </w:r>
      <w:r>
        <w:rPr>
          <w:color w:val="auto"/>
          <w:highlight w:val="none"/>
        </w:rPr>
        <w:tab/>
      </w:r>
      <w:r>
        <w:rPr>
          <w:color w:val="auto"/>
          <w:highlight w:val="none"/>
        </w:rPr>
        <w:fldChar w:fldCharType="begin"/>
      </w:r>
      <w:r>
        <w:rPr>
          <w:color w:val="auto"/>
          <w:highlight w:val="none"/>
        </w:rPr>
        <w:instrText xml:space="preserve"> PAGEREF _Toc781 \h </w:instrText>
      </w:r>
      <w:r>
        <w:rPr>
          <w:color w:val="auto"/>
          <w:highlight w:val="none"/>
        </w:rPr>
        <w:fldChar w:fldCharType="separate"/>
      </w:r>
      <w:r>
        <w:rPr>
          <w:color w:val="auto"/>
          <w:highlight w:val="none"/>
        </w:rPr>
        <w:t>259</w:t>
      </w:r>
      <w:r>
        <w:rPr>
          <w:color w:val="auto"/>
          <w:highlight w:val="none"/>
        </w:rPr>
        <w:fldChar w:fldCharType="end"/>
      </w:r>
      <w:r>
        <w:rPr>
          <w:rFonts w:ascii="Times New Roman" w:hAnsi="Times New Roman"/>
          <w:color w:val="auto"/>
          <w:szCs w:val="28"/>
          <w:highlight w:val="none"/>
        </w:rPr>
        <w:fldChar w:fldCharType="end"/>
      </w:r>
    </w:p>
    <w:p w14:paraId="175BA56A">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_Toc26495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7.8 “三同时”验收一览表</w:t>
      </w:r>
      <w:r>
        <w:rPr>
          <w:color w:val="auto"/>
          <w:highlight w:val="none"/>
        </w:rPr>
        <w:tab/>
      </w:r>
      <w:r>
        <w:rPr>
          <w:color w:val="auto"/>
          <w:highlight w:val="none"/>
        </w:rPr>
        <w:fldChar w:fldCharType="begin"/>
      </w:r>
      <w:r>
        <w:rPr>
          <w:color w:val="auto"/>
          <w:highlight w:val="none"/>
        </w:rPr>
        <w:instrText xml:space="preserve"> PAGEREF _Toc26495 \h </w:instrText>
      </w:r>
      <w:r>
        <w:rPr>
          <w:color w:val="auto"/>
          <w:highlight w:val="none"/>
        </w:rPr>
        <w:fldChar w:fldCharType="separate"/>
      </w:r>
      <w:r>
        <w:rPr>
          <w:color w:val="auto"/>
          <w:highlight w:val="none"/>
        </w:rPr>
        <w:t>261</w:t>
      </w:r>
      <w:r>
        <w:rPr>
          <w:color w:val="auto"/>
          <w:highlight w:val="none"/>
        </w:rPr>
        <w:fldChar w:fldCharType="end"/>
      </w:r>
      <w:r>
        <w:rPr>
          <w:rFonts w:ascii="Times New Roman" w:hAnsi="Times New Roman"/>
          <w:color w:val="auto"/>
          <w:szCs w:val="28"/>
          <w:highlight w:val="none"/>
        </w:rPr>
        <w:fldChar w:fldCharType="end"/>
      </w:r>
    </w:p>
    <w:p w14:paraId="6319BA14">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_Toc14490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8 </w:t>
      </w:r>
      <w:r>
        <w:rPr>
          <w:rFonts w:ascii="Times New Roman" w:eastAsia="宋体"/>
          <w:color w:val="auto"/>
          <w:szCs w:val="32"/>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_Toc14490 \h </w:instrText>
      </w:r>
      <w:r>
        <w:rPr>
          <w:color w:val="auto"/>
          <w:highlight w:val="none"/>
        </w:rPr>
        <w:fldChar w:fldCharType="separate"/>
      </w:r>
      <w:r>
        <w:rPr>
          <w:color w:val="auto"/>
          <w:highlight w:val="none"/>
        </w:rPr>
        <w:t>264</w:t>
      </w:r>
      <w:r>
        <w:rPr>
          <w:color w:val="auto"/>
          <w:highlight w:val="none"/>
        </w:rPr>
        <w:fldChar w:fldCharType="end"/>
      </w:r>
      <w:r>
        <w:rPr>
          <w:rFonts w:ascii="Times New Roman" w:hAnsi="Times New Roman"/>
          <w:color w:val="auto"/>
          <w:szCs w:val="28"/>
          <w:highlight w:val="none"/>
        </w:rPr>
        <w:fldChar w:fldCharType="end"/>
      </w:r>
    </w:p>
    <w:p w14:paraId="3920E49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_Toc11296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8.1</w:t>
      </w:r>
      <w:r>
        <w:rPr>
          <w:rFonts w:ascii="Times New Roman" w:eastAsia="宋体"/>
          <w:color w:val="auto"/>
          <w:szCs w:val="28"/>
          <w:highlight w:val="none"/>
        </w:rPr>
        <w:t>经济效益分析</w:t>
      </w:r>
      <w:r>
        <w:rPr>
          <w:color w:val="auto"/>
          <w:highlight w:val="none"/>
        </w:rPr>
        <w:tab/>
      </w:r>
      <w:r>
        <w:rPr>
          <w:color w:val="auto"/>
          <w:highlight w:val="none"/>
        </w:rPr>
        <w:fldChar w:fldCharType="begin"/>
      </w:r>
      <w:r>
        <w:rPr>
          <w:color w:val="auto"/>
          <w:highlight w:val="none"/>
        </w:rPr>
        <w:instrText xml:space="preserve"> PAGEREF _Toc11296 \h </w:instrText>
      </w:r>
      <w:r>
        <w:rPr>
          <w:color w:val="auto"/>
          <w:highlight w:val="none"/>
        </w:rPr>
        <w:fldChar w:fldCharType="separate"/>
      </w:r>
      <w:r>
        <w:rPr>
          <w:color w:val="auto"/>
          <w:highlight w:val="none"/>
        </w:rPr>
        <w:t>264</w:t>
      </w:r>
      <w:r>
        <w:rPr>
          <w:color w:val="auto"/>
          <w:highlight w:val="none"/>
        </w:rPr>
        <w:fldChar w:fldCharType="end"/>
      </w:r>
      <w:r>
        <w:rPr>
          <w:rFonts w:ascii="Times New Roman" w:hAnsi="Times New Roman"/>
          <w:color w:val="auto"/>
          <w:szCs w:val="28"/>
          <w:highlight w:val="none"/>
        </w:rPr>
        <w:fldChar w:fldCharType="end"/>
      </w:r>
    </w:p>
    <w:p w14:paraId="295955EE">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_Toc13944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8.2环境效益</w:t>
      </w:r>
      <w:r>
        <w:rPr>
          <w:color w:val="auto"/>
          <w:highlight w:val="none"/>
        </w:rPr>
        <w:tab/>
      </w:r>
      <w:r>
        <w:rPr>
          <w:color w:val="auto"/>
          <w:highlight w:val="none"/>
        </w:rPr>
        <w:fldChar w:fldCharType="begin"/>
      </w:r>
      <w:r>
        <w:rPr>
          <w:color w:val="auto"/>
          <w:highlight w:val="none"/>
        </w:rPr>
        <w:instrText xml:space="preserve"> PAGEREF _Toc13944 \h </w:instrText>
      </w:r>
      <w:r>
        <w:rPr>
          <w:color w:val="auto"/>
          <w:highlight w:val="none"/>
        </w:rPr>
        <w:fldChar w:fldCharType="separate"/>
      </w:r>
      <w:r>
        <w:rPr>
          <w:color w:val="auto"/>
          <w:highlight w:val="none"/>
        </w:rPr>
        <w:t>264</w:t>
      </w:r>
      <w:r>
        <w:rPr>
          <w:color w:val="auto"/>
          <w:highlight w:val="none"/>
        </w:rPr>
        <w:fldChar w:fldCharType="end"/>
      </w:r>
      <w:r>
        <w:rPr>
          <w:rFonts w:ascii="Times New Roman" w:hAnsi="Times New Roman"/>
          <w:color w:val="auto"/>
          <w:szCs w:val="28"/>
          <w:highlight w:val="none"/>
        </w:rPr>
        <w:fldChar w:fldCharType="end"/>
      </w:r>
    </w:p>
    <w:p w14:paraId="08B1D6F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_Toc23654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8.3社会效益</w:t>
      </w:r>
      <w:r>
        <w:rPr>
          <w:color w:val="auto"/>
          <w:highlight w:val="none"/>
        </w:rPr>
        <w:tab/>
      </w:r>
      <w:r>
        <w:rPr>
          <w:color w:val="auto"/>
          <w:highlight w:val="none"/>
        </w:rPr>
        <w:fldChar w:fldCharType="begin"/>
      </w:r>
      <w:r>
        <w:rPr>
          <w:color w:val="auto"/>
          <w:highlight w:val="none"/>
        </w:rPr>
        <w:instrText xml:space="preserve"> PAGEREF _Toc23654 \h </w:instrText>
      </w:r>
      <w:r>
        <w:rPr>
          <w:color w:val="auto"/>
          <w:highlight w:val="none"/>
        </w:rPr>
        <w:fldChar w:fldCharType="separate"/>
      </w:r>
      <w:r>
        <w:rPr>
          <w:color w:val="auto"/>
          <w:highlight w:val="none"/>
        </w:rPr>
        <w:t>265</w:t>
      </w:r>
      <w:r>
        <w:rPr>
          <w:color w:val="auto"/>
          <w:highlight w:val="none"/>
        </w:rPr>
        <w:fldChar w:fldCharType="end"/>
      </w:r>
      <w:r>
        <w:rPr>
          <w:rFonts w:ascii="Times New Roman" w:hAnsi="Times New Roman"/>
          <w:color w:val="auto"/>
          <w:szCs w:val="28"/>
          <w:highlight w:val="none"/>
        </w:rPr>
        <w:fldChar w:fldCharType="end"/>
      </w:r>
    </w:p>
    <w:p w14:paraId="4C8A4D73">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_Toc173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9 环境管理与环境监测</w:t>
      </w:r>
      <w:r>
        <w:rPr>
          <w:color w:val="auto"/>
          <w:highlight w:val="none"/>
        </w:rPr>
        <w:tab/>
      </w:r>
      <w:r>
        <w:rPr>
          <w:color w:val="auto"/>
          <w:highlight w:val="none"/>
        </w:rPr>
        <w:fldChar w:fldCharType="begin"/>
      </w:r>
      <w:r>
        <w:rPr>
          <w:color w:val="auto"/>
          <w:highlight w:val="none"/>
        </w:rPr>
        <w:instrText xml:space="preserve"> PAGEREF _Toc173 \h </w:instrText>
      </w:r>
      <w:r>
        <w:rPr>
          <w:color w:val="auto"/>
          <w:highlight w:val="none"/>
        </w:rPr>
        <w:fldChar w:fldCharType="separate"/>
      </w:r>
      <w:r>
        <w:rPr>
          <w:color w:val="auto"/>
          <w:highlight w:val="none"/>
        </w:rPr>
        <w:t>267</w:t>
      </w:r>
      <w:r>
        <w:rPr>
          <w:color w:val="auto"/>
          <w:highlight w:val="none"/>
        </w:rPr>
        <w:fldChar w:fldCharType="end"/>
      </w:r>
      <w:r>
        <w:rPr>
          <w:rFonts w:ascii="Times New Roman" w:hAnsi="Times New Roman"/>
          <w:color w:val="auto"/>
          <w:szCs w:val="28"/>
          <w:highlight w:val="none"/>
        </w:rPr>
        <w:fldChar w:fldCharType="end"/>
      </w:r>
    </w:p>
    <w:p w14:paraId="284A7EBF">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_Toc25296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9.1</w:t>
      </w:r>
      <w:r>
        <w:rPr>
          <w:rFonts w:ascii="Times New Roman" w:eastAsia="宋体"/>
          <w:color w:val="auto"/>
          <w:szCs w:val="28"/>
          <w:highlight w:val="none"/>
        </w:rPr>
        <w:t>污染物排放清单及总量控制</w:t>
      </w:r>
      <w:r>
        <w:rPr>
          <w:color w:val="auto"/>
          <w:highlight w:val="none"/>
        </w:rPr>
        <w:tab/>
      </w:r>
      <w:r>
        <w:rPr>
          <w:color w:val="auto"/>
          <w:highlight w:val="none"/>
        </w:rPr>
        <w:fldChar w:fldCharType="begin"/>
      </w:r>
      <w:r>
        <w:rPr>
          <w:color w:val="auto"/>
          <w:highlight w:val="none"/>
        </w:rPr>
        <w:instrText xml:space="preserve"> PAGEREF _Toc25296 \h </w:instrText>
      </w:r>
      <w:r>
        <w:rPr>
          <w:color w:val="auto"/>
          <w:highlight w:val="none"/>
        </w:rPr>
        <w:fldChar w:fldCharType="separate"/>
      </w:r>
      <w:r>
        <w:rPr>
          <w:color w:val="auto"/>
          <w:highlight w:val="none"/>
        </w:rPr>
        <w:t>267</w:t>
      </w:r>
      <w:r>
        <w:rPr>
          <w:color w:val="auto"/>
          <w:highlight w:val="none"/>
        </w:rPr>
        <w:fldChar w:fldCharType="end"/>
      </w:r>
      <w:r>
        <w:rPr>
          <w:rFonts w:ascii="Times New Roman" w:hAnsi="Times New Roman"/>
          <w:color w:val="auto"/>
          <w:szCs w:val="28"/>
          <w:highlight w:val="none"/>
        </w:rPr>
        <w:fldChar w:fldCharType="end"/>
      </w:r>
    </w:p>
    <w:p w14:paraId="75FF86D5">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_Toc23535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9.2</w:t>
      </w:r>
      <w:r>
        <w:rPr>
          <w:rFonts w:ascii="Times New Roman" w:eastAsia="宋体"/>
          <w:color w:val="auto"/>
          <w:szCs w:val="28"/>
          <w:highlight w:val="none"/>
        </w:rPr>
        <w:t>环境管理</w:t>
      </w:r>
      <w:r>
        <w:rPr>
          <w:color w:val="auto"/>
          <w:highlight w:val="none"/>
        </w:rPr>
        <w:tab/>
      </w:r>
      <w:r>
        <w:rPr>
          <w:color w:val="auto"/>
          <w:highlight w:val="none"/>
        </w:rPr>
        <w:fldChar w:fldCharType="begin"/>
      </w:r>
      <w:r>
        <w:rPr>
          <w:color w:val="auto"/>
          <w:highlight w:val="none"/>
        </w:rPr>
        <w:instrText xml:space="preserve"> PAGEREF _Toc23535 \h </w:instrText>
      </w:r>
      <w:r>
        <w:rPr>
          <w:color w:val="auto"/>
          <w:highlight w:val="none"/>
        </w:rPr>
        <w:fldChar w:fldCharType="separate"/>
      </w:r>
      <w:r>
        <w:rPr>
          <w:color w:val="auto"/>
          <w:highlight w:val="none"/>
        </w:rPr>
        <w:t>270</w:t>
      </w:r>
      <w:r>
        <w:rPr>
          <w:color w:val="auto"/>
          <w:highlight w:val="none"/>
        </w:rPr>
        <w:fldChar w:fldCharType="end"/>
      </w:r>
      <w:r>
        <w:rPr>
          <w:rFonts w:ascii="Times New Roman" w:hAnsi="Times New Roman"/>
          <w:color w:val="auto"/>
          <w:szCs w:val="28"/>
          <w:highlight w:val="none"/>
        </w:rPr>
        <w:fldChar w:fldCharType="end"/>
      </w:r>
    </w:p>
    <w:p w14:paraId="0C13DD5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_Toc11436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9.3</w:t>
      </w:r>
      <w:r>
        <w:rPr>
          <w:rFonts w:ascii="Times New Roman" w:eastAsia="宋体"/>
          <w:color w:val="auto"/>
          <w:szCs w:val="28"/>
          <w:highlight w:val="none"/>
        </w:rPr>
        <w:t>环境监测</w:t>
      </w:r>
      <w:r>
        <w:rPr>
          <w:color w:val="auto"/>
          <w:highlight w:val="none"/>
        </w:rPr>
        <w:tab/>
      </w:r>
      <w:r>
        <w:rPr>
          <w:color w:val="auto"/>
          <w:highlight w:val="none"/>
        </w:rPr>
        <w:fldChar w:fldCharType="begin"/>
      </w:r>
      <w:r>
        <w:rPr>
          <w:color w:val="auto"/>
          <w:highlight w:val="none"/>
        </w:rPr>
        <w:instrText xml:space="preserve"> PAGEREF _Toc11436 \h </w:instrText>
      </w:r>
      <w:r>
        <w:rPr>
          <w:color w:val="auto"/>
          <w:highlight w:val="none"/>
        </w:rPr>
        <w:fldChar w:fldCharType="separate"/>
      </w:r>
      <w:r>
        <w:rPr>
          <w:color w:val="auto"/>
          <w:highlight w:val="none"/>
        </w:rPr>
        <w:t>274</w:t>
      </w:r>
      <w:r>
        <w:rPr>
          <w:color w:val="auto"/>
          <w:highlight w:val="none"/>
        </w:rPr>
        <w:fldChar w:fldCharType="end"/>
      </w:r>
      <w:r>
        <w:rPr>
          <w:rFonts w:ascii="Times New Roman" w:hAnsi="Times New Roman"/>
          <w:color w:val="auto"/>
          <w:szCs w:val="28"/>
          <w:highlight w:val="none"/>
        </w:rPr>
        <w:fldChar w:fldCharType="end"/>
      </w:r>
    </w:p>
    <w:p w14:paraId="037E1DD4">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_Toc30228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9.4</w:t>
      </w:r>
      <w:r>
        <w:rPr>
          <w:rFonts w:ascii="Times New Roman" w:eastAsia="宋体"/>
          <w:color w:val="auto"/>
          <w:szCs w:val="28"/>
          <w:highlight w:val="none"/>
        </w:rPr>
        <w:t>“三同时”验收监测建议清单</w:t>
      </w:r>
      <w:r>
        <w:rPr>
          <w:color w:val="auto"/>
          <w:highlight w:val="none"/>
        </w:rPr>
        <w:tab/>
      </w:r>
      <w:r>
        <w:rPr>
          <w:color w:val="auto"/>
          <w:highlight w:val="none"/>
        </w:rPr>
        <w:fldChar w:fldCharType="begin"/>
      </w:r>
      <w:r>
        <w:rPr>
          <w:color w:val="auto"/>
          <w:highlight w:val="none"/>
        </w:rPr>
        <w:instrText xml:space="preserve"> PAGEREF _Toc30228 \h </w:instrText>
      </w:r>
      <w:r>
        <w:rPr>
          <w:color w:val="auto"/>
          <w:highlight w:val="none"/>
        </w:rPr>
        <w:fldChar w:fldCharType="separate"/>
      </w:r>
      <w:r>
        <w:rPr>
          <w:color w:val="auto"/>
          <w:highlight w:val="none"/>
        </w:rPr>
        <w:t>276</w:t>
      </w:r>
      <w:r>
        <w:rPr>
          <w:color w:val="auto"/>
          <w:highlight w:val="none"/>
        </w:rPr>
        <w:fldChar w:fldCharType="end"/>
      </w:r>
      <w:r>
        <w:rPr>
          <w:rFonts w:ascii="Times New Roman" w:hAnsi="Times New Roman"/>
          <w:color w:val="auto"/>
          <w:szCs w:val="28"/>
          <w:highlight w:val="none"/>
        </w:rPr>
        <w:fldChar w:fldCharType="end"/>
      </w:r>
    </w:p>
    <w:p w14:paraId="440B10AD">
      <w:pPr>
        <w:pStyle w:val="32"/>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_Toc27465 </w:instrText>
      </w:r>
      <w:r>
        <w:rPr>
          <w:rFonts w:ascii="Times New Roman" w:hAnsi="Times New Roman"/>
          <w:color w:val="auto"/>
          <w:szCs w:val="28"/>
          <w:highlight w:val="none"/>
        </w:rPr>
        <w:fldChar w:fldCharType="separate"/>
      </w:r>
      <w:r>
        <w:rPr>
          <w:rFonts w:hint="eastAsia" w:ascii="Times New Roman" w:eastAsia="宋体"/>
          <w:color w:val="auto"/>
          <w:szCs w:val="32"/>
          <w:highlight w:val="none"/>
        </w:rPr>
        <w:t xml:space="preserve">10 </w:t>
      </w:r>
      <w:r>
        <w:rPr>
          <w:rFonts w:ascii="Times New Roman" w:eastAsia="宋体"/>
          <w:color w:val="auto"/>
          <w:szCs w:val="32"/>
          <w:highlight w:val="none"/>
        </w:rPr>
        <w:t>评价结论和建议</w:t>
      </w:r>
      <w:r>
        <w:rPr>
          <w:color w:val="auto"/>
          <w:highlight w:val="none"/>
        </w:rPr>
        <w:tab/>
      </w:r>
      <w:r>
        <w:rPr>
          <w:color w:val="auto"/>
          <w:highlight w:val="none"/>
        </w:rPr>
        <w:fldChar w:fldCharType="begin"/>
      </w:r>
      <w:r>
        <w:rPr>
          <w:color w:val="auto"/>
          <w:highlight w:val="none"/>
        </w:rPr>
        <w:instrText xml:space="preserve"> PAGEREF _Toc27465 \h </w:instrText>
      </w:r>
      <w:r>
        <w:rPr>
          <w:color w:val="auto"/>
          <w:highlight w:val="none"/>
        </w:rPr>
        <w:fldChar w:fldCharType="separate"/>
      </w:r>
      <w:r>
        <w:rPr>
          <w:color w:val="auto"/>
          <w:highlight w:val="none"/>
        </w:rPr>
        <w:t>278</w:t>
      </w:r>
      <w:r>
        <w:rPr>
          <w:color w:val="auto"/>
          <w:highlight w:val="none"/>
        </w:rPr>
        <w:fldChar w:fldCharType="end"/>
      </w:r>
      <w:r>
        <w:rPr>
          <w:rFonts w:ascii="Times New Roman" w:hAnsi="Times New Roman"/>
          <w:color w:val="auto"/>
          <w:szCs w:val="28"/>
          <w:highlight w:val="none"/>
        </w:rPr>
        <w:fldChar w:fldCharType="end"/>
      </w:r>
    </w:p>
    <w:p w14:paraId="5CE8C1AB">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_Toc31330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10.1</w:t>
      </w:r>
      <w:r>
        <w:rPr>
          <w:rFonts w:ascii="Times New Roman" w:eastAsia="宋体"/>
          <w:color w:val="auto"/>
          <w:szCs w:val="28"/>
          <w:highlight w:val="none"/>
        </w:rPr>
        <w:t>项目概况</w:t>
      </w:r>
      <w:r>
        <w:rPr>
          <w:color w:val="auto"/>
          <w:highlight w:val="none"/>
        </w:rPr>
        <w:tab/>
      </w:r>
      <w:r>
        <w:rPr>
          <w:color w:val="auto"/>
          <w:highlight w:val="none"/>
        </w:rPr>
        <w:fldChar w:fldCharType="begin"/>
      </w:r>
      <w:r>
        <w:rPr>
          <w:color w:val="auto"/>
          <w:highlight w:val="none"/>
        </w:rPr>
        <w:instrText xml:space="preserve"> PAGEREF _Toc31330 \h </w:instrText>
      </w:r>
      <w:r>
        <w:rPr>
          <w:color w:val="auto"/>
          <w:highlight w:val="none"/>
        </w:rPr>
        <w:fldChar w:fldCharType="separate"/>
      </w:r>
      <w:r>
        <w:rPr>
          <w:color w:val="auto"/>
          <w:highlight w:val="none"/>
        </w:rPr>
        <w:t>278</w:t>
      </w:r>
      <w:r>
        <w:rPr>
          <w:color w:val="auto"/>
          <w:highlight w:val="none"/>
        </w:rPr>
        <w:fldChar w:fldCharType="end"/>
      </w:r>
      <w:r>
        <w:rPr>
          <w:rFonts w:ascii="Times New Roman" w:hAnsi="Times New Roman"/>
          <w:color w:val="auto"/>
          <w:szCs w:val="28"/>
          <w:highlight w:val="none"/>
        </w:rPr>
        <w:fldChar w:fldCharType="end"/>
      </w:r>
    </w:p>
    <w:p w14:paraId="7DD50C05">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_Toc21996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10.2</w:t>
      </w:r>
      <w:r>
        <w:rPr>
          <w:rFonts w:ascii="Times New Roman" w:eastAsia="宋体"/>
          <w:color w:val="auto"/>
          <w:szCs w:val="28"/>
          <w:highlight w:val="none"/>
        </w:rPr>
        <w:t>与产业政策、规划相符性分析</w:t>
      </w:r>
      <w:r>
        <w:rPr>
          <w:color w:val="auto"/>
          <w:highlight w:val="none"/>
        </w:rPr>
        <w:tab/>
      </w:r>
      <w:r>
        <w:rPr>
          <w:color w:val="auto"/>
          <w:highlight w:val="none"/>
        </w:rPr>
        <w:fldChar w:fldCharType="begin"/>
      </w:r>
      <w:r>
        <w:rPr>
          <w:color w:val="auto"/>
          <w:highlight w:val="none"/>
        </w:rPr>
        <w:instrText xml:space="preserve"> PAGEREF _Toc21996 \h </w:instrText>
      </w:r>
      <w:r>
        <w:rPr>
          <w:color w:val="auto"/>
          <w:highlight w:val="none"/>
        </w:rPr>
        <w:fldChar w:fldCharType="separate"/>
      </w:r>
      <w:r>
        <w:rPr>
          <w:color w:val="auto"/>
          <w:highlight w:val="none"/>
        </w:rPr>
        <w:t>278</w:t>
      </w:r>
      <w:r>
        <w:rPr>
          <w:color w:val="auto"/>
          <w:highlight w:val="none"/>
        </w:rPr>
        <w:fldChar w:fldCharType="end"/>
      </w:r>
      <w:r>
        <w:rPr>
          <w:rFonts w:ascii="Times New Roman" w:hAnsi="Times New Roman"/>
          <w:color w:val="auto"/>
          <w:szCs w:val="28"/>
          <w:highlight w:val="none"/>
        </w:rPr>
        <w:fldChar w:fldCharType="end"/>
      </w:r>
    </w:p>
    <w:p w14:paraId="19757D49">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_Toc10235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10.3</w:t>
      </w:r>
      <w:r>
        <w:rPr>
          <w:rFonts w:ascii="Times New Roman" w:eastAsia="宋体"/>
          <w:color w:val="auto"/>
          <w:szCs w:val="28"/>
          <w:highlight w:val="none"/>
        </w:rPr>
        <w:t>环境质量现状</w:t>
      </w:r>
      <w:r>
        <w:rPr>
          <w:color w:val="auto"/>
          <w:highlight w:val="none"/>
        </w:rPr>
        <w:tab/>
      </w:r>
      <w:r>
        <w:rPr>
          <w:color w:val="auto"/>
          <w:highlight w:val="none"/>
        </w:rPr>
        <w:fldChar w:fldCharType="begin"/>
      </w:r>
      <w:r>
        <w:rPr>
          <w:color w:val="auto"/>
          <w:highlight w:val="none"/>
        </w:rPr>
        <w:instrText xml:space="preserve"> PAGEREF _Toc10235 \h </w:instrText>
      </w:r>
      <w:r>
        <w:rPr>
          <w:color w:val="auto"/>
          <w:highlight w:val="none"/>
        </w:rPr>
        <w:fldChar w:fldCharType="separate"/>
      </w:r>
      <w:r>
        <w:rPr>
          <w:color w:val="auto"/>
          <w:highlight w:val="none"/>
        </w:rPr>
        <w:t>279</w:t>
      </w:r>
      <w:r>
        <w:rPr>
          <w:color w:val="auto"/>
          <w:highlight w:val="none"/>
        </w:rPr>
        <w:fldChar w:fldCharType="end"/>
      </w:r>
      <w:r>
        <w:rPr>
          <w:rFonts w:ascii="Times New Roman" w:hAnsi="Times New Roman"/>
          <w:color w:val="auto"/>
          <w:szCs w:val="28"/>
          <w:highlight w:val="none"/>
        </w:rPr>
        <w:fldChar w:fldCharType="end"/>
      </w:r>
    </w:p>
    <w:p w14:paraId="0B0554E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_Toc17972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10.4</w:t>
      </w:r>
      <w:r>
        <w:rPr>
          <w:rFonts w:ascii="Times New Roman" w:eastAsia="宋体"/>
          <w:color w:val="auto"/>
          <w:szCs w:val="28"/>
          <w:highlight w:val="none"/>
        </w:rPr>
        <w:t>污染物排放情况</w:t>
      </w:r>
      <w:r>
        <w:rPr>
          <w:color w:val="auto"/>
          <w:highlight w:val="none"/>
        </w:rPr>
        <w:tab/>
      </w:r>
      <w:r>
        <w:rPr>
          <w:color w:val="auto"/>
          <w:highlight w:val="none"/>
        </w:rPr>
        <w:fldChar w:fldCharType="begin"/>
      </w:r>
      <w:r>
        <w:rPr>
          <w:color w:val="auto"/>
          <w:highlight w:val="none"/>
        </w:rPr>
        <w:instrText xml:space="preserve"> PAGEREF _Toc17972 \h </w:instrText>
      </w:r>
      <w:r>
        <w:rPr>
          <w:color w:val="auto"/>
          <w:highlight w:val="none"/>
        </w:rPr>
        <w:fldChar w:fldCharType="separate"/>
      </w:r>
      <w:r>
        <w:rPr>
          <w:color w:val="auto"/>
          <w:highlight w:val="none"/>
        </w:rPr>
        <w:t>280</w:t>
      </w:r>
      <w:r>
        <w:rPr>
          <w:color w:val="auto"/>
          <w:highlight w:val="none"/>
        </w:rPr>
        <w:fldChar w:fldCharType="end"/>
      </w:r>
      <w:r>
        <w:rPr>
          <w:rFonts w:ascii="Times New Roman" w:hAnsi="Times New Roman"/>
          <w:color w:val="auto"/>
          <w:szCs w:val="28"/>
          <w:highlight w:val="none"/>
        </w:rPr>
        <w:fldChar w:fldCharType="end"/>
      </w:r>
    </w:p>
    <w:p w14:paraId="0A3611FD">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_Toc9990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10.5</w:t>
      </w:r>
      <w:r>
        <w:rPr>
          <w:rFonts w:ascii="Times New Roman" w:eastAsia="宋体"/>
          <w:color w:val="auto"/>
          <w:szCs w:val="28"/>
          <w:highlight w:val="none"/>
        </w:rPr>
        <w:t>主要环境影响</w:t>
      </w:r>
      <w:r>
        <w:rPr>
          <w:color w:val="auto"/>
          <w:highlight w:val="none"/>
        </w:rPr>
        <w:tab/>
      </w:r>
      <w:r>
        <w:rPr>
          <w:color w:val="auto"/>
          <w:highlight w:val="none"/>
        </w:rPr>
        <w:fldChar w:fldCharType="begin"/>
      </w:r>
      <w:r>
        <w:rPr>
          <w:color w:val="auto"/>
          <w:highlight w:val="none"/>
        </w:rPr>
        <w:instrText xml:space="preserve"> PAGEREF _Toc9990 \h </w:instrText>
      </w:r>
      <w:r>
        <w:rPr>
          <w:color w:val="auto"/>
          <w:highlight w:val="none"/>
        </w:rPr>
        <w:fldChar w:fldCharType="separate"/>
      </w:r>
      <w:r>
        <w:rPr>
          <w:color w:val="auto"/>
          <w:highlight w:val="none"/>
        </w:rPr>
        <w:t>280</w:t>
      </w:r>
      <w:r>
        <w:rPr>
          <w:color w:val="auto"/>
          <w:highlight w:val="none"/>
        </w:rPr>
        <w:fldChar w:fldCharType="end"/>
      </w:r>
      <w:r>
        <w:rPr>
          <w:rFonts w:ascii="Times New Roman" w:hAnsi="Times New Roman"/>
          <w:color w:val="auto"/>
          <w:szCs w:val="28"/>
          <w:highlight w:val="none"/>
        </w:rPr>
        <w:fldChar w:fldCharType="end"/>
      </w:r>
    </w:p>
    <w:p w14:paraId="6B366943">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_Toc10250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10.6</w:t>
      </w:r>
      <w:r>
        <w:rPr>
          <w:rFonts w:ascii="Times New Roman" w:eastAsia="宋体"/>
          <w:color w:val="auto"/>
          <w:szCs w:val="28"/>
          <w:highlight w:val="none"/>
        </w:rPr>
        <w:t>公众意见采纳情况</w:t>
      </w:r>
      <w:r>
        <w:rPr>
          <w:color w:val="auto"/>
          <w:highlight w:val="none"/>
        </w:rPr>
        <w:tab/>
      </w:r>
      <w:r>
        <w:rPr>
          <w:color w:val="auto"/>
          <w:highlight w:val="none"/>
        </w:rPr>
        <w:fldChar w:fldCharType="begin"/>
      </w:r>
      <w:r>
        <w:rPr>
          <w:color w:val="auto"/>
          <w:highlight w:val="none"/>
        </w:rPr>
        <w:instrText xml:space="preserve"> PAGEREF _Toc10250 \h </w:instrText>
      </w:r>
      <w:r>
        <w:rPr>
          <w:color w:val="auto"/>
          <w:highlight w:val="none"/>
        </w:rPr>
        <w:fldChar w:fldCharType="separate"/>
      </w:r>
      <w:r>
        <w:rPr>
          <w:color w:val="auto"/>
          <w:highlight w:val="none"/>
        </w:rPr>
        <w:t>282</w:t>
      </w:r>
      <w:r>
        <w:rPr>
          <w:color w:val="auto"/>
          <w:highlight w:val="none"/>
        </w:rPr>
        <w:fldChar w:fldCharType="end"/>
      </w:r>
      <w:r>
        <w:rPr>
          <w:rFonts w:ascii="Times New Roman" w:hAnsi="Times New Roman"/>
          <w:color w:val="auto"/>
          <w:szCs w:val="28"/>
          <w:highlight w:val="none"/>
        </w:rPr>
        <w:fldChar w:fldCharType="end"/>
      </w:r>
    </w:p>
    <w:p w14:paraId="32A15C1C">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_Toc30914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10.7</w:t>
      </w:r>
      <w:r>
        <w:rPr>
          <w:rFonts w:ascii="Times New Roman" w:eastAsia="宋体"/>
          <w:color w:val="auto"/>
          <w:szCs w:val="28"/>
          <w:highlight w:val="none"/>
        </w:rPr>
        <w:t>环境保护措施</w:t>
      </w:r>
      <w:r>
        <w:rPr>
          <w:color w:val="auto"/>
          <w:highlight w:val="none"/>
        </w:rPr>
        <w:tab/>
      </w:r>
      <w:r>
        <w:rPr>
          <w:color w:val="auto"/>
          <w:highlight w:val="none"/>
        </w:rPr>
        <w:fldChar w:fldCharType="begin"/>
      </w:r>
      <w:r>
        <w:rPr>
          <w:color w:val="auto"/>
          <w:highlight w:val="none"/>
        </w:rPr>
        <w:instrText xml:space="preserve"> PAGEREF _Toc30914 \h </w:instrText>
      </w:r>
      <w:r>
        <w:rPr>
          <w:color w:val="auto"/>
          <w:highlight w:val="none"/>
        </w:rPr>
        <w:fldChar w:fldCharType="separate"/>
      </w:r>
      <w:r>
        <w:rPr>
          <w:color w:val="auto"/>
          <w:highlight w:val="none"/>
        </w:rPr>
        <w:t>282</w:t>
      </w:r>
      <w:r>
        <w:rPr>
          <w:color w:val="auto"/>
          <w:highlight w:val="none"/>
        </w:rPr>
        <w:fldChar w:fldCharType="end"/>
      </w:r>
      <w:r>
        <w:rPr>
          <w:rFonts w:ascii="Times New Roman" w:hAnsi="Times New Roman"/>
          <w:color w:val="auto"/>
          <w:szCs w:val="28"/>
          <w:highlight w:val="none"/>
        </w:rPr>
        <w:fldChar w:fldCharType="end"/>
      </w:r>
    </w:p>
    <w:p w14:paraId="69A54651">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_Toc4290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10.8</w:t>
      </w:r>
      <w:r>
        <w:rPr>
          <w:rFonts w:ascii="Times New Roman" w:eastAsia="宋体"/>
          <w:color w:val="auto"/>
          <w:szCs w:val="28"/>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_Toc4290 \h </w:instrText>
      </w:r>
      <w:r>
        <w:rPr>
          <w:color w:val="auto"/>
          <w:highlight w:val="none"/>
        </w:rPr>
        <w:fldChar w:fldCharType="separate"/>
      </w:r>
      <w:r>
        <w:rPr>
          <w:color w:val="auto"/>
          <w:highlight w:val="none"/>
        </w:rPr>
        <w:t>283</w:t>
      </w:r>
      <w:r>
        <w:rPr>
          <w:color w:val="auto"/>
          <w:highlight w:val="none"/>
        </w:rPr>
        <w:fldChar w:fldCharType="end"/>
      </w:r>
      <w:r>
        <w:rPr>
          <w:rFonts w:ascii="Times New Roman" w:hAnsi="Times New Roman"/>
          <w:color w:val="auto"/>
          <w:szCs w:val="28"/>
          <w:highlight w:val="none"/>
        </w:rPr>
        <w:fldChar w:fldCharType="end"/>
      </w:r>
    </w:p>
    <w:p w14:paraId="6FDA2869">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_Toc23034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10.9</w:t>
      </w:r>
      <w:r>
        <w:rPr>
          <w:rFonts w:ascii="Times New Roman" w:eastAsia="宋体"/>
          <w:color w:val="auto"/>
          <w:szCs w:val="28"/>
          <w:highlight w:val="none"/>
        </w:rPr>
        <w:t>环境管理与监测计划</w:t>
      </w:r>
      <w:r>
        <w:rPr>
          <w:color w:val="auto"/>
          <w:highlight w:val="none"/>
        </w:rPr>
        <w:tab/>
      </w:r>
      <w:r>
        <w:rPr>
          <w:color w:val="auto"/>
          <w:highlight w:val="none"/>
        </w:rPr>
        <w:fldChar w:fldCharType="begin"/>
      </w:r>
      <w:r>
        <w:rPr>
          <w:color w:val="auto"/>
          <w:highlight w:val="none"/>
        </w:rPr>
        <w:instrText xml:space="preserve"> PAGEREF _Toc23034 \h </w:instrText>
      </w:r>
      <w:r>
        <w:rPr>
          <w:color w:val="auto"/>
          <w:highlight w:val="none"/>
        </w:rPr>
        <w:fldChar w:fldCharType="separate"/>
      </w:r>
      <w:r>
        <w:rPr>
          <w:color w:val="auto"/>
          <w:highlight w:val="none"/>
        </w:rPr>
        <w:t>283</w:t>
      </w:r>
      <w:r>
        <w:rPr>
          <w:color w:val="auto"/>
          <w:highlight w:val="none"/>
        </w:rPr>
        <w:fldChar w:fldCharType="end"/>
      </w:r>
      <w:r>
        <w:rPr>
          <w:rFonts w:ascii="Times New Roman" w:hAnsi="Times New Roman"/>
          <w:color w:val="auto"/>
          <w:szCs w:val="28"/>
          <w:highlight w:val="none"/>
        </w:rPr>
        <w:fldChar w:fldCharType="end"/>
      </w:r>
    </w:p>
    <w:p w14:paraId="6EDE6619">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_Toc31642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10.10</w:t>
      </w:r>
      <w:r>
        <w:rPr>
          <w:rFonts w:ascii="Times New Roman" w:eastAsia="宋体"/>
          <w:color w:val="auto"/>
          <w:szCs w:val="28"/>
          <w:highlight w:val="none"/>
        </w:rPr>
        <w:t>总结论</w:t>
      </w:r>
      <w:r>
        <w:rPr>
          <w:color w:val="auto"/>
          <w:highlight w:val="none"/>
        </w:rPr>
        <w:tab/>
      </w:r>
      <w:r>
        <w:rPr>
          <w:color w:val="auto"/>
          <w:highlight w:val="none"/>
        </w:rPr>
        <w:fldChar w:fldCharType="begin"/>
      </w:r>
      <w:r>
        <w:rPr>
          <w:color w:val="auto"/>
          <w:highlight w:val="none"/>
        </w:rPr>
        <w:instrText xml:space="preserve"> PAGEREF _Toc31642 \h </w:instrText>
      </w:r>
      <w:r>
        <w:rPr>
          <w:color w:val="auto"/>
          <w:highlight w:val="none"/>
        </w:rPr>
        <w:fldChar w:fldCharType="separate"/>
      </w:r>
      <w:r>
        <w:rPr>
          <w:color w:val="auto"/>
          <w:highlight w:val="none"/>
        </w:rPr>
        <w:t>284</w:t>
      </w:r>
      <w:r>
        <w:rPr>
          <w:color w:val="auto"/>
          <w:highlight w:val="none"/>
        </w:rPr>
        <w:fldChar w:fldCharType="end"/>
      </w:r>
      <w:r>
        <w:rPr>
          <w:rFonts w:ascii="Times New Roman" w:hAnsi="Times New Roman"/>
          <w:color w:val="auto"/>
          <w:szCs w:val="28"/>
          <w:highlight w:val="none"/>
        </w:rPr>
        <w:fldChar w:fldCharType="end"/>
      </w:r>
    </w:p>
    <w:p w14:paraId="5516E1E6">
      <w:pPr>
        <w:pStyle w:val="38"/>
        <w:tabs>
          <w:tab w:val="right" w:leader="dot" w:pos="8504"/>
        </w:tabs>
        <w:rPr>
          <w:color w:val="auto"/>
          <w:highlight w:val="none"/>
        </w:rPr>
      </w:pPr>
      <w:r>
        <w:rPr>
          <w:rFonts w:ascii="Times New Roman" w:hAnsi="Times New Roman"/>
          <w:color w:val="auto"/>
          <w:szCs w:val="28"/>
          <w:highlight w:val="none"/>
        </w:rPr>
        <w:fldChar w:fldCharType="begin"/>
      </w:r>
      <w:r>
        <w:rPr>
          <w:rFonts w:ascii="Times New Roman" w:hAnsi="Times New Roman"/>
          <w:color w:val="auto"/>
          <w:szCs w:val="28"/>
          <w:highlight w:val="none"/>
        </w:rPr>
        <w:instrText xml:space="preserve"> HYPERLINK \l _Toc19472 </w:instrText>
      </w:r>
      <w:r>
        <w:rPr>
          <w:rFonts w:ascii="Times New Roman" w:hAnsi="Times New Roman"/>
          <w:color w:val="auto"/>
          <w:szCs w:val="28"/>
          <w:highlight w:val="none"/>
        </w:rPr>
        <w:fldChar w:fldCharType="separate"/>
      </w:r>
      <w:r>
        <w:rPr>
          <w:rFonts w:hint="eastAsia" w:ascii="Times New Roman" w:eastAsia="宋体"/>
          <w:color w:val="auto"/>
          <w:szCs w:val="28"/>
          <w:highlight w:val="none"/>
        </w:rPr>
        <w:t>10.11</w:t>
      </w:r>
      <w:r>
        <w:rPr>
          <w:rFonts w:ascii="Times New Roman" w:eastAsia="宋体"/>
          <w:color w:val="auto"/>
          <w:szCs w:val="28"/>
          <w:highlight w:val="none"/>
        </w:rPr>
        <w:t>建议</w:t>
      </w:r>
      <w:r>
        <w:rPr>
          <w:color w:val="auto"/>
          <w:highlight w:val="none"/>
        </w:rPr>
        <w:tab/>
      </w:r>
      <w:r>
        <w:rPr>
          <w:color w:val="auto"/>
          <w:highlight w:val="none"/>
        </w:rPr>
        <w:fldChar w:fldCharType="begin"/>
      </w:r>
      <w:r>
        <w:rPr>
          <w:color w:val="auto"/>
          <w:highlight w:val="none"/>
        </w:rPr>
        <w:instrText xml:space="preserve"> PAGEREF _Toc19472 \h </w:instrText>
      </w:r>
      <w:r>
        <w:rPr>
          <w:color w:val="auto"/>
          <w:highlight w:val="none"/>
        </w:rPr>
        <w:fldChar w:fldCharType="separate"/>
      </w:r>
      <w:r>
        <w:rPr>
          <w:color w:val="auto"/>
          <w:highlight w:val="none"/>
        </w:rPr>
        <w:t>284</w:t>
      </w:r>
      <w:r>
        <w:rPr>
          <w:color w:val="auto"/>
          <w:highlight w:val="none"/>
        </w:rPr>
        <w:fldChar w:fldCharType="end"/>
      </w:r>
      <w:r>
        <w:rPr>
          <w:rFonts w:ascii="Times New Roman" w:hAnsi="Times New Roman"/>
          <w:color w:val="auto"/>
          <w:szCs w:val="28"/>
          <w:highlight w:val="none"/>
        </w:rPr>
        <w:fldChar w:fldCharType="end"/>
      </w:r>
    </w:p>
    <w:p w14:paraId="03FE5503">
      <w:pPr>
        <w:spacing w:line="360" w:lineRule="auto"/>
        <w:ind w:left="-105" w:right="-105"/>
        <w:rPr>
          <w:rFonts w:ascii="Times New Roman" w:hAnsi="Times New Roman"/>
          <w:b/>
          <w:color w:val="auto"/>
          <w:szCs w:val="28"/>
          <w:highlight w:val="none"/>
        </w:rPr>
      </w:pPr>
      <w:r>
        <w:rPr>
          <w:rFonts w:ascii="Times New Roman" w:hAnsi="Times New Roman"/>
          <w:color w:val="auto"/>
          <w:szCs w:val="28"/>
          <w:highlight w:val="none"/>
        </w:rPr>
        <w:fldChar w:fldCharType="end"/>
      </w:r>
    </w:p>
    <w:p w14:paraId="3A78E752">
      <w:pPr>
        <w:spacing w:line="360" w:lineRule="auto"/>
        <w:ind w:left="-105" w:right="-105" w:firstLine="482"/>
        <w:rPr>
          <w:rFonts w:ascii="Times New Roman" w:hAnsi="Times New Roman"/>
          <w:b/>
          <w:color w:val="auto"/>
          <w:szCs w:val="28"/>
          <w:highlight w:val="none"/>
        </w:rPr>
      </w:pPr>
    </w:p>
    <w:p w14:paraId="07C1E4E0">
      <w:pPr>
        <w:spacing w:line="360" w:lineRule="auto"/>
        <w:ind w:left="-105" w:right="-105" w:firstLine="482"/>
        <w:rPr>
          <w:rFonts w:ascii="Times New Roman" w:hAnsi="Times New Roman"/>
          <w:b/>
          <w:color w:val="auto"/>
          <w:szCs w:val="28"/>
          <w:highlight w:val="none"/>
        </w:rPr>
      </w:pPr>
    </w:p>
    <w:p w14:paraId="7294198F">
      <w:pPr>
        <w:spacing w:line="360" w:lineRule="auto"/>
        <w:ind w:left="-105" w:right="-105" w:firstLine="482"/>
        <w:rPr>
          <w:rFonts w:ascii="Times New Roman" w:hAnsi="Times New Roman"/>
          <w:b/>
          <w:color w:val="auto"/>
          <w:szCs w:val="28"/>
          <w:highlight w:val="none"/>
        </w:rPr>
        <w:sectPr>
          <w:pgSz w:w="11906" w:h="16838"/>
          <w:pgMar w:top="1440" w:right="1701" w:bottom="1440" w:left="1701" w:header="851" w:footer="851" w:gutter="0"/>
          <w:pgBorders>
            <w:top w:val="none" w:sz="0" w:space="0"/>
            <w:left w:val="none" w:sz="0" w:space="0"/>
            <w:bottom w:val="none" w:sz="0" w:space="0"/>
            <w:right w:val="none" w:sz="0" w:space="0"/>
          </w:pgBorders>
          <w:pgNumType w:fmt="upperRoman"/>
          <w:cols w:space="720" w:num="1"/>
          <w:docGrid w:linePitch="498" w:charSpace="-2336"/>
        </w:sectPr>
      </w:pPr>
    </w:p>
    <w:p w14:paraId="3959D495">
      <w:pPr>
        <w:spacing w:before="120" w:beforeLines="50" w:after="120" w:afterLines="50" w:line="360" w:lineRule="auto"/>
        <w:ind w:left="-105" w:right="-105" w:firstLine="643"/>
        <w:rPr>
          <w:rFonts w:ascii="Times New Roman" w:hAnsi="Times New Roman"/>
          <w:b/>
          <w:color w:val="auto"/>
          <w:sz w:val="32"/>
          <w:szCs w:val="22"/>
          <w:highlight w:val="none"/>
        </w:rPr>
      </w:pPr>
      <w:r>
        <w:rPr>
          <w:rFonts w:ascii="Times New Roman" w:hAnsi="Times New Roman"/>
          <w:b/>
          <w:color w:val="auto"/>
          <w:sz w:val="32"/>
          <w:szCs w:val="22"/>
          <w:highlight w:val="none"/>
        </w:rPr>
        <w:t>附图清单</w:t>
      </w:r>
    </w:p>
    <w:bookmarkEnd w:id="0"/>
    <w:bookmarkEnd w:id="1"/>
    <w:bookmarkEnd w:id="2"/>
    <w:bookmarkEnd w:id="3"/>
    <w:bookmarkEnd w:id="4"/>
    <w:bookmarkEnd w:id="5"/>
    <w:bookmarkEnd w:id="6"/>
    <w:bookmarkEnd w:id="7"/>
    <w:bookmarkEnd w:id="8"/>
    <w:bookmarkEnd w:id="9"/>
    <w:p w14:paraId="0CE26E0E">
      <w:pPr>
        <w:spacing w:line="360" w:lineRule="auto"/>
        <w:ind w:left="-105" w:right="-105" w:firstLine="480" w:firstLineChars="200"/>
        <w:rPr>
          <w:rFonts w:ascii="Times New Roman" w:hAnsi="Times New Roman" w:cs="Times New Roman"/>
          <w:color w:val="auto"/>
          <w:highlight w:val="none"/>
        </w:rPr>
      </w:pPr>
      <w:bookmarkStart w:id="10" w:name="_Toc408845908"/>
      <w:bookmarkStart w:id="11" w:name="_Toc403982076"/>
      <w:bookmarkStart w:id="12" w:name="_Toc1171"/>
      <w:bookmarkStart w:id="13" w:name="_Toc403031728"/>
      <w:bookmarkStart w:id="14" w:name="_Toc413742026"/>
      <w:bookmarkStart w:id="15" w:name="_Toc407817672"/>
      <w:bookmarkStart w:id="16" w:name="_Toc413921612"/>
      <w:r>
        <w:rPr>
          <w:rFonts w:ascii="Times New Roman" w:hAnsi="Times New Roman" w:cs="Times New Roman"/>
          <w:color w:val="auto"/>
          <w:highlight w:val="none"/>
        </w:rPr>
        <w:t>图1 项目地理位置图（附地表水</w:t>
      </w:r>
      <w:r>
        <w:rPr>
          <w:rFonts w:hint="eastAsia" w:ascii="Times New Roman" w:hAnsi="Times New Roman" w:cs="Times New Roman"/>
          <w:color w:val="auto"/>
          <w:highlight w:val="none"/>
        </w:rPr>
        <w:t>补充</w:t>
      </w:r>
      <w:r>
        <w:rPr>
          <w:rFonts w:ascii="Times New Roman" w:hAnsi="Times New Roman" w:cs="Times New Roman"/>
          <w:color w:val="auto"/>
          <w:highlight w:val="none"/>
        </w:rPr>
        <w:t>监测点位）；</w:t>
      </w:r>
    </w:p>
    <w:p w14:paraId="1E343061">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2</w:t>
      </w:r>
      <w:r>
        <w:rPr>
          <w:rFonts w:ascii="Times New Roman" w:hAnsi="Times New Roman" w:cs="Times New Roman"/>
          <w:color w:val="auto"/>
          <w:szCs w:val="22"/>
          <w:highlight w:val="none"/>
        </w:rPr>
        <w:t xml:space="preserve"> 项目监测点位图（附大气、土壤、噪声</w:t>
      </w:r>
      <w:r>
        <w:rPr>
          <w:rFonts w:hint="eastAsia" w:ascii="Times New Roman" w:hAnsi="Times New Roman" w:cs="Times New Roman"/>
          <w:color w:val="auto"/>
          <w:szCs w:val="22"/>
          <w:highlight w:val="none"/>
        </w:rPr>
        <w:t>补充</w:t>
      </w:r>
      <w:r>
        <w:rPr>
          <w:rFonts w:ascii="Times New Roman" w:hAnsi="Times New Roman" w:cs="Times New Roman"/>
          <w:color w:val="auto"/>
          <w:szCs w:val="22"/>
          <w:highlight w:val="none"/>
        </w:rPr>
        <w:t>监测点位）；</w:t>
      </w:r>
    </w:p>
    <w:p w14:paraId="0903CA52">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图</w:t>
      </w:r>
      <w:r>
        <w:rPr>
          <w:rFonts w:hint="eastAsia" w:ascii="Times New Roman" w:hAnsi="Times New Roman" w:cs="Times New Roman"/>
          <w:color w:val="auto"/>
          <w:highlight w:val="none"/>
        </w:rPr>
        <w:t>3</w:t>
      </w:r>
      <w:r>
        <w:rPr>
          <w:rFonts w:ascii="Times New Roman" w:hAnsi="Times New Roman" w:cs="Times New Roman"/>
          <w:color w:val="auto"/>
          <w:highlight w:val="none"/>
        </w:rPr>
        <w:t xml:space="preserve"> 项目周围环境图；</w:t>
      </w:r>
    </w:p>
    <w:p w14:paraId="1BF5C71E">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4</w:t>
      </w:r>
      <w:r>
        <w:rPr>
          <w:rFonts w:ascii="Times New Roman" w:hAnsi="Times New Roman" w:cs="Times New Roman"/>
          <w:color w:val="auto"/>
          <w:szCs w:val="22"/>
          <w:highlight w:val="none"/>
        </w:rPr>
        <w:t xml:space="preserve"> 环境风险受体分布图；</w:t>
      </w:r>
    </w:p>
    <w:p w14:paraId="540FD7D1">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5</w:t>
      </w:r>
      <w:r>
        <w:rPr>
          <w:rFonts w:ascii="Times New Roman" w:hAnsi="Times New Roman" w:cs="Times New Roman"/>
          <w:color w:val="auto"/>
          <w:szCs w:val="22"/>
          <w:highlight w:val="none"/>
        </w:rPr>
        <w:t xml:space="preserve"> 区域应急疏散通道、安置场所位置图；</w:t>
      </w:r>
    </w:p>
    <w:p w14:paraId="509671BF">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6</w:t>
      </w:r>
      <w:r>
        <w:rPr>
          <w:rFonts w:ascii="Times New Roman" w:hAnsi="Times New Roman" w:cs="Times New Roman"/>
          <w:color w:val="auto"/>
          <w:szCs w:val="22"/>
          <w:highlight w:val="none"/>
        </w:rPr>
        <w:t xml:space="preserve"> 防止事故水进入外环境的控制、封堵系统图；</w:t>
      </w:r>
    </w:p>
    <w:p w14:paraId="481D26BD">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 xml:space="preserve">7 </w:t>
      </w:r>
      <w:r>
        <w:rPr>
          <w:rFonts w:ascii="Times New Roman" w:hAnsi="Times New Roman" w:cs="Times New Roman"/>
          <w:color w:val="auto"/>
          <w:szCs w:val="22"/>
          <w:highlight w:val="none"/>
        </w:rPr>
        <w:t>危险单元分布图；</w:t>
      </w:r>
    </w:p>
    <w:p w14:paraId="0E25CC84">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8</w:t>
      </w:r>
      <w:r>
        <w:rPr>
          <w:rFonts w:ascii="Times New Roman" w:hAnsi="Times New Roman" w:cs="Times New Roman"/>
          <w:color w:val="auto"/>
          <w:szCs w:val="22"/>
          <w:highlight w:val="none"/>
        </w:rPr>
        <w:t xml:space="preserve"> 土壤环境保护目标图；</w:t>
      </w:r>
    </w:p>
    <w:p w14:paraId="09A57EB6">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 xml:space="preserve">9 </w:t>
      </w:r>
      <w:r>
        <w:rPr>
          <w:rFonts w:ascii="Times New Roman" w:hAnsi="Times New Roman" w:cs="Times New Roman"/>
          <w:color w:val="auto"/>
          <w:szCs w:val="22"/>
          <w:highlight w:val="none"/>
        </w:rPr>
        <w:t>厂区平面布置图；</w:t>
      </w:r>
    </w:p>
    <w:p w14:paraId="7FCAFCFE">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10</w:t>
      </w:r>
      <w:r>
        <w:rPr>
          <w:rFonts w:ascii="Times New Roman" w:hAnsi="Times New Roman" w:cs="Times New Roman"/>
          <w:color w:val="auto"/>
          <w:szCs w:val="22"/>
          <w:highlight w:val="none"/>
        </w:rPr>
        <w:t xml:space="preserve"> 车间平面布置图；</w:t>
      </w:r>
    </w:p>
    <w:p w14:paraId="0A10A8C9">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11</w:t>
      </w:r>
      <w:r>
        <w:rPr>
          <w:rFonts w:ascii="Times New Roman" w:hAnsi="Times New Roman" w:cs="Times New Roman"/>
          <w:color w:val="auto"/>
          <w:szCs w:val="22"/>
          <w:highlight w:val="none"/>
        </w:rPr>
        <w:t xml:space="preserve"> 无锡市锡山区锡北镇总体规划图；</w:t>
      </w:r>
    </w:p>
    <w:p w14:paraId="5FD05C6A">
      <w:pPr>
        <w:spacing w:line="360" w:lineRule="auto"/>
        <w:ind w:left="-105" w:right="-105" w:firstLine="48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图1</w:t>
      </w:r>
      <w:r>
        <w:rPr>
          <w:rFonts w:ascii="Times New Roman" w:hAnsi="Times New Roman" w:cs="Times New Roman"/>
          <w:color w:val="auto"/>
          <w:szCs w:val="22"/>
          <w:highlight w:val="none"/>
        </w:rPr>
        <w:t xml:space="preserve">2 </w:t>
      </w:r>
      <w:r>
        <w:rPr>
          <w:rFonts w:hint="eastAsia" w:ascii="Times New Roman" w:hAnsi="Times New Roman" w:cs="Times New Roman"/>
          <w:color w:val="auto"/>
          <w:highlight w:val="none"/>
        </w:rPr>
        <w:t>八士-陆家巷、八士-八士管理单元更新后土地利用规划图；</w:t>
      </w:r>
    </w:p>
    <w:p w14:paraId="668706FE">
      <w:pPr>
        <w:spacing w:line="360" w:lineRule="auto"/>
        <w:ind w:left="-105" w:right="-105" w:firstLine="48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图13 无锡市锡山区生态文明建设规划图</w:t>
      </w:r>
      <w:r>
        <w:rPr>
          <w:rFonts w:ascii="Times New Roman" w:hAnsi="Times New Roman" w:cs="Times New Roman"/>
          <w:color w:val="auto"/>
          <w:szCs w:val="22"/>
          <w:highlight w:val="none"/>
        </w:rPr>
        <w:t>；</w:t>
      </w:r>
    </w:p>
    <w:p w14:paraId="673EC48A">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14</w:t>
      </w:r>
      <w:r>
        <w:rPr>
          <w:rFonts w:ascii="Times New Roman" w:hAnsi="Times New Roman" w:cs="Times New Roman"/>
          <w:color w:val="auto"/>
          <w:szCs w:val="22"/>
          <w:highlight w:val="none"/>
        </w:rPr>
        <w:t xml:space="preserve"> 江苏省生态空间保护区域分布图；</w:t>
      </w:r>
    </w:p>
    <w:p w14:paraId="5130EC9E">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图</w:t>
      </w:r>
      <w:r>
        <w:rPr>
          <w:rFonts w:hint="eastAsia" w:ascii="Times New Roman" w:hAnsi="Times New Roman" w:cs="Times New Roman"/>
          <w:color w:val="auto"/>
          <w:szCs w:val="22"/>
          <w:highlight w:val="none"/>
        </w:rPr>
        <w:t>15</w:t>
      </w:r>
      <w:r>
        <w:rPr>
          <w:rFonts w:ascii="Times New Roman" w:hAnsi="Times New Roman" w:cs="Times New Roman"/>
          <w:color w:val="auto"/>
          <w:szCs w:val="22"/>
          <w:highlight w:val="none"/>
        </w:rPr>
        <w:t xml:space="preserve"> 江苏省无锡市环境管控单元图。</w:t>
      </w:r>
    </w:p>
    <w:p w14:paraId="69C14E4C">
      <w:pPr>
        <w:tabs>
          <w:tab w:val="left" w:pos="644"/>
        </w:tabs>
        <w:adjustRightInd w:val="0"/>
        <w:snapToGrid w:val="0"/>
        <w:spacing w:line="360" w:lineRule="auto"/>
        <w:ind w:left="-105" w:right="-105"/>
        <w:rPr>
          <w:rFonts w:ascii="Times New Roman" w:hAnsi="Times New Roman" w:cs="Times New Roman"/>
          <w:color w:val="auto"/>
          <w:highlight w:val="none"/>
        </w:rPr>
      </w:pPr>
    </w:p>
    <w:p w14:paraId="2D497759">
      <w:pPr>
        <w:tabs>
          <w:tab w:val="left" w:pos="644"/>
        </w:tabs>
        <w:adjustRightInd w:val="0"/>
        <w:snapToGrid w:val="0"/>
        <w:spacing w:line="360" w:lineRule="auto"/>
        <w:ind w:left="-105" w:right="-105"/>
        <w:rPr>
          <w:rFonts w:ascii="Times New Roman" w:hAnsi="Times New Roman" w:cs="Times New Roman"/>
          <w:color w:val="auto"/>
          <w:highlight w:val="none"/>
        </w:rPr>
      </w:pPr>
    </w:p>
    <w:p w14:paraId="177BF217">
      <w:pPr>
        <w:ind w:left="-105" w:right="-105"/>
        <w:rPr>
          <w:rFonts w:ascii="Times New Roman" w:hAnsi="Times New Roman" w:cs="Times New Roman"/>
          <w:color w:val="auto"/>
          <w:highlight w:val="none"/>
        </w:rPr>
      </w:pPr>
      <w:r>
        <w:rPr>
          <w:rFonts w:ascii="Times New Roman" w:hAnsi="Times New Roman" w:cs="Times New Roman"/>
          <w:color w:val="auto"/>
          <w:highlight w:val="none"/>
        </w:rPr>
        <w:br w:type="page"/>
      </w:r>
    </w:p>
    <w:p w14:paraId="3D0D9443">
      <w:pPr>
        <w:spacing w:before="120" w:beforeLines="50" w:after="120" w:afterLines="50" w:line="360" w:lineRule="auto"/>
        <w:ind w:left="-105" w:right="-105" w:firstLine="643"/>
        <w:rPr>
          <w:rFonts w:ascii="Times New Roman" w:hAnsi="Times New Roman"/>
          <w:b/>
          <w:color w:val="auto"/>
          <w:sz w:val="32"/>
          <w:szCs w:val="22"/>
          <w:highlight w:val="none"/>
        </w:rPr>
      </w:pPr>
      <w:r>
        <w:rPr>
          <w:rFonts w:ascii="Times New Roman" w:hAnsi="Times New Roman"/>
          <w:b/>
          <w:color w:val="auto"/>
          <w:sz w:val="32"/>
          <w:szCs w:val="22"/>
          <w:highlight w:val="none"/>
        </w:rPr>
        <w:t>附件清单</w:t>
      </w:r>
      <w:bookmarkEnd w:id="10"/>
      <w:bookmarkEnd w:id="11"/>
      <w:bookmarkEnd w:id="12"/>
      <w:bookmarkEnd w:id="13"/>
      <w:bookmarkEnd w:id="14"/>
      <w:bookmarkEnd w:id="15"/>
      <w:bookmarkEnd w:id="16"/>
    </w:p>
    <w:p w14:paraId="506F39EA">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环评审批基础信息表；</w:t>
      </w:r>
    </w:p>
    <w:p w14:paraId="23B53B63">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登记信息单及备案证；</w:t>
      </w:r>
    </w:p>
    <w:p w14:paraId="7F733DB1">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营业执照；</w:t>
      </w:r>
    </w:p>
    <w:p w14:paraId="361C4C4B">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房产证</w:t>
      </w:r>
      <w:r>
        <w:rPr>
          <w:rFonts w:ascii="Times New Roman" w:hAnsi="Times New Roman" w:cs="Times New Roman"/>
          <w:color w:val="auto"/>
          <w:highlight w:val="none"/>
        </w:rPr>
        <w:t>；</w:t>
      </w:r>
    </w:p>
    <w:p w14:paraId="0D73879A">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污水接管情况说明</w:t>
      </w:r>
      <w:r>
        <w:rPr>
          <w:rFonts w:ascii="Times New Roman" w:hAnsi="Times New Roman" w:cs="Times New Roman"/>
          <w:color w:val="auto"/>
          <w:highlight w:val="none"/>
        </w:rPr>
        <w:t xml:space="preserve">； </w:t>
      </w:r>
    </w:p>
    <w:p w14:paraId="36C53851">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原环评审批意见及验收意见</w:t>
      </w:r>
      <w:r>
        <w:rPr>
          <w:rFonts w:ascii="Times New Roman" w:hAnsi="Times New Roman" w:cs="Times New Roman"/>
          <w:color w:val="auto"/>
          <w:highlight w:val="none"/>
        </w:rPr>
        <w:t>；</w:t>
      </w:r>
    </w:p>
    <w:p w14:paraId="0D773E13">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项目申请报告；</w:t>
      </w:r>
    </w:p>
    <w:p w14:paraId="3B36F6CF">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前期联系单；</w:t>
      </w:r>
    </w:p>
    <w:p w14:paraId="11AE1182">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总量申请单；</w:t>
      </w:r>
    </w:p>
    <w:p w14:paraId="36C02BAC">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委托书</w:t>
      </w:r>
      <w:r>
        <w:rPr>
          <w:rFonts w:ascii="Times New Roman" w:hAnsi="Times New Roman" w:cs="Times New Roman"/>
          <w:color w:val="auto"/>
          <w:highlight w:val="none"/>
        </w:rPr>
        <w:t>；</w:t>
      </w:r>
    </w:p>
    <w:p w14:paraId="0C019CC7">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环评合同</w:t>
      </w:r>
      <w:r>
        <w:rPr>
          <w:rFonts w:ascii="Times New Roman" w:hAnsi="Times New Roman" w:cs="Times New Roman"/>
          <w:color w:val="auto"/>
          <w:highlight w:val="none"/>
        </w:rPr>
        <w:t>；</w:t>
      </w:r>
    </w:p>
    <w:p w14:paraId="59F878D8">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确认单</w:t>
      </w:r>
      <w:r>
        <w:rPr>
          <w:rFonts w:ascii="Times New Roman" w:hAnsi="Times New Roman" w:cs="Times New Roman"/>
          <w:color w:val="auto"/>
          <w:highlight w:val="none"/>
        </w:rPr>
        <w:t>；</w:t>
      </w:r>
    </w:p>
    <w:p w14:paraId="1A3AF9C1">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环评单位承诺书</w:t>
      </w:r>
      <w:r>
        <w:rPr>
          <w:rFonts w:ascii="Times New Roman" w:hAnsi="Times New Roman" w:cs="Times New Roman"/>
          <w:color w:val="auto"/>
          <w:highlight w:val="none"/>
        </w:rPr>
        <w:t>；</w:t>
      </w:r>
    </w:p>
    <w:p w14:paraId="50D5719A">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固废处置承诺书</w:t>
      </w:r>
      <w:r>
        <w:rPr>
          <w:rFonts w:ascii="Times New Roman" w:hAnsi="Times New Roman" w:cs="Times New Roman"/>
          <w:color w:val="auto"/>
          <w:highlight w:val="none"/>
        </w:rPr>
        <w:t>；</w:t>
      </w:r>
    </w:p>
    <w:p w14:paraId="1A0185C5">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同意环评公开说明；</w:t>
      </w:r>
    </w:p>
    <w:p w14:paraId="77E19244">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公示截图；</w:t>
      </w:r>
    </w:p>
    <w:p w14:paraId="6E0DF7CF">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环境监测报告</w:t>
      </w:r>
      <w:r>
        <w:rPr>
          <w:rFonts w:ascii="Times New Roman" w:hAnsi="Times New Roman" w:cs="Times New Roman"/>
          <w:color w:val="auto"/>
          <w:highlight w:val="none"/>
        </w:rPr>
        <w:t>；</w:t>
      </w:r>
    </w:p>
    <w:p w14:paraId="207AA097">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hint="eastAsia" w:ascii="Times New Roman" w:hAnsi="Times New Roman" w:cs="Times New Roman"/>
          <w:color w:val="auto"/>
          <w:highlight w:val="none"/>
        </w:rPr>
        <w:t>原辅料MSDS</w:t>
      </w:r>
      <w:r>
        <w:rPr>
          <w:rFonts w:ascii="Times New Roman" w:hAnsi="Times New Roman" w:cs="Times New Roman"/>
          <w:color w:val="auto"/>
          <w:highlight w:val="none"/>
        </w:rPr>
        <w:t>；</w:t>
      </w:r>
    </w:p>
    <w:p w14:paraId="3286A707">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专家评审会议纪要；</w:t>
      </w:r>
    </w:p>
    <w:p w14:paraId="5D763D6D">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修改清单；</w:t>
      </w:r>
    </w:p>
    <w:p w14:paraId="39F10088">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专家评审意见；</w:t>
      </w:r>
    </w:p>
    <w:p w14:paraId="11CA9E39">
      <w:pPr>
        <w:numPr>
          <w:ilvl w:val="0"/>
          <w:numId w:val="5"/>
        </w:numPr>
        <w:tabs>
          <w:tab w:val="left" w:pos="644"/>
        </w:tabs>
        <w:adjustRightInd w:val="0"/>
        <w:snapToGrid w:val="0"/>
        <w:spacing w:line="336"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环评主持人现场照片。</w:t>
      </w:r>
    </w:p>
    <w:p w14:paraId="4E22F067">
      <w:pPr>
        <w:tabs>
          <w:tab w:val="left" w:pos="851"/>
          <w:tab w:val="left" w:pos="1276"/>
        </w:tabs>
        <w:spacing w:line="360" w:lineRule="auto"/>
        <w:ind w:left="480" w:leftChars="200" w:right="-105"/>
        <w:rPr>
          <w:rFonts w:ascii="Times New Roman" w:hAnsi="Times New Roman"/>
          <w:color w:val="auto"/>
          <w:highlight w:val="none"/>
        </w:rPr>
      </w:pPr>
    </w:p>
    <w:p w14:paraId="725A7AB6">
      <w:pPr>
        <w:tabs>
          <w:tab w:val="left" w:pos="851"/>
          <w:tab w:val="left" w:pos="1276"/>
        </w:tabs>
        <w:spacing w:line="360" w:lineRule="auto"/>
        <w:ind w:left="-105" w:right="-105"/>
        <w:rPr>
          <w:rFonts w:ascii="Times New Roman" w:hAnsi="Times New Roman"/>
          <w:color w:val="auto"/>
          <w:highlight w:val="none"/>
        </w:rPr>
        <w:sectPr>
          <w:headerReference r:id="rId3" w:type="default"/>
          <w:headerReference r:id="rId4" w:type="even"/>
          <w:pgSz w:w="11906" w:h="16838"/>
          <w:pgMar w:top="1440" w:right="1701" w:bottom="1440" w:left="1701" w:header="851" w:footer="851" w:gutter="0"/>
          <w:pgBorders>
            <w:top w:val="none" w:sz="0" w:space="0"/>
            <w:left w:val="none" w:sz="0" w:space="0"/>
            <w:bottom w:val="none" w:sz="0" w:space="0"/>
            <w:right w:val="none" w:sz="0" w:space="0"/>
          </w:pgBorders>
          <w:pgNumType w:fmt="upperRoman"/>
          <w:cols w:space="720" w:num="1"/>
          <w:docGrid w:linePitch="498" w:charSpace="-2336"/>
        </w:sectPr>
      </w:pPr>
    </w:p>
    <w:p w14:paraId="29F18960">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17" w:name="_Toc60653430"/>
      <w:bookmarkStart w:id="18" w:name="_Toc14186"/>
      <w:r>
        <w:rPr>
          <w:rFonts w:ascii="Times New Roman" w:eastAsia="宋体"/>
          <w:color w:val="auto"/>
          <w:sz w:val="32"/>
          <w:szCs w:val="32"/>
          <w:highlight w:val="none"/>
        </w:rPr>
        <w:t>概述</w:t>
      </w:r>
      <w:bookmarkEnd w:id="17"/>
      <w:bookmarkEnd w:id="18"/>
    </w:p>
    <w:p w14:paraId="640464A0">
      <w:pPr>
        <w:pStyle w:val="4"/>
        <w:spacing w:line="360" w:lineRule="auto"/>
        <w:ind w:left="-105" w:right="-105" w:firstLine="0"/>
        <w:rPr>
          <w:rFonts w:ascii="Times New Roman" w:eastAsia="宋体"/>
          <w:color w:val="auto"/>
          <w:sz w:val="28"/>
          <w:szCs w:val="28"/>
          <w:highlight w:val="none"/>
        </w:rPr>
      </w:pPr>
      <w:bookmarkStart w:id="19" w:name="_Toc25710"/>
      <w:bookmarkStart w:id="20" w:name="_Toc352006397"/>
      <w:bookmarkStart w:id="21" w:name="_Toc1693"/>
      <w:bookmarkStart w:id="22" w:name="_Toc60653431"/>
      <w:bookmarkStart w:id="23" w:name="_Toc23933427"/>
      <w:bookmarkStart w:id="24" w:name="_Toc22899958"/>
      <w:bookmarkStart w:id="25" w:name="_Toc23604716"/>
      <w:bookmarkStart w:id="26" w:name="_Toc23933250"/>
      <w:bookmarkStart w:id="27" w:name="_Toc23673840"/>
      <w:bookmarkStart w:id="28" w:name="_Toc23604804"/>
      <w:bookmarkStart w:id="29" w:name="_Toc23673994"/>
      <w:bookmarkStart w:id="30" w:name="_Toc23933484"/>
      <w:bookmarkStart w:id="31" w:name="_Toc125882607"/>
      <w:bookmarkStart w:id="32" w:name="_Toc23738042"/>
      <w:r>
        <w:rPr>
          <w:rFonts w:ascii="Times New Roman" w:eastAsia="宋体"/>
          <w:color w:val="auto"/>
          <w:sz w:val="28"/>
          <w:szCs w:val="28"/>
          <w:highlight w:val="none"/>
        </w:rPr>
        <w:t>任务由来</w:t>
      </w:r>
      <w:bookmarkEnd w:id="19"/>
      <w:bookmarkEnd w:id="20"/>
      <w:bookmarkEnd w:id="21"/>
      <w:bookmarkEnd w:id="22"/>
    </w:p>
    <w:bookmarkEnd w:id="23"/>
    <w:bookmarkEnd w:id="24"/>
    <w:bookmarkEnd w:id="25"/>
    <w:bookmarkEnd w:id="26"/>
    <w:bookmarkEnd w:id="27"/>
    <w:bookmarkEnd w:id="28"/>
    <w:bookmarkEnd w:id="29"/>
    <w:bookmarkEnd w:id="30"/>
    <w:bookmarkEnd w:id="31"/>
    <w:bookmarkEnd w:id="32"/>
    <w:p w14:paraId="0161A3DE">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化药化工（无锡）有限公司（以下简称“化药化工”）是由日本化药株式会社（以下简称“日本化药”）100%控股的独资公司，成立于2002年，位于无锡市锡山区锡北镇新坝村。</w:t>
      </w:r>
    </w:p>
    <w:p w14:paraId="676FBC34">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日本化药株式会社是成立于1916年的以精细化工为主营业业务的跨国公司。下辖医药事业总部、化学品事业总部和精细化学品总部，研发、生产和销售特种环氧树脂、丙烯酸单体和丙烯酸齐聚体。在世界半导体化学材料行业中，日本化药的高端特种环氧树脂的市场占有率位居前列。化药化工从日本化药引进先进的技术和严格的质量控制系统，以日本化药的特种环氧树脂等材料为主要原料，生产高质量的信息电子产业类用环氧丙烯酸树脂产品。现有项目设计产品及规模为：年产聚氨酯丙烯酸酯5000t、丙烯酸酯组成物10000t和环氧丙烯酸树脂3100t。公司已于2020年6月8日取得了排污许可证（详见附件），证书编号913202057394398127001P，有效期为2023-02-21至2028-02-20。</w:t>
      </w:r>
    </w:p>
    <w:p w14:paraId="413E7B4D">
      <w:pPr>
        <w:spacing w:line="360" w:lineRule="auto"/>
        <w:ind w:left="-105" w:right="-105" w:firstLine="480" w:firstLineChars="200"/>
        <w:jc w:val="both"/>
        <w:rPr>
          <w:rFonts w:hint="default" w:ascii="Times New Roman" w:hAnsi="Times New Roman" w:eastAsia="宋体"/>
          <w:color w:val="auto"/>
          <w:highlight w:val="none"/>
          <w:lang w:val="en-US" w:eastAsia="zh-CN"/>
        </w:rPr>
      </w:pPr>
      <w:r>
        <w:rPr>
          <w:rFonts w:hint="eastAsia" w:ascii="Times New Roman" w:hAnsi="Times New Roman"/>
          <w:color w:val="auto"/>
          <w:highlight w:val="none"/>
        </w:rPr>
        <w:t>因我国半导体行业的快速发展，对半导体上游原材料产品的需求量日益增长，半导体湿电子化学品作为半导体产品的上游材料具有良好的发展前景。同时，2020年初，德国汉高（Henkel）将其液晶和半导体湿电子化学品产品业务出售给日本化药，日本化药获得了汉高液晶及半导体湿电子化学品的生产、销售和运营。在中国将由化药化工接管相应的生产、销售和运营。汉高拥有140多年的历史，业务遍布各国，对液晶及半导体湿电子化学品有着20年以上的市场实绩。日本化药在获取汉高在日本的业务同时，其在半导体封装所使用的光刻胶剥离液领域，有着众多的使用实绩。化药化工（无锡）有限公司依托日本化药的产品及技术优势，拟利用现有厂房建设年产剥离液800t项目，投资金额1000万元。</w:t>
      </w:r>
      <w:r>
        <w:rPr>
          <w:rFonts w:hint="eastAsia" w:ascii="Times New Roman" w:hAnsi="Times New Roman"/>
          <w:color w:val="auto"/>
          <w:highlight w:val="none"/>
          <w:lang w:val="en-US" w:eastAsia="zh-CN"/>
        </w:rPr>
        <w:t>该项目已取得江苏省投资项目备案证，备案号为：锡山行审备[2023]95号，项目代码为：2303-320205-89-05-489711。</w:t>
      </w:r>
    </w:p>
    <w:p w14:paraId="0373F93B">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根据《建设项目环境影响评价分类管理名录》（2021年版），本项目类别为“三十六、计算机、通信和其他电子设备制造业39 81.电子元件及电子专用材料制造398；电子化工材料制造”，本项目生产剥离液800t/a，环评类别为“报告书”。</w:t>
      </w:r>
    </w:p>
    <w:p w14:paraId="14E3C9B5">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化药化工（无锡）有限公司遵照国家及地方的法律、法规要求及规定，委托无锡恒新环境技术有限公司进行本项目的环境影响评价工作。环评单位在接受委托后，相关人员在进行现场调查、资料调研、环境监测、公众参与等工作的基础上，编制完成了本环境影响报告书，报请环保主管部门审批，以期为项目实施和环境管理提供管理依据。</w:t>
      </w:r>
    </w:p>
    <w:p w14:paraId="560046D4">
      <w:pPr>
        <w:pStyle w:val="4"/>
        <w:spacing w:line="360" w:lineRule="auto"/>
        <w:ind w:left="-105" w:right="-105" w:firstLine="0"/>
        <w:rPr>
          <w:rFonts w:ascii="Times New Roman" w:eastAsia="宋体"/>
          <w:color w:val="auto"/>
          <w:sz w:val="28"/>
          <w:szCs w:val="28"/>
          <w:highlight w:val="none"/>
        </w:rPr>
      </w:pPr>
      <w:bookmarkStart w:id="33" w:name="_Toc60653432"/>
      <w:bookmarkStart w:id="34" w:name="_Toc317262262"/>
      <w:bookmarkStart w:id="35" w:name="_Toc19996"/>
      <w:bookmarkStart w:id="36" w:name="_Toc352006398"/>
      <w:bookmarkStart w:id="37" w:name="_Toc9651"/>
      <w:r>
        <w:rPr>
          <w:rFonts w:ascii="Times New Roman" w:eastAsia="宋体"/>
          <w:color w:val="auto"/>
          <w:sz w:val="28"/>
          <w:szCs w:val="28"/>
          <w:highlight w:val="none"/>
        </w:rPr>
        <w:t>项目特点</w:t>
      </w:r>
      <w:bookmarkEnd w:id="33"/>
      <w:bookmarkEnd w:id="34"/>
      <w:bookmarkEnd w:id="35"/>
      <w:bookmarkEnd w:id="36"/>
      <w:bookmarkEnd w:id="37"/>
    </w:p>
    <w:p w14:paraId="44BE3342">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化药化工（无锡）有限公司坐落于无锡市</w:t>
      </w:r>
      <w:r>
        <w:rPr>
          <w:rFonts w:ascii="Times New Roman" w:hAnsi="Times New Roman"/>
          <w:color w:val="auto"/>
          <w:highlight w:val="none"/>
        </w:rPr>
        <w:t>锡山区</w:t>
      </w:r>
      <w:r>
        <w:rPr>
          <w:rFonts w:hint="eastAsia" w:ascii="Times New Roman" w:hAnsi="Times New Roman"/>
          <w:color w:val="auto"/>
          <w:highlight w:val="none"/>
        </w:rPr>
        <w:t>锡北</w:t>
      </w:r>
      <w:r>
        <w:rPr>
          <w:rFonts w:ascii="Times New Roman" w:hAnsi="Times New Roman"/>
          <w:color w:val="auto"/>
          <w:highlight w:val="none"/>
        </w:rPr>
        <w:t>镇</w:t>
      </w:r>
      <w:r>
        <w:rPr>
          <w:rFonts w:hint="eastAsia" w:ascii="Times New Roman" w:hAnsi="Times New Roman"/>
          <w:color w:val="auto"/>
          <w:highlight w:val="none"/>
        </w:rPr>
        <w:t>，</w:t>
      </w:r>
      <w:r>
        <w:rPr>
          <w:rFonts w:ascii="Times New Roman" w:hAnsi="Times New Roman" w:cs="Times New Roman"/>
          <w:color w:val="auto"/>
          <w:highlight w:val="none"/>
        </w:rPr>
        <w:t>项目不在省级、国家级生态红线范围内，</w:t>
      </w:r>
      <w:r>
        <w:rPr>
          <w:rFonts w:hint="eastAsia" w:ascii="Times New Roman" w:hAnsi="Times New Roman"/>
          <w:color w:val="auto"/>
          <w:highlight w:val="none"/>
        </w:rPr>
        <w:t>本项目为扩建产能，新增剥离液生产线，在现有厂房内</w:t>
      </w:r>
      <w:r>
        <w:rPr>
          <w:rFonts w:hint="eastAsia" w:ascii="Times New Roman" w:hAnsi="Times New Roman"/>
          <w:color w:val="auto"/>
          <w:highlight w:val="none"/>
        </w:rPr>
        <w:t>建设</w:t>
      </w:r>
      <w:r>
        <w:rPr>
          <w:rFonts w:hint="eastAsia" w:ascii="Times New Roman" w:hAnsi="Times New Roman"/>
          <w:color w:val="auto"/>
          <w:highlight w:val="none"/>
        </w:rPr>
        <w:t>新增生产</w:t>
      </w:r>
      <w:r>
        <w:rPr>
          <w:rFonts w:hint="eastAsia" w:ascii="Times New Roman" w:hAnsi="Times New Roman"/>
          <w:color w:val="auto"/>
          <w:highlight w:val="none"/>
        </w:rPr>
        <w:t>线，不新增用地</w:t>
      </w:r>
      <w:r>
        <w:rPr>
          <w:rFonts w:ascii="Times New Roman" w:hAnsi="Times New Roman"/>
          <w:color w:val="auto"/>
          <w:highlight w:val="none"/>
        </w:rPr>
        <w:t>。</w:t>
      </w:r>
    </w:p>
    <w:p w14:paraId="393187A1">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本项目为电子专用材料制造项目，产品为剥离液，应用于半导体行业。对照《国民经济行业分类与代码》（GB/T4754-2017）（2019年修订）及江苏省投资项目备案证，本项目剥离液属于C3985电子专用材料制造，属于《产业结构调整指导目录（2024年本）》</w:t>
      </w:r>
      <w:r>
        <w:rPr>
          <w:rFonts w:hint="eastAsia" w:ascii="Times New Roman" w:hAnsi="Times New Roman"/>
          <w:color w:val="auto"/>
          <w:highlight w:val="none"/>
        </w:rPr>
        <w:t>中鼓励类。</w:t>
      </w:r>
    </w:p>
    <w:p w14:paraId="546CA815">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（3））</w:t>
      </w:r>
      <w:r>
        <w:rPr>
          <w:rFonts w:hint="eastAsia" w:ascii="Times New Roman" w:hAnsi="Times New Roman"/>
          <w:color w:val="auto"/>
          <w:highlight w:val="none"/>
        </w:rPr>
        <w:t>本项目主要生产工艺为物理混合、过滤、取样分析、收缸，产品生产过程拟采用密闭化设备，采用密闭式操作</w:t>
      </w:r>
      <w:r>
        <w:rPr>
          <w:rFonts w:hint="eastAsia" w:ascii="Times New Roman" w:hAnsi="Times New Roman"/>
          <w:color w:val="auto"/>
          <w:highlight w:val="none"/>
        </w:rPr>
        <w:t>，从而避免和减少无组织废气的产生。桶装液体物料和固体物料投加、产品分装过程中，考虑到连接处（包括液体物料桶与插管连接处、包装袋与加料装置连接处、灌装口与包装连接处）无法保证全部密封，存在少量无组织废气逸散；建设项目针对投料、转料、分装处设置排风系统收集采用集气罩收集，废气收集效率按95%计。</w:t>
      </w:r>
      <w:r>
        <w:rPr>
          <w:rFonts w:hint="eastAsia" w:ascii="Times New Roman" w:hAnsi="Times New Roman"/>
          <w:color w:val="auto"/>
          <w:highlight w:val="none"/>
        </w:rPr>
        <w:t>生产工艺废气和包装桶废气拟采用“3级碱喷淋+两级活性炭吸附”处理；检测废气拟采用“两级活性炭吸附”处理，各环节废气处理后达标排放。</w:t>
      </w:r>
    </w:p>
    <w:p w14:paraId="46C6B676">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）项目位于太湖流域三级保护区内，</w:t>
      </w:r>
      <w:r>
        <w:rPr>
          <w:rFonts w:hint="eastAsia" w:ascii="Times New Roman" w:hAnsi="Times New Roman"/>
          <w:color w:val="auto"/>
          <w:highlight w:val="none"/>
        </w:rPr>
        <w:t>本项目产品生产过程不涉及水，生产废水主要来自超纯水装置浓水、超纯水装置反冲洗水等。</w:t>
      </w:r>
      <w:r>
        <w:rPr>
          <w:rFonts w:hint="eastAsia" w:ascii="Times New Roman" w:hAnsi="Times New Roman"/>
          <w:color w:val="auto"/>
          <w:highlight w:val="none"/>
        </w:rPr>
        <w:t>本项目超纯水装置浓水、超纯水装置反冲洗水不含氮磷，且水质简单，回用于冲厕，</w:t>
      </w:r>
      <w:r>
        <w:rPr>
          <w:rFonts w:hint="eastAsia" w:ascii="Times New Roman" w:hAnsi="Times New Roman"/>
          <w:color w:val="auto"/>
          <w:highlight w:val="none"/>
        </w:rPr>
        <w:t>生活污水</w:t>
      </w:r>
      <w:r>
        <w:rPr>
          <w:rFonts w:hint="eastAsia" w:ascii="Times New Roman" w:hAnsi="Times New Roman"/>
          <w:color w:val="auto"/>
          <w:highlight w:val="none"/>
        </w:rPr>
        <w:t>与初期雨水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olor w:val="auto"/>
          <w:highlight w:val="none"/>
        </w:rPr>
        <w:t>。</w:t>
      </w:r>
    </w:p>
    <w:p w14:paraId="5D6CCC9F">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（5）本项目危险废物委托有资质单位安全处置；噪声采取消声、隔声等处理措施后可以做到噪声厂界达标排放。</w:t>
      </w:r>
    </w:p>
    <w:p w14:paraId="79266079">
      <w:pPr>
        <w:pStyle w:val="4"/>
        <w:spacing w:line="360" w:lineRule="auto"/>
        <w:ind w:left="-105" w:right="-105" w:firstLine="0"/>
        <w:rPr>
          <w:rFonts w:ascii="Times New Roman" w:eastAsia="宋体"/>
          <w:color w:val="auto"/>
          <w:sz w:val="28"/>
          <w:szCs w:val="28"/>
          <w:highlight w:val="none"/>
        </w:rPr>
      </w:pPr>
      <w:bookmarkStart w:id="38" w:name="_Toc15070"/>
      <w:bookmarkStart w:id="39" w:name="_Toc18511"/>
      <w:bookmarkStart w:id="40" w:name="_Toc60653433"/>
      <w:bookmarkStart w:id="41" w:name="_Toc317262264"/>
      <w:bookmarkStart w:id="42" w:name="_Toc352006399"/>
      <w:r>
        <w:rPr>
          <w:rFonts w:ascii="Times New Roman" w:eastAsia="宋体"/>
          <w:color w:val="auto"/>
          <w:sz w:val="28"/>
          <w:szCs w:val="28"/>
          <w:highlight w:val="none"/>
        </w:rPr>
        <w:t>关注的主要环境问题</w:t>
      </w:r>
      <w:bookmarkEnd w:id="38"/>
      <w:bookmarkEnd w:id="39"/>
      <w:bookmarkEnd w:id="40"/>
      <w:bookmarkEnd w:id="41"/>
      <w:bookmarkEnd w:id="42"/>
    </w:p>
    <w:p w14:paraId="2124986D">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（1）本次</w:t>
      </w:r>
      <w:r>
        <w:rPr>
          <w:rFonts w:hint="eastAsia" w:ascii="Times New Roman" w:hAnsi="Times New Roman"/>
          <w:color w:val="auto"/>
          <w:highlight w:val="none"/>
        </w:rPr>
        <w:t>扩建</w:t>
      </w:r>
      <w:r>
        <w:rPr>
          <w:rFonts w:ascii="Times New Roman" w:hAnsi="Times New Roman"/>
          <w:color w:val="auto"/>
          <w:highlight w:val="none"/>
        </w:rPr>
        <w:t>之后，</w:t>
      </w:r>
      <w:r>
        <w:rPr>
          <w:rFonts w:ascii="Times New Roman" w:hAnsi="Times New Roman" w:cs="Times New Roman"/>
          <w:color w:val="auto"/>
          <w:highlight w:val="none"/>
        </w:rPr>
        <w:t>新增工艺的废气、废水、固废等产排污情况需要合理的核算，提出的各项污染防治措施。新增的环境影响是否会降低区域环境功能，是否对附近保护目标产生影响，需要科学分析</w:t>
      </w:r>
      <w:r>
        <w:rPr>
          <w:rFonts w:ascii="Times New Roman" w:hAnsi="Times New Roman"/>
          <w:color w:val="auto"/>
          <w:highlight w:val="none"/>
        </w:rPr>
        <w:t>。</w:t>
      </w:r>
    </w:p>
    <w:p w14:paraId="33C0A14B">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（2）本次</w:t>
      </w:r>
      <w:r>
        <w:rPr>
          <w:rFonts w:hint="eastAsia" w:ascii="Times New Roman" w:hAnsi="Times New Roman"/>
          <w:color w:val="auto"/>
          <w:highlight w:val="none"/>
        </w:rPr>
        <w:t>扩建</w:t>
      </w:r>
      <w:r>
        <w:rPr>
          <w:rFonts w:ascii="Times New Roman" w:hAnsi="Times New Roman"/>
          <w:color w:val="auto"/>
          <w:highlight w:val="none"/>
        </w:rPr>
        <w:t>中，将对</w:t>
      </w:r>
      <w:r>
        <w:rPr>
          <w:rFonts w:hint="eastAsia" w:ascii="Times New Roman" w:hAnsi="Times New Roman"/>
          <w:color w:val="auto"/>
          <w:highlight w:val="none"/>
        </w:rPr>
        <w:t>新增的</w:t>
      </w:r>
      <w:r>
        <w:rPr>
          <w:rFonts w:ascii="Times New Roman" w:hAnsi="Times New Roman"/>
          <w:color w:val="auto"/>
          <w:highlight w:val="none"/>
        </w:rPr>
        <w:t>废气、废水污染防治措施进行设计，其规模合理性需要重点关注。</w:t>
      </w:r>
    </w:p>
    <w:p w14:paraId="2B7D10E0">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（3）随着国家危废名录的更新，本项目中危废需要进行梳理，并根据本次迁建引起的变化情况，分析论证暂存、处置的合理性。</w:t>
      </w:r>
    </w:p>
    <w:p w14:paraId="43FA5963">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（4）本项目化学品使用品类较多，其贮存过程的环境风险需要重点分析。</w:t>
      </w:r>
    </w:p>
    <w:p w14:paraId="06A0135E">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（5）本项目与区域环保规划、生态红线规划、园区规划及区域负面清单等符合性分析，将是本项目重点关注问题之一。</w:t>
      </w:r>
    </w:p>
    <w:p w14:paraId="05A1CD15">
      <w:pPr>
        <w:pStyle w:val="4"/>
        <w:spacing w:line="360" w:lineRule="auto"/>
        <w:ind w:left="-105" w:right="-105" w:firstLine="0"/>
        <w:rPr>
          <w:rFonts w:ascii="Times New Roman" w:eastAsia="宋体"/>
          <w:color w:val="auto"/>
          <w:sz w:val="28"/>
          <w:szCs w:val="28"/>
          <w:highlight w:val="none"/>
        </w:rPr>
      </w:pPr>
      <w:bookmarkStart w:id="43" w:name="_Toc12049"/>
      <w:bookmarkStart w:id="44" w:name="_Toc60653434"/>
      <w:r>
        <w:rPr>
          <w:rFonts w:ascii="Times New Roman" w:eastAsia="宋体"/>
          <w:color w:val="auto"/>
          <w:sz w:val="28"/>
          <w:szCs w:val="28"/>
          <w:highlight w:val="none"/>
        </w:rPr>
        <w:t>评价技术路线</w:t>
      </w:r>
      <w:bookmarkEnd w:id="43"/>
      <w:bookmarkEnd w:id="44"/>
    </w:p>
    <w:p w14:paraId="42589C6F">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根据《环境影响评价技术导则-总纲》（HJ 2.1-2016）等相关技术规范的要求，本项目环评影响评价的工作见图1.4-1。</w:t>
      </w:r>
    </w:p>
    <w:p w14:paraId="198E67E1">
      <w:pPr>
        <w:ind w:left="-105" w:right="-105"/>
        <w:rPr>
          <w:rFonts w:ascii="Times New Roman" w:hAnsi="Times New Roman"/>
          <w:color w:val="auto"/>
          <w:highlight w:val="none"/>
        </w:rPr>
      </w:pPr>
      <w:r>
        <w:rPr>
          <w:rFonts w:ascii="Times New Roman" w:hAnsi="Times New Roman"/>
          <w:color w:val="auto"/>
          <w:highlight w:val="none"/>
        </w:rPr>
        <w:br w:type="page"/>
      </w:r>
    </w:p>
    <w:p w14:paraId="6AE1FBE9">
      <w:pPr>
        <w:spacing w:line="360" w:lineRule="auto"/>
        <w:ind w:left="-105" w:right="-105" w:firstLine="480" w:firstLineChars="200"/>
        <w:rPr>
          <w:rFonts w:ascii="Times New Roman" w:hAnsi="Times New Roman"/>
          <w:color w:val="auto"/>
          <w:highlight w:val="none"/>
        </w:rPr>
      </w:pPr>
    </w:p>
    <w:p w14:paraId="2D933035">
      <w:pPr>
        <w:spacing w:line="360" w:lineRule="auto"/>
        <w:ind w:left="-105" w:right="-105" w:firstLine="480"/>
        <w:jc w:val="center"/>
        <w:rPr>
          <w:rFonts w:ascii="Times New Roman" w:hAnsi="Times New Roman"/>
          <w:color w:val="auto"/>
          <w:highlight w:val="none"/>
        </w:rPr>
      </w:pPr>
      <w:r>
        <w:rPr>
          <w:rFonts w:ascii="Times New Roman" w:hAnsi="Times New Roman"/>
          <w:color w:val="auto"/>
          <w:szCs w:val="22"/>
          <w:highlight w:val="none"/>
        </w:rPr>
        <mc:AlternateContent>
          <mc:Choice Requires="wpc">
            <w:drawing>
              <wp:anchor distT="0" distB="0" distL="114300" distR="114300" simplePos="0" relativeHeight="251660288" behindDoc="0" locked="0" layoutInCell="1" allowOverlap="1">
                <wp:simplePos x="0" y="0"/>
                <wp:positionH relativeFrom="margin">
                  <wp:posOffset>-57150</wp:posOffset>
                </wp:positionH>
                <wp:positionV relativeFrom="paragraph">
                  <wp:posOffset>32385</wp:posOffset>
                </wp:positionV>
                <wp:extent cx="5521325" cy="7086600"/>
                <wp:effectExtent l="0" t="0" r="41275" b="19685"/>
                <wp:wrapNone/>
                <wp:docPr id="517" name="画布 739"/>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899" name="文本框 744"/>
                        <wps:cNvSpPr txBox="1">
                          <a:spLocks noChangeArrowheads="1"/>
                        </wps:cNvSpPr>
                        <wps:spPr bwMode="auto">
                          <a:xfrm>
                            <a:off x="1334130" y="25313"/>
                            <a:ext cx="2772265" cy="251070"/>
                          </a:xfrm>
                          <a:prstGeom prst="rect">
                            <a:avLst/>
                          </a:prstGeom>
                          <a:solidFill>
                            <a:srgbClr val="FFFFFF"/>
                          </a:solidFill>
                          <a:ln w="6350">
                            <a:solidFill>
                              <a:srgbClr val="000000"/>
                            </a:solidFill>
                            <a:miter lim="800000"/>
                          </a:ln>
                        </wps:spPr>
                        <wps:txbx>
                          <w:txbxContent>
                            <w:p w14:paraId="68CE80A8">
                              <w:pPr>
                                <w:adjustRightInd w:val="0"/>
                                <w:snapToGrid w:val="0"/>
                                <w:jc w:val="center"/>
                                <w:rPr>
                                  <w:rFonts w:eastAsia="仿宋"/>
                                  <w:sz w:val="21"/>
                                  <w:szCs w:val="21"/>
                                </w:rPr>
                              </w:pPr>
                              <w:r>
                                <w:rPr>
                                  <w:rFonts w:eastAsia="仿宋"/>
                                  <w:sz w:val="21"/>
                                  <w:szCs w:val="21"/>
                                </w:rPr>
                                <w:t>依据相关规定确定环境影响评价文件类型</w:t>
                              </w:r>
                            </w:p>
                          </w:txbxContent>
                        </wps:txbx>
                        <wps:bodyPr rot="0" vert="horz" wrap="square" lIns="72000" tIns="36000" rIns="72000" bIns="36000" anchor="ctr" anchorCtr="0" upright="1">
                          <a:spAutoFit/>
                        </wps:bodyPr>
                      </wps:wsp>
                      <wps:wsp>
                        <wps:cNvPr id="900" name="文本框 640"/>
                        <wps:cNvSpPr txBox="1">
                          <a:spLocks noChangeArrowheads="1"/>
                        </wps:cNvSpPr>
                        <wps:spPr bwMode="auto">
                          <a:xfrm>
                            <a:off x="1407132" y="707944"/>
                            <a:ext cx="2694160" cy="597145"/>
                          </a:xfrm>
                          <a:prstGeom prst="rect">
                            <a:avLst/>
                          </a:prstGeom>
                          <a:solidFill>
                            <a:srgbClr val="FFFFFF"/>
                          </a:solidFill>
                          <a:ln w="6350">
                            <a:solidFill>
                              <a:srgbClr val="000000"/>
                            </a:solidFill>
                            <a:miter lim="800000"/>
                          </a:ln>
                        </wps:spPr>
                        <wps:txbx>
                          <w:txbxContent>
                            <w:p w14:paraId="01F633CD">
                              <w:pPr>
                                <w:adjustRightInd w:val="0"/>
                                <w:snapToGrid w:val="0"/>
                                <w:rPr>
                                  <w:rFonts w:eastAsia="仿宋"/>
                                  <w:sz w:val="21"/>
                                  <w:szCs w:val="21"/>
                                </w:rPr>
                              </w:pPr>
                              <w:r>
                                <w:rPr>
                                  <w:rFonts w:eastAsia="仿宋"/>
                                  <w:sz w:val="21"/>
                                  <w:szCs w:val="21"/>
                                </w:rPr>
                                <w:t>1研究相关技术文件和其他有关文件</w:t>
                              </w:r>
                            </w:p>
                            <w:p w14:paraId="723C780E">
                              <w:pPr>
                                <w:adjustRightInd w:val="0"/>
                                <w:snapToGrid w:val="0"/>
                                <w:rPr>
                                  <w:rFonts w:eastAsia="仿宋"/>
                                  <w:sz w:val="21"/>
                                  <w:szCs w:val="21"/>
                                </w:rPr>
                              </w:pPr>
                              <w:r>
                                <w:rPr>
                                  <w:rFonts w:eastAsia="仿宋"/>
                                  <w:sz w:val="21"/>
                                  <w:szCs w:val="21"/>
                                </w:rPr>
                                <w:t>2进行初步工程分析</w:t>
                              </w:r>
                            </w:p>
                            <w:p w14:paraId="237E52A0">
                              <w:pPr>
                                <w:adjustRightInd w:val="0"/>
                                <w:snapToGrid w:val="0"/>
                                <w:rPr>
                                  <w:rFonts w:eastAsia="仿宋"/>
                                  <w:sz w:val="21"/>
                                  <w:szCs w:val="21"/>
                                </w:rPr>
                              </w:pPr>
                              <w:r>
                                <w:rPr>
                                  <w:rFonts w:eastAsia="仿宋"/>
                                  <w:sz w:val="21"/>
                                  <w:szCs w:val="21"/>
                                </w:rPr>
                                <w:t>3开展初步的环境影响现状调查</w:t>
                              </w:r>
                            </w:p>
                          </w:txbxContent>
                        </wps:txbx>
                        <wps:bodyPr rot="0" vert="horz" wrap="square" lIns="72000" tIns="36000" rIns="72000" bIns="36000" anchor="ctr" anchorCtr="0" upright="1">
                          <a:spAutoFit/>
                        </wps:bodyPr>
                      </wps:wsp>
                      <wps:wsp>
                        <wps:cNvPr id="901" name="文本框 641"/>
                        <wps:cNvSpPr txBox="1">
                          <a:spLocks noChangeArrowheads="1"/>
                        </wps:cNvSpPr>
                        <wps:spPr bwMode="auto">
                          <a:xfrm>
                            <a:off x="1407132" y="1722487"/>
                            <a:ext cx="2616690" cy="597145"/>
                          </a:xfrm>
                          <a:prstGeom prst="rect">
                            <a:avLst/>
                          </a:prstGeom>
                          <a:solidFill>
                            <a:srgbClr val="FFFFFF"/>
                          </a:solidFill>
                          <a:ln w="6350">
                            <a:solidFill>
                              <a:srgbClr val="000000"/>
                            </a:solidFill>
                            <a:miter lim="800000"/>
                          </a:ln>
                        </wps:spPr>
                        <wps:txbx>
                          <w:txbxContent>
                            <w:p w14:paraId="07AB80FE">
                              <w:pPr>
                                <w:adjustRightInd w:val="0"/>
                                <w:snapToGrid w:val="0"/>
                                <w:jc w:val="center"/>
                                <w:rPr>
                                  <w:rFonts w:eastAsia="仿宋"/>
                                  <w:sz w:val="21"/>
                                  <w:szCs w:val="21"/>
                                </w:rPr>
                              </w:pPr>
                              <w:r>
                                <w:rPr>
                                  <w:rFonts w:eastAsia="仿宋"/>
                                  <w:sz w:val="21"/>
                                  <w:szCs w:val="21"/>
                                </w:rPr>
                                <w:t>1环境影响识别和评价因子筛选</w:t>
                              </w:r>
                            </w:p>
                            <w:p w14:paraId="0202DC8A">
                              <w:pPr>
                                <w:adjustRightInd w:val="0"/>
                                <w:snapToGrid w:val="0"/>
                                <w:jc w:val="center"/>
                                <w:rPr>
                                  <w:rFonts w:eastAsia="仿宋"/>
                                  <w:sz w:val="21"/>
                                  <w:szCs w:val="21"/>
                                </w:rPr>
                              </w:pPr>
                              <w:r>
                                <w:rPr>
                                  <w:rFonts w:eastAsia="仿宋"/>
                                  <w:sz w:val="21"/>
                                  <w:szCs w:val="21"/>
                                </w:rPr>
                                <w:t>2明确评价重点和环境保护目标</w:t>
                              </w:r>
                            </w:p>
                            <w:p w14:paraId="1B9614B3">
                              <w:pPr>
                                <w:adjustRightInd w:val="0"/>
                                <w:snapToGrid w:val="0"/>
                                <w:jc w:val="center"/>
                                <w:rPr>
                                  <w:rFonts w:eastAsia="仿宋"/>
                                  <w:sz w:val="21"/>
                                  <w:szCs w:val="21"/>
                                </w:rPr>
                              </w:pPr>
                              <w:r>
                                <w:rPr>
                                  <w:rFonts w:eastAsia="仿宋"/>
                                  <w:sz w:val="21"/>
                                  <w:szCs w:val="21"/>
                                </w:rPr>
                                <w:t>3确定工作等级、评价范围和评价标准</w:t>
                              </w:r>
                            </w:p>
                          </w:txbxContent>
                        </wps:txbx>
                        <wps:bodyPr rot="0" vert="horz" wrap="square" lIns="72000" tIns="36000" rIns="72000" bIns="36000" anchor="ctr" anchorCtr="0" upright="1">
                          <a:spAutoFit/>
                        </wps:bodyPr>
                      </wps:wsp>
                      <wps:wsp>
                        <wps:cNvPr id="902" name="文本框 644"/>
                        <wps:cNvSpPr txBox="1">
                          <a:spLocks noChangeArrowheads="1"/>
                        </wps:cNvSpPr>
                        <wps:spPr bwMode="auto">
                          <a:xfrm>
                            <a:off x="2069447" y="2734195"/>
                            <a:ext cx="1328910" cy="251070"/>
                          </a:xfrm>
                          <a:prstGeom prst="rect">
                            <a:avLst/>
                          </a:prstGeom>
                          <a:solidFill>
                            <a:srgbClr val="FFFFFF"/>
                          </a:solidFill>
                          <a:ln w="6350">
                            <a:solidFill>
                              <a:srgbClr val="000000"/>
                            </a:solidFill>
                            <a:miter lim="800000"/>
                          </a:ln>
                        </wps:spPr>
                        <wps:txbx>
                          <w:txbxContent>
                            <w:p w14:paraId="1520D657">
                              <w:pPr>
                                <w:adjustRightInd w:val="0"/>
                                <w:snapToGrid w:val="0"/>
                                <w:jc w:val="center"/>
                                <w:rPr>
                                  <w:rFonts w:eastAsia="仿宋"/>
                                  <w:sz w:val="21"/>
                                  <w:szCs w:val="21"/>
                                </w:rPr>
                              </w:pPr>
                              <w:r>
                                <w:rPr>
                                  <w:rFonts w:eastAsia="仿宋"/>
                                  <w:sz w:val="21"/>
                                  <w:szCs w:val="21"/>
                                </w:rPr>
                                <w:t>制定工作方案</w:t>
                              </w:r>
                            </w:p>
                          </w:txbxContent>
                        </wps:txbx>
                        <wps:bodyPr rot="0" vert="horz" wrap="square" lIns="72000" tIns="36000" rIns="72000" bIns="36000" anchor="ctr" anchorCtr="0" upright="1">
                          <a:spAutoFit/>
                        </wps:bodyPr>
                      </wps:wsp>
                      <wps:wsp>
                        <wps:cNvPr id="903" name="文本框 645"/>
                        <wps:cNvSpPr txBox="1">
                          <a:spLocks noChangeArrowheads="1"/>
                        </wps:cNvSpPr>
                        <wps:spPr bwMode="auto">
                          <a:xfrm>
                            <a:off x="1028723" y="3495398"/>
                            <a:ext cx="1216515" cy="424425"/>
                          </a:xfrm>
                          <a:prstGeom prst="rect">
                            <a:avLst/>
                          </a:prstGeom>
                          <a:solidFill>
                            <a:srgbClr val="FFFFFF"/>
                          </a:solidFill>
                          <a:ln w="6350">
                            <a:solidFill>
                              <a:srgbClr val="000000"/>
                            </a:solidFill>
                            <a:miter lim="800000"/>
                          </a:ln>
                        </wps:spPr>
                        <wps:txbx>
                          <w:txbxContent>
                            <w:p w14:paraId="28A66B8D">
                              <w:pPr>
                                <w:adjustRightInd w:val="0"/>
                                <w:snapToGrid w:val="0"/>
                                <w:jc w:val="center"/>
                                <w:rPr>
                                  <w:rFonts w:eastAsia="仿宋"/>
                                  <w:sz w:val="21"/>
                                  <w:szCs w:val="21"/>
                                </w:rPr>
                              </w:pPr>
                              <w:r>
                                <w:rPr>
                                  <w:rFonts w:eastAsia="仿宋"/>
                                  <w:sz w:val="21"/>
                                  <w:szCs w:val="21"/>
                                </w:rPr>
                                <w:t>环境现状调查</w:t>
                              </w:r>
                            </w:p>
                            <w:p w14:paraId="3D599DE1">
                              <w:pPr>
                                <w:adjustRightInd w:val="0"/>
                                <w:snapToGrid w:val="0"/>
                                <w:jc w:val="center"/>
                                <w:rPr>
                                  <w:rFonts w:eastAsia="仿宋"/>
                                  <w:sz w:val="21"/>
                                  <w:szCs w:val="21"/>
                                </w:rPr>
                              </w:pPr>
                              <w:r>
                                <w:rPr>
                                  <w:rFonts w:eastAsia="仿宋"/>
                                  <w:sz w:val="21"/>
                                  <w:szCs w:val="21"/>
                                </w:rPr>
                                <w:t>监测与评价</w:t>
                              </w:r>
                            </w:p>
                          </w:txbxContent>
                        </wps:txbx>
                        <wps:bodyPr rot="0" vert="horz" wrap="square" lIns="72000" tIns="36000" rIns="72000" bIns="36000" anchor="ctr" anchorCtr="0" upright="1">
                          <a:spAutoFit/>
                        </wps:bodyPr>
                      </wps:wsp>
                      <wps:wsp>
                        <wps:cNvPr id="904" name="文本框 646"/>
                        <wps:cNvSpPr txBox="1">
                          <a:spLocks noChangeArrowheads="1"/>
                        </wps:cNvSpPr>
                        <wps:spPr bwMode="auto">
                          <a:xfrm>
                            <a:off x="3500179" y="3495298"/>
                            <a:ext cx="777095" cy="424425"/>
                          </a:xfrm>
                          <a:prstGeom prst="rect">
                            <a:avLst/>
                          </a:prstGeom>
                          <a:solidFill>
                            <a:srgbClr val="FFFFFF"/>
                          </a:solidFill>
                          <a:ln w="6350">
                            <a:solidFill>
                              <a:srgbClr val="000000"/>
                            </a:solidFill>
                            <a:miter lim="800000"/>
                          </a:ln>
                        </wps:spPr>
                        <wps:txbx>
                          <w:txbxContent>
                            <w:p w14:paraId="3B0B5919">
                              <w:pPr>
                                <w:adjustRightInd w:val="0"/>
                                <w:snapToGrid w:val="0"/>
                                <w:jc w:val="center"/>
                                <w:rPr>
                                  <w:rFonts w:eastAsia="仿宋"/>
                                  <w:sz w:val="21"/>
                                  <w:szCs w:val="21"/>
                                </w:rPr>
                              </w:pPr>
                              <w:r>
                                <w:rPr>
                                  <w:rFonts w:eastAsia="仿宋"/>
                                  <w:sz w:val="21"/>
                                  <w:szCs w:val="21"/>
                                </w:rPr>
                                <w:t>建设项目工程分析</w:t>
                              </w:r>
                            </w:p>
                          </w:txbxContent>
                        </wps:txbx>
                        <wps:bodyPr rot="0" vert="horz" wrap="square" lIns="72000" tIns="36000" rIns="72000" bIns="36000" anchor="ctr" anchorCtr="0" upright="1">
                          <a:spAutoFit/>
                        </wps:bodyPr>
                      </wps:wsp>
                      <wps:wsp>
                        <wps:cNvPr id="905" name="文本框 647"/>
                        <wps:cNvSpPr txBox="1">
                          <a:spLocks noChangeArrowheads="1"/>
                        </wps:cNvSpPr>
                        <wps:spPr bwMode="auto">
                          <a:xfrm>
                            <a:off x="1623737" y="4547325"/>
                            <a:ext cx="2339830" cy="424425"/>
                          </a:xfrm>
                          <a:prstGeom prst="rect">
                            <a:avLst/>
                          </a:prstGeom>
                          <a:solidFill>
                            <a:srgbClr val="FFFFFF"/>
                          </a:solidFill>
                          <a:ln w="6350">
                            <a:solidFill>
                              <a:srgbClr val="000000"/>
                            </a:solidFill>
                            <a:miter lim="800000"/>
                          </a:ln>
                        </wps:spPr>
                        <wps:txbx>
                          <w:txbxContent>
                            <w:p w14:paraId="13AAAA88">
                              <w:pPr>
                                <w:adjustRightInd w:val="0"/>
                                <w:snapToGrid w:val="0"/>
                                <w:rPr>
                                  <w:rFonts w:eastAsia="仿宋"/>
                                  <w:sz w:val="21"/>
                                  <w:szCs w:val="21"/>
                                </w:rPr>
                              </w:pPr>
                              <w:r>
                                <w:rPr>
                                  <w:rFonts w:eastAsia="仿宋"/>
                                  <w:sz w:val="21"/>
                                  <w:szCs w:val="21"/>
                                </w:rPr>
                                <w:t>1各环境要素环境影响预测与评价</w:t>
                              </w:r>
                            </w:p>
                            <w:p w14:paraId="253FE1E5">
                              <w:pPr>
                                <w:adjustRightInd w:val="0"/>
                                <w:snapToGrid w:val="0"/>
                                <w:rPr>
                                  <w:rFonts w:eastAsia="仿宋"/>
                                  <w:sz w:val="21"/>
                                  <w:szCs w:val="21"/>
                                </w:rPr>
                              </w:pPr>
                              <w:r>
                                <w:rPr>
                                  <w:rFonts w:eastAsia="仿宋"/>
                                  <w:sz w:val="21"/>
                                  <w:szCs w:val="21"/>
                                </w:rPr>
                                <w:t>2各专项环境影响分析与评价</w:t>
                              </w:r>
                            </w:p>
                          </w:txbxContent>
                        </wps:txbx>
                        <wps:bodyPr rot="0" vert="horz" wrap="square" lIns="72000" tIns="36000" rIns="72000" bIns="36000" anchor="ctr" anchorCtr="0" upright="1">
                          <a:spAutoFit/>
                        </wps:bodyPr>
                      </wps:wsp>
                      <wps:wsp>
                        <wps:cNvPr id="906" name="文本框 648"/>
                        <wps:cNvSpPr txBox="1">
                          <a:spLocks noChangeArrowheads="1"/>
                        </wps:cNvSpPr>
                        <wps:spPr bwMode="auto">
                          <a:xfrm>
                            <a:off x="1334130" y="5391016"/>
                            <a:ext cx="2913870" cy="597145"/>
                          </a:xfrm>
                          <a:prstGeom prst="rect">
                            <a:avLst/>
                          </a:prstGeom>
                          <a:solidFill>
                            <a:srgbClr val="FFFFFF"/>
                          </a:solidFill>
                          <a:ln w="6350">
                            <a:solidFill>
                              <a:srgbClr val="000000"/>
                            </a:solidFill>
                            <a:miter lim="800000"/>
                          </a:ln>
                        </wps:spPr>
                        <wps:txbx>
                          <w:txbxContent>
                            <w:p w14:paraId="1572A4BB">
                              <w:pPr>
                                <w:adjustRightInd w:val="0"/>
                                <w:snapToGrid w:val="0"/>
                                <w:rPr>
                                  <w:rFonts w:eastAsia="仿宋"/>
                                  <w:sz w:val="21"/>
                                  <w:szCs w:val="21"/>
                                </w:rPr>
                              </w:pPr>
                              <w:r>
                                <w:rPr>
                                  <w:rFonts w:eastAsia="仿宋"/>
                                  <w:sz w:val="21"/>
                                  <w:szCs w:val="21"/>
                                </w:rPr>
                                <w:t>1提出环境保护措施，进行技术经济论证</w:t>
                              </w:r>
                            </w:p>
                            <w:p w14:paraId="7D78CDD9">
                              <w:pPr>
                                <w:adjustRightInd w:val="0"/>
                                <w:snapToGrid w:val="0"/>
                                <w:rPr>
                                  <w:rFonts w:eastAsia="仿宋"/>
                                  <w:sz w:val="21"/>
                                  <w:szCs w:val="21"/>
                                </w:rPr>
                              </w:pPr>
                              <w:r>
                                <w:rPr>
                                  <w:rFonts w:eastAsia="仿宋"/>
                                  <w:sz w:val="21"/>
                                  <w:szCs w:val="21"/>
                                </w:rPr>
                                <w:t>2给出污染物排放清单</w:t>
                              </w:r>
                            </w:p>
                            <w:p w14:paraId="70C97162">
                              <w:pPr>
                                <w:adjustRightInd w:val="0"/>
                                <w:snapToGrid w:val="0"/>
                                <w:rPr>
                                  <w:rFonts w:eastAsia="仿宋"/>
                                  <w:sz w:val="21"/>
                                  <w:szCs w:val="21"/>
                                </w:rPr>
                              </w:pPr>
                              <w:r>
                                <w:rPr>
                                  <w:rFonts w:eastAsia="仿宋"/>
                                  <w:sz w:val="21"/>
                                  <w:szCs w:val="21"/>
                                </w:rPr>
                                <w:t>3给出建设项目环境影响评价结论</w:t>
                              </w:r>
                            </w:p>
                          </w:txbxContent>
                        </wps:txbx>
                        <wps:bodyPr rot="0" vert="horz" wrap="square" lIns="72000" tIns="36000" rIns="72000" bIns="36000" anchor="ctr" anchorCtr="0" upright="1">
                          <a:spAutoFit/>
                        </wps:bodyPr>
                      </wps:wsp>
                      <wps:wsp>
                        <wps:cNvPr id="907" name="文本框 649"/>
                        <wps:cNvSpPr txBox="1">
                          <a:spLocks noChangeArrowheads="1"/>
                        </wps:cNvSpPr>
                        <wps:spPr bwMode="auto">
                          <a:xfrm>
                            <a:off x="1953944" y="6402956"/>
                            <a:ext cx="1743565" cy="251070"/>
                          </a:xfrm>
                          <a:prstGeom prst="rect">
                            <a:avLst/>
                          </a:prstGeom>
                          <a:solidFill>
                            <a:srgbClr val="FFFFFF"/>
                          </a:solidFill>
                          <a:ln w="6350">
                            <a:solidFill>
                              <a:srgbClr val="000000"/>
                            </a:solidFill>
                            <a:miter lim="800000"/>
                          </a:ln>
                        </wps:spPr>
                        <wps:txbx>
                          <w:txbxContent>
                            <w:p w14:paraId="28E71C8C">
                              <w:pPr>
                                <w:adjustRightInd w:val="0"/>
                                <w:snapToGrid w:val="0"/>
                                <w:jc w:val="center"/>
                                <w:rPr>
                                  <w:rFonts w:eastAsia="仿宋"/>
                                  <w:sz w:val="21"/>
                                  <w:szCs w:val="21"/>
                                </w:rPr>
                              </w:pPr>
                              <w:r>
                                <w:rPr>
                                  <w:rFonts w:eastAsia="仿宋"/>
                                  <w:sz w:val="21"/>
                                  <w:szCs w:val="21"/>
                                </w:rPr>
                                <w:t>编制环境影响报告书</w:t>
                              </w:r>
                            </w:p>
                          </w:txbxContent>
                        </wps:txbx>
                        <wps:bodyPr rot="0" vert="horz" wrap="square" lIns="72000" tIns="36000" rIns="72000" bIns="36000" anchor="ctr" anchorCtr="0" upright="1">
                          <a:spAutoFit/>
                        </wps:bodyPr>
                      </wps:wsp>
                      <wps:wsp>
                        <wps:cNvPr id="908" name="直接箭头连接符 746"/>
                        <wps:cNvCnPr>
                          <a:cxnSpLocks noChangeShapeType="1"/>
                        </wps:cNvCnPr>
                        <wps:spPr bwMode="auto">
                          <a:xfrm>
                            <a:off x="2737562" y="277101"/>
                            <a:ext cx="0" cy="432002"/>
                          </a:xfrm>
                          <a:prstGeom prst="straightConnector1">
                            <a:avLst/>
                          </a:prstGeom>
                          <a:noFill/>
                          <a:ln w="3175">
                            <a:solidFill>
                              <a:srgbClr val="000000"/>
                            </a:solidFill>
                            <a:miter lim="800000"/>
                            <a:tailEnd type="stealth" w="med" len="lg"/>
                          </a:ln>
                        </wps:spPr>
                        <wps:bodyPr/>
                      </wps:wsp>
                      <wps:wsp>
                        <wps:cNvPr id="909" name="直接箭头连接符 650"/>
                        <wps:cNvCnPr>
                          <a:cxnSpLocks noChangeShapeType="1"/>
                        </wps:cNvCnPr>
                        <wps:spPr bwMode="auto">
                          <a:xfrm flipH="1">
                            <a:off x="2732462" y="1305605"/>
                            <a:ext cx="100" cy="421002"/>
                          </a:xfrm>
                          <a:prstGeom prst="straightConnector1">
                            <a:avLst/>
                          </a:prstGeom>
                          <a:noFill/>
                          <a:ln w="3175">
                            <a:solidFill>
                              <a:srgbClr val="000000"/>
                            </a:solidFill>
                            <a:miter lim="800000"/>
                            <a:tailEnd type="stealth" w="med" len="lg"/>
                          </a:ln>
                        </wps:spPr>
                        <wps:bodyPr/>
                      </wps:wsp>
                      <wps:wsp>
                        <wps:cNvPr id="910" name="直接箭头连接符 652"/>
                        <wps:cNvCnPr>
                          <a:cxnSpLocks noChangeShapeType="1"/>
                        </wps:cNvCnPr>
                        <wps:spPr bwMode="auto">
                          <a:xfrm>
                            <a:off x="2730562" y="2324108"/>
                            <a:ext cx="1900" cy="415302"/>
                          </a:xfrm>
                          <a:prstGeom prst="straightConnector1">
                            <a:avLst/>
                          </a:prstGeom>
                          <a:noFill/>
                          <a:ln w="3175">
                            <a:solidFill>
                              <a:srgbClr val="000000"/>
                            </a:solidFill>
                            <a:miter lim="800000"/>
                            <a:tailEnd type="stealth" w="med" len="lg"/>
                          </a:ln>
                        </wps:spPr>
                        <wps:bodyPr/>
                      </wps:wsp>
                      <wps:wsp>
                        <wps:cNvPr id="911" name="肘形连接符 748"/>
                        <wps:cNvCnPr>
                          <a:cxnSpLocks noChangeShapeType="1"/>
                        </wps:cNvCnPr>
                        <wps:spPr bwMode="auto">
                          <a:xfrm rot="5400000" flipH="1" flipV="1">
                            <a:off x="2757863" y="2355787"/>
                            <a:ext cx="14600" cy="2282852"/>
                          </a:xfrm>
                          <a:prstGeom prst="bentConnector3">
                            <a:avLst>
                              <a:gd name="adj1" fmla="val 1662648"/>
                            </a:avLst>
                          </a:prstGeom>
                          <a:noFill/>
                          <a:ln w="6350">
                            <a:solidFill>
                              <a:srgbClr val="000000"/>
                            </a:solidFill>
                            <a:miter lim="800000"/>
                          </a:ln>
                        </wps:spPr>
                        <wps:bodyPr/>
                      </wps:wsp>
                      <wps:wsp>
                        <wps:cNvPr id="912" name="肘形连接符 749"/>
                        <wps:cNvCnPr>
                          <a:cxnSpLocks noChangeShapeType="1"/>
                        </wps:cNvCnPr>
                        <wps:spPr bwMode="auto">
                          <a:xfrm rot="5400000" flipH="1" flipV="1">
                            <a:off x="2757863" y="2773688"/>
                            <a:ext cx="14600" cy="2282852"/>
                          </a:xfrm>
                          <a:prstGeom prst="bentConnector3">
                            <a:avLst>
                              <a:gd name="adj1" fmla="val -1562648"/>
                            </a:avLst>
                          </a:prstGeom>
                          <a:noFill/>
                          <a:ln w="6350">
                            <a:solidFill>
                              <a:srgbClr val="000000"/>
                            </a:solidFill>
                            <a:miter lim="800000"/>
                          </a:ln>
                        </wps:spPr>
                        <wps:bodyPr/>
                      </wps:wsp>
                      <wps:wsp>
                        <wps:cNvPr id="913" name="直接箭头连接符 654"/>
                        <wps:cNvCnPr>
                          <a:cxnSpLocks noChangeShapeType="1"/>
                        </wps:cNvCnPr>
                        <wps:spPr bwMode="auto">
                          <a:xfrm>
                            <a:off x="2730562" y="2990811"/>
                            <a:ext cx="100" cy="269901"/>
                          </a:xfrm>
                          <a:prstGeom prst="straightConnector1">
                            <a:avLst/>
                          </a:prstGeom>
                          <a:noFill/>
                          <a:ln w="3175">
                            <a:solidFill>
                              <a:srgbClr val="000000"/>
                            </a:solidFill>
                            <a:miter lim="800000"/>
                            <a:tailEnd type="stealth" w="med" len="lg"/>
                          </a:ln>
                        </wps:spPr>
                        <wps:bodyPr/>
                      </wps:wsp>
                      <wps:wsp>
                        <wps:cNvPr id="914" name="直接箭头连接符 656"/>
                        <wps:cNvCnPr>
                          <a:cxnSpLocks noChangeShapeType="1"/>
                        </wps:cNvCnPr>
                        <wps:spPr bwMode="auto">
                          <a:xfrm>
                            <a:off x="2821364" y="4145215"/>
                            <a:ext cx="100" cy="414102"/>
                          </a:xfrm>
                          <a:prstGeom prst="straightConnector1">
                            <a:avLst/>
                          </a:prstGeom>
                          <a:noFill/>
                          <a:ln w="3175">
                            <a:solidFill>
                              <a:srgbClr val="000000"/>
                            </a:solidFill>
                            <a:miter lim="800000"/>
                            <a:tailEnd type="stealth" w="med" len="lg"/>
                          </a:ln>
                        </wps:spPr>
                        <wps:bodyPr/>
                      </wps:wsp>
                      <wps:wsp>
                        <wps:cNvPr id="915" name="直接箭头连接符 657"/>
                        <wps:cNvCnPr>
                          <a:cxnSpLocks noChangeShapeType="1"/>
                        </wps:cNvCnPr>
                        <wps:spPr bwMode="auto">
                          <a:xfrm>
                            <a:off x="2819464" y="4984118"/>
                            <a:ext cx="1900" cy="417202"/>
                          </a:xfrm>
                          <a:prstGeom prst="straightConnector1">
                            <a:avLst/>
                          </a:prstGeom>
                          <a:noFill/>
                          <a:ln w="3175">
                            <a:solidFill>
                              <a:srgbClr val="000000"/>
                            </a:solidFill>
                            <a:miter lim="800000"/>
                            <a:tailEnd type="stealth" w="med" len="lg"/>
                          </a:ln>
                        </wps:spPr>
                        <wps:bodyPr/>
                      </wps:wsp>
                      <wps:wsp>
                        <wps:cNvPr id="916" name="直接箭头连接符 658"/>
                        <wps:cNvCnPr>
                          <a:cxnSpLocks noChangeShapeType="1"/>
                        </wps:cNvCnPr>
                        <wps:spPr bwMode="auto">
                          <a:xfrm flipH="1">
                            <a:off x="2887365" y="5998822"/>
                            <a:ext cx="1900" cy="416602"/>
                          </a:xfrm>
                          <a:prstGeom prst="straightConnector1">
                            <a:avLst/>
                          </a:prstGeom>
                          <a:noFill/>
                          <a:ln w="3175">
                            <a:solidFill>
                              <a:srgbClr val="000000"/>
                            </a:solidFill>
                            <a:miter lim="800000"/>
                            <a:tailEnd type="stealth" w="med" len="lg"/>
                          </a:ln>
                        </wps:spPr>
                        <wps:bodyPr/>
                      </wps:wsp>
                      <wps:wsp>
                        <wps:cNvPr id="917" name="直接连接符 751"/>
                        <wps:cNvCnPr>
                          <a:cxnSpLocks noChangeShapeType="1"/>
                        </wps:cNvCnPr>
                        <wps:spPr bwMode="auto">
                          <a:xfrm>
                            <a:off x="11400" y="3075311"/>
                            <a:ext cx="5509925" cy="100"/>
                          </a:xfrm>
                          <a:prstGeom prst="line">
                            <a:avLst/>
                          </a:prstGeom>
                          <a:noFill/>
                          <a:ln w="6350">
                            <a:solidFill>
                              <a:srgbClr val="000000"/>
                            </a:solidFill>
                            <a:prstDash val="dash"/>
                            <a:miter lim="800000"/>
                          </a:ln>
                        </wps:spPr>
                        <wps:bodyPr/>
                      </wps:wsp>
                      <wps:wsp>
                        <wps:cNvPr id="918" name="直接连接符 660"/>
                        <wps:cNvCnPr>
                          <a:cxnSpLocks noChangeShapeType="1"/>
                        </wps:cNvCnPr>
                        <wps:spPr bwMode="auto">
                          <a:xfrm>
                            <a:off x="0" y="5132719"/>
                            <a:ext cx="5509925" cy="100"/>
                          </a:xfrm>
                          <a:prstGeom prst="line">
                            <a:avLst/>
                          </a:prstGeom>
                          <a:noFill/>
                          <a:ln w="6350">
                            <a:solidFill>
                              <a:srgbClr val="000000"/>
                            </a:solidFill>
                            <a:prstDash val="dash"/>
                            <a:miter lim="800000"/>
                          </a:ln>
                        </wps:spPr>
                        <wps:bodyPr/>
                      </wps:wsp>
                      <wps:wsp>
                        <wps:cNvPr id="736" name="文本框 662"/>
                        <wps:cNvSpPr txBox="1">
                          <a:spLocks noChangeArrowheads="1"/>
                        </wps:cNvSpPr>
                        <wps:spPr bwMode="auto">
                          <a:xfrm>
                            <a:off x="130803" y="942303"/>
                            <a:ext cx="307307" cy="1254805"/>
                          </a:xfrm>
                          <a:prstGeom prst="rect">
                            <a:avLst/>
                          </a:prstGeom>
                          <a:noFill/>
                          <a:ln>
                            <a:noFill/>
                          </a:ln>
                        </wps:spPr>
                        <wps:txbx>
                          <w:txbxContent>
                            <w:p w14:paraId="3FEA602A">
                              <w:pPr>
                                <w:adjustRightInd w:val="0"/>
                                <w:snapToGrid w:val="0"/>
                                <w:jc w:val="center"/>
                                <w:rPr>
                                  <w:rFonts w:eastAsia="仿宋"/>
                                  <w:sz w:val="21"/>
                                  <w:szCs w:val="21"/>
                                </w:rPr>
                              </w:pPr>
                              <w:r>
                                <w:rPr>
                                  <w:rFonts w:eastAsia="仿宋"/>
                                  <w:sz w:val="21"/>
                                  <w:szCs w:val="21"/>
                                </w:rPr>
                                <w:t>第一阶段</w:t>
                              </w:r>
                            </w:p>
                          </w:txbxContent>
                        </wps:txbx>
                        <wps:bodyPr rot="0" vert="eaVert" wrap="square" lIns="72000" tIns="36000" rIns="72000" bIns="36000" anchor="ctr" anchorCtr="0" upright="1">
                          <a:noAutofit/>
                        </wps:bodyPr>
                      </wps:wsp>
                      <wps:wsp>
                        <wps:cNvPr id="737" name="文本框 663"/>
                        <wps:cNvSpPr txBox="1">
                          <a:spLocks noChangeArrowheads="1"/>
                        </wps:cNvSpPr>
                        <wps:spPr bwMode="auto">
                          <a:xfrm>
                            <a:off x="130803" y="3489913"/>
                            <a:ext cx="307307" cy="1254805"/>
                          </a:xfrm>
                          <a:prstGeom prst="rect">
                            <a:avLst/>
                          </a:prstGeom>
                          <a:noFill/>
                          <a:ln>
                            <a:noFill/>
                          </a:ln>
                        </wps:spPr>
                        <wps:txbx>
                          <w:txbxContent>
                            <w:p w14:paraId="14AB3B1F">
                              <w:pPr>
                                <w:adjustRightInd w:val="0"/>
                                <w:snapToGrid w:val="0"/>
                                <w:jc w:val="center"/>
                                <w:rPr>
                                  <w:rFonts w:eastAsia="仿宋"/>
                                  <w:sz w:val="21"/>
                                  <w:szCs w:val="21"/>
                                </w:rPr>
                              </w:pPr>
                              <w:r>
                                <w:rPr>
                                  <w:rFonts w:eastAsia="仿宋"/>
                                  <w:sz w:val="21"/>
                                  <w:szCs w:val="21"/>
                                </w:rPr>
                                <w:t>第二阶段</w:t>
                              </w:r>
                            </w:p>
                          </w:txbxContent>
                        </wps:txbx>
                        <wps:bodyPr rot="0" vert="eaVert" wrap="square" lIns="72000" tIns="36000" rIns="72000" bIns="36000" anchor="ctr" anchorCtr="0" upright="1">
                          <a:noAutofit/>
                        </wps:bodyPr>
                      </wps:wsp>
                      <wps:wsp>
                        <wps:cNvPr id="738" name="文本框 664"/>
                        <wps:cNvSpPr txBox="1">
                          <a:spLocks noChangeArrowheads="1"/>
                        </wps:cNvSpPr>
                        <wps:spPr bwMode="auto">
                          <a:xfrm>
                            <a:off x="214605" y="5331419"/>
                            <a:ext cx="308007" cy="1254805"/>
                          </a:xfrm>
                          <a:prstGeom prst="rect">
                            <a:avLst/>
                          </a:prstGeom>
                          <a:noFill/>
                          <a:ln>
                            <a:noFill/>
                          </a:ln>
                        </wps:spPr>
                        <wps:txbx>
                          <w:txbxContent>
                            <w:p w14:paraId="65325BA1">
                              <w:pPr>
                                <w:adjustRightInd w:val="0"/>
                                <w:snapToGrid w:val="0"/>
                                <w:jc w:val="center"/>
                                <w:rPr>
                                  <w:rFonts w:eastAsia="仿宋"/>
                                  <w:sz w:val="21"/>
                                  <w:szCs w:val="21"/>
                                </w:rPr>
                              </w:pPr>
                              <w:r>
                                <w:rPr>
                                  <w:rFonts w:eastAsia="仿宋"/>
                                  <w:sz w:val="21"/>
                                  <w:szCs w:val="21"/>
                                </w:rPr>
                                <w:t>第三阶段</w:t>
                              </w:r>
                            </w:p>
                          </w:txbxContent>
                        </wps:txbx>
                        <wps:bodyPr rot="0" vert="eaVert" wrap="square" lIns="72000" tIns="36000" rIns="72000" bIns="36000" anchor="ctr" anchorCtr="0" upright="1">
                          <a:noAutofit/>
                        </wps:bodyPr>
                      </wps:wsp>
                    </wpc:wpc>
                  </a:graphicData>
                </a:graphic>
              </wp:anchor>
            </w:drawing>
          </mc:Choice>
          <mc:Fallback>
            <w:pict>
              <v:group id="画布 739" o:spid="_x0000_s1026" o:spt="203" style="position:absolute;left:0pt;margin-left:-4.5pt;margin-top:2.55pt;height:558pt;width:434.75pt;mso-position-horizontal-relative:margin;z-index:251660288;mso-width-relative:page;mso-height-relative:page;" coordsize="5521325,7086600" editas="canvas" o:gfxdata="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">
                <o:lock v:ext="edit" aspectratio="f"/>
                <v:shape id="画布 739" o:spid="_x0000_s1026" style="position:absolute;left:0;top:0;height:7086600;width:5521325;" filled="f" stroked="t" coordsize="21600,21600" o:gfxdata="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">
                  <v:fill on="f" focussize="0,0"/>
                  <v:stroke weight="0.5pt" color="#000000" miterlimit="8" joinstyle="miter"/>
                  <v:imagedata o:title=""/>
                  <o:lock v:ext="edit" aspectratio="f"/>
                </v:shape>
                <v:shape id="文本框 744" o:spid="_x0000_s1026" o:spt="202" type="#_x0000_t202" style="position:absolute;left:1334130;top:25313;height:251070;width:2772265;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qIRINYAAAAJAQAADwAAAAAAAAAB&#10;ACAAAAAiAAAAZHJzL2Rvd25yZXYueG1sUEsBAhQAFAAAAAgAh07iQPBqwQxLAgAAlwQAAA4AAAAA&#10;AAAAAQAgAAAAJQEAAGRycy9lMm9Eb2MueG1sUEsFBgAAAAAGAAYAWQEAAOIFAAAAAA==&#10;">
                  <v:fill on="t" focussize="0,0"/>
                  <v:stroke weight="0.5pt" color="#000000" miterlimit="8" joinstyle="miter"/>
                  <v:imagedata o:title=""/>
                  <o:lock v:ext="edit" aspectratio="f"/>
                  <v:textbox inset="2mm,1mm,2mm,1mm" style="mso-fit-shape-to-text:t;">
                    <w:txbxContent>
                      <w:p w14:paraId="68CE80A8">
                        <w:pPr>
                          <w:adjustRightInd w:val="0"/>
                          <w:snapToGrid w:val="0"/>
                          <w:jc w:val="center"/>
                          <w:rPr>
                            <w:rFonts w:eastAsia="仿宋"/>
                            <w:sz w:val="21"/>
                            <w:szCs w:val="21"/>
                          </w:rPr>
                        </w:pPr>
                        <w:r>
                          <w:rPr>
                            <w:rFonts w:eastAsia="仿宋"/>
                            <w:sz w:val="21"/>
                            <w:szCs w:val="21"/>
                          </w:rPr>
                          <w:t>依据相关规定确定环境影响评价文件类型</w:t>
                        </w:r>
                      </w:p>
                    </w:txbxContent>
                  </v:textbox>
                </v:shape>
                <v:shape id="文本框 640" o:spid="_x0000_s1026" o:spt="202" type="#_x0000_t202" style="position:absolute;left:1407132;top:707944;height:597145;width:2694160;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qIRINYAAAAJAQAADwAAAAAA&#10;AAABACAAAAAiAAAAZHJzL2Rvd25yZXYueG1sUEsBAhQAFAAAAAgAh07iQFAHtrJOAgAAmAQAAA4A&#10;AAAAAAAAAQAgAAAAJQEAAGRycy9lMm9Eb2MueG1sUEsFBgAAAAAGAAYAWQEAAOUFAAAAAA==&#10;">
                  <v:fill on="t" focussize="0,0"/>
                  <v:stroke weight="0.5pt" color="#000000" miterlimit="8" joinstyle="miter"/>
                  <v:imagedata o:title=""/>
                  <o:lock v:ext="edit" aspectratio="f"/>
                  <v:textbox inset="2mm,1mm,2mm,1mm" style="mso-fit-shape-to-text:t;">
                    <w:txbxContent>
                      <w:p w14:paraId="01F633CD">
                        <w:pPr>
                          <w:adjustRightInd w:val="0"/>
                          <w:snapToGrid w:val="0"/>
                          <w:rPr>
                            <w:rFonts w:eastAsia="仿宋"/>
                            <w:sz w:val="21"/>
                            <w:szCs w:val="21"/>
                          </w:rPr>
                        </w:pPr>
                        <w:r>
                          <w:rPr>
                            <w:rFonts w:eastAsia="仿宋"/>
                            <w:sz w:val="21"/>
                            <w:szCs w:val="21"/>
                          </w:rPr>
                          <w:t>1研究相关技术文件和其他有关文件</w:t>
                        </w:r>
                      </w:p>
                      <w:p w14:paraId="723C780E">
                        <w:pPr>
                          <w:adjustRightInd w:val="0"/>
                          <w:snapToGrid w:val="0"/>
                          <w:rPr>
                            <w:rFonts w:eastAsia="仿宋"/>
                            <w:sz w:val="21"/>
                            <w:szCs w:val="21"/>
                          </w:rPr>
                        </w:pPr>
                        <w:r>
                          <w:rPr>
                            <w:rFonts w:eastAsia="仿宋"/>
                            <w:sz w:val="21"/>
                            <w:szCs w:val="21"/>
                          </w:rPr>
                          <w:t>2进行初步工程分析</w:t>
                        </w:r>
                      </w:p>
                      <w:p w14:paraId="237E52A0">
                        <w:pPr>
                          <w:adjustRightInd w:val="0"/>
                          <w:snapToGrid w:val="0"/>
                          <w:rPr>
                            <w:rFonts w:eastAsia="仿宋"/>
                            <w:sz w:val="21"/>
                            <w:szCs w:val="21"/>
                          </w:rPr>
                        </w:pPr>
                        <w:r>
                          <w:rPr>
                            <w:rFonts w:eastAsia="仿宋"/>
                            <w:sz w:val="21"/>
                            <w:szCs w:val="21"/>
                          </w:rPr>
                          <w:t>3开展初步的环境影响现状调查</w:t>
                        </w:r>
                      </w:p>
                    </w:txbxContent>
                  </v:textbox>
                </v:shape>
                <v:shape id="文本框 641" o:spid="_x0000_s1026" o:spt="202" type="#_x0000_t202" style="position:absolute;left:1407132;top:1722487;height:597145;width:2616690;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qIRINYAAAAJAQAADwAAAAAA&#10;AAABACAAAAAiAAAAZHJzL2Rvd25yZXYueG1sUEsBAhQAFAAAAAgAh07iQK3D9O5OAgAAmQQAAA4A&#10;AAAAAAAAAQAgAAAAJQEAAGRycy9lMm9Eb2MueG1sUEsFBgAAAAAGAAYAWQEAAOUFAAAAAA==&#10;">
                  <v:fill on="t" focussize="0,0"/>
                  <v:stroke weight="0.5pt" color="#000000" miterlimit="8" joinstyle="miter"/>
                  <v:imagedata o:title=""/>
                  <o:lock v:ext="edit" aspectratio="f"/>
                  <v:textbox inset="2mm,1mm,2mm,1mm" style="mso-fit-shape-to-text:t;">
                    <w:txbxContent>
                      <w:p w14:paraId="07AB80FE">
                        <w:pPr>
                          <w:adjustRightInd w:val="0"/>
                          <w:snapToGrid w:val="0"/>
                          <w:jc w:val="center"/>
                          <w:rPr>
                            <w:rFonts w:eastAsia="仿宋"/>
                            <w:sz w:val="21"/>
                            <w:szCs w:val="21"/>
                          </w:rPr>
                        </w:pPr>
                        <w:r>
                          <w:rPr>
                            <w:rFonts w:eastAsia="仿宋"/>
                            <w:sz w:val="21"/>
                            <w:szCs w:val="21"/>
                          </w:rPr>
                          <w:t>1环境影响识别和评价因子筛选</w:t>
                        </w:r>
                      </w:p>
                      <w:p w14:paraId="0202DC8A">
                        <w:pPr>
                          <w:adjustRightInd w:val="0"/>
                          <w:snapToGrid w:val="0"/>
                          <w:jc w:val="center"/>
                          <w:rPr>
                            <w:rFonts w:eastAsia="仿宋"/>
                            <w:sz w:val="21"/>
                            <w:szCs w:val="21"/>
                          </w:rPr>
                        </w:pPr>
                        <w:r>
                          <w:rPr>
                            <w:rFonts w:eastAsia="仿宋"/>
                            <w:sz w:val="21"/>
                            <w:szCs w:val="21"/>
                          </w:rPr>
                          <w:t>2明确评价重点和环境保护目标</w:t>
                        </w:r>
                      </w:p>
                      <w:p w14:paraId="1B9614B3">
                        <w:pPr>
                          <w:adjustRightInd w:val="0"/>
                          <w:snapToGrid w:val="0"/>
                          <w:jc w:val="center"/>
                          <w:rPr>
                            <w:rFonts w:eastAsia="仿宋"/>
                            <w:sz w:val="21"/>
                            <w:szCs w:val="21"/>
                          </w:rPr>
                        </w:pPr>
                        <w:r>
                          <w:rPr>
                            <w:rFonts w:eastAsia="仿宋"/>
                            <w:sz w:val="21"/>
                            <w:szCs w:val="21"/>
                          </w:rPr>
                          <w:t>3确定工作等级、评价范围和评价标准</w:t>
                        </w:r>
                      </w:p>
                    </w:txbxContent>
                  </v:textbox>
                </v:shape>
                <v:shape id="文本框 644" o:spid="_x0000_s1026" o:spt="202" type="#_x0000_t202" style="position:absolute;left:2069447;top:2734195;height:251070;width:1328910;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ohEg1gAAAAkBAAAPAAAAAAAA&#10;AAEAIAAAACIAAABkcnMvZG93bnJldi54bWxQSwECFAAUAAAACACHTuJA3PhDXE0CAACZBAAADgAA&#10;AAAAAAABACAAAAAlAQAAZHJzL2Uyb0RvYy54bWxQSwUGAAAAAAYABgBZAQAA5AUAAAAA&#10;">
                  <v:fill on="t" focussize="0,0"/>
                  <v:stroke weight="0.5pt" color="#000000" miterlimit="8" joinstyle="miter"/>
                  <v:imagedata o:title=""/>
                  <o:lock v:ext="edit" aspectratio="f"/>
                  <v:textbox inset="2mm,1mm,2mm,1mm" style="mso-fit-shape-to-text:t;">
                    <w:txbxContent>
                      <w:p w14:paraId="1520D657">
                        <w:pPr>
                          <w:adjustRightInd w:val="0"/>
                          <w:snapToGrid w:val="0"/>
                          <w:jc w:val="center"/>
                          <w:rPr>
                            <w:rFonts w:eastAsia="仿宋"/>
                            <w:sz w:val="21"/>
                            <w:szCs w:val="21"/>
                          </w:rPr>
                        </w:pPr>
                        <w:r>
                          <w:rPr>
                            <w:rFonts w:eastAsia="仿宋"/>
                            <w:sz w:val="21"/>
                            <w:szCs w:val="21"/>
                          </w:rPr>
                          <w:t>制定工作方案</w:t>
                        </w:r>
                      </w:p>
                    </w:txbxContent>
                  </v:textbox>
                </v:shape>
                <v:shape id="文本框 645" o:spid="_x0000_s1026" o:spt="202" type="#_x0000_t202" style="position:absolute;left:1028723;top:3495398;height:424425;width:1216515;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qIRINYAAAAJAQAADwAAAAAA&#10;AAABACAAAAAiAAAAZHJzL2Rvd25yZXYueG1sUEsBAhQAFAAAAAgAh07iQKSo3sJOAgAAmQQAAA4A&#10;AAAAAAAAAQAgAAAAJQEAAGRycy9lMm9Eb2MueG1sUEsFBgAAAAAGAAYAWQEAAOUFAAAAAA==&#10;">
                  <v:fill on="t" focussize="0,0"/>
                  <v:stroke weight="0.5pt" color="#000000" miterlimit="8" joinstyle="miter"/>
                  <v:imagedata o:title=""/>
                  <o:lock v:ext="edit" aspectratio="f"/>
                  <v:textbox inset="2mm,1mm,2mm,1mm" style="mso-fit-shape-to-text:t;">
                    <w:txbxContent>
                      <w:p w14:paraId="28A66B8D">
                        <w:pPr>
                          <w:adjustRightInd w:val="0"/>
                          <w:snapToGrid w:val="0"/>
                          <w:jc w:val="center"/>
                          <w:rPr>
                            <w:rFonts w:eastAsia="仿宋"/>
                            <w:sz w:val="21"/>
                            <w:szCs w:val="21"/>
                          </w:rPr>
                        </w:pPr>
                        <w:r>
                          <w:rPr>
                            <w:rFonts w:eastAsia="仿宋"/>
                            <w:sz w:val="21"/>
                            <w:szCs w:val="21"/>
                          </w:rPr>
                          <w:t>环境现状调查</w:t>
                        </w:r>
                      </w:p>
                      <w:p w14:paraId="3D599DE1">
                        <w:pPr>
                          <w:adjustRightInd w:val="0"/>
                          <w:snapToGrid w:val="0"/>
                          <w:jc w:val="center"/>
                          <w:rPr>
                            <w:rFonts w:eastAsia="仿宋"/>
                            <w:sz w:val="21"/>
                            <w:szCs w:val="21"/>
                          </w:rPr>
                        </w:pPr>
                        <w:r>
                          <w:rPr>
                            <w:rFonts w:eastAsia="仿宋"/>
                            <w:sz w:val="21"/>
                            <w:szCs w:val="21"/>
                          </w:rPr>
                          <w:t>监测与评价</w:t>
                        </w:r>
                      </w:p>
                    </w:txbxContent>
                  </v:textbox>
                </v:shape>
                <v:shape id="文本框 646" o:spid="_x0000_s1026" o:spt="202" type="#_x0000_t202" style="position:absolute;left:3500179;top:3495298;height:424425;width:777095;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ohEg1gAAAAkBAAAPAAAAAAAA&#10;AAEAIAAAACIAAABkcnMvZG93bnJldi54bWxQSwECFAAUAAAACACHTuJAKGJ2wE0CAACYBAAADgAA&#10;AAAAAAABACAAAAAlAQAAZHJzL2Uyb0RvYy54bWxQSwUGAAAAAAYABgBZAQAA5AUAAAAA&#10;">
                  <v:fill on="t" focussize="0,0"/>
                  <v:stroke weight="0.5pt" color="#000000" miterlimit="8" joinstyle="miter"/>
                  <v:imagedata o:title=""/>
                  <o:lock v:ext="edit" aspectratio="f"/>
                  <v:textbox inset="2mm,1mm,2mm,1mm" style="mso-fit-shape-to-text:t;">
                    <w:txbxContent>
                      <w:p w14:paraId="3B0B5919">
                        <w:pPr>
                          <w:adjustRightInd w:val="0"/>
                          <w:snapToGrid w:val="0"/>
                          <w:jc w:val="center"/>
                          <w:rPr>
                            <w:rFonts w:eastAsia="仿宋"/>
                            <w:sz w:val="21"/>
                            <w:szCs w:val="21"/>
                          </w:rPr>
                        </w:pPr>
                        <w:r>
                          <w:rPr>
                            <w:rFonts w:eastAsia="仿宋"/>
                            <w:sz w:val="21"/>
                            <w:szCs w:val="21"/>
                          </w:rPr>
                          <w:t>建设项目工程分析</w:t>
                        </w:r>
                      </w:p>
                    </w:txbxContent>
                  </v:textbox>
                </v:shape>
                <v:shape id="文本框 647" o:spid="_x0000_s1026" o:spt="202" type="#_x0000_t202" style="position:absolute;left:1623737;top:4547325;height:424425;width:2339830;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ohEg1gAAAAkBAAAPAAAAAAAA&#10;AAEAIAAAACIAAABkcnMvZG93bnJldi54bWxQSwECFAAUAAAACACHTuJAFHU0P00CAACZBAAADgAA&#10;AAAAAAABACAAAAAlAQAAZHJzL2Uyb0RvYy54bWxQSwUGAAAAAAYABgBZAQAA5AUAAAAA&#10;">
                  <v:fill on="t" focussize="0,0"/>
                  <v:stroke weight="0.5pt" color="#000000" miterlimit="8" joinstyle="miter"/>
                  <v:imagedata o:title=""/>
                  <o:lock v:ext="edit" aspectratio="f"/>
                  <v:textbox inset="2mm,1mm,2mm,1mm" style="mso-fit-shape-to-text:t;">
                    <w:txbxContent>
                      <w:p w14:paraId="13AAAA88">
                        <w:pPr>
                          <w:adjustRightInd w:val="0"/>
                          <w:snapToGrid w:val="0"/>
                          <w:rPr>
                            <w:rFonts w:eastAsia="仿宋"/>
                            <w:sz w:val="21"/>
                            <w:szCs w:val="21"/>
                          </w:rPr>
                        </w:pPr>
                        <w:r>
                          <w:rPr>
                            <w:rFonts w:eastAsia="仿宋"/>
                            <w:sz w:val="21"/>
                            <w:szCs w:val="21"/>
                          </w:rPr>
                          <w:t>1各环境要素环境影响预测与评价</w:t>
                        </w:r>
                      </w:p>
                      <w:p w14:paraId="253FE1E5">
                        <w:pPr>
                          <w:adjustRightInd w:val="0"/>
                          <w:snapToGrid w:val="0"/>
                          <w:rPr>
                            <w:rFonts w:eastAsia="仿宋"/>
                            <w:sz w:val="21"/>
                            <w:szCs w:val="21"/>
                          </w:rPr>
                        </w:pPr>
                        <w:r>
                          <w:rPr>
                            <w:rFonts w:eastAsia="仿宋"/>
                            <w:sz w:val="21"/>
                            <w:szCs w:val="21"/>
                          </w:rPr>
                          <w:t>2各专项环境影响分析与评价</w:t>
                        </w:r>
                      </w:p>
                    </w:txbxContent>
                  </v:textbox>
                </v:shape>
                <v:shape id="文本框 648" o:spid="_x0000_s1026" o:spt="202" type="#_x0000_t202" style="position:absolute;left:1334130;top:5391016;height:597145;width:2913870;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ohEg1gAAAAkBAAAPAAAAAAAA&#10;AAEAIAAAACIAAABkcnMvZG93bnJldi54bWxQSwECFAAUAAAACACHTuJACiGwd00CAACZBAAADgAA&#10;AAAAAAABACAAAAAlAQAAZHJzL2Uyb0RvYy54bWxQSwUGAAAAAAYABgBZAQAA5AUAAAAA&#10;">
                  <v:fill on="t" focussize="0,0"/>
                  <v:stroke weight="0.5pt" color="#000000" miterlimit="8" joinstyle="miter"/>
                  <v:imagedata o:title=""/>
                  <o:lock v:ext="edit" aspectratio="f"/>
                  <v:textbox inset="2mm,1mm,2mm,1mm" style="mso-fit-shape-to-text:t;">
                    <w:txbxContent>
                      <w:p w14:paraId="1572A4BB">
                        <w:pPr>
                          <w:adjustRightInd w:val="0"/>
                          <w:snapToGrid w:val="0"/>
                          <w:rPr>
                            <w:rFonts w:eastAsia="仿宋"/>
                            <w:sz w:val="21"/>
                            <w:szCs w:val="21"/>
                          </w:rPr>
                        </w:pPr>
                        <w:r>
                          <w:rPr>
                            <w:rFonts w:eastAsia="仿宋"/>
                            <w:sz w:val="21"/>
                            <w:szCs w:val="21"/>
                          </w:rPr>
                          <w:t>1提出环境保护措施，进行技术经济论证</w:t>
                        </w:r>
                      </w:p>
                      <w:p w14:paraId="7D78CDD9">
                        <w:pPr>
                          <w:adjustRightInd w:val="0"/>
                          <w:snapToGrid w:val="0"/>
                          <w:rPr>
                            <w:rFonts w:eastAsia="仿宋"/>
                            <w:sz w:val="21"/>
                            <w:szCs w:val="21"/>
                          </w:rPr>
                        </w:pPr>
                        <w:r>
                          <w:rPr>
                            <w:rFonts w:eastAsia="仿宋"/>
                            <w:sz w:val="21"/>
                            <w:szCs w:val="21"/>
                          </w:rPr>
                          <w:t>2给出污染物排放清单</w:t>
                        </w:r>
                      </w:p>
                      <w:p w14:paraId="70C97162">
                        <w:pPr>
                          <w:adjustRightInd w:val="0"/>
                          <w:snapToGrid w:val="0"/>
                          <w:rPr>
                            <w:rFonts w:eastAsia="仿宋"/>
                            <w:sz w:val="21"/>
                            <w:szCs w:val="21"/>
                          </w:rPr>
                        </w:pPr>
                        <w:r>
                          <w:rPr>
                            <w:rFonts w:eastAsia="仿宋"/>
                            <w:sz w:val="21"/>
                            <w:szCs w:val="21"/>
                          </w:rPr>
                          <w:t>3给出建设项目环境影响评价结论</w:t>
                        </w:r>
                      </w:p>
                    </w:txbxContent>
                  </v:textbox>
                </v:shape>
                <v:shape id="文本框 649" o:spid="_x0000_s1026" o:spt="202" type="#_x0000_t202" style="position:absolute;left:1953944;top:6402956;height:251070;width:1743565;v-text-anchor:middle;" fillcolor="#FFFFFF" filled="t" stroked="t" coordsize="21600,21600" o:gfxdata="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ohEg1gAAAAkBAAAPAAAAAAAA&#10;AAEAIAAAACIAAABkcnMvZG93bnJldi54bWxQSwECFAAUAAAACACHTuJAY1i08U0CAACZBAAADgAA&#10;AAAAAAABACAAAAAlAQAAZHJzL2Uyb0RvYy54bWxQSwUGAAAAAAYABgBZAQAA5AUAAAAA&#10;">
                  <v:fill on="t" focussize="0,0"/>
                  <v:stroke weight="0.5pt" color="#000000" miterlimit="8" joinstyle="miter"/>
                  <v:imagedata o:title=""/>
                  <o:lock v:ext="edit" aspectratio="f"/>
                  <v:textbox inset="2mm,1mm,2mm,1mm" style="mso-fit-shape-to-text:t;">
                    <w:txbxContent>
                      <w:p w14:paraId="28E71C8C">
                        <w:pPr>
                          <w:adjustRightInd w:val="0"/>
                          <w:snapToGrid w:val="0"/>
                          <w:jc w:val="center"/>
                          <w:rPr>
                            <w:rFonts w:eastAsia="仿宋"/>
                            <w:sz w:val="21"/>
                            <w:szCs w:val="21"/>
                          </w:rPr>
                        </w:pPr>
                        <w:r>
                          <w:rPr>
                            <w:rFonts w:eastAsia="仿宋"/>
                            <w:sz w:val="21"/>
                            <w:szCs w:val="21"/>
                          </w:rPr>
                          <w:t>编制环境影响报告书</w:t>
                        </w:r>
                      </w:p>
                    </w:txbxContent>
                  </v:textbox>
                </v:shape>
                <v:shape id="直接箭头连接符 746" o:spid="_x0000_s1026" o:spt="32" type="#_x0000_t32" style="position:absolute;left:2737562;top:277101;height:432002;width:0;" filled="f" stroked="t" coordsize="21600,21600" o:gfxdata="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rtS&#10;gtgAAAAJAQAADwAAAAAAAAABACAAAAAiAAAAZHJzL2Rvd25yZXYueG1sUEsBAhQAFAAAAAgAh07i&#10;QBL0FoQiAgAABQQAAA4AAAAAAAAAAQAgAAAAJwEAAGRycy9lMm9Eb2MueG1sUEsFBgAAAAAGAAYA&#10;WQEAALsFAAAAAA==&#10;">
                  <v:fill on="f" focussize="0,0"/>
                  <v:stroke weight="0.25pt" color="#000000" miterlimit="8" joinstyle="miter" endarrow="classic" endarrowlength="long"/>
                  <v:imagedata o:title=""/>
                  <o:lock v:ext="edit" aspectratio="f"/>
                </v:shape>
                <v:shape id="直接箭头连接符 650" o:spid="_x0000_s1026" o:spt="32" type="#_x0000_t32" style="position:absolute;left:2732462;top:1305605;flip:x;height:421002;width:100;" filled="f" stroked="t" coordsize="21600,21600" o:gfxdata="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lOBajYAAAACQEAAA8AAAAAAAAAAQAgAAAAIgAAAGRycy9kb3ducmV2LnhtbFBLAQIU&#10;ABQAAAAIAIdO4kA0tybHLAIAABIEAAAOAAAAAAAAAAEAIAAAACcBAABkcnMvZTJvRG9jLnhtbFBL&#10;BQYAAAAABgAGAFkBAADFBQAAAAA=&#10;">
                  <v:fill on="f" focussize="0,0"/>
                  <v:stroke weight="0.25pt" color="#000000" miterlimit="8" joinstyle="miter" endarrow="classic" endarrowlength="long"/>
                  <v:imagedata o:title=""/>
                  <o:lock v:ext="edit" aspectratio="f"/>
                </v:shape>
                <v:shape id="直接箭头连接符 652" o:spid="_x0000_s1026" o:spt="32" type="#_x0000_t32" style="position:absolute;left:2730562;top:2324108;height:415302;width:1900;" filled="f" stroked="t" coordsize="21600,21600" o:gfxdata="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tSgtgAAAAJAQAADwAAAAAAAAABACAAAAAiAAAAZHJzL2Rvd25yZXYueG1sUEsBAhQAFAAA&#10;AAgAh07iQEJoF+IoAgAACQQAAA4AAAAAAAAAAQAgAAAAJwEAAGRycy9lMm9Eb2MueG1sUEsFBgAA&#10;AAAGAAYAWQEAAMEFAAAAAA==&#10;">
                  <v:fill on="f" focussize="0,0"/>
                  <v:stroke weight="0.25pt" color="#000000" miterlimit="8" joinstyle="miter" endarrow="classic" endarrowlength="long"/>
                  <v:imagedata o:title=""/>
                  <o:lock v:ext="edit" aspectratio="f"/>
                </v:shape>
                <v:shape id="肘形连接符 748" o:spid="_x0000_s1026" o:spt="34" type="#_x0000_t34" style="position:absolute;left:2757863;top:2355787;flip:x y;height:2282852;width:14600;rotation:5898240f;" filled="f" stroked="t" coordsize="21600,21600" o:gfxdata="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mmJpXZAAAACQEAAA8AAAAAAAAAAQAgAAAAIgAAAGRycy9kb3ducmV2&#10;LnhtbFBLAQIUABQAAAAIAIdO4kCjLIhZNAIAACYEAAAOAAAAAAAAAAEAIAAAACgBAABkcnMvZTJv&#10;RG9jLnhtbFBLBQYAAAAABgAGAFkBAADOBQAAAAA=&#10;" adj="359132">
                  <v:fill on="f" focussize="0,0"/>
                  <v:stroke weight="0.5pt" color="#000000" miterlimit="8" joinstyle="miter"/>
                  <v:imagedata o:title=""/>
                  <o:lock v:ext="edit" aspectratio="f"/>
                </v:shape>
                <v:shape id="肘形连接符 749" o:spid="_x0000_s1026" o:spt="34" type="#_x0000_t34" style="position:absolute;left:2757863;top:2773688;flip:x y;height:2282852;width:14600;rotation:5898240f;" filled="f" stroked="t" coordsize="21600,21600" o:gfxdata="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uJQJNUAAAAJAQAADwAAAAAAAAABACAAAAAiAAAAZHJzL2Rvd25yZXYu&#10;eG1sUEsBAhQAFAAAAAgAh07iQPJf9lE3AgAAJwQAAA4AAAAAAAAAAQAgAAAAJAEAAGRycy9lMm9E&#10;b2MueG1sUEsFBgAAAAAGAAYAWQEAAM0FAAAAAA==&#10;" adj="-337532">
                  <v:fill on="f" focussize="0,0"/>
                  <v:stroke weight="0.5pt" color="#000000" miterlimit="8" joinstyle="miter"/>
                  <v:imagedata o:title=""/>
                  <o:lock v:ext="edit" aspectratio="f"/>
                </v:shape>
                <v:shape id="直接箭头连接符 654" o:spid="_x0000_s1026" o:spt="32" type="#_x0000_t32" style="position:absolute;left:2730562;top:2990811;height:269901;width:100;" filled="f" stroked="t" coordsize="21600,21600" o:gfxdata="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rtSgtgAAAAJAQAADwAAAAAAAAABACAAAAAiAAAAZHJzL2Rvd25yZXYueG1sUEsBAhQAFAAAAAgA&#10;h07iQLkkJBglAgAACAQAAA4AAAAAAAAAAQAgAAAAJwEAAGRycy9lMm9Eb2MueG1sUEsFBgAAAAAG&#10;AAYAWQEAAL4FAAAAAA==&#10;">
                  <v:fill on="f" focussize="0,0"/>
                  <v:stroke weight="0.25pt" color="#000000" miterlimit="8" joinstyle="miter" endarrow="classic" endarrowlength="long"/>
                  <v:imagedata o:title=""/>
                  <o:lock v:ext="edit" aspectratio="f"/>
                </v:shape>
                <v:shape id="直接箭头连接符 656" o:spid="_x0000_s1026" o:spt="32" type="#_x0000_t32" style="position:absolute;left:2821364;top:4145215;height:414102;width:100;" filled="f" stroked="t" coordsize="21600,21600" o:gfxdata="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u1KC2AAAAAkBAAAPAAAAAAAAAAEAIAAAACIAAABkcnMvZG93bnJldi54bWxQSwECFAAUAAAACACH&#10;TuJA89L3VSQCAAAIBAAADgAAAAAAAAABACAAAAAnAQAAZHJzL2Uyb0RvYy54bWxQSwUGAAAAAAYA&#10;BgBZAQAAvQUAAAAA&#10;">
                  <v:fill on="f" focussize="0,0"/>
                  <v:stroke weight="0.25pt" color="#000000" miterlimit="8" joinstyle="miter" endarrow="classic" endarrowlength="long"/>
                  <v:imagedata o:title=""/>
                  <o:lock v:ext="edit" aspectratio="f"/>
                </v:shape>
                <v:shape id="直接箭头连接符 657" o:spid="_x0000_s1026" o:spt="32" type="#_x0000_t32" style="position:absolute;left:2819464;top:4984118;height:417202;width:1900;" filled="f" stroked="t" coordsize="21600,21600" o:gfxdata="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tSgtgAAAAJAQAADwAAAAAAAAABACAAAAAiAAAAZHJzL2Rvd25yZXYueG1sUEsBAhQAFAAA&#10;AAgAh07iQKynEC4oAgAACQQAAA4AAAAAAAAAAQAgAAAAJwEAAGRycy9lMm9Eb2MueG1sUEsFBgAA&#10;AAAGAAYAWQEAAMEFAAAAAA==&#10;">
                  <v:fill on="f" focussize="0,0"/>
                  <v:stroke weight="0.25pt" color="#000000" miterlimit="8" joinstyle="miter" endarrow="classic" endarrowlength="long"/>
                  <v:imagedata o:title=""/>
                  <o:lock v:ext="edit" aspectratio="f"/>
                </v:shape>
                <v:shape id="直接箭头连接符 658" o:spid="_x0000_s1026" o:spt="32" type="#_x0000_t32" style="position:absolute;left:2887365;top:5998822;flip:x;height:416602;width:1900;" filled="f" stroked="t" coordsize="21600,21600" o:gfxdata="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lOBajYAAAACQEAAA8AAAAAAAAAAQAgAAAAIgAAAGRycy9kb3ducmV2LnhtbFBL&#10;AQIUABQAAAAIAIdO4kCTK2riLwIAABMEAAAOAAAAAAAAAAEAIAAAACcBAABkcnMvZTJvRG9jLnht&#10;bFBLBQYAAAAABgAGAFkBAADIBQAAAAA=&#10;">
                  <v:fill on="f" focussize="0,0"/>
                  <v:stroke weight="0.25pt" color="#000000" miterlimit="8" joinstyle="miter" endarrow="classic" endarrowlength="long"/>
                  <v:imagedata o:title=""/>
                  <o:lock v:ext="edit" aspectratio="f"/>
                </v:shape>
                <v:line id="直接连接符 751" o:spid="_x0000_s1026" o:spt="20" style="position:absolute;left:11400;top:3075311;height:100;width:5509925;" filled="f" stroked="t" coordsize="21600,21600" o:gfxdata="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ZjujYAAAACQEAAA8AAAAAAAAAAQAgAAAAIgAAAGRy&#10;cy9kb3ducmV2LnhtbFBLAQIUABQAAAAIAIdO4kD69ZggBQIAAN8DAAAOAAAAAAAAAAEAIAAAACcB&#10;AABkcnMvZTJvRG9jLnhtbFBLBQYAAAAABgAGAFkBAACeBQAAAAA=&#10;">
                  <v:fill on="f" focussize="0,0"/>
                  <v:stroke weight="0.5pt" color="#000000" miterlimit="8" joinstyle="miter" dashstyle="dash"/>
                  <v:imagedata o:title=""/>
                  <o:lock v:ext="edit" aspectratio="f"/>
                </v:line>
                <v:line id="直接连接符 660" o:spid="_x0000_s1026" o:spt="20" style="position:absolute;left:0;top:5132719;height:100;width:5509925;" filled="f" stroked="t" coordsize="21600,21600" o:gfxdata="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2Y7o2AAAAAkBAAAPAAAAAAAAAAEAIAAAACIAAABkcnMv&#10;ZG93bnJldi54bWxQSwECFAAUAAAACACHTuJAM+dILwMCAADbAwAADgAAAAAAAAABACAAAAAnAQAA&#10;ZHJzL2Uyb0RvYy54bWxQSwUGAAAAAAYABgBZAQAAnAUAAAAA&#10;">
                  <v:fill on="f" focussize="0,0"/>
                  <v:stroke weight="0.5pt" color="#000000" miterlimit="8" joinstyle="miter" dashstyle="dash"/>
                  <v:imagedata o:title=""/>
                  <o:lock v:ext="edit" aspectratio="f"/>
                </v:line>
                <v:shape id="文本框 662" o:spid="_x0000_s1026" o:spt="202" type="#_x0000_t202" style="position:absolute;left:130803;top:942303;height:1254805;width:307307;v-text-anchor:middle;" filled="f" stroked="f" coordsize="21600,21600" o:gfxdata="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GA&#10;Fi7XAAAACQEAAA8AAAAAAAAAAQAgAAAAIgAAAGRycy9kb3ducmV2LnhtbFBLAQIUABQAAAAIAIdO&#10;4kCNn8iKJAIAACcEAAAOAAAAAAAAAAEAIAAAACYBAABkcnMvZTJvRG9jLnhtbFBLBQYAAAAABgAG&#10;AFkBAAC8BQAAAAA=&#10;">
                  <v:fill on="f" focussize="0,0"/>
                  <v:stroke on="f"/>
                  <v:imagedata o:title=""/>
                  <o:lock v:ext="edit" aspectratio="f"/>
                  <v:textbox inset="2mm,1mm,2mm,1mm" style="layout-flow:vertical-ideographic;">
                    <w:txbxContent>
                      <w:p w14:paraId="3FEA602A">
                        <w:pPr>
                          <w:adjustRightInd w:val="0"/>
                          <w:snapToGrid w:val="0"/>
                          <w:jc w:val="center"/>
                          <w:rPr>
                            <w:rFonts w:eastAsia="仿宋"/>
                            <w:sz w:val="21"/>
                            <w:szCs w:val="21"/>
                          </w:rPr>
                        </w:pPr>
                        <w:r>
                          <w:rPr>
                            <w:rFonts w:eastAsia="仿宋"/>
                            <w:sz w:val="21"/>
                            <w:szCs w:val="21"/>
                          </w:rPr>
                          <w:t>第一阶段</w:t>
                        </w:r>
                      </w:p>
                    </w:txbxContent>
                  </v:textbox>
                </v:shape>
                <v:shape id="文本框 663" o:spid="_x0000_s1026" o:spt="202" type="#_x0000_t202" style="position:absolute;left:130803;top:3489913;height:1254805;width:307307;v-text-anchor:middle;" filled="f" stroked="f" coordsize="21600,21600" o:gfxdata="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YAWLtcAAAAJAQAADwAAAAAAAAABACAAAAAiAAAAZHJzL2Rvd25yZXYueG1sUEsBAhQAFAAAAAgA&#10;h07iQAUEMP8mAgAAKAQAAA4AAAAAAAAAAQAgAAAAJgEAAGRycy9lMm9Eb2MueG1sUEsFBgAAAAAG&#10;AAYAWQEAAL4FAAAAAA==&#10;">
                  <v:fill on="f" focussize="0,0"/>
                  <v:stroke on="f"/>
                  <v:imagedata o:title=""/>
                  <o:lock v:ext="edit" aspectratio="f"/>
                  <v:textbox inset="2mm,1mm,2mm,1mm" style="layout-flow:vertical-ideographic;">
                    <w:txbxContent>
                      <w:p w14:paraId="14AB3B1F">
                        <w:pPr>
                          <w:adjustRightInd w:val="0"/>
                          <w:snapToGrid w:val="0"/>
                          <w:jc w:val="center"/>
                          <w:rPr>
                            <w:rFonts w:eastAsia="仿宋"/>
                            <w:sz w:val="21"/>
                            <w:szCs w:val="21"/>
                          </w:rPr>
                        </w:pPr>
                        <w:r>
                          <w:rPr>
                            <w:rFonts w:eastAsia="仿宋"/>
                            <w:sz w:val="21"/>
                            <w:szCs w:val="21"/>
                          </w:rPr>
                          <w:t>第二阶段</w:t>
                        </w:r>
                      </w:p>
                    </w:txbxContent>
                  </v:textbox>
                </v:shape>
                <v:shape id="文本框 664" o:spid="_x0000_s1026" o:spt="202" type="#_x0000_t202" style="position:absolute;left:214605;top:5331419;height:1254805;width:308007;v-text-anchor:middle;" filled="f" stroked="f" coordsize="21600,21600" o:gfxdata="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YAWLtcAAAAJAQAADwAAAAAAAAABACAAAAAiAAAAZHJzL2Rvd25yZXYueG1sUEsBAhQAFAAAAAgA&#10;h07iQIzgoqomAgAAKAQAAA4AAAAAAAAAAQAgAAAAJgEAAGRycy9lMm9Eb2MueG1sUEsFBgAAAAAG&#10;AAYAWQEAAL4FAAAAAA==&#10;">
                  <v:fill on="f" focussize="0,0"/>
                  <v:stroke on="f"/>
                  <v:imagedata o:title=""/>
                  <o:lock v:ext="edit" aspectratio="f"/>
                  <v:textbox inset="2mm,1mm,2mm,1mm" style="layout-flow:vertical-ideographic;">
                    <w:txbxContent>
                      <w:p w14:paraId="65325BA1">
                        <w:pPr>
                          <w:adjustRightInd w:val="0"/>
                          <w:snapToGrid w:val="0"/>
                          <w:jc w:val="center"/>
                          <w:rPr>
                            <w:rFonts w:eastAsia="仿宋"/>
                            <w:sz w:val="21"/>
                            <w:szCs w:val="21"/>
                          </w:rPr>
                        </w:pPr>
                        <w:r>
                          <w:rPr>
                            <w:rFonts w:eastAsia="仿宋"/>
                            <w:sz w:val="21"/>
                            <w:szCs w:val="21"/>
                          </w:rPr>
                          <w:t>第三阶段</w:t>
                        </w:r>
                      </w:p>
                    </w:txbxContent>
                  </v:textbox>
                </v:shape>
              </v:group>
            </w:pict>
          </mc:Fallback>
        </mc:AlternateContent>
      </w:r>
    </w:p>
    <w:p w14:paraId="51CFB1B3">
      <w:pPr>
        <w:spacing w:line="360" w:lineRule="auto"/>
        <w:ind w:left="-105" w:right="-105" w:firstLine="480"/>
        <w:jc w:val="center"/>
        <w:rPr>
          <w:rFonts w:ascii="Times New Roman" w:hAnsi="Times New Roman"/>
          <w:color w:val="auto"/>
          <w:highlight w:val="none"/>
        </w:rPr>
      </w:pPr>
    </w:p>
    <w:p w14:paraId="001B6ABD">
      <w:pPr>
        <w:spacing w:line="360" w:lineRule="auto"/>
        <w:ind w:left="-105" w:right="-105" w:firstLine="480"/>
        <w:jc w:val="center"/>
        <w:rPr>
          <w:rFonts w:ascii="Times New Roman" w:hAnsi="Times New Roman"/>
          <w:color w:val="auto"/>
          <w:highlight w:val="none"/>
        </w:rPr>
      </w:pPr>
    </w:p>
    <w:p w14:paraId="30D978BF">
      <w:pPr>
        <w:spacing w:line="360" w:lineRule="auto"/>
        <w:ind w:left="-105" w:right="-105" w:firstLine="480"/>
        <w:jc w:val="center"/>
        <w:rPr>
          <w:rFonts w:ascii="Times New Roman" w:hAnsi="Times New Roman"/>
          <w:color w:val="auto"/>
          <w:highlight w:val="none"/>
        </w:rPr>
      </w:pPr>
    </w:p>
    <w:p w14:paraId="24F178F9">
      <w:pPr>
        <w:spacing w:line="360" w:lineRule="auto"/>
        <w:ind w:left="-105" w:right="-105" w:firstLine="480"/>
        <w:jc w:val="center"/>
        <w:rPr>
          <w:rFonts w:ascii="Times New Roman" w:hAnsi="Times New Roman"/>
          <w:color w:val="auto"/>
          <w:highlight w:val="none"/>
        </w:rPr>
      </w:pPr>
    </w:p>
    <w:p w14:paraId="761D8B93">
      <w:pPr>
        <w:spacing w:line="360" w:lineRule="auto"/>
        <w:ind w:left="-105" w:right="-105" w:firstLine="480"/>
        <w:jc w:val="center"/>
        <w:rPr>
          <w:rFonts w:ascii="Times New Roman" w:hAnsi="Times New Roman"/>
          <w:color w:val="auto"/>
          <w:highlight w:val="none"/>
        </w:rPr>
      </w:pPr>
    </w:p>
    <w:p w14:paraId="18B00327">
      <w:pPr>
        <w:spacing w:line="360" w:lineRule="auto"/>
        <w:ind w:left="-105" w:right="-105" w:firstLine="480"/>
        <w:jc w:val="center"/>
        <w:rPr>
          <w:rFonts w:ascii="Times New Roman" w:hAnsi="Times New Roman"/>
          <w:color w:val="auto"/>
          <w:highlight w:val="none"/>
        </w:rPr>
      </w:pPr>
    </w:p>
    <w:p w14:paraId="4757FCA6">
      <w:pPr>
        <w:spacing w:line="360" w:lineRule="auto"/>
        <w:ind w:left="-105" w:right="-105" w:firstLine="480"/>
        <w:jc w:val="center"/>
        <w:rPr>
          <w:rFonts w:ascii="Times New Roman" w:hAnsi="Times New Roman"/>
          <w:color w:val="auto"/>
          <w:highlight w:val="none"/>
        </w:rPr>
      </w:pPr>
    </w:p>
    <w:p w14:paraId="229ADD89">
      <w:pPr>
        <w:spacing w:line="360" w:lineRule="auto"/>
        <w:ind w:left="-105" w:right="-105" w:firstLine="480"/>
        <w:jc w:val="center"/>
        <w:rPr>
          <w:rFonts w:ascii="Times New Roman" w:hAnsi="Times New Roman"/>
          <w:color w:val="auto"/>
          <w:highlight w:val="none"/>
        </w:rPr>
      </w:pPr>
    </w:p>
    <w:p w14:paraId="7E8D4A47">
      <w:pPr>
        <w:spacing w:line="360" w:lineRule="auto"/>
        <w:ind w:left="-105" w:right="-105" w:firstLine="480"/>
        <w:jc w:val="center"/>
        <w:rPr>
          <w:rFonts w:ascii="Times New Roman" w:hAnsi="Times New Roman"/>
          <w:color w:val="auto"/>
          <w:highlight w:val="none"/>
        </w:rPr>
      </w:pPr>
    </w:p>
    <w:p w14:paraId="7CDDD137">
      <w:pPr>
        <w:spacing w:line="360" w:lineRule="auto"/>
        <w:ind w:left="-105" w:right="-105" w:firstLine="480"/>
        <w:jc w:val="center"/>
        <w:rPr>
          <w:rFonts w:ascii="Times New Roman" w:hAnsi="Times New Roman"/>
          <w:color w:val="auto"/>
          <w:highlight w:val="none"/>
        </w:rPr>
      </w:pPr>
    </w:p>
    <w:p w14:paraId="35500D6D">
      <w:pPr>
        <w:spacing w:line="360" w:lineRule="auto"/>
        <w:ind w:left="-105" w:right="-105" w:firstLine="480"/>
        <w:jc w:val="center"/>
        <w:rPr>
          <w:rFonts w:ascii="Times New Roman" w:hAnsi="Times New Roman"/>
          <w:color w:val="auto"/>
          <w:highlight w:val="none"/>
        </w:rPr>
      </w:pPr>
    </w:p>
    <w:p w14:paraId="183FE4F8">
      <w:pPr>
        <w:spacing w:line="360" w:lineRule="auto"/>
        <w:ind w:left="-105" w:right="-105" w:firstLine="480"/>
        <w:jc w:val="center"/>
        <w:rPr>
          <w:rFonts w:ascii="Times New Roman" w:hAnsi="Times New Roman"/>
          <w:color w:val="auto"/>
          <w:highlight w:val="none"/>
        </w:rPr>
      </w:pPr>
    </w:p>
    <w:p w14:paraId="3D185D4B">
      <w:pPr>
        <w:spacing w:line="360" w:lineRule="auto"/>
        <w:ind w:left="-105" w:right="-105" w:firstLine="480"/>
        <w:jc w:val="center"/>
        <w:rPr>
          <w:rFonts w:ascii="Times New Roman" w:hAnsi="Times New Roman"/>
          <w:color w:val="auto"/>
          <w:highlight w:val="none"/>
        </w:rPr>
      </w:pPr>
    </w:p>
    <w:p w14:paraId="66DABE1C">
      <w:pPr>
        <w:spacing w:line="360" w:lineRule="auto"/>
        <w:ind w:left="-105" w:right="-105" w:firstLine="480"/>
        <w:jc w:val="center"/>
        <w:rPr>
          <w:rFonts w:ascii="Times New Roman" w:hAnsi="Times New Roman"/>
          <w:color w:val="auto"/>
          <w:highlight w:val="none"/>
        </w:rPr>
      </w:pPr>
    </w:p>
    <w:p w14:paraId="5A5DE570">
      <w:pPr>
        <w:spacing w:line="360" w:lineRule="auto"/>
        <w:ind w:left="-105" w:right="-105" w:firstLine="480"/>
        <w:jc w:val="center"/>
        <w:rPr>
          <w:rFonts w:ascii="Times New Roman" w:hAnsi="Times New Roman"/>
          <w:color w:val="auto"/>
          <w:highlight w:val="none"/>
        </w:rPr>
      </w:pPr>
    </w:p>
    <w:p w14:paraId="732E0F0E">
      <w:pPr>
        <w:spacing w:line="360" w:lineRule="auto"/>
        <w:ind w:left="-105" w:right="-105" w:firstLine="480"/>
        <w:jc w:val="center"/>
        <w:rPr>
          <w:rFonts w:ascii="Times New Roman" w:hAnsi="Times New Roman"/>
          <w:color w:val="auto"/>
          <w:highlight w:val="none"/>
        </w:rPr>
      </w:pPr>
    </w:p>
    <w:p w14:paraId="53AA2DC6">
      <w:pPr>
        <w:spacing w:line="360" w:lineRule="auto"/>
        <w:ind w:left="-105" w:right="-105" w:firstLine="480"/>
        <w:jc w:val="center"/>
        <w:rPr>
          <w:rFonts w:ascii="Times New Roman" w:hAnsi="Times New Roman"/>
          <w:color w:val="auto"/>
          <w:highlight w:val="none"/>
        </w:rPr>
      </w:pPr>
    </w:p>
    <w:p w14:paraId="64504B65">
      <w:pPr>
        <w:spacing w:line="360" w:lineRule="auto"/>
        <w:ind w:left="-105" w:right="-105" w:firstLine="480"/>
        <w:jc w:val="center"/>
        <w:rPr>
          <w:rFonts w:ascii="Times New Roman" w:hAnsi="Times New Roman"/>
          <w:color w:val="auto"/>
          <w:highlight w:val="none"/>
        </w:rPr>
      </w:pPr>
    </w:p>
    <w:p w14:paraId="2921E6EF">
      <w:pPr>
        <w:spacing w:line="360" w:lineRule="auto"/>
        <w:ind w:left="-105" w:right="-105" w:firstLine="480"/>
        <w:jc w:val="center"/>
        <w:rPr>
          <w:rFonts w:ascii="Times New Roman" w:hAnsi="Times New Roman"/>
          <w:color w:val="auto"/>
          <w:highlight w:val="none"/>
        </w:rPr>
      </w:pPr>
    </w:p>
    <w:p w14:paraId="128B6AB5">
      <w:pPr>
        <w:spacing w:line="360" w:lineRule="auto"/>
        <w:ind w:left="-105" w:right="-105" w:firstLine="480"/>
        <w:jc w:val="center"/>
        <w:rPr>
          <w:rFonts w:ascii="Times New Roman" w:hAnsi="Times New Roman"/>
          <w:color w:val="auto"/>
          <w:highlight w:val="none"/>
        </w:rPr>
      </w:pPr>
    </w:p>
    <w:p w14:paraId="2BFF3914">
      <w:pPr>
        <w:spacing w:line="360" w:lineRule="auto"/>
        <w:ind w:left="-105" w:right="-105" w:firstLine="480"/>
        <w:jc w:val="center"/>
        <w:rPr>
          <w:rFonts w:ascii="Times New Roman" w:hAnsi="Times New Roman"/>
          <w:color w:val="auto"/>
          <w:highlight w:val="none"/>
        </w:rPr>
      </w:pPr>
    </w:p>
    <w:p w14:paraId="44246FE9">
      <w:pPr>
        <w:spacing w:line="360" w:lineRule="auto"/>
        <w:ind w:left="-105" w:right="-105" w:firstLine="480"/>
        <w:jc w:val="center"/>
        <w:rPr>
          <w:rFonts w:ascii="Times New Roman" w:hAnsi="Times New Roman"/>
          <w:color w:val="auto"/>
          <w:highlight w:val="none"/>
        </w:rPr>
      </w:pPr>
    </w:p>
    <w:p w14:paraId="1F69578F">
      <w:pPr>
        <w:spacing w:line="360" w:lineRule="auto"/>
        <w:ind w:left="-105" w:right="-105" w:firstLine="480"/>
        <w:jc w:val="center"/>
        <w:rPr>
          <w:rFonts w:ascii="Times New Roman" w:hAnsi="Times New Roman"/>
          <w:color w:val="auto"/>
          <w:highlight w:val="none"/>
        </w:rPr>
      </w:pPr>
    </w:p>
    <w:p w14:paraId="50E37C74">
      <w:pPr>
        <w:tabs>
          <w:tab w:val="left" w:pos="2421"/>
          <w:tab w:val="center" w:pos="4575"/>
        </w:tabs>
        <w:spacing w:line="360" w:lineRule="auto"/>
        <w:ind w:left="-105" w:right="-105" w:firstLine="442"/>
        <w:jc w:val="center"/>
        <w:rPr>
          <w:rFonts w:ascii="Times New Roman" w:hAnsi="Times New Roman"/>
          <w:b/>
          <w:color w:val="auto"/>
          <w:sz w:val="22"/>
          <w:szCs w:val="22"/>
          <w:highlight w:val="none"/>
        </w:rPr>
      </w:pPr>
      <w:bookmarkStart w:id="45" w:name="_Ref413921579"/>
    </w:p>
    <w:p w14:paraId="1D366C0A">
      <w:pPr>
        <w:tabs>
          <w:tab w:val="left" w:pos="2421"/>
          <w:tab w:val="center" w:pos="4575"/>
        </w:tabs>
        <w:spacing w:line="360" w:lineRule="auto"/>
        <w:ind w:left="-105" w:right="-105" w:firstLine="442"/>
        <w:jc w:val="center"/>
        <w:rPr>
          <w:rFonts w:ascii="Times New Roman" w:hAnsi="Times New Roman"/>
          <w:b/>
          <w:color w:val="auto"/>
          <w:sz w:val="22"/>
          <w:szCs w:val="22"/>
          <w:highlight w:val="none"/>
        </w:rPr>
      </w:pPr>
    </w:p>
    <w:p w14:paraId="22E6A80B">
      <w:pPr>
        <w:tabs>
          <w:tab w:val="left" w:pos="2421"/>
          <w:tab w:val="center" w:pos="4575"/>
        </w:tabs>
        <w:spacing w:line="360" w:lineRule="auto"/>
        <w:ind w:left="-105" w:right="-105" w:firstLine="442"/>
        <w:jc w:val="center"/>
        <w:rPr>
          <w:rFonts w:ascii="Times New Roman" w:hAnsi="Times New Roman"/>
          <w:b/>
          <w:color w:val="auto"/>
          <w:sz w:val="22"/>
          <w:szCs w:val="22"/>
          <w:highlight w:val="none"/>
        </w:rPr>
      </w:pPr>
    </w:p>
    <w:bookmarkEnd w:id="45"/>
    <w:p w14:paraId="5307DCEF">
      <w:pPr>
        <w:pStyle w:val="15"/>
        <w:ind w:left="-105" w:right="-105" w:firstLine="482"/>
        <w:rPr>
          <w:rFonts w:eastAsia="宋体"/>
          <w:color w:val="auto"/>
          <w:sz w:val="24"/>
          <w:szCs w:val="18"/>
          <w:highlight w:val="none"/>
        </w:rPr>
      </w:pPr>
    </w:p>
    <w:p w14:paraId="2F6DE9EE">
      <w:pPr>
        <w:pStyle w:val="15"/>
        <w:ind w:left="-105" w:right="-105" w:firstLine="482"/>
        <w:rPr>
          <w:rFonts w:eastAsia="宋体"/>
          <w:color w:val="auto"/>
          <w:sz w:val="24"/>
          <w:szCs w:val="18"/>
          <w:highlight w:val="none"/>
        </w:rPr>
      </w:pPr>
      <w:r>
        <w:rPr>
          <w:rFonts w:eastAsia="宋体"/>
          <w:color w:val="auto"/>
          <w:sz w:val="24"/>
          <w:szCs w:val="18"/>
          <w:highlight w:val="none"/>
        </w:rPr>
        <w:t xml:space="preserve">图 </w:t>
      </w:r>
      <w:r>
        <w:rPr>
          <w:rFonts w:hint="eastAsia" w:eastAsia="宋体"/>
          <w:color w:val="auto"/>
          <w:sz w:val="24"/>
          <w:szCs w:val="18"/>
          <w:highlight w:val="none"/>
        </w:rPr>
        <w:t>1.</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w:t>
      </w:r>
      <w:r>
        <w:rPr>
          <w:rFonts w:eastAsia="宋体"/>
          <w:color w:val="auto"/>
          <w:sz w:val="24"/>
          <w:szCs w:val="18"/>
          <w:highlight w:val="none"/>
        </w:rPr>
        <w:fldChar w:fldCharType="end"/>
      </w:r>
      <w:r>
        <w:rPr>
          <w:rFonts w:hint="eastAsia" w:eastAsia="宋体"/>
          <w:color w:val="auto"/>
          <w:sz w:val="24"/>
          <w:szCs w:val="18"/>
          <w:highlight w:val="none"/>
        </w:rPr>
        <w:t>-</w:t>
      </w:r>
      <w:r>
        <w:rPr>
          <w:rFonts w:eastAsia="宋体"/>
          <w:color w:val="auto"/>
          <w:sz w:val="24"/>
          <w:szCs w:val="18"/>
          <w:highlight w:val="none"/>
        </w:rPr>
        <w:fldChar w:fldCharType="begin"/>
      </w:r>
      <w:r>
        <w:rPr>
          <w:rFonts w:eastAsia="宋体"/>
          <w:color w:val="auto"/>
          <w:sz w:val="24"/>
          <w:szCs w:val="18"/>
          <w:highlight w:val="none"/>
        </w:rPr>
        <w:instrText xml:space="preserve"> SEQ 图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color w:val="auto"/>
          <w:sz w:val="24"/>
          <w:szCs w:val="18"/>
          <w:highlight w:val="none"/>
        </w:rPr>
        <w:t xml:space="preserve"> 环境影响评价工作程序图</w:t>
      </w:r>
    </w:p>
    <w:p w14:paraId="13649BEF">
      <w:pPr>
        <w:ind w:left="-105" w:right="-105"/>
        <w:rPr>
          <w:color w:val="auto"/>
          <w:szCs w:val="18"/>
          <w:highlight w:val="none"/>
        </w:rPr>
      </w:pPr>
    </w:p>
    <w:p w14:paraId="2B473CFB">
      <w:pPr>
        <w:ind w:left="-105" w:right="-105"/>
        <w:rPr>
          <w:color w:val="auto"/>
          <w:szCs w:val="18"/>
          <w:highlight w:val="none"/>
        </w:rPr>
      </w:pPr>
    </w:p>
    <w:p w14:paraId="19892F92">
      <w:pPr>
        <w:ind w:left="-105" w:right="-105"/>
        <w:rPr>
          <w:color w:val="auto"/>
          <w:szCs w:val="18"/>
          <w:highlight w:val="none"/>
        </w:rPr>
      </w:pPr>
    </w:p>
    <w:p w14:paraId="20F4543D">
      <w:pPr>
        <w:pStyle w:val="4"/>
        <w:spacing w:line="360" w:lineRule="auto"/>
        <w:ind w:left="-105" w:right="-105" w:firstLine="0"/>
        <w:rPr>
          <w:rFonts w:ascii="Times New Roman" w:eastAsia="宋体"/>
          <w:color w:val="auto"/>
          <w:sz w:val="28"/>
          <w:szCs w:val="28"/>
          <w:highlight w:val="none"/>
        </w:rPr>
      </w:pPr>
      <w:bookmarkStart w:id="46" w:name="_Toc60653435"/>
      <w:bookmarkStart w:id="47" w:name="_Toc25719"/>
      <w:r>
        <w:rPr>
          <w:rFonts w:ascii="Times New Roman" w:eastAsia="宋体"/>
          <w:color w:val="auto"/>
          <w:sz w:val="28"/>
          <w:szCs w:val="28"/>
          <w:highlight w:val="none"/>
        </w:rPr>
        <w:t>分析判定相关情况</w:t>
      </w:r>
      <w:bookmarkEnd w:id="46"/>
      <w:bookmarkEnd w:id="47"/>
    </w:p>
    <w:p w14:paraId="558343AC">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根据《建设项目环境影响评价技术导则 总纲》（HJ2.1-2016），环评单位接受委托后，通过收集、研究该项目的相关资料及其他相关文件，对建设项目进行了初步分析判定。初步分析判定结果见</w:t>
      </w:r>
      <w:r>
        <w:rPr>
          <w:rFonts w:hint="eastAsia" w:ascii="Times New Roman" w:hAnsi="Times New Roman" w:cs="Times New Roman"/>
          <w:color w:val="auto"/>
          <w:szCs w:val="22"/>
          <w:highlight w:val="none"/>
        </w:rPr>
        <w:t>下表</w:t>
      </w:r>
      <w:r>
        <w:rPr>
          <w:rFonts w:ascii="Times New Roman" w:hAnsi="Times New Roman" w:cs="Times New Roman"/>
          <w:color w:val="auto"/>
          <w:szCs w:val="22"/>
          <w:highlight w:val="none"/>
        </w:rPr>
        <w:t>。</w:t>
      </w:r>
    </w:p>
    <w:p w14:paraId="3777D757">
      <w:pPr>
        <w:pStyle w:val="15"/>
        <w:ind w:left="-105" w:right="-105" w:firstLine="482"/>
        <w:rPr>
          <w:rFonts w:eastAsia="宋体"/>
          <w:color w:val="auto"/>
          <w:sz w:val="24"/>
          <w:szCs w:val="18"/>
          <w:highlight w:val="none"/>
        </w:rPr>
      </w:pPr>
      <w:r>
        <w:rPr>
          <w:rFonts w:eastAsia="宋体"/>
          <w:color w:val="auto"/>
          <w:sz w:val="24"/>
          <w:szCs w:val="18"/>
          <w:highlight w:val="none"/>
        </w:rPr>
        <w:t>表 1.</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5</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color w:val="auto"/>
          <w:sz w:val="24"/>
          <w:szCs w:val="18"/>
          <w:highlight w:val="none"/>
        </w:rPr>
        <w:t>初步分析判定情况</w:t>
      </w:r>
    </w:p>
    <w:tbl>
      <w:tblPr>
        <w:tblStyle w:val="4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26"/>
        <w:gridCol w:w="708"/>
        <w:gridCol w:w="2693"/>
        <w:gridCol w:w="3226"/>
        <w:gridCol w:w="1025"/>
      </w:tblGrid>
      <w:tr w14:paraId="525716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4253" w:type="dxa"/>
            <w:gridSpan w:val="4"/>
            <w:vAlign w:val="center"/>
          </w:tcPr>
          <w:p w14:paraId="19C2DF2C">
            <w:pPr>
              <w:pStyle w:val="44"/>
              <w:adjustRightInd w:val="0"/>
              <w:snapToGrid w:val="0"/>
              <w:spacing w:after="0"/>
              <w:ind w:left="0" w:leftChars="0" w:right="-105" w:firstLine="0" w:firstLineChars="0"/>
              <w:jc w:val="center"/>
              <w:rPr>
                <w:rFonts w:eastAsia="宋体"/>
                <w:b/>
                <w:bCs/>
                <w:color w:val="auto"/>
                <w:sz w:val="21"/>
                <w:szCs w:val="21"/>
                <w:highlight w:val="none"/>
              </w:rPr>
            </w:pPr>
            <w:r>
              <w:rPr>
                <w:rFonts w:eastAsia="宋体"/>
                <w:b/>
                <w:bCs/>
                <w:color w:val="auto"/>
                <w:sz w:val="21"/>
                <w:szCs w:val="21"/>
                <w:highlight w:val="none"/>
              </w:rPr>
              <w:t>判定依据</w:t>
            </w:r>
          </w:p>
        </w:tc>
        <w:tc>
          <w:tcPr>
            <w:tcW w:w="3226" w:type="dxa"/>
            <w:vAlign w:val="center"/>
          </w:tcPr>
          <w:p w14:paraId="6DB3B667">
            <w:pPr>
              <w:pStyle w:val="44"/>
              <w:adjustRightInd w:val="0"/>
              <w:snapToGrid w:val="0"/>
              <w:spacing w:after="0"/>
              <w:ind w:left="0" w:leftChars="0" w:right="-105" w:firstLine="0" w:firstLineChars="0"/>
              <w:jc w:val="center"/>
              <w:rPr>
                <w:rFonts w:eastAsia="宋体"/>
                <w:b/>
                <w:bCs/>
                <w:color w:val="auto"/>
                <w:sz w:val="21"/>
                <w:szCs w:val="21"/>
                <w:highlight w:val="none"/>
              </w:rPr>
            </w:pPr>
            <w:r>
              <w:rPr>
                <w:rFonts w:eastAsia="宋体"/>
                <w:b/>
                <w:bCs/>
                <w:color w:val="auto"/>
                <w:sz w:val="21"/>
                <w:szCs w:val="21"/>
                <w:highlight w:val="none"/>
              </w:rPr>
              <w:t>本项目相符性</w:t>
            </w:r>
          </w:p>
        </w:tc>
        <w:tc>
          <w:tcPr>
            <w:tcW w:w="1025" w:type="dxa"/>
            <w:vAlign w:val="center"/>
          </w:tcPr>
          <w:p w14:paraId="01129E47">
            <w:pPr>
              <w:pStyle w:val="44"/>
              <w:adjustRightInd w:val="0"/>
              <w:snapToGrid w:val="0"/>
              <w:spacing w:after="0"/>
              <w:ind w:left="0" w:leftChars="0" w:right="-105" w:firstLine="0" w:firstLineChars="0"/>
              <w:jc w:val="center"/>
              <w:rPr>
                <w:rFonts w:eastAsia="宋体"/>
                <w:b/>
                <w:bCs/>
                <w:color w:val="auto"/>
                <w:sz w:val="21"/>
                <w:szCs w:val="21"/>
                <w:highlight w:val="none"/>
              </w:rPr>
            </w:pPr>
            <w:r>
              <w:rPr>
                <w:rFonts w:eastAsia="宋体"/>
                <w:b/>
                <w:bCs/>
                <w:color w:val="auto"/>
                <w:sz w:val="21"/>
                <w:szCs w:val="21"/>
                <w:highlight w:val="none"/>
              </w:rPr>
              <w:t>判定结果</w:t>
            </w:r>
          </w:p>
        </w:tc>
      </w:tr>
      <w:tr w14:paraId="0BF6AF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restart"/>
            <w:vAlign w:val="center"/>
          </w:tcPr>
          <w:p w14:paraId="0FAD54B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产业政策</w:t>
            </w:r>
          </w:p>
        </w:tc>
        <w:tc>
          <w:tcPr>
            <w:tcW w:w="3401" w:type="dxa"/>
            <w:gridSpan w:val="2"/>
            <w:vAlign w:val="center"/>
          </w:tcPr>
          <w:p w14:paraId="77D90C59">
            <w:pPr>
              <w:pStyle w:val="235"/>
              <w:shd w:val="clear" w:color="auto" w:fill="auto"/>
              <w:adjustRightInd w:val="0"/>
              <w:snapToGrid w:val="0"/>
              <w:spacing w:line="240"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snapToGrid w:val="0"/>
                <w:color w:val="auto"/>
                <w:spacing w:val="0"/>
                <w:sz w:val="21"/>
                <w:szCs w:val="21"/>
                <w:highlight w:val="none"/>
              </w:rPr>
              <w:t>《产业结构调整指导目录（2024年本）》</w:t>
            </w:r>
          </w:p>
        </w:tc>
        <w:tc>
          <w:tcPr>
            <w:tcW w:w="3226" w:type="dxa"/>
            <w:vAlign w:val="center"/>
          </w:tcPr>
          <w:p w14:paraId="089F2719">
            <w:pPr>
              <w:pStyle w:val="235"/>
              <w:shd w:val="clear" w:color="auto" w:fill="auto"/>
              <w:adjustRightInd w:val="0"/>
              <w:snapToGrid w:val="0"/>
              <w:spacing w:line="240"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属于鼓励类</w:t>
            </w:r>
            <w:r>
              <w:rPr>
                <w:rFonts w:hint="eastAsia" w:ascii="Times New Roman" w:hAnsi="Times New Roman" w:cs="Times New Roman"/>
                <w:color w:val="auto"/>
                <w:sz w:val="21"/>
                <w:szCs w:val="21"/>
                <w:highlight w:val="none"/>
              </w:rPr>
              <w:t>中：“7．专用化学品：低VOCs含量胶粘剂，环保型水处理剂，新型高效、环保催化剂和助剂，功能性膜材料，超净高纯试剂、光刻胶、电子气体、新型显示和先进封装材料等电子化学品及关键原料的开发与生产”</w:t>
            </w:r>
            <w:r>
              <w:rPr>
                <w:rFonts w:ascii="Times New Roman" w:hAnsi="Times New Roman" w:cs="Times New Roman"/>
                <w:color w:val="auto"/>
                <w:sz w:val="21"/>
                <w:szCs w:val="21"/>
                <w:highlight w:val="none"/>
              </w:rPr>
              <w:t>。</w:t>
            </w:r>
          </w:p>
        </w:tc>
        <w:tc>
          <w:tcPr>
            <w:tcW w:w="1025" w:type="dxa"/>
            <w:vAlign w:val="center"/>
          </w:tcPr>
          <w:p w14:paraId="5DE4EC4E">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FE87F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trPr>
        <w:tc>
          <w:tcPr>
            <w:tcW w:w="852" w:type="dxa"/>
            <w:gridSpan w:val="2"/>
            <w:vMerge w:val="continue"/>
            <w:vAlign w:val="center"/>
          </w:tcPr>
          <w:p w14:paraId="3EC9F971">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2DD901B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《市场准入负面清单》（2022年版）</w:t>
            </w:r>
          </w:p>
        </w:tc>
        <w:tc>
          <w:tcPr>
            <w:tcW w:w="3226" w:type="dxa"/>
            <w:vAlign w:val="center"/>
          </w:tcPr>
          <w:p w14:paraId="56606AD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不属于禁止准入类和许可准入类</w:t>
            </w:r>
          </w:p>
        </w:tc>
        <w:tc>
          <w:tcPr>
            <w:tcW w:w="1025" w:type="dxa"/>
            <w:vAlign w:val="center"/>
          </w:tcPr>
          <w:p w14:paraId="56CDADF9">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58DCC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49424938">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4B2568EA">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《产业发展与转移指导目录（2018年本）》（中华人民共和国工业和信息化部公告2018年第66号）</w:t>
            </w:r>
          </w:p>
        </w:tc>
        <w:tc>
          <w:tcPr>
            <w:tcW w:w="3226" w:type="dxa"/>
            <w:vAlign w:val="center"/>
          </w:tcPr>
          <w:p w14:paraId="6CF14419">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不属于该文件中江苏省</w:t>
            </w:r>
            <w:r>
              <w:rPr>
                <w:rFonts w:hint="eastAsia" w:eastAsia="宋体"/>
                <w:color w:val="auto"/>
                <w:sz w:val="21"/>
                <w:szCs w:val="21"/>
                <w:highlight w:val="none"/>
              </w:rPr>
              <w:t>“</w:t>
            </w:r>
            <w:r>
              <w:rPr>
                <w:rFonts w:eastAsia="宋体"/>
                <w:color w:val="auto"/>
                <w:sz w:val="21"/>
                <w:szCs w:val="21"/>
                <w:highlight w:val="none"/>
              </w:rPr>
              <w:t>引导逐步调整退出的产业</w:t>
            </w:r>
            <w:r>
              <w:rPr>
                <w:rFonts w:hint="eastAsia" w:eastAsia="宋体"/>
                <w:color w:val="auto"/>
                <w:sz w:val="21"/>
                <w:szCs w:val="21"/>
                <w:highlight w:val="none"/>
              </w:rPr>
              <w:t>”</w:t>
            </w:r>
            <w:r>
              <w:rPr>
                <w:rFonts w:eastAsia="宋体"/>
                <w:color w:val="auto"/>
                <w:sz w:val="21"/>
                <w:szCs w:val="21"/>
                <w:highlight w:val="none"/>
              </w:rPr>
              <w:t>和</w:t>
            </w:r>
            <w:r>
              <w:rPr>
                <w:rFonts w:hint="eastAsia" w:eastAsia="宋体"/>
                <w:color w:val="auto"/>
                <w:sz w:val="21"/>
                <w:szCs w:val="21"/>
                <w:highlight w:val="none"/>
              </w:rPr>
              <w:t>“</w:t>
            </w:r>
            <w:r>
              <w:rPr>
                <w:rFonts w:eastAsia="宋体"/>
                <w:color w:val="auto"/>
                <w:sz w:val="21"/>
                <w:szCs w:val="21"/>
                <w:highlight w:val="none"/>
              </w:rPr>
              <w:t>引导不再承接的产业</w:t>
            </w:r>
            <w:r>
              <w:rPr>
                <w:rFonts w:hint="eastAsia" w:eastAsia="宋体"/>
                <w:color w:val="auto"/>
                <w:sz w:val="21"/>
                <w:szCs w:val="21"/>
                <w:highlight w:val="none"/>
              </w:rPr>
              <w:t>”</w:t>
            </w:r>
          </w:p>
        </w:tc>
        <w:tc>
          <w:tcPr>
            <w:tcW w:w="1025" w:type="dxa"/>
            <w:vAlign w:val="center"/>
          </w:tcPr>
          <w:p w14:paraId="3480D5B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8BD1A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7FFE4FDF">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14F8991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《无锡市产业结构调整指导目录(试行)》(2008年1月)</w:t>
            </w:r>
          </w:p>
        </w:tc>
        <w:tc>
          <w:tcPr>
            <w:tcW w:w="3226" w:type="dxa"/>
            <w:vAlign w:val="center"/>
          </w:tcPr>
          <w:p w14:paraId="627CB4A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不属于该文件中的鼓励类、禁止类及淘汰类</w:t>
            </w:r>
          </w:p>
        </w:tc>
        <w:tc>
          <w:tcPr>
            <w:tcW w:w="1025" w:type="dxa"/>
            <w:vAlign w:val="center"/>
          </w:tcPr>
          <w:p w14:paraId="4298008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3C9F0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216F6DDB">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1A22C2C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《无锡市制造业转型发展指导目录》（2012年本）</w:t>
            </w:r>
          </w:p>
        </w:tc>
        <w:tc>
          <w:tcPr>
            <w:tcW w:w="3226" w:type="dxa"/>
            <w:vAlign w:val="center"/>
          </w:tcPr>
          <w:p w14:paraId="0C2A4C3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不属于该文件中的鼓励类、限制类及淘汰类</w:t>
            </w:r>
          </w:p>
        </w:tc>
        <w:tc>
          <w:tcPr>
            <w:tcW w:w="1025" w:type="dxa"/>
            <w:vAlign w:val="center"/>
          </w:tcPr>
          <w:p w14:paraId="17B883B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C47CB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6E0B58F1">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634BB6DE">
            <w:pPr>
              <w:pStyle w:val="235"/>
              <w:shd w:val="clear" w:color="auto" w:fill="auto"/>
              <w:adjustRightInd w:val="0"/>
              <w:snapToGrid w:val="0"/>
              <w:spacing w:line="240"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《外商投资准入特别管理措施（负面清单）（2021年版）》、《鼓励外商投资产业目录（2022年版）》</w:t>
            </w:r>
          </w:p>
        </w:tc>
        <w:tc>
          <w:tcPr>
            <w:tcW w:w="3226" w:type="dxa"/>
            <w:vAlign w:val="center"/>
          </w:tcPr>
          <w:p w14:paraId="7BA1069F">
            <w:pPr>
              <w:pStyle w:val="235"/>
              <w:shd w:val="clear" w:color="auto" w:fill="auto"/>
              <w:adjustRightInd w:val="0"/>
              <w:snapToGrid w:val="0"/>
              <w:spacing w:line="240"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不属于需实行特别管理的措施的行业类别，属于鼓励类：（二十二）计算机、通信和其他电子设备制造业341.电子专用材料开发、制造（光纤预制棒开发与制造除外）。</w:t>
            </w:r>
          </w:p>
        </w:tc>
        <w:tc>
          <w:tcPr>
            <w:tcW w:w="1025" w:type="dxa"/>
            <w:vAlign w:val="center"/>
          </w:tcPr>
          <w:p w14:paraId="529AF90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D0584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64ABA7FF">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415C028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《限制用地项目目录（2012年本）》、《禁止用地项目目录（2012年本）》</w:t>
            </w:r>
          </w:p>
        </w:tc>
        <w:tc>
          <w:tcPr>
            <w:tcW w:w="3226" w:type="dxa"/>
            <w:vAlign w:val="center"/>
          </w:tcPr>
          <w:p w14:paraId="1A609BA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不属于限制类、禁止类</w:t>
            </w:r>
          </w:p>
        </w:tc>
        <w:tc>
          <w:tcPr>
            <w:tcW w:w="1025" w:type="dxa"/>
            <w:vAlign w:val="center"/>
          </w:tcPr>
          <w:p w14:paraId="5743B44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1A020E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6EFEE2A7">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4AAC457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《江苏省限制用地项目目录(2013年本)》、《江苏省禁止用地项目目录(2013年本)》</w:t>
            </w:r>
          </w:p>
        </w:tc>
        <w:tc>
          <w:tcPr>
            <w:tcW w:w="3226" w:type="dxa"/>
            <w:vAlign w:val="center"/>
          </w:tcPr>
          <w:p w14:paraId="35BE417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不属于限制类、禁止类</w:t>
            </w:r>
          </w:p>
        </w:tc>
        <w:tc>
          <w:tcPr>
            <w:tcW w:w="1025" w:type="dxa"/>
            <w:vAlign w:val="center"/>
          </w:tcPr>
          <w:p w14:paraId="00EF3914">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9CE7A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restart"/>
            <w:vAlign w:val="center"/>
          </w:tcPr>
          <w:p w14:paraId="1AD1E810">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国家和地方有关环境保护法律法规、标准、政策、规范</w:t>
            </w:r>
          </w:p>
        </w:tc>
        <w:tc>
          <w:tcPr>
            <w:tcW w:w="3401" w:type="dxa"/>
            <w:gridSpan w:val="2"/>
            <w:vAlign w:val="center"/>
          </w:tcPr>
          <w:p w14:paraId="3B75D3A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《无锡市水环境保护条例》（2021年5月27日）</w:t>
            </w:r>
          </w:p>
        </w:tc>
        <w:tc>
          <w:tcPr>
            <w:tcW w:w="3226" w:type="dxa"/>
            <w:vAlign w:val="center"/>
          </w:tcPr>
          <w:p w14:paraId="463B8B8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本项目符合条例要求</w:t>
            </w:r>
          </w:p>
        </w:tc>
        <w:tc>
          <w:tcPr>
            <w:tcW w:w="1025" w:type="dxa"/>
            <w:vAlign w:val="center"/>
          </w:tcPr>
          <w:p w14:paraId="1CB1AEB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3DBFB4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01C4CF56">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6F68137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《江苏省水污染防治条例》（2020年11月27日）</w:t>
            </w:r>
          </w:p>
        </w:tc>
        <w:tc>
          <w:tcPr>
            <w:tcW w:w="3226" w:type="dxa"/>
            <w:vAlign w:val="center"/>
          </w:tcPr>
          <w:p w14:paraId="7411C31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本项目符合条例要求</w:t>
            </w:r>
          </w:p>
        </w:tc>
        <w:tc>
          <w:tcPr>
            <w:tcW w:w="1025" w:type="dxa"/>
            <w:vAlign w:val="center"/>
          </w:tcPr>
          <w:p w14:paraId="1E89085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FE704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37035EC5">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748E2A9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《江苏省太湖水污染防治条例》(202年修订）</w:t>
            </w:r>
          </w:p>
        </w:tc>
        <w:tc>
          <w:tcPr>
            <w:tcW w:w="3226" w:type="dxa"/>
            <w:vAlign w:val="center"/>
          </w:tcPr>
          <w:p w14:paraId="77F0EF7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本项目符合条例要求</w:t>
            </w:r>
          </w:p>
        </w:tc>
        <w:tc>
          <w:tcPr>
            <w:tcW w:w="1025" w:type="dxa"/>
            <w:vAlign w:val="center"/>
          </w:tcPr>
          <w:p w14:paraId="6E37868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E5DD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01EA0676">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0296213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《太湖流域管理条例》（2011年11月1日起施行）</w:t>
            </w:r>
          </w:p>
        </w:tc>
        <w:tc>
          <w:tcPr>
            <w:tcW w:w="3226" w:type="dxa"/>
            <w:vAlign w:val="center"/>
          </w:tcPr>
          <w:p w14:paraId="2E68DBE9">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本项目符合条例要求</w:t>
            </w:r>
          </w:p>
        </w:tc>
        <w:tc>
          <w:tcPr>
            <w:tcW w:w="1025" w:type="dxa"/>
            <w:vAlign w:val="center"/>
          </w:tcPr>
          <w:p w14:paraId="22D539A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2A245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2E7A7232">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58405175">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《江苏省大气污染防治条例》</w:t>
            </w:r>
          </w:p>
        </w:tc>
        <w:tc>
          <w:tcPr>
            <w:tcW w:w="3226" w:type="dxa"/>
            <w:vAlign w:val="center"/>
          </w:tcPr>
          <w:p w14:paraId="7E6544E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本项目符合条例的要求</w:t>
            </w:r>
          </w:p>
        </w:tc>
        <w:tc>
          <w:tcPr>
            <w:tcW w:w="1025" w:type="dxa"/>
            <w:vAlign w:val="center"/>
          </w:tcPr>
          <w:p w14:paraId="341E1035">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05F7A8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53E3FD4C">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538A15D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w:t>
            </w:r>
            <w:bookmarkStart w:id="48" w:name="_Hlk112873456"/>
            <w:r>
              <w:rPr>
                <w:rFonts w:eastAsia="宋体"/>
                <w:color w:val="auto"/>
                <w:sz w:val="21"/>
                <w:szCs w:val="21"/>
                <w:highlight w:val="none"/>
              </w:rPr>
              <w:t>江苏省挥发性有机物污染防治管理办法》</w:t>
            </w:r>
            <w:bookmarkEnd w:id="48"/>
            <w:r>
              <w:rPr>
                <w:rFonts w:eastAsia="宋体"/>
                <w:color w:val="auto"/>
                <w:sz w:val="21"/>
                <w:szCs w:val="21"/>
                <w:highlight w:val="none"/>
              </w:rPr>
              <w:t>（省政府令第119号）</w:t>
            </w:r>
          </w:p>
        </w:tc>
        <w:tc>
          <w:tcPr>
            <w:tcW w:w="3226" w:type="dxa"/>
            <w:vAlign w:val="center"/>
          </w:tcPr>
          <w:p w14:paraId="7B3C2C99">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本项目生产线均使用连续化、自动化技术，产生有机废气的工段均位于密闭车间中或收集效率均可达90%以上。</w:t>
            </w:r>
          </w:p>
        </w:tc>
        <w:tc>
          <w:tcPr>
            <w:tcW w:w="1025" w:type="dxa"/>
            <w:vAlign w:val="center"/>
          </w:tcPr>
          <w:p w14:paraId="603D2DE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3015C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524B0842">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4F4235C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《关于印发江苏省重点行业挥发性有机物污染控制指南的通知》（苏环办[2014]128号）</w:t>
            </w:r>
          </w:p>
        </w:tc>
        <w:tc>
          <w:tcPr>
            <w:tcW w:w="3226" w:type="dxa"/>
            <w:vAlign w:val="center"/>
          </w:tcPr>
          <w:p w14:paraId="2D721DC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rPr>
              <w:t>不</w:t>
            </w:r>
            <w:r>
              <w:rPr>
                <w:rFonts w:eastAsia="宋体"/>
                <w:color w:val="auto"/>
                <w:sz w:val="21"/>
                <w:szCs w:val="21"/>
                <w:highlight w:val="none"/>
              </w:rPr>
              <w:t>使用清洗剂、涂料、</w:t>
            </w:r>
            <w:r>
              <w:rPr>
                <w:rFonts w:hint="eastAsia" w:eastAsia="宋体"/>
                <w:color w:val="auto"/>
                <w:sz w:val="21"/>
                <w:szCs w:val="21"/>
                <w:highlight w:val="none"/>
              </w:rPr>
              <w:t>油墨、</w:t>
            </w:r>
            <w:r>
              <w:rPr>
                <w:rFonts w:eastAsia="宋体"/>
                <w:color w:val="auto"/>
                <w:sz w:val="21"/>
                <w:szCs w:val="21"/>
                <w:highlight w:val="none"/>
              </w:rPr>
              <w:t>胶粘剂，符合要求。</w:t>
            </w:r>
          </w:p>
        </w:tc>
        <w:tc>
          <w:tcPr>
            <w:tcW w:w="1025" w:type="dxa"/>
            <w:vAlign w:val="center"/>
          </w:tcPr>
          <w:p w14:paraId="6CC4FC3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370762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7201DA16">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5AC4BFE0">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《重点行业挥发性有机物综合治理方案》（环大气[2019]53号）</w:t>
            </w:r>
          </w:p>
        </w:tc>
        <w:tc>
          <w:tcPr>
            <w:tcW w:w="3226" w:type="dxa"/>
            <w:vAlign w:val="center"/>
          </w:tcPr>
          <w:p w14:paraId="79C2012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rPr>
              <w:t>不</w:t>
            </w:r>
            <w:r>
              <w:rPr>
                <w:rFonts w:eastAsia="宋体"/>
                <w:color w:val="auto"/>
                <w:sz w:val="21"/>
                <w:szCs w:val="21"/>
                <w:highlight w:val="none"/>
              </w:rPr>
              <w:t>使用清洗剂、涂料、</w:t>
            </w:r>
            <w:r>
              <w:rPr>
                <w:rFonts w:hint="eastAsia" w:eastAsia="宋体"/>
                <w:color w:val="auto"/>
                <w:sz w:val="21"/>
                <w:szCs w:val="21"/>
                <w:highlight w:val="none"/>
              </w:rPr>
              <w:t>油墨、</w:t>
            </w:r>
            <w:r>
              <w:rPr>
                <w:rFonts w:eastAsia="宋体"/>
                <w:color w:val="auto"/>
                <w:sz w:val="21"/>
                <w:szCs w:val="21"/>
                <w:highlight w:val="none"/>
              </w:rPr>
              <w:t>胶粘剂，符合专项行动要求。</w:t>
            </w:r>
          </w:p>
        </w:tc>
        <w:tc>
          <w:tcPr>
            <w:tcW w:w="1025" w:type="dxa"/>
            <w:vAlign w:val="center"/>
          </w:tcPr>
          <w:p w14:paraId="6D950AE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C0020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1299B27F">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3F0DA40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《江苏省工业废水与生活污水分质处理工作推进方案》</w:t>
            </w:r>
          </w:p>
        </w:tc>
        <w:tc>
          <w:tcPr>
            <w:tcW w:w="3226" w:type="dxa"/>
            <w:vAlign w:val="center"/>
          </w:tcPr>
          <w:p w14:paraId="384E96DF">
            <w:pPr>
              <w:pStyle w:val="44"/>
              <w:adjustRightInd w:val="0"/>
              <w:snapToGrid w:val="0"/>
              <w:spacing w:after="0"/>
              <w:ind w:left="0" w:leftChars="0" w:right="-105" w:firstLine="0" w:firstLineChars="0"/>
              <w:jc w:val="center"/>
              <w:rPr>
                <w:rFonts w:eastAsia="宋体"/>
                <w:color w:val="auto"/>
                <w:sz w:val="21"/>
                <w:szCs w:val="21"/>
                <w:highlight w:val="none"/>
              </w:rPr>
            </w:pPr>
            <w:r>
              <w:rPr>
                <w:rFonts w:hint="eastAsia" w:eastAsia="宋体"/>
                <w:color w:val="auto"/>
                <w:sz w:val="21"/>
                <w:szCs w:val="21"/>
                <w:highlight w:val="none"/>
              </w:rPr>
              <w:t>企业</w:t>
            </w:r>
            <w:r>
              <w:rPr>
                <w:rFonts w:eastAsia="宋体"/>
                <w:color w:val="auto"/>
                <w:sz w:val="21"/>
                <w:szCs w:val="21"/>
                <w:highlight w:val="none"/>
              </w:rPr>
              <w:t>生活污水</w:t>
            </w:r>
            <w:r>
              <w:rPr>
                <w:rFonts w:hint="eastAsia" w:eastAsia="宋体"/>
                <w:color w:val="auto"/>
                <w:sz w:val="21"/>
                <w:szCs w:val="21"/>
                <w:highlight w:val="none"/>
              </w:rPr>
              <w:t>和初期雨水</w:t>
            </w:r>
            <w:r>
              <w:rPr>
                <w:rFonts w:eastAsia="宋体"/>
                <w:color w:val="auto"/>
                <w:sz w:val="21"/>
                <w:szCs w:val="21"/>
                <w:highlight w:val="none"/>
              </w:rPr>
              <w:t>由企业收集后委托无锡</w:t>
            </w:r>
            <w:r>
              <w:rPr>
                <w:rFonts w:hint="eastAsia" w:eastAsia="宋体"/>
                <w:color w:val="auto"/>
                <w:sz w:val="21"/>
                <w:szCs w:val="21"/>
                <w:highlight w:val="none"/>
              </w:rPr>
              <w:t>先进化药</w:t>
            </w:r>
            <w:r>
              <w:rPr>
                <w:rFonts w:eastAsia="宋体"/>
                <w:color w:val="auto"/>
                <w:sz w:val="21"/>
                <w:szCs w:val="21"/>
                <w:highlight w:val="none"/>
              </w:rPr>
              <w:t>化工有限公司处理达标后接入无锡市锡山云林污水处理有限公司</w:t>
            </w:r>
            <w:r>
              <w:rPr>
                <w:rFonts w:hint="eastAsia" w:eastAsia="宋体"/>
                <w:color w:val="auto"/>
                <w:sz w:val="21"/>
                <w:szCs w:val="21"/>
                <w:highlight w:val="none"/>
              </w:rPr>
              <w:t>。</w:t>
            </w:r>
          </w:p>
        </w:tc>
        <w:tc>
          <w:tcPr>
            <w:tcW w:w="1025" w:type="dxa"/>
            <w:vAlign w:val="center"/>
          </w:tcPr>
          <w:p w14:paraId="3A29B3C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C7521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523213B2">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2D6CCFE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w:t>
            </w:r>
            <w:r>
              <w:rPr>
                <w:rFonts w:hint="eastAsia" w:eastAsia="宋体"/>
                <w:color w:val="auto"/>
                <w:sz w:val="21"/>
                <w:szCs w:val="21"/>
                <w:highlight w:val="none"/>
              </w:rPr>
              <w:t>“</w:t>
            </w:r>
            <w:r>
              <w:rPr>
                <w:rFonts w:eastAsia="宋体"/>
                <w:color w:val="auto"/>
                <w:sz w:val="21"/>
                <w:szCs w:val="21"/>
                <w:highlight w:val="none"/>
              </w:rPr>
              <w:t>十四五</w:t>
            </w:r>
            <w:r>
              <w:rPr>
                <w:rFonts w:hint="eastAsia" w:eastAsia="宋体"/>
                <w:color w:val="auto"/>
                <w:sz w:val="21"/>
                <w:szCs w:val="21"/>
                <w:highlight w:val="none"/>
              </w:rPr>
              <w:t>”</w:t>
            </w:r>
            <w:r>
              <w:rPr>
                <w:rFonts w:eastAsia="宋体"/>
                <w:color w:val="auto"/>
                <w:sz w:val="21"/>
                <w:szCs w:val="21"/>
                <w:highlight w:val="none"/>
              </w:rPr>
              <w:t>节能减排综合工作方案》</w:t>
            </w:r>
          </w:p>
        </w:tc>
        <w:tc>
          <w:tcPr>
            <w:tcW w:w="3226" w:type="dxa"/>
            <w:vAlign w:val="center"/>
          </w:tcPr>
          <w:p w14:paraId="41CADFC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rPr>
              <w:t>不</w:t>
            </w:r>
            <w:r>
              <w:rPr>
                <w:rFonts w:eastAsia="宋体"/>
                <w:color w:val="auto"/>
                <w:sz w:val="21"/>
                <w:szCs w:val="21"/>
                <w:highlight w:val="none"/>
              </w:rPr>
              <w:t>使用清洗剂、涂料、</w:t>
            </w:r>
            <w:r>
              <w:rPr>
                <w:rFonts w:hint="eastAsia" w:eastAsia="宋体"/>
                <w:color w:val="auto"/>
                <w:sz w:val="21"/>
                <w:szCs w:val="21"/>
                <w:highlight w:val="none"/>
              </w:rPr>
              <w:t>油墨、</w:t>
            </w:r>
            <w:r>
              <w:rPr>
                <w:rFonts w:eastAsia="宋体"/>
                <w:color w:val="auto"/>
                <w:sz w:val="21"/>
                <w:szCs w:val="21"/>
                <w:highlight w:val="none"/>
              </w:rPr>
              <w:t>胶粘剂，符合要求。</w:t>
            </w:r>
          </w:p>
        </w:tc>
        <w:tc>
          <w:tcPr>
            <w:tcW w:w="1025" w:type="dxa"/>
            <w:vAlign w:val="center"/>
          </w:tcPr>
          <w:p w14:paraId="68B45CD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6F1DEE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0F55DE11">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06C7DFB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《市政府关于印发无锡市土壤污染防治工作方案的通知》（锡政发[2017]15号）</w:t>
            </w:r>
          </w:p>
        </w:tc>
        <w:tc>
          <w:tcPr>
            <w:tcW w:w="3226" w:type="dxa"/>
            <w:vAlign w:val="center"/>
          </w:tcPr>
          <w:p w14:paraId="44BE06C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不属于有色金属冶炼、焦化等行业企业，项目产生的固废经合理处置，不外排。</w:t>
            </w:r>
          </w:p>
        </w:tc>
        <w:tc>
          <w:tcPr>
            <w:tcW w:w="1025" w:type="dxa"/>
            <w:vAlign w:val="center"/>
          </w:tcPr>
          <w:p w14:paraId="25349F5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5E5F24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04C94B93">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3E1FC39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《省生态环境厅关于进一步做好建设项目环评审批工作的通知》（苏环办[2019]36号）</w:t>
            </w:r>
          </w:p>
        </w:tc>
        <w:tc>
          <w:tcPr>
            <w:tcW w:w="3226" w:type="dxa"/>
            <w:vAlign w:val="center"/>
          </w:tcPr>
          <w:p w14:paraId="51ED8EB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项目所在地属于工业用地并实行总量控制制度，项目所在地不位于长江干支流1km范围内</w:t>
            </w:r>
          </w:p>
        </w:tc>
        <w:tc>
          <w:tcPr>
            <w:tcW w:w="1025" w:type="dxa"/>
            <w:vAlign w:val="center"/>
          </w:tcPr>
          <w:p w14:paraId="35872C1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B1A6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1AAAECD5">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6E0CF594">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《关于在环评审批阶段开展</w:t>
            </w:r>
            <w:r>
              <w:rPr>
                <w:rFonts w:hint="eastAsia" w:eastAsia="宋体"/>
                <w:color w:val="auto"/>
                <w:sz w:val="21"/>
                <w:szCs w:val="21"/>
                <w:highlight w:val="none"/>
              </w:rPr>
              <w:t>“</w:t>
            </w:r>
            <w:r>
              <w:rPr>
                <w:rFonts w:eastAsia="宋体"/>
                <w:color w:val="auto"/>
                <w:sz w:val="21"/>
                <w:szCs w:val="21"/>
                <w:highlight w:val="none"/>
              </w:rPr>
              <w:t>源头管控行动</w:t>
            </w:r>
            <w:r>
              <w:rPr>
                <w:rFonts w:hint="eastAsia" w:eastAsia="宋体"/>
                <w:color w:val="auto"/>
                <w:sz w:val="21"/>
                <w:szCs w:val="21"/>
                <w:highlight w:val="none"/>
              </w:rPr>
              <w:t>”</w:t>
            </w:r>
            <w:r>
              <w:rPr>
                <w:rFonts w:eastAsia="宋体"/>
                <w:color w:val="auto"/>
                <w:sz w:val="21"/>
                <w:szCs w:val="21"/>
                <w:highlight w:val="none"/>
              </w:rPr>
              <w:t>的工作意见》（锡环办[2021]142号）</w:t>
            </w:r>
          </w:p>
        </w:tc>
        <w:tc>
          <w:tcPr>
            <w:tcW w:w="3226" w:type="dxa"/>
            <w:vAlign w:val="center"/>
          </w:tcPr>
          <w:p w14:paraId="0ED9AAD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rPr>
              <w:t>不</w:t>
            </w:r>
            <w:r>
              <w:rPr>
                <w:rFonts w:eastAsia="宋体"/>
                <w:color w:val="auto"/>
                <w:sz w:val="21"/>
                <w:szCs w:val="21"/>
                <w:highlight w:val="none"/>
              </w:rPr>
              <w:t>使用清洗剂、涂料、</w:t>
            </w:r>
            <w:r>
              <w:rPr>
                <w:rFonts w:hint="eastAsia" w:eastAsia="宋体"/>
                <w:color w:val="auto"/>
                <w:sz w:val="21"/>
                <w:szCs w:val="21"/>
                <w:highlight w:val="none"/>
              </w:rPr>
              <w:t>油墨、</w:t>
            </w:r>
            <w:r>
              <w:rPr>
                <w:rFonts w:eastAsia="宋体"/>
                <w:color w:val="auto"/>
                <w:sz w:val="21"/>
                <w:szCs w:val="21"/>
                <w:highlight w:val="none"/>
              </w:rPr>
              <w:t>胶粘剂，废气产生工段均采取有效处理措施，减少无组织排放，本项目属于电子专用材料制造，不属于</w:t>
            </w:r>
            <w:r>
              <w:rPr>
                <w:rFonts w:hint="eastAsia" w:eastAsia="宋体"/>
                <w:color w:val="auto"/>
                <w:sz w:val="21"/>
                <w:szCs w:val="21"/>
                <w:highlight w:val="none"/>
              </w:rPr>
              <w:t>“</w:t>
            </w:r>
            <w:r>
              <w:rPr>
                <w:rFonts w:eastAsia="宋体"/>
                <w:color w:val="auto"/>
                <w:sz w:val="21"/>
                <w:szCs w:val="21"/>
                <w:highlight w:val="none"/>
              </w:rPr>
              <w:t>两高</w:t>
            </w:r>
            <w:r>
              <w:rPr>
                <w:rFonts w:hint="eastAsia" w:eastAsia="宋体"/>
                <w:color w:val="auto"/>
                <w:sz w:val="21"/>
                <w:szCs w:val="21"/>
                <w:highlight w:val="none"/>
              </w:rPr>
              <w:t>”</w:t>
            </w:r>
            <w:r>
              <w:rPr>
                <w:rFonts w:eastAsia="宋体"/>
                <w:color w:val="auto"/>
                <w:sz w:val="21"/>
                <w:szCs w:val="21"/>
                <w:highlight w:val="none"/>
              </w:rPr>
              <w:t>行业。项目实行总量控制制度，满足生态环境准入清单、规划环评及行业建设环境准入条件，</w:t>
            </w:r>
            <w:r>
              <w:rPr>
                <w:rFonts w:hint="eastAsia" w:eastAsia="宋体"/>
                <w:color w:val="auto"/>
                <w:sz w:val="21"/>
                <w:szCs w:val="21"/>
                <w:highlight w:val="none"/>
              </w:rPr>
              <w:t>企业</w:t>
            </w:r>
            <w:r>
              <w:rPr>
                <w:rFonts w:eastAsia="宋体"/>
                <w:color w:val="auto"/>
                <w:sz w:val="21"/>
                <w:szCs w:val="21"/>
                <w:highlight w:val="none"/>
              </w:rPr>
              <w:t>生活污水</w:t>
            </w:r>
            <w:r>
              <w:rPr>
                <w:rFonts w:hint="eastAsia" w:eastAsia="宋体"/>
                <w:color w:val="auto"/>
                <w:sz w:val="21"/>
                <w:szCs w:val="21"/>
                <w:highlight w:val="none"/>
              </w:rPr>
              <w:t>经化粪池预处理后与初期雨水收集后委托无锡先进化药化工有限公司处理达标后接入无锡市锡山云林污水处理有限公司</w:t>
            </w:r>
            <w:r>
              <w:rPr>
                <w:rFonts w:eastAsia="宋体"/>
                <w:color w:val="auto"/>
                <w:sz w:val="21"/>
                <w:szCs w:val="21"/>
                <w:highlight w:val="none"/>
              </w:rPr>
              <w:t>。产生的固废或外卖，或委外处置，或由环卫部门定期清运，治污设施满足先进水平</w:t>
            </w:r>
          </w:p>
        </w:tc>
        <w:tc>
          <w:tcPr>
            <w:tcW w:w="1025" w:type="dxa"/>
            <w:vAlign w:val="center"/>
          </w:tcPr>
          <w:p w14:paraId="1C5593B0">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093836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52763F55">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77FD42F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《江苏省挥发性有机物清洁原料替代工作方案》（苏大气办[2021]2号）、《无锡市重点行业挥发性有机物清洁原料替代工作方案》（锡大气办[2021]11号）</w:t>
            </w:r>
          </w:p>
        </w:tc>
        <w:tc>
          <w:tcPr>
            <w:tcW w:w="3226" w:type="dxa"/>
            <w:vAlign w:val="center"/>
          </w:tcPr>
          <w:p w14:paraId="3292B31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本项目属于电子专用材料制造，生产过程中不使用溶剂型涂料、油墨、清洗剂等高VOCs含量的原料</w:t>
            </w:r>
          </w:p>
        </w:tc>
        <w:tc>
          <w:tcPr>
            <w:tcW w:w="1025" w:type="dxa"/>
            <w:vAlign w:val="center"/>
          </w:tcPr>
          <w:p w14:paraId="3EE7EFA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08A9E5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02E4C7D4">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53FEE99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《省政府办公厅关于加快推进城市污水处理能力建设全面提升污水集中收集处理率的实施意见》（苏政办发[2022]42号）</w:t>
            </w:r>
          </w:p>
        </w:tc>
        <w:tc>
          <w:tcPr>
            <w:tcW w:w="3226" w:type="dxa"/>
            <w:vAlign w:val="center"/>
          </w:tcPr>
          <w:p w14:paraId="31B2E887">
            <w:pPr>
              <w:pStyle w:val="44"/>
              <w:adjustRightInd w:val="0"/>
              <w:snapToGrid w:val="0"/>
              <w:spacing w:after="0"/>
              <w:ind w:left="0" w:leftChars="0" w:right="-105" w:firstLine="0" w:firstLineChars="0"/>
              <w:jc w:val="center"/>
              <w:rPr>
                <w:rFonts w:eastAsia="宋体"/>
                <w:color w:val="auto"/>
                <w:sz w:val="21"/>
                <w:szCs w:val="21"/>
                <w:highlight w:val="none"/>
              </w:rPr>
            </w:pPr>
            <w:r>
              <w:rPr>
                <w:rFonts w:hint="eastAsia" w:eastAsia="宋体"/>
                <w:color w:val="auto"/>
                <w:sz w:val="21"/>
                <w:szCs w:val="21"/>
                <w:highlight w:val="none"/>
              </w:rPr>
              <w:t>企业</w:t>
            </w:r>
            <w:r>
              <w:rPr>
                <w:rFonts w:eastAsia="宋体"/>
                <w:color w:val="auto"/>
                <w:sz w:val="21"/>
                <w:szCs w:val="21"/>
                <w:highlight w:val="none"/>
              </w:rPr>
              <w:t>生活污水</w:t>
            </w:r>
            <w:r>
              <w:rPr>
                <w:rFonts w:hint="eastAsia" w:eastAsia="宋体"/>
                <w:color w:val="auto"/>
                <w:sz w:val="21"/>
                <w:szCs w:val="21"/>
                <w:highlight w:val="none"/>
              </w:rPr>
              <w:t>经化粪池预处理后与初期雨水收集后委托无锡先进化药化工有限公司处理达标后接入无锡市锡山云林污水处理有限公司</w:t>
            </w:r>
            <w:r>
              <w:rPr>
                <w:rFonts w:eastAsia="宋体"/>
                <w:color w:val="auto"/>
                <w:sz w:val="21"/>
                <w:szCs w:val="21"/>
                <w:highlight w:val="none"/>
              </w:rPr>
              <w:t>。项目建成后将依法取得排污许可证。</w:t>
            </w:r>
          </w:p>
        </w:tc>
        <w:tc>
          <w:tcPr>
            <w:tcW w:w="1025" w:type="dxa"/>
            <w:vAlign w:val="center"/>
          </w:tcPr>
          <w:p w14:paraId="3B1E246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49F4BE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 w:type="dxa"/>
            <w:gridSpan w:val="2"/>
            <w:vMerge w:val="continue"/>
            <w:vAlign w:val="center"/>
          </w:tcPr>
          <w:p w14:paraId="5643A270">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01B70DB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《无锡市锡山区锡北镇总体规划（2015-2030）》、《八士-陆家巷、八士-八士管理单元更新后土地利用规划图》</w:t>
            </w:r>
          </w:p>
        </w:tc>
        <w:tc>
          <w:tcPr>
            <w:tcW w:w="3226" w:type="dxa"/>
            <w:vAlign w:val="center"/>
          </w:tcPr>
          <w:p w14:paraId="062289F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二类工业用地</w:t>
            </w:r>
          </w:p>
        </w:tc>
        <w:tc>
          <w:tcPr>
            <w:tcW w:w="1025" w:type="dxa"/>
            <w:vAlign w:val="center"/>
          </w:tcPr>
          <w:p w14:paraId="364F497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68199C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restart"/>
            <w:vAlign w:val="center"/>
          </w:tcPr>
          <w:p w14:paraId="362CA04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三线一单</w:t>
            </w:r>
          </w:p>
        </w:tc>
        <w:tc>
          <w:tcPr>
            <w:tcW w:w="426" w:type="dxa"/>
            <w:vMerge w:val="restart"/>
            <w:vAlign w:val="center"/>
          </w:tcPr>
          <w:p w14:paraId="26E0D2B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生态保护红线</w:t>
            </w:r>
          </w:p>
        </w:tc>
        <w:tc>
          <w:tcPr>
            <w:tcW w:w="3401" w:type="dxa"/>
            <w:gridSpan w:val="2"/>
            <w:vAlign w:val="center"/>
          </w:tcPr>
          <w:p w14:paraId="59F230B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《省政府关于印发江苏省生态空间管控区域规划的通知》（苏政发[2020]1号）</w:t>
            </w:r>
          </w:p>
        </w:tc>
        <w:tc>
          <w:tcPr>
            <w:tcW w:w="3226" w:type="dxa"/>
            <w:vMerge w:val="restart"/>
            <w:vAlign w:val="center"/>
          </w:tcPr>
          <w:p w14:paraId="0340E6C4">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本项目选址不在生态保护红线规划范围内；距本项目最近的生态红线区域为</w:t>
            </w:r>
            <w:r>
              <w:rPr>
                <w:rFonts w:hint="eastAsia" w:eastAsia="宋体"/>
                <w:color w:val="auto"/>
                <w:sz w:val="21"/>
                <w:szCs w:val="21"/>
                <w:highlight w:val="none"/>
              </w:rPr>
              <w:t>京沪高铁锡山段沿线生态防护林</w:t>
            </w:r>
            <w:r>
              <w:rPr>
                <w:rFonts w:eastAsia="宋体"/>
                <w:color w:val="auto"/>
                <w:sz w:val="21"/>
                <w:szCs w:val="21"/>
                <w:highlight w:val="none"/>
              </w:rPr>
              <w:t>，位于本项目东侧厂界约</w:t>
            </w:r>
            <w:r>
              <w:rPr>
                <w:rFonts w:hint="eastAsia" w:eastAsia="宋体"/>
                <w:color w:val="auto"/>
                <w:sz w:val="21"/>
                <w:szCs w:val="21"/>
                <w:highlight w:val="none"/>
              </w:rPr>
              <w:t>733</w:t>
            </w:r>
            <w:r>
              <w:rPr>
                <w:rFonts w:eastAsia="宋体"/>
                <w:color w:val="auto"/>
                <w:sz w:val="21"/>
                <w:szCs w:val="21"/>
                <w:highlight w:val="none"/>
              </w:rPr>
              <w:t>m。</w:t>
            </w:r>
          </w:p>
        </w:tc>
        <w:tc>
          <w:tcPr>
            <w:tcW w:w="1025" w:type="dxa"/>
            <w:vAlign w:val="center"/>
          </w:tcPr>
          <w:p w14:paraId="5439158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15BF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476EB8F4">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continue"/>
            <w:vAlign w:val="center"/>
          </w:tcPr>
          <w:p w14:paraId="6B057BB3">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1E6C76D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《省政府关于印发&lt;江苏省国家级生态保护红线规划&gt;的通知》（苏政发[2018]74号）</w:t>
            </w:r>
          </w:p>
        </w:tc>
        <w:tc>
          <w:tcPr>
            <w:tcW w:w="3226" w:type="dxa"/>
            <w:vMerge w:val="continue"/>
            <w:vAlign w:val="center"/>
          </w:tcPr>
          <w:p w14:paraId="35DAAEF3">
            <w:pPr>
              <w:pStyle w:val="44"/>
              <w:adjustRightInd w:val="0"/>
              <w:snapToGrid w:val="0"/>
              <w:spacing w:after="0"/>
              <w:ind w:left="0" w:leftChars="0" w:right="-105" w:firstLine="0" w:firstLineChars="0"/>
              <w:jc w:val="center"/>
              <w:rPr>
                <w:rFonts w:eastAsia="宋体"/>
                <w:color w:val="auto"/>
                <w:sz w:val="21"/>
                <w:szCs w:val="21"/>
                <w:highlight w:val="none"/>
              </w:rPr>
            </w:pPr>
          </w:p>
        </w:tc>
        <w:tc>
          <w:tcPr>
            <w:tcW w:w="1025" w:type="dxa"/>
            <w:vAlign w:val="center"/>
          </w:tcPr>
          <w:p w14:paraId="31E3462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118FC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7A7B04C1">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continue"/>
            <w:vAlign w:val="center"/>
          </w:tcPr>
          <w:p w14:paraId="19BE3F9F">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401" w:type="dxa"/>
            <w:gridSpan w:val="2"/>
            <w:vAlign w:val="center"/>
          </w:tcPr>
          <w:p w14:paraId="7118BE9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《无锡市锡山区生态文明建设规划》</w:t>
            </w:r>
          </w:p>
        </w:tc>
        <w:tc>
          <w:tcPr>
            <w:tcW w:w="3226" w:type="dxa"/>
            <w:vMerge w:val="continue"/>
            <w:vAlign w:val="center"/>
          </w:tcPr>
          <w:p w14:paraId="5E1C3F5A">
            <w:pPr>
              <w:pStyle w:val="44"/>
              <w:adjustRightInd w:val="0"/>
              <w:snapToGrid w:val="0"/>
              <w:spacing w:after="0"/>
              <w:ind w:left="0" w:leftChars="0" w:right="-105" w:firstLine="0" w:firstLineChars="0"/>
              <w:jc w:val="center"/>
              <w:rPr>
                <w:rFonts w:eastAsia="宋体"/>
                <w:color w:val="auto"/>
                <w:sz w:val="21"/>
                <w:szCs w:val="21"/>
                <w:highlight w:val="none"/>
              </w:rPr>
            </w:pPr>
          </w:p>
        </w:tc>
        <w:tc>
          <w:tcPr>
            <w:tcW w:w="1025" w:type="dxa"/>
            <w:vAlign w:val="center"/>
          </w:tcPr>
          <w:p w14:paraId="7DEF2B9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C9E4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64B3F90B">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Align w:val="center"/>
          </w:tcPr>
          <w:p w14:paraId="240291E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环境质量底线</w:t>
            </w:r>
          </w:p>
        </w:tc>
        <w:tc>
          <w:tcPr>
            <w:tcW w:w="3401" w:type="dxa"/>
            <w:gridSpan w:val="2"/>
            <w:vAlign w:val="center"/>
          </w:tcPr>
          <w:p w14:paraId="083EA7B7">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环境空气质量二类功能区、地表水为III类功能区、声环境3类区、土壤第二类工业用地筛选值和管制值</w:t>
            </w:r>
          </w:p>
        </w:tc>
        <w:tc>
          <w:tcPr>
            <w:tcW w:w="3226" w:type="dxa"/>
            <w:vAlign w:val="center"/>
          </w:tcPr>
          <w:p w14:paraId="2365462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项目所在地大气环境为环境空气质量功能二类地区，2022年无锡市区臭氧未达到《环境空气质量标准》（GB3095-2012）表1中二级标准要求，项目所在地属于不达标区，本项目的大气现状补充监测结果达标，根据《无锡市大气环境质量限期达标规划》，通过采取各项措施，无锡市区的环境空气质量将逐步改善；声环境质量能达到《声环境质量标准》(GB3096-2008)中的3类区域标准；地表水监测中，监测时段内，pH、化学需氧量、五日生化需氧量、氨氮</w:t>
            </w:r>
            <w:r>
              <w:rPr>
                <w:rFonts w:hint="eastAsia" w:eastAsia="宋体"/>
                <w:color w:val="auto"/>
                <w:sz w:val="21"/>
                <w:szCs w:val="21"/>
                <w:highlight w:val="none"/>
              </w:rPr>
              <w:t>、</w:t>
            </w:r>
            <w:r>
              <w:rPr>
                <w:rFonts w:eastAsia="宋体"/>
                <w:color w:val="auto"/>
                <w:sz w:val="21"/>
                <w:szCs w:val="21"/>
                <w:highlight w:val="none"/>
              </w:rPr>
              <w:t>溶解氧、总磷能满足《地表水环境质量标准》（GB 3838-2002）III类标准要求，总氮不能满足《地表水环境质量标准》（GB 3838-2002）III类标准要求，根据锡山区《区政府办公室关于印发锡山区河道环境综合整治工作方案的通知》（锡府办[2016]30 号），通过水环境综合整治工作，区域水环境质量会有所改善；根据项目所在地土壤环境质量现状监测数据，相关因子均满足《土壤环境质量建设用地土壤污染风险管控标准（试行）》（GB36600-2018）中相关标准。</w:t>
            </w:r>
          </w:p>
        </w:tc>
        <w:tc>
          <w:tcPr>
            <w:tcW w:w="1025" w:type="dxa"/>
            <w:vAlign w:val="center"/>
          </w:tcPr>
          <w:p w14:paraId="40F0F19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05F485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523A14B0">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Align w:val="center"/>
          </w:tcPr>
          <w:p w14:paraId="2A8754D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资源利用上限</w:t>
            </w:r>
          </w:p>
        </w:tc>
        <w:tc>
          <w:tcPr>
            <w:tcW w:w="3401" w:type="dxa"/>
            <w:gridSpan w:val="2"/>
            <w:vAlign w:val="center"/>
          </w:tcPr>
          <w:p w14:paraId="45B8390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（1）依据《关于印发《无锡市节水型社会建设</w:t>
            </w:r>
            <w:r>
              <w:rPr>
                <w:rFonts w:hint="eastAsia" w:eastAsia="宋体"/>
                <w:color w:val="auto"/>
                <w:sz w:val="21"/>
                <w:szCs w:val="21"/>
                <w:highlight w:val="none"/>
              </w:rPr>
              <w:t>“</w:t>
            </w:r>
            <w:r>
              <w:rPr>
                <w:rFonts w:eastAsia="宋体"/>
                <w:color w:val="auto"/>
                <w:sz w:val="21"/>
                <w:szCs w:val="21"/>
                <w:highlight w:val="none"/>
              </w:rPr>
              <w:t>十三五</w:t>
            </w:r>
            <w:r>
              <w:rPr>
                <w:rFonts w:hint="eastAsia" w:eastAsia="宋体"/>
                <w:color w:val="auto"/>
                <w:sz w:val="21"/>
                <w:szCs w:val="21"/>
                <w:highlight w:val="none"/>
              </w:rPr>
              <w:t>”</w:t>
            </w:r>
            <w:r>
              <w:rPr>
                <w:rFonts w:eastAsia="宋体"/>
                <w:color w:val="auto"/>
                <w:sz w:val="21"/>
                <w:szCs w:val="21"/>
                <w:highlight w:val="none"/>
              </w:rPr>
              <w:t>规划纲要（规划简本）》的通知》（锡水资[2017]59号），2020年无锡市用水总量不得超过40.54亿立方米，万元工业增加值用水量较2015年降低18%，万元GDP用水量较2015年降低23%，农田灌溉水有效利用系数达到0.67。</w:t>
            </w:r>
          </w:p>
          <w:p w14:paraId="26FDBBC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（2）依据《无锡市土地利用总体规划（2006-2020）调整方案》（苏国土资函[2017]648号），2020年无锡市耕地保有量不得低于11.08万公顷，基本农田保护面积不低于9.04万公顷。</w:t>
            </w:r>
          </w:p>
        </w:tc>
        <w:tc>
          <w:tcPr>
            <w:tcW w:w="3226" w:type="dxa"/>
            <w:vAlign w:val="center"/>
          </w:tcPr>
          <w:p w14:paraId="224641B5">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本项目用水来自区域自来水管网，用电由市政电网供给，用气由华润燃气公司提供，不会达到资源利用上线；项目用地为工业用地，符合当地土地规划要求，亦不会达到资源利用上线。</w:t>
            </w:r>
          </w:p>
        </w:tc>
        <w:tc>
          <w:tcPr>
            <w:tcW w:w="1025" w:type="dxa"/>
            <w:vAlign w:val="center"/>
          </w:tcPr>
          <w:p w14:paraId="382619A5">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D144A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784EE040">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restart"/>
            <w:vAlign w:val="center"/>
          </w:tcPr>
          <w:p w14:paraId="03506D8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环境准入负面清单</w:t>
            </w:r>
          </w:p>
        </w:tc>
        <w:tc>
          <w:tcPr>
            <w:tcW w:w="708" w:type="dxa"/>
            <w:vAlign w:val="center"/>
          </w:tcPr>
          <w:p w14:paraId="7BFF42B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空间布局约束</w:t>
            </w:r>
          </w:p>
        </w:tc>
        <w:tc>
          <w:tcPr>
            <w:tcW w:w="2693" w:type="dxa"/>
            <w:vAlign w:val="center"/>
          </w:tcPr>
          <w:p w14:paraId="52FC9D81">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（1）各类开发建设活动应符合无锡市国土空间总体规划、控制性详细规划等相关要求。</w:t>
            </w:r>
          </w:p>
          <w:p w14:paraId="4E4521B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（2）优化产业布局和结构，实施分区差别化的产业准入要求。</w:t>
            </w:r>
          </w:p>
          <w:p w14:paraId="0B25DB3E">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（3）合理规划居住区与园区，在居住区和园区、企业之间设置防护绿地、生态绿地等隔离带。</w:t>
            </w:r>
          </w:p>
        </w:tc>
        <w:tc>
          <w:tcPr>
            <w:tcW w:w="3226" w:type="dxa"/>
            <w:vAlign w:val="center"/>
          </w:tcPr>
          <w:p w14:paraId="70C6106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本项目位于江苏省无锡市锡山区锡北镇新坝村新达路6号，根据《无锡市锡山区锡北镇总体规划（2015-2030）》，该地块为二类工业用地，该地块符合无锡市锡山区用地规划的要求。</w:t>
            </w:r>
          </w:p>
        </w:tc>
        <w:tc>
          <w:tcPr>
            <w:tcW w:w="1025" w:type="dxa"/>
            <w:vAlign w:val="center"/>
          </w:tcPr>
          <w:p w14:paraId="3B435F9E">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71241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04FD4162">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continue"/>
            <w:vAlign w:val="center"/>
          </w:tcPr>
          <w:p w14:paraId="3DC8A574">
            <w:pPr>
              <w:pStyle w:val="44"/>
              <w:adjustRightInd w:val="0"/>
              <w:snapToGrid w:val="0"/>
              <w:spacing w:after="0"/>
              <w:ind w:left="0" w:leftChars="0" w:right="-105" w:firstLine="0" w:firstLineChars="0"/>
              <w:jc w:val="center"/>
              <w:rPr>
                <w:rFonts w:eastAsia="宋体"/>
                <w:color w:val="auto"/>
                <w:sz w:val="21"/>
                <w:szCs w:val="21"/>
                <w:highlight w:val="none"/>
              </w:rPr>
            </w:pPr>
          </w:p>
        </w:tc>
        <w:tc>
          <w:tcPr>
            <w:tcW w:w="708" w:type="dxa"/>
            <w:vAlign w:val="center"/>
          </w:tcPr>
          <w:p w14:paraId="060F546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bCs/>
                <w:color w:val="auto"/>
                <w:sz w:val="21"/>
                <w:szCs w:val="21"/>
                <w:highlight w:val="none"/>
              </w:rPr>
              <w:t>污染物排放管控</w:t>
            </w:r>
          </w:p>
        </w:tc>
        <w:tc>
          <w:tcPr>
            <w:tcW w:w="2693" w:type="dxa"/>
            <w:vAlign w:val="center"/>
          </w:tcPr>
          <w:p w14:paraId="7F77FC2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严格实施污染物总量控制制度，根据区域环境质量改善目标，采取有效措施减少主要污染物排放总量，确保区域环境质量持续改善。</w:t>
            </w:r>
          </w:p>
        </w:tc>
        <w:tc>
          <w:tcPr>
            <w:tcW w:w="3226" w:type="dxa"/>
            <w:vAlign w:val="center"/>
          </w:tcPr>
          <w:p w14:paraId="65150F24">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本项目实施总量控制制度，产生废气经收集、处理后排放，生活污水</w:t>
            </w:r>
            <w:r>
              <w:rPr>
                <w:rFonts w:hint="eastAsia" w:eastAsia="宋体"/>
                <w:color w:val="auto"/>
                <w:sz w:val="21"/>
                <w:szCs w:val="21"/>
                <w:highlight w:val="none"/>
              </w:rPr>
              <w:t>经化粪池预处理后与初期雨水收集后委托无锡先进化药化工有限公司处理达标后接入无锡市锡山云林污水处理有限公司</w:t>
            </w:r>
            <w:r>
              <w:rPr>
                <w:rFonts w:eastAsia="宋体"/>
                <w:color w:val="auto"/>
                <w:sz w:val="21"/>
                <w:szCs w:val="21"/>
                <w:highlight w:val="none"/>
              </w:rPr>
              <w:t>，固废零排放，采取以上措施可以使区域环境质量持续改善。</w:t>
            </w:r>
          </w:p>
        </w:tc>
        <w:tc>
          <w:tcPr>
            <w:tcW w:w="1025" w:type="dxa"/>
            <w:vAlign w:val="center"/>
          </w:tcPr>
          <w:p w14:paraId="4C4FF266">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125CC6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347FECFE">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continue"/>
            <w:vAlign w:val="center"/>
          </w:tcPr>
          <w:p w14:paraId="7B4A7E8E">
            <w:pPr>
              <w:pStyle w:val="44"/>
              <w:adjustRightInd w:val="0"/>
              <w:snapToGrid w:val="0"/>
              <w:spacing w:after="0"/>
              <w:ind w:left="0" w:leftChars="0" w:right="-105" w:firstLine="0" w:firstLineChars="0"/>
              <w:jc w:val="center"/>
              <w:rPr>
                <w:rFonts w:eastAsia="宋体"/>
                <w:color w:val="auto"/>
                <w:sz w:val="21"/>
                <w:szCs w:val="21"/>
                <w:highlight w:val="none"/>
              </w:rPr>
            </w:pPr>
          </w:p>
        </w:tc>
        <w:tc>
          <w:tcPr>
            <w:tcW w:w="708" w:type="dxa"/>
            <w:vAlign w:val="center"/>
          </w:tcPr>
          <w:p w14:paraId="3CD9C5AF">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bCs/>
                <w:color w:val="auto"/>
                <w:sz w:val="21"/>
                <w:szCs w:val="21"/>
                <w:highlight w:val="none"/>
              </w:rPr>
              <w:t>环境风险防控</w:t>
            </w:r>
          </w:p>
        </w:tc>
        <w:tc>
          <w:tcPr>
            <w:tcW w:w="2693" w:type="dxa"/>
            <w:vAlign w:val="center"/>
          </w:tcPr>
          <w:p w14:paraId="4381AA59">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（1）园区建立环境应急体系，完善事故应急救援体系，加强应急物资装备储备，编制突发环境事件应急预案，定期开展演练。</w:t>
            </w:r>
          </w:p>
          <w:p w14:paraId="3B38E92F">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（2）生产、使用、储存危险化学品或其他存在环境风险的企事业单位，应当制定风险防范措施，编制完善突发环境事件应急预案，防止发生环境污染事故。</w:t>
            </w:r>
          </w:p>
          <w:p w14:paraId="42B81C6C">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（3）加强环境影响跟踪监测，建立健全各环境要素监控体系，完善并落实园区日常环境监测与污染源监控计划。</w:t>
            </w:r>
          </w:p>
        </w:tc>
        <w:tc>
          <w:tcPr>
            <w:tcW w:w="3226" w:type="dxa"/>
            <w:vAlign w:val="center"/>
          </w:tcPr>
          <w:p w14:paraId="3476400E">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企业投产后将编制突发环境事件应急预案并建立环境影响监控体系。</w:t>
            </w:r>
          </w:p>
        </w:tc>
        <w:tc>
          <w:tcPr>
            <w:tcW w:w="1025" w:type="dxa"/>
            <w:vAlign w:val="center"/>
          </w:tcPr>
          <w:p w14:paraId="2EC7C761">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A3DB7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5FC7FE26">
            <w:pPr>
              <w:pStyle w:val="44"/>
              <w:adjustRightInd w:val="0"/>
              <w:snapToGrid w:val="0"/>
              <w:spacing w:after="0"/>
              <w:ind w:left="0" w:leftChars="0" w:right="-105" w:firstLine="0" w:firstLineChars="0"/>
              <w:jc w:val="center"/>
              <w:rPr>
                <w:rFonts w:eastAsia="宋体"/>
                <w:color w:val="auto"/>
                <w:sz w:val="21"/>
                <w:szCs w:val="21"/>
                <w:highlight w:val="none"/>
              </w:rPr>
            </w:pPr>
          </w:p>
        </w:tc>
        <w:tc>
          <w:tcPr>
            <w:tcW w:w="426" w:type="dxa"/>
            <w:vMerge w:val="continue"/>
            <w:vAlign w:val="center"/>
          </w:tcPr>
          <w:p w14:paraId="6EA807A1">
            <w:pPr>
              <w:pStyle w:val="44"/>
              <w:adjustRightInd w:val="0"/>
              <w:snapToGrid w:val="0"/>
              <w:spacing w:after="0"/>
              <w:ind w:left="0" w:leftChars="0" w:right="-105" w:firstLine="0" w:firstLineChars="0"/>
              <w:jc w:val="center"/>
              <w:rPr>
                <w:rFonts w:eastAsia="宋体"/>
                <w:color w:val="auto"/>
                <w:sz w:val="21"/>
                <w:szCs w:val="21"/>
                <w:highlight w:val="none"/>
              </w:rPr>
            </w:pPr>
          </w:p>
        </w:tc>
        <w:tc>
          <w:tcPr>
            <w:tcW w:w="708" w:type="dxa"/>
            <w:vAlign w:val="center"/>
          </w:tcPr>
          <w:p w14:paraId="48FB8C98">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bCs/>
                <w:color w:val="auto"/>
                <w:sz w:val="21"/>
                <w:szCs w:val="21"/>
                <w:highlight w:val="none"/>
              </w:rPr>
              <w:t>资源开发效率要求</w:t>
            </w:r>
          </w:p>
        </w:tc>
        <w:tc>
          <w:tcPr>
            <w:tcW w:w="2693" w:type="dxa"/>
            <w:vAlign w:val="center"/>
          </w:tcPr>
          <w:p w14:paraId="2F158F0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禁止销售使用燃料为“Ⅱ类”（较严），具体包括：1、除单台出力大于等于20蒸吨/小时锅炉以外燃用的煤炭及其制品。2、石油焦、油页岩、原油、重油、渣油、煤焦油。</w:t>
            </w:r>
          </w:p>
        </w:tc>
        <w:tc>
          <w:tcPr>
            <w:tcW w:w="3226" w:type="dxa"/>
            <w:vAlign w:val="center"/>
          </w:tcPr>
          <w:p w14:paraId="7D35C70E">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本项目不使用煤炭及其制品、石油焦、油页岩、原油、重油、渣油、煤焦油。</w:t>
            </w:r>
          </w:p>
        </w:tc>
        <w:tc>
          <w:tcPr>
            <w:tcW w:w="1025" w:type="dxa"/>
            <w:vAlign w:val="center"/>
          </w:tcPr>
          <w:p w14:paraId="6BE01545">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7ED1EA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101A06CF">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827" w:type="dxa"/>
            <w:gridSpan w:val="3"/>
            <w:vAlign w:val="center"/>
          </w:tcPr>
          <w:p w14:paraId="08E0242D">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《江苏省“三线一单”生态环境分区管控方案》（苏政发[2020]49 号）</w:t>
            </w:r>
          </w:p>
        </w:tc>
        <w:tc>
          <w:tcPr>
            <w:tcW w:w="3226" w:type="dxa"/>
            <w:vAlign w:val="center"/>
          </w:tcPr>
          <w:p w14:paraId="4660C9AA">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本项目位于太湖流域三级保护区范围内，不属于化学制浆造纸、制革、酿造、染料、印染、电镀项目，本项目不排放含氮、磷生产废水，</w:t>
            </w:r>
            <w:r>
              <w:rPr>
                <w:rFonts w:hint="eastAsia" w:eastAsia="宋体"/>
                <w:color w:val="auto"/>
                <w:sz w:val="21"/>
                <w:szCs w:val="21"/>
                <w:highlight w:val="none"/>
              </w:rPr>
              <w:t>全厂</w:t>
            </w:r>
            <w:r>
              <w:rPr>
                <w:rFonts w:eastAsia="宋体"/>
                <w:color w:val="auto"/>
                <w:sz w:val="21"/>
                <w:szCs w:val="21"/>
                <w:highlight w:val="none"/>
              </w:rPr>
              <w:t>生活污水</w:t>
            </w:r>
            <w:r>
              <w:rPr>
                <w:rFonts w:hint="eastAsia" w:eastAsia="宋体"/>
                <w:color w:val="auto"/>
                <w:sz w:val="21"/>
                <w:szCs w:val="21"/>
                <w:highlight w:val="none"/>
              </w:rPr>
              <w:t>经化粪池预处理后与初期雨水收集后委托无锡先进化药化工有限公司处理达标后接入无锡市锡山云林污水处理有限公司</w:t>
            </w:r>
            <w:r>
              <w:rPr>
                <w:rFonts w:eastAsia="宋体"/>
                <w:color w:val="auto"/>
                <w:sz w:val="21"/>
                <w:szCs w:val="21"/>
                <w:highlight w:val="none"/>
              </w:rPr>
              <w:t>，不会影响水资源的配置和调度。产生的危险废物均委托资质单位处置，一般固废外卖物资回收单位，固废零排放。</w:t>
            </w:r>
          </w:p>
        </w:tc>
        <w:tc>
          <w:tcPr>
            <w:tcW w:w="1025" w:type="dxa"/>
            <w:vAlign w:val="center"/>
          </w:tcPr>
          <w:p w14:paraId="6C0111E0">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r w14:paraId="2C0090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vAlign w:val="center"/>
          </w:tcPr>
          <w:p w14:paraId="2328323E">
            <w:pPr>
              <w:pStyle w:val="44"/>
              <w:adjustRightInd w:val="0"/>
              <w:snapToGrid w:val="0"/>
              <w:spacing w:after="0"/>
              <w:ind w:left="0" w:leftChars="0" w:right="-105" w:firstLine="0" w:firstLineChars="0"/>
              <w:jc w:val="center"/>
              <w:rPr>
                <w:rFonts w:eastAsia="宋体"/>
                <w:color w:val="auto"/>
                <w:sz w:val="21"/>
                <w:szCs w:val="21"/>
                <w:highlight w:val="none"/>
              </w:rPr>
            </w:pPr>
          </w:p>
        </w:tc>
        <w:tc>
          <w:tcPr>
            <w:tcW w:w="3827" w:type="dxa"/>
            <w:gridSpan w:val="3"/>
            <w:vAlign w:val="center"/>
          </w:tcPr>
          <w:p w14:paraId="2EF1C17B">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《长江经济带发展负面清单指南》（2022版）</w:t>
            </w:r>
          </w:p>
        </w:tc>
        <w:tc>
          <w:tcPr>
            <w:tcW w:w="3226" w:type="dxa"/>
            <w:vAlign w:val="center"/>
          </w:tcPr>
          <w:p w14:paraId="41F7CE52">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本项目不属于钢铁、石化、化工、焦化、建材、有色、制浆造纸等高污染项目，项目所在地距离长江</w:t>
            </w:r>
            <w:r>
              <w:rPr>
                <w:rFonts w:hint="eastAsia" w:eastAsia="宋体"/>
                <w:color w:val="auto"/>
                <w:sz w:val="21"/>
                <w:szCs w:val="21"/>
                <w:highlight w:val="none"/>
              </w:rPr>
              <w:t>41.1</w:t>
            </w:r>
            <w:r>
              <w:rPr>
                <w:rFonts w:eastAsia="宋体"/>
                <w:color w:val="auto"/>
                <w:sz w:val="21"/>
                <w:szCs w:val="21"/>
                <w:highlight w:val="none"/>
              </w:rPr>
              <w:t>km，不在自然保护区范围内，不在生态保护红线和永久基本农田范围内，不属于严重产能过剩行业项目</w:t>
            </w:r>
          </w:p>
        </w:tc>
        <w:tc>
          <w:tcPr>
            <w:tcW w:w="1025" w:type="dxa"/>
            <w:vAlign w:val="center"/>
          </w:tcPr>
          <w:p w14:paraId="008A9853">
            <w:pPr>
              <w:pStyle w:val="44"/>
              <w:adjustRightInd w:val="0"/>
              <w:snapToGrid w:val="0"/>
              <w:spacing w:after="0"/>
              <w:ind w:left="0" w:leftChars="0" w:right="-105" w:firstLine="0" w:firstLineChars="0"/>
              <w:jc w:val="center"/>
              <w:rPr>
                <w:rFonts w:eastAsia="宋体"/>
                <w:color w:val="auto"/>
                <w:sz w:val="21"/>
                <w:szCs w:val="21"/>
                <w:highlight w:val="none"/>
              </w:rPr>
            </w:pPr>
            <w:r>
              <w:rPr>
                <w:rFonts w:eastAsia="宋体"/>
                <w:color w:val="auto"/>
                <w:sz w:val="21"/>
                <w:szCs w:val="21"/>
                <w:highlight w:val="none"/>
              </w:rPr>
              <w:t>符合</w:t>
            </w:r>
          </w:p>
        </w:tc>
      </w:tr>
    </w:tbl>
    <w:p w14:paraId="35C21862">
      <w:pPr>
        <w:spacing w:line="360" w:lineRule="auto"/>
        <w:ind w:left="-105" w:right="-105" w:firstLine="480" w:firstLineChars="200"/>
        <w:rPr>
          <w:rFonts w:ascii="Times New Roman" w:hAnsi="Times New Roman"/>
          <w:color w:val="auto"/>
          <w:szCs w:val="22"/>
          <w:highlight w:val="none"/>
        </w:rPr>
      </w:pPr>
      <w:r>
        <w:rPr>
          <w:rFonts w:ascii="Times New Roman" w:hAnsi="Times New Roman" w:cs="Times New Roman"/>
          <w:color w:val="auto"/>
          <w:szCs w:val="22"/>
          <w:highlight w:val="none"/>
        </w:rPr>
        <w:t>通过初步分析判定，建设项目符合国家和地方产业政策，选址符合区域总体规划、环保规划；项目满足生态保护、环境质量、资源利用及环境准入等要求。</w:t>
      </w:r>
    </w:p>
    <w:p w14:paraId="3D0AFD7D">
      <w:pPr>
        <w:pStyle w:val="4"/>
        <w:spacing w:line="360" w:lineRule="auto"/>
        <w:ind w:left="-105" w:right="-105" w:firstLine="0"/>
        <w:rPr>
          <w:rFonts w:ascii="Times New Roman" w:eastAsia="宋体"/>
          <w:color w:val="auto"/>
          <w:sz w:val="28"/>
          <w:szCs w:val="28"/>
          <w:highlight w:val="none"/>
        </w:rPr>
      </w:pPr>
      <w:bookmarkStart w:id="49" w:name="_Toc352006401"/>
      <w:bookmarkStart w:id="50" w:name="_Toc18162"/>
      <w:bookmarkStart w:id="51" w:name="_Toc13515"/>
      <w:bookmarkStart w:id="52" w:name="_Toc60653437"/>
      <w:bookmarkStart w:id="53" w:name="_Toc317262265"/>
      <w:r>
        <w:rPr>
          <w:rFonts w:ascii="Times New Roman" w:eastAsia="宋体"/>
          <w:color w:val="auto"/>
          <w:sz w:val="28"/>
          <w:szCs w:val="28"/>
          <w:highlight w:val="none"/>
        </w:rPr>
        <w:t>环境影响</w:t>
      </w:r>
      <w:r>
        <w:rPr>
          <w:rFonts w:hint="eastAsia" w:ascii="Times New Roman" w:eastAsia="宋体"/>
          <w:color w:val="auto"/>
          <w:sz w:val="28"/>
          <w:szCs w:val="28"/>
          <w:highlight w:val="none"/>
        </w:rPr>
        <w:t>评价</w:t>
      </w:r>
      <w:r>
        <w:rPr>
          <w:rFonts w:ascii="Times New Roman" w:eastAsia="宋体"/>
          <w:color w:val="auto"/>
          <w:sz w:val="28"/>
          <w:szCs w:val="28"/>
          <w:highlight w:val="none"/>
        </w:rPr>
        <w:t>主要结论</w:t>
      </w:r>
      <w:bookmarkEnd w:id="49"/>
      <w:bookmarkEnd w:id="50"/>
      <w:bookmarkEnd w:id="51"/>
      <w:bookmarkEnd w:id="52"/>
      <w:bookmarkEnd w:id="53"/>
    </w:p>
    <w:p w14:paraId="6B6FFCCA">
      <w:pPr>
        <w:spacing w:line="360" w:lineRule="auto"/>
        <w:ind w:left="-105" w:right="-105" w:firstLine="480" w:firstLineChars="200"/>
        <w:rPr>
          <w:rFonts w:ascii="Times New Roman" w:hAnsi="Times New Roman"/>
          <w:color w:val="auto"/>
          <w:highlight w:val="none"/>
        </w:rPr>
      </w:pPr>
      <w:r>
        <w:rPr>
          <w:rFonts w:ascii="Times New Roman" w:hAnsi="Times New Roman" w:cs="Times New Roman"/>
          <w:color w:val="auto"/>
          <w:highlight w:val="none"/>
        </w:rPr>
        <w:t>本项目符合国家和地方产业政策，与地方有关环境保护法律法规、标准、政策、规范相符。无锡市环境空气质量在2025年实现全面达标，符合区域规划要求，地表水通过上、下游综合整治，将符合功能目标类别，根据监测数据，项目所在地噪声、土壤、地下水环境质量均满足相关环境功能区的要求；厂区平面布置合理，采用的工艺水平先进，自动化程度高，采取的污染防治措施可行可靠，能有效实现污染物长期稳定达标排放，对环境影响较小；环境经济损益具有正面效应；采纳了公众参与过程中公众提出的合理意见；制定了完善的环境管理制度和监测计划。因此，从环保角度出发，本项目具有环境可行性。</w:t>
      </w:r>
    </w:p>
    <w:p w14:paraId="16601B63">
      <w:pPr>
        <w:spacing w:line="360" w:lineRule="auto"/>
        <w:ind w:left="-105" w:right="-105" w:firstLine="480" w:firstLineChars="200"/>
        <w:rPr>
          <w:rFonts w:ascii="Times New Roman" w:hAnsi="Times New Roman"/>
          <w:color w:val="auto"/>
          <w:highlight w:val="none"/>
        </w:rPr>
      </w:pPr>
    </w:p>
    <w:p w14:paraId="2F1A88CC">
      <w:pPr>
        <w:spacing w:line="360" w:lineRule="auto"/>
        <w:ind w:left="-105" w:right="-105" w:firstLine="480" w:firstLineChars="200"/>
        <w:rPr>
          <w:rFonts w:ascii="Times New Roman" w:hAnsi="Times New Roman"/>
          <w:color w:val="auto"/>
          <w:highlight w:val="none"/>
        </w:rPr>
      </w:pPr>
    </w:p>
    <w:p w14:paraId="2691DB40">
      <w:pPr>
        <w:tabs>
          <w:tab w:val="left" w:pos="1418"/>
        </w:tabs>
        <w:spacing w:line="360" w:lineRule="auto"/>
        <w:ind w:left="-105" w:right="-105" w:firstLine="480"/>
        <w:rPr>
          <w:rFonts w:ascii="Times New Roman" w:hAnsi="Times New Roman"/>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01" w:bottom="1440" w:left="1701" w:header="851" w:footer="851" w:gutter="0"/>
          <w:pgBorders>
            <w:top w:val="none" w:sz="0" w:space="0"/>
            <w:left w:val="none" w:sz="0" w:space="0"/>
            <w:bottom w:val="none" w:sz="0" w:space="0"/>
            <w:right w:val="none" w:sz="0" w:space="0"/>
          </w:pgBorders>
          <w:pgNumType w:start="1"/>
          <w:cols w:space="720" w:num="1"/>
          <w:docGrid w:linePitch="498" w:charSpace="-2336"/>
        </w:sectPr>
      </w:pPr>
    </w:p>
    <w:p w14:paraId="2DB49E99">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54" w:name="_Ref287858245"/>
      <w:bookmarkStart w:id="55" w:name="_Toc352006402"/>
      <w:bookmarkStart w:id="56" w:name="_Toc6254"/>
      <w:bookmarkStart w:id="57" w:name="_Toc327968197"/>
      <w:bookmarkStart w:id="58" w:name="_Toc60653438"/>
      <w:bookmarkStart w:id="59" w:name="_Ref287858248"/>
      <w:bookmarkStart w:id="60" w:name="_Toc22612"/>
      <w:r>
        <w:rPr>
          <w:rFonts w:ascii="Times New Roman" w:eastAsia="宋体"/>
          <w:color w:val="auto"/>
          <w:sz w:val="32"/>
          <w:szCs w:val="32"/>
          <w:highlight w:val="none"/>
        </w:rPr>
        <w:t>总则</w:t>
      </w:r>
      <w:bookmarkEnd w:id="54"/>
      <w:bookmarkEnd w:id="55"/>
      <w:bookmarkEnd w:id="56"/>
      <w:bookmarkEnd w:id="57"/>
      <w:bookmarkEnd w:id="58"/>
      <w:bookmarkEnd w:id="59"/>
      <w:bookmarkEnd w:id="60"/>
    </w:p>
    <w:p w14:paraId="52E23B87">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61" w:name="_Toc60653439"/>
      <w:bookmarkStart w:id="62" w:name="_Toc30307"/>
      <w:bookmarkStart w:id="63" w:name="_Toc327968198"/>
      <w:bookmarkStart w:id="64" w:name="_Toc31878"/>
      <w:bookmarkStart w:id="65" w:name="_Toc352006403"/>
      <w:bookmarkStart w:id="66" w:name="_Toc23673841"/>
      <w:bookmarkStart w:id="67" w:name="_Toc125882608"/>
      <w:bookmarkStart w:id="68" w:name="_Toc23933251"/>
      <w:bookmarkStart w:id="69" w:name="_Toc23604717"/>
      <w:bookmarkStart w:id="70" w:name="_Toc23604805"/>
      <w:bookmarkStart w:id="71" w:name="_Toc23738043"/>
      <w:bookmarkStart w:id="72" w:name="_Toc23933485"/>
      <w:bookmarkStart w:id="73" w:name="_Toc23933428"/>
      <w:bookmarkStart w:id="74" w:name="_Toc22899959"/>
      <w:bookmarkStart w:id="75" w:name="_Toc23673995"/>
      <w:r>
        <w:rPr>
          <w:rFonts w:ascii="Times New Roman" w:eastAsia="宋体"/>
          <w:color w:val="auto"/>
          <w:sz w:val="28"/>
          <w:szCs w:val="28"/>
          <w:highlight w:val="none"/>
        </w:rPr>
        <w:t>编制依据</w:t>
      </w:r>
      <w:bookmarkEnd w:id="61"/>
      <w:bookmarkEnd w:id="62"/>
      <w:bookmarkEnd w:id="63"/>
      <w:bookmarkEnd w:id="64"/>
      <w:bookmarkEnd w:id="65"/>
    </w:p>
    <w:p w14:paraId="6CF47F3C">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76" w:name="_Toc60653440"/>
      <w:r>
        <w:rPr>
          <w:rFonts w:eastAsia="宋体"/>
          <w:color w:val="auto"/>
          <w:sz w:val="28"/>
          <w:szCs w:val="28"/>
          <w:highlight w:val="none"/>
        </w:rPr>
        <w:t>国家法律、法规、规章及规范性文件</w:t>
      </w:r>
      <w:bookmarkEnd w:id="76"/>
    </w:p>
    <w:bookmarkEnd w:id="66"/>
    <w:bookmarkEnd w:id="67"/>
    <w:bookmarkEnd w:id="68"/>
    <w:bookmarkEnd w:id="69"/>
    <w:bookmarkEnd w:id="70"/>
    <w:bookmarkEnd w:id="71"/>
    <w:bookmarkEnd w:id="72"/>
    <w:bookmarkEnd w:id="73"/>
    <w:bookmarkEnd w:id="74"/>
    <w:bookmarkEnd w:id="75"/>
    <w:p w14:paraId="5A44F257">
      <w:pPr>
        <w:pStyle w:val="97"/>
        <w:numPr>
          <w:ilvl w:val="0"/>
          <w:numId w:val="7"/>
        </w:numPr>
        <w:spacing w:line="360" w:lineRule="auto"/>
        <w:ind w:left="-105" w:right="-105" w:firstLine="480"/>
        <w:rPr>
          <w:rFonts w:eastAsia="宋体"/>
          <w:color w:val="auto"/>
          <w:sz w:val="24"/>
          <w:highlight w:val="none"/>
        </w:rPr>
      </w:pPr>
      <w:bookmarkStart w:id="77" w:name="_Toc17880798"/>
      <w:bookmarkStart w:id="78" w:name="_Toc17618524"/>
      <w:bookmarkStart w:id="79" w:name="_Toc17881012"/>
      <w:bookmarkStart w:id="80" w:name="_Toc18141221"/>
      <w:bookmarkStart w:id="81" w:name="_Toc17531338"/>
      <w:bookmarkStart w:id="82" w:name="_Toc17531996"/>
      <w:bookmarkStart w:id="83" w:name="_Toc60545865"/>
      <w:bookmarkStart w:id="84" w:name="_Toc53372017"/>
      <w:bookmarkStart w:id="85" w:name="_Toc53737339"/>
      <w:r>
        <w:rPr>
          <w:rFonts w:eastAsia="宋体"/>
          <w:color w:val="auto"/>
          <w:sz w:val="24"/>
          <w:highlight w:val="none"/>
        </w:rPr>
        <w:t>《中华人民共和国环境保护法》(2014年4月24日第十二届全国人民代表大会常务委员会第八次会议修订通过，2015年1月1日实施)；</w:t>
      </w:r>
    </w:p>
    <w:p w14:paraId="3C4F33FA">
      <w:pPr>
        <w:pStyle w:val="97"/>
        <w:numPr>
          <w:ilvl w:val="0"/>
          <w:numId w:val="7"/>
        </w:numPr>
        <w:spacing w:line="360" w:lineRule="auto"/>
        <w:ind w:left="-105" w:right="-105" w:firstLine="480"/>
        <w:rPr>
          <w:rFonts w:eastAsia="宋体"/>
          <w:color w:val="auto"/>
          <w:sz w:val="24"/>
          <w:highlight w:val="none"/>
        </w:rPr>
      </w:pPr>
      <w:r>
        <w:rPr>
          <w:rFonts w:eastAsia="宋体"/>
          <w:color w:val="auto"/>
          <w:sz w:val="24"/>
          <w:highlight w:val="none"/>
        </w:rPr>
        <w:t>《中华人民共和国环境影响评价法》（2018年修订）；</w:t>
      </w:r>
    </w:p>
    <w:p w14:paraId="457A1FE4">
      <w:pPr>
        <w:pStyle w:val="97"/>
        <w:numPr>
          <w:ilvl w:val="0"/>
          <w:numId w:val="7"/>
        </w:numPr>
        <w:spacing w:line="360" w:lineRule="auto"/>
        <w:ind w:left="-105" w:right="-105" w:firstLine="480"/>
        <w:rPr>
          <w:rFonts w:eastAsia="宋体"/>
          <w:color w:val="auto"/>
          <w:sz w:val="24"/>
          <w:highlight w:val="none"/>
        </w:rPr>
      </w:pPr>
      <w:r>
        <w:rPr>
          <w:rFonts w:eastAsia="宋体"/>
          <w:color w:val="auto"/>
          <w:sz w:val="24"/>
          <w:highlight w:val="none"/>
        </w:rPr>
        <w:t>《中华人民共和国水污染防治法》，2017年6月27日第十二届全国人民代表大会常务委员会第二十八次会议修订通过，自2018年1月1日起施行；</w:t>
      </w:r>
    </w:p>
    <w:p w14:paraId="0A87286C">
      <w:pPr>
        <w:pStyle w:val="97"/>
        <w:numPr>
          <w:ilvl w:val="0"/>
          <w:numId w:val="7"/>
        </w:numPr>
        <w:spacing w:line="360" w:lineRule="auto"/>
        <w:ind w:left="-105" w:right="-105" w:firstLine="480"/>
        <w:rPr>
          <w:rFonts w:eastAsia="宋体"/>
          <w:color w:val="auto"/>
          <w:sz w:val="24"/>
          <w:highlight w:val="none"/>
        </w:rPr>
      </w:pPr>
      <w:r>
        <w:rPr>
          <w:rFonts w:eastAsia="宋体"/>
          <w:color w:val="auto"/>
          <w:sz w:val="24"/>
          <w:highlight w:val="none"/>
        </w:rPr>
        <w:t>《中华人民共和国大气污染防治法》(2018年10月26日修订)；</w:t>
      </w:r>
    </w:p>
    <w:p w14:paraId="559F7011">
      <w:pPr>
        <w:pStyle w:val="97"/>
        <w:numPr>
          <w:ilvl w:val="0"/>
          <w:numId w:val="7"/>
        </w:numPr>
        <w:spacing w:line="360" w:lineRule="auto"/>
        <w:ind w:left="-105" w:right="-105" w:firstLine="480"/>
        <w:rPr>
          <w:rFonts w:eastAsia="宋体"/>
          <w:color w:val="auto"/>
          <w:sz w:val="24"/>
          <w:highlight w:val="none"/>
        </w:rPr>
      </w:pPr>
      <w:r>
        <w:rPr>
          <w:rFonts w:eastAsia="宋体"/>
          <w:color w:val="auto"/>
          <w:sz w:val="24"/>
          <w:highlight w:val="none"/>
        </w:rPr>
        <w:t>《中华人民共和国固体废物污染环境防治法》(由中华人民共和国第十三届全国人民代表大会常务委员会第十七次会议于2020年4月29日修订通过，自2020年9月1日起施行)；</w:t>
      </w:r>
    </w:p>
    <w:p w14:paraId="78A0B2EA">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《中华人民共和国噪声污染防治法》，2021年12月24日；</w:t>
      </w:r>
    </w:p>
    <w:p w14:paraId="2CBD47D9">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《中华人民共和国土壤污染防治法》，2018年8月31日；</w:t>
      </w:r>
    </w:p>
    <w:p w14:paraId="6F361FFA">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《中华人民共和国节约能源法》，2018年修订版，2018年1月26日实施；</w:t>
      </w:r>
    </w:p>
    <w:p w14:paraId="38C385A5">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《中华人民共和国清洁生产促进法》(由中华人民共和国第十二届全国人民代表大会常务委员会第十六次会议于2015年8月29日修订通过，自2016年7月1日起施行)；</w:t>
      </w:r>
    </w:p>
    <w:p w14:paraId="2A30D14A">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《建设项目环境保护管理条例》，2017年6月21日国务院第177次常务会议通过，自2017年10月1日起施行；</w:t>
      </w:r>
    </w:p>
    <w:p w14:paraId="520CC266">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《建设项目环境影响评价分类管理名录》(2021年版)；</w:t>
      </w:r>
    </w:p>
    <w:p w14:paraId="13090D6E">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《建设项目环境影响评价文件分级审批规定》2008年12月11日修订，2009年3月1日起施行；</w:t>
      </w:r>
    </w:p>
    <w:p w14:paraId="3438FDDF">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《国务院关于加强环境保护重点工作的意见》，国发[2011]35号；</w:t>
      </w:r>
    </w:p>
    <w:p w14:paraId="0DAD4AA6">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《国务院关于印发大气污染防治行动计划的通知》，国发[2013]37号；</w:t>
      </w:r>
    </w:p>
    <w:p w14:paraId="338A9B35">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《国务院关于印发水污染防治行动计划的通知》，国发[2015]17号；</w:t>
      </w:r>
    </w:p>
    <w:p w14:paraId="75BF2DBC">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《国务院关于印发土壤污染防治行动计划的通知》，国发[2016]31号)；</w:t>
      </w:r>
    </w:p>
    <w:p w14:paraId="4274ACE8">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国家环保总局、国家经济贸易委员会、科学技术部关于发布《危险废物污染防治技术政策》的通知，环发[2001]199号；</w:t>
      </w:r>
    </w:p>
    <w:p w14:paraId="415A1522">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《国务院办公厅关于印发强化危险废物监管和利用处置能力改革实施方案的通知》，国办函[2021]47号；</w:t>
      </w:r>
    </w:p>
    <w:p w14:paraId="4DA76A7C">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《关于切实加强风险防范措施严格环境影响评价管理的通知》，环发[2012]98号；</w:t>
      </w:r>
    </w:p>
    <w:p w14:paraId="0BCC1CED">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《关于进一步加强环境影响评价管理防范环境风险的通知》，环发[2012]77号；</w:t>
      </w:r>
    </w:p>
    <w:p w14:paraId="65B33015">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《突发环境事件应急管理办法》，部令第34号；</w:t>
      </w:r>
    </w:p>
    <w:p w14:paraId="4130E92B">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关于印发《建设项目环境影响评价政府信息公开指南(试行)》的通知，环办[2013]103号；</w:t>
      </w:r>
    </w:p>
    <w:p w14:paraId="7CA02287">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《关于落实大气污染防治行动计划严格环境影响评价准入的通知》，环办[2014]30号；</w:t>
      </w:r>
    </w:p>
    <w:p w14:paraId="7B74C6ED">
      <w:pPr>
        <w:pStyle w:val="97"/>
        <w:numPr>
          <w:ilvl w:val="0"/>
          <w:numId w:val="7"/>
        </w:numPr>
        <w:spacing w:line="360" w:lineRule="auto"/>
        <w:ind w:left="-105" w:right="-105" w:firstLine="468"/>
        <w:rPr>
          <w:rFonts w:eastAsia="宋体"/>
          <w:color w:val="auto"/>
          <w:sz w:val="24"/>
          <w:highlight w:val="none"/>
          <w:lang w:bidi="zh-CN"/>
        </w:rPr>
      </w:pPr>
      <w:r>
        <w:rPr>
          <w:rFonts w:eastAsia="宋体"/>
          <w:color w:val="auto"/>
          <w:spacing w:val="-3"/>
          <w:sz w:val="24"/>
          <w:szCs w:val="22"/>
          <w:highlight w:val="none"/>
        </w:rPr>
        <w:t>《环保部关于印发&lt;建设项目主要污染物排放总量指标审核及管理暂行办法&gt;的通知》，环发[</w:t>
      </w:r>
      <w:r>
        <w:rPr>
          <w:rFonts w:eastAsia="宋体"/>
          <w:color w:val="auto"/>
          <w:sz w:val="24"/>
          <w:szCs w:val="22"/>
          <w:highlight w:val="none"/>
        </w:rPr>
        <w:t>2014]197</w:t>
      </w:r>
      <w:r>
        <w:rPr>
          <w:rFonts w:eastAsia="宋体"/>
          <w:color w:val="auto"/>
          <w:spacing w:val="-24"/>
          <w:sz w:val="24"/>
          <w:szCs w:val="22"/>
          <w:highlight w:val="none"/>
        </w:rPr>
        <w:t>号；</w:t>
      </w:r>
    </w:p>
    <w:p w14:paraId="684CEDE1">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《国家先进污染防治示范技术名录（水污染防治领域）》2022年；</w:t>
      </w:r>
    </w:p>
    <w:p w14:paraId="16E3089E">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《国家先进污染防治技术目录（大气污染防治、噪声与振动控制领域）》2021年；</w:t>
      </w:r>
    </w:p>
    <w:p w14:paraId="35AB7CC4">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《国家先进污染防治技术目录（固体废物和土壤污染防治领域）》的公告2021年；</w:t>
      </w:r>
    </w:p>
    <w:p w14:paraId="240C104C">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《2016 年国家先进污染防治技术目录，（VOCs 防治领域）》（公告2016年第75号）；</w:t>
      </w:r>
    </w:p>
    <w:p w14:paraId="6DC5E088">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《关于加强规划环境影响评价与建设项目环境影响评价联动工作的意见》，环发[2015]178号；</w:t>
      </w:r>
    </w:p>
    <w:p w14:paraId="7B986F27">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关于启用《建设项目环境影响报告书审批基础信息表》的通知，环办环评函[2020]711号；</w:t>
      </w:r>
    </w:p>
    <w:p w14:paraId="2AC0F925">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《环境影响评价公众参与办法》，2018.4.16审议通过，2019年1月1日实施；</w:t>
      </w:r>
    </w:p>
    <w:p w14:paraId="5D827ECD">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《环境保护综合名录(2021年版)》，环办综合函[2021]495号；</w:t>
      </w:r>
    </w:p>
    <w:p w14:paraId="32CEF501">
      <w:pPr>
        <w:pStyle w:val="97"/>
        <w:numPr>
          <w:ilvl w:val="0"/>
          <w:numId w:val="7"/>
        </w:numPr>
        <w:spacing w:line="360" w:lineRule="auto"/>
        <w:ind w:left="-105" w:right="-105" w:firstLine="468"/>
        <w:rPr>
          <w:rFonts w:eastAsia="宋体"/>
          <w:color w:val="auto"/>
          <w:sz w:val="24"/>
          <w:highlight w:val="none"/>
          <w:lang w:bidi="zh-CN"/>
        </w:rPr>
      </w:pPr>
      <w:r>
        <w:rPr>
          <w:rFonts w:eastAsia="宋体"/>
          <w:color w:val="auto"/>
          <w:spacing w:val="-3"/>
          <w:sz w:val="24"/>
          <w:szCs w:val="22"/>
          <w:highlight w:val="none"/>
        </w:rPr>
        <w:t>《太湖流域管理条例》，国务院令[</w:t>
      </w:r>
      <w:r>
        <w:rPr>
          <w:rFonts w:eastAsia="宋体"/>
          <w:color w:val="auto"/>
          <w:sz w:val="24"/>
          <w:szCs w:val="22"/>
          <w:highlight w:val="none"/>
        </w:rPr>
        <w:t>2011]604</w:t>
      </w:r>
      <w:r>
        <w:rPr>
          <w:rFonts w:eastAsia="宋体"/>
          <w:color w:val="auto"/>
          <w:spacing w:val="-18"/>
          <w:sz w:val="24"/>
          <w:szCs w:val="22"/>
          <w:highlight w:val="none"/>
        </w:rPr>
        <w:t>号；</w:t>
      </w:r>
    </w:p>
    <w:p w14:paraId="72E460A3">
      <w:pPr>
        <w:pStyle w:val="97"/>
        <w:numPr>
          <w:ilvl w:val="0"/>
          <w:numId w:val="7"/>
        </w:numPr>
        <w:spacing w:line="360" w:lineRule="auto"/>
        <w:ind w:left="-105" w:right="-105" w:firstLine="500"/>
        <w:rPr>
          <w:rFonts w:eastAsia="宋体"/>
          <w:color w:val="auto"/>
          <w:sz w:val="24"/>
          <w:highlight w:val="none"/>
          <w:lang w:bidi="zh-CN"/>
        </w:rPr>
      </w:pPr>
      <w:r>
        <w:rPr>
          <w:rFonts w:eastAsia="宋体"/>
          <w:color w:val="auto"/>
          <w:spacing w:val="5"/>
          <w:sz w:val="24"/>
          <w:szCs w:val="22"/>
          <w:highlight w:val="none"/>
        </w:rPr>
        <w:t>《太湖流域水功能区划(2010-2030)》，国务院国函[</w:t>
      </w:r>
      <w:r>
        <w:rPr>
          <w:rFonts w:eastAsia="宋体"/>
          <w:color w:val="auto"/>
          <w:sz w:val="24"/>
          <w:szCs w:val="22"/>
          <w:highlight w:val="none"/>
        </w:rPr>
        <w:t>2</w:t>
      </w:r>
      <w:r>
        <w:rPr>
          <w:rFonts w:eastAsia="宋体"/>
          <w:color w:val="auto"/>
          <w:spacing w:val="-2"/>
          <w:sz w:val="24"/>
          <w:szCs w:val="22"/>
          <w:highlight w:val="none"/>
        </w:rPr>
        <w:t>01</w:t>
      </w:r>
      <w:r>
        <w:rPr>
          <w:rFonts w:eastAsia="宋体"/>
          <w:color w:val="auto"/>
          <w:sz w:val="24"/>
          <w:szCs w:val="22"/>
          <w:highlight w:val="none"/>
        </w:rPr>
        <w:t>0</w:t>
      </w:r>
      <w:r>
        <w:rPr>
          <w:rFonts w:eastAsia="宋体"/>
          <w:color w:val="auto"/>
          <w:spacing w:val="-2"/>
          <w:sz w:val="24"/>
          <w:szCs w:val="22"/>
          <w:highlight w:val="none"/>
        </w:rPr>
        <w:t>]39号；</w:t>
      </w:r>
    </w:p>
    <w:p w14:paraId="1EC8CCED">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《太湖流域水环境综合治理总体方案》，发改地区[2022]959号；</w:t>
      </w:r>
    </w:p>
    <w:p w14:paraId="6FE974F4">
      <w:pPr>
        <w:pStyle w:val="97"/>
        <w:numPr>
          <w:ilvl w:val="0"/>
          <w:numId w:val="7"/>
        </w:numPr>
        <w:spacing w:line="360" w:lineRule="auto"/>
        <w:ind w:left="-105" w:right="-105" w:firstLine="456"/>
        <w:rPr>
          <w:rFonts w:eastAsia="宋体"/>
          <w:color w:val="auto"/>
          <w:sz w:val="24"/>
          <w:highlight w:val="none"/>
          <w:lang w:bidi="zh-CN"/>
        </w:rPr>
      </w:pPr>
      <w:r>
        <w:rPr>
          <w:rFonts w:eastAsia="宋体"/>
          <w:color w:val="auto"/>
          <w:spacing w:val="-6"/>
          <w:sz w:val="24"/>
          <w:szCs w:val="22"/>
          <w:highlight w:val="none"/>
        </w:rPr>
        <w:t>《挥发性有机物（VOCs）</w:t>
      </w:r>
      <w:r>
        <w:rPr>
          <w:rFonts w:eastAsia="宋体"/>
          <w:color w:val="auto"/>
          <w:spacing w:val="-3"/>
          <w:sz w:val="24"/>
          <w:szCs w:val="22"/>
          <w:highlight w:val="none"/>
        </w:rPr>
        <w:t>污染防治技术政策</w:t>
      </w:r>
      <w:r>
        <w:rPr>
          <w:rFonts w:eastAsia="宋体"/>
          <w:color w:val="auto"/>
          <w:spacing w:val="-171"/>
          <w:sz w:val="24"/>
          <w:szCs w:val="22"/>
          <w:highlight w:val="none"/>
        </w:rPr>
        <w:t>》</w:t>
      </w:r>
      <w:r>
        <w:rPr>
          <w:rFonts w:eastAsia="宋体"/>
          <w:color w:val="auto"/>
          <w:sz w:val="24"/>
          <w:szCs w:val="22"/>
          <w:highlight w:val="none"/>
        </w:rPr>
        <w:t>》，</w:t>
      </w:r>
      <w:r>
        <w:rPr>
          <w:rFonts w:eastAsia="宋体"/>
          <w:color w:val="auto"/>
          <w:spacing w:val="-3"/>
          <w:sz w:val="24"/>
          <w:szCs w:val="22"/>
          <w:highlight w:val="none"/>
        </w:rPr>
        <w:t>环境保护部公告[</w:t>
      </w:r>
      <w:r>
        <w:rPr>
          <w:rFonts w:eastAsia="宋体"/>
          <w:color w:val="auto"/>
          <w:spacing w:val="-2"/>
          <w:sz w:val="24"/>
          <w:szCs w:val="22"/>
          <w:highlight w:val="none"/>
        </w:rPr>
        <w:t>20</w:t>
      </w:r>
      <w:r>
        <w:rPr>
          <w:rFonts w:eastAsia="宋体"/>
          <w:color w:val="auto"/>
          <w:sz w:val="24"/>
          <w:szCs w:val="22"/>
          <w:highlight w:val="none"/>
        </w:rPr>
        <w:t>1</w:t>
      </w:r>
      <w:r>
        <w:rPr>
          <w:rFonts w:eastAsia="宋体"/>
          <w:color w:val="auto"/>
          <w:spacing w:val="-2"/>
          <w:sz w:val="24"/>
          <w:szCs w:val="22"/>
          <w:highlight w:val="none"/>
        </w:rPr>
        <w:t>3</w:t>
      </w:r>
      <w:r>
        <w:rPr>
          <w:rFonts w:eastAsia="宋体"/>
          <w:color w:val="auto"/>
          <w:spacing w:val="-1"/>
          <w:sz w:val="24"/>
          <w:szCs w:val="22"/>
          <w:highlight w:val="none"/>
        </w:rPr>
        <w:t>]</w:t>
      </w:r>
      <w:r>
        <w:rPr>
          <w:rFonts w:eastAsia="宋体"/>
          <w:color w:val="auto"/>
          <w:sz w:val="24"/>
          <w:szCs w:val="22"/>
          <w:highlight w:val="none"/>
        </w:rPr>
        <w:t>第31号</w:t>
      </w:r>
      <w:r>
        <w:rPr>
          <w:rFonts w:eastAsia="宋体"/>
          <w:color w:val="auto"/>
          <w:spacing w:val="-142"/>
          <w:sz w:val="24"/>
          <w:szCs w:val="22"/>
          <w:highlight w:val="none"/>
        </w:rPr>
        <w:t>；</w:t>
      </w:r>
    </w:p>
    <w:p w14:paraId="27B87487">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《重点行业挥发性有机物综合治理方案》，环大气[2019]53号；</w:t>
      </w:r>
    </w:p>
    <w:p w14:paraId="7602504D">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《关于做好环境影响评价制度与排污许可制衔接相关工作的通知》，环办环评[2017]84 号；</w:t>
      </w:r>
    </w:p>
    <w:p w14:paraId="581F9EEB">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《国家危险废物名录》（2021年版）；</w:t>
      </w:r>
    </w:p>
    <w:p w14:paraId="55B251FA">
      <w:pPr>
        <w:pStyle w:val="97"/>
        <w:numPr>
          <w:ilvl w:val="0"/>
          <w:numId w:val="7"/>
        </w:numPr>
        <w:spacing w:line="360" w:lineRule="auto"/>
        <w:ind w:left="-105" w:right="-105" w:firstLine="480"/>
        <w:rPr>
          <w:rFonts w:eastAsia="宋体"/>
          <w:color w:val="auto"/>
          <w:sz w:val="24"/>
          <w:highlight w:val="none"/>
          <w:lang w:bidi="zh-CN"/>
        </w:rPr>
      </w:pPr>
      <w:r>
        <w:rPr>
          <w:rFonts w:eastAsia="宋体"/>
          <w:color w:val="auto"/>
          <w:sz w:val="24"/>
          <w:highlight w:val="none"/>
          <w:lang w:bidi="zh-CN"/>
        </w:rPr>
        <w:t>《危险废物排除管理清单》（2021年版）</w:t>
      </w:r>
      <w:r>
        <w:rPr>
          <w:rFonts w:hint="eastAsia" w:eastAsia="宋体"/>
          <w:color w:val="auto"/>
          <w:sz w:val="24"/>
          <w:highlight w:val="none"/>
          <w:lang w:bidi="zh-CN"/>
        </w:rPr>
        <w:t>。</w:t>
      </w:r>
    </w:p>
    <w:p w14:paraId="6336C7B0">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86" w:name="_Toc51592644"/>
      <w:bookmarkStart w:id="87" w:name="_Toc60653441"/>
      <w:r>
        <w:rPr>
          <w:rFonts w:eastAsia="宋体"/>
          <w:color w:val="auto"/>
          <w:sz w:val="28"/>
          <w:szCs w:val="28"/>
          <w:highlight w:val="none"/>
        </w:rPr>
        <w:t>地方法规、规章及规范性文件</w:t>
      </w:r>
      <w:bookmarkEnd w:id="86"/>
      <w:bookmarkEnd w:id="87"/>
    </w:p>
    <w:p w14:paraId="43F4617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《江苏省排污口设置及规范化整治管理办法》，苏环控[1997]122号；</w:t>
      </w:r>
    </w:p>
    <w:p w14:paraId="6FCDD0A8">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《江苏省重点行业挥发性有机物排放量计算暂行办法》，苏环办[2016]154号；</w:t>
      </w:r>
    </w:p>
    <w:p w14:paraId="5817A09F">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《江苏省大气污染防治条例》，江苏省第十二届人民代表大会第三次会议于2015年2月1日通过，自2015年3月1日起施行；</w:t>
      </w:r>
    </w:p>
    <w:p w14:paraId="46EB862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《江苏省地表水（环境）功能区划（2021－2030年）》，苏政复[2022]13号；</w:t>
      </w:r>
    </w:p>
    <w:p w14:paraId="2A2DD8B1">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《江苏省环境噪声污染防治条例》，2018年3月28日修订；</w:t>
      </w:r>
    </w:p>
    <w:p w14:paraId="758DF93D">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《无锡市环境噪声防治管理办法》，2007年1月1日；</w:t>
      </w:r>
    </w:p>
    <w:p w14:paraId="03587C5E">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《江苏省太湖水污染防治条例》（2018年修正），江苏省人大常委会公告第71号，于2018年1月24日修正通过，自2018年5月1日起施行；</w:t>
      </w:r>
    </w:p>
    <w:p w14:paraId="00F11881">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 xml:space="preserve">《江苏省水污染防治条例》，2020年11月27日； </w:t>
      </w:r>
    </w:p>
    <w:p w14:paraId="5E9B6A20">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《无锡市水环境保护条例》，2021年5月27日；</w:t>
      </w:r>
    </w:p>
    <w:p w14:paraId="3062BCF8">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《江苏省固体废物污染环境防治条例》，2018年3月28日第二次修正；</w:t>
      </w:r>
    </w:p>
    <w:p w14:paraId="27A4AFFA">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《关于进一步严格产生危险废物工业建设项目环境影响评价文件审批的通知》苏环办[2014]294 号；</w:t>
      </w:r>
    </w:p>
    <w:p w14:paraId="1BE5A63D">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《省政府关于印发江苏省大气污染防治行动计划实施方案的通知》，苏政发[2014]1号；</w:t>
      </w:r>
    </w:p>
    <w:p w14:paraId="3E840547">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《省政府办公厅关于公布江苏省太湖流域三级保护区范围的通知》，苏政办发[2012]221号；</w:t>
      </w:r>
    </w:p>
    <w:p w14:paraId="58163481">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《省政府关于印发江苏省生态空间管控区域规划的通知》，苏政发[2020]1号；</w:t>
      </w:r>
    </w:p>
    <w:p w14:paraId="34F71925">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《省政府关于印发&lt;江苏省国家级生态保护红线规划&gt;的通知，苏政发[2018]74号；</w:t>
      </w:r>
    </w:p>
    <w:p w14:paraId="44A1B7FB">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《无锡市锡山区生态文明建设规划》；</w:t>
      </w:r>
    </w:p>
    <w:p w14:paraId="3EE457C6">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《江苏省挥发性有机物污染防治管理办法》，省政府令第119号；</w:t>
      </w:r>
    </w:p>
    <w:p w14:paraId="40ABBA46">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《江苏省颗粒物无组织排放深度整治实施方案》，苏大气办[2018]4号；</w:t>
      </w:r>
    </w:p>
    <w:p w14:paraId="702C0FA0">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《关于落实省大气污染防治行动计划实施方案严格环境影响评价准入的通知》，苏环办[2014]104号；</w:t>
      </w:r>
    </w:p>
    <w:p w14:paraId="56C3B22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《关于印发江苏省重点行业挥发性有机物污染控制指南的通知》，苏环办[2014]128号；</w:t>
      </w:r>
    </w:p>
    <w:p w14:paraId="23F80A5B">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《无锡市2020年挥发性有机物专项治理工作方案》，锡大气办[2020]3号；</w:t>
      </w:r>
    </w:p>
    <w:p w14:paraId="1EECCA3D">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《关于印发〈江苏省重点行业挥发性有机物污染整治方案〉的通知》，苏环办[2015]19号；</w:t>
      </w:r>
    </w:p>
    <w:p w14:paraId="20AE6E4D">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《“两减六治三提升”专项行动方案》，苏发[2016]47号；</w:t>
      </w:r>
    </w:p>
    <w:p w14:paraId="0CFB225F">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《江苏省“两减六治三提升”专项行动实施方案》（苏政办发[2017]30号）；</w:t>
      </w:r>
    </w:p>
    <w:p w14:paraId="72298D2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《关于加强环境影响评价现状监测管理的通知》，苏环办[2016]185号；</w:t>
      </w:r>
    </w:p>
    <w:p w14:paraId="141741EB">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《江苏省政府办公厅关于推进生态保护引领区和生态保护特区建设的指导意见》，苏政办发[2017]73号；</w:t>
      </w:r>
    </w:p>
    <w:p w14:paraId="1012AA89">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《省生态环境厅关于进一步做好建设项目环评审批工作的通知》，苏环办[2019]36号；</w:t>
      </w:r>
    </w:p>
    <w:p w14:paraId="25E31380">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《市政府关于印发无锡市土壤污染防治工作方案的通知》，锡政发[2017]15号）；</w:t>
      </w:r>
    </w:p>
    <w:p w14:paraId="749C69F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《关于在环评审批阶段开展“源头管控行动”的工作意见》，锡环办[2021]142号）；</w:t>
      </w:r>
    </w:p>
    <w:p w14:paraId="08F8A43B">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《江苏省“三线一单”生态环境分区管控方案》，苏政发[2020]49 号；</w:t>
      </w:r>
    </w:p>
    <w:p w14:paraId="1FBBD6B3">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《长江经济带发展负面清单指南》（2022版）；</w:t>
      </w:r>
    </w:p>
    <w:p w14:paraId="49C311A7">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《无锡市“三线一单”生态环境分区管控实施方案》，锡环委办[2020]40 号；</w:t>
      </w:r>
    </w:p>
    <w:p w14:paraId="5869A840">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《省生态环境厅关于印发江苏省环境影响评价文件环境应急相关内容编制要点的通知》（苏环办[2022]338号）；</w:t>
      </w:r>
    </w:p>
    <w:p w14:paraId="1463FE9A">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《江苏省重点行业工业企业雨水排放环境管理办法（试行）》（苏污防攻坚指办[2023]71号）；</w:t>
      </w:r>
    </w:p>
    <w:p w14:paraId="48B43484">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《省政府办公厅关于加快推进城市污水处理能力建设全面提升污水集中收集处理率的实施意见》（苏政办发[2022]42号）；</w:t>
      </w:r>
    </w:p>
    <w:p w14:paraId="3720251D">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《江苏省工业废水与生活污水分质处理工作推进方案》；</w:t>
      </w:r>
    </w:p>
    <w:p w14:paraId="3FEB58F1">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《省生态环境厅关于印发江苏省危险废物贮存规范化管理专项整治行动方案的通知》，苏环办[2019]149号；</w:t>
      </w:r>
    </w:p>
    <w:p w14:paraId="03E80113">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《省生态环境厅关于做好江苏省危险废物全生命周期监控系统上线运行工作的通知》，苏环办[2020]401号；</w:t>
      </w:r>
    </w:p>
    <w:p w14:paraId="281111E6">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《关于加强一般工业固体废物管理的通知》（锡环办[2021]138号）；</w:t>
      </w:r>
    </w:p>
    <w:p w14:paraId="00C9D1C0">
      <w:pPr>
        <w:pStyle w:val="97"/>
        <w:numPr>
          <w:ilvl w:val="0"/>
          <w:numId w:val="8"/>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《省生态环境厅关于印发&lt;江苏省固体废物全过程环境监管工作意见&gt;的通知》苏环办〔2024〕16号</w:t>
      </w:r>
      <w:r>
        <w:rPr>
          <w:rFonts w:hint="eastAsia" w:eastAsia="宋体"/>
          <w:color w:val="auto"/>
          <w:sz w:val="24"/>
          <w:highlight w:val="none"/>
          <w:lang w:bidi="zh-CN"/>
        </w:rPr>
        <w:t>。</w:t>
      </w:r>
    </w:p>
    <w:p w14:paraId="7E407FCE">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88" w:name="_Toc60653442"/>
      <w:bookmarkStart w:id="89" w:name="_Toc48030369"/>
      <w:bookmarkStart w:id="90" w:name="_Toc51592643"/>
      <w:r>
        <w:rPr>
          <w:rFonts w:eastAsia="宋体"/>
          <w:color w:val="auto"/>
          <w:sz w:val="28"/>
          <w:szCs w:val="28"/>
          <w:highlight w:val="none"/>
        </w:rPr>
        <w:t>产业政策与行业管理规定</w:t>
      </w:r>
      <w:bookmarkEnd w:id="88"/>
      <w:bookmarkEnd w:id="89"/>
      <w:bookmarkEnd w:id="90"/>
    </w:p>
    <w:p w14:paraId="6429BB43">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《产业结构调整指导目录(2024年本）》，中华人民共和国国家发展和改革委员会令第7号；</w:t>
      </w:r>
    </w:p>
    <w:p w14:paraId="0CFE09EE">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《外商投资准入特别管理措施（负面清单）（2021年版）》，中华人民共和国国家发展和改革委员会 中华人民共和国商务部令 第47号；</w:t>
      </w:r>
    </w:p>
    <w:p w14:paraId="1D3F5E5B">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《鼓励外商投资产业目录（2022年版）》，中华人民共和国国家发展和改革委员会 中华人民共和国商务部令第52号；</w:t>
      </w:r>
    </w:p>
    <w:p w14:paraId="520D7108">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《市场准入负面清单》（2022年版），发改体改规〔2022〕397号；</w:t>
      </w:r>
    </w:p>
    <w:p w14:paraId="672014D4">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《产业发展与转移指导目录（2018年本）》，中华人民共和国工业和信息化部公告2018年第66号；</w:t>
      </w:r>
    </w:p>
    <w:p w14:paraId="479D985C">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《限制用地项目目录（2012年本）》、《禁止用地项目目录（2012年本）》，国土资发[2012]98 号；</w:t>
      </w:r>
    </w:p>
    <w:p w14:paraId="74048D10">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《江苏省限制用地项目目录（2013年本）》和《江苏省禁止用地项目目录（2013年本）》，江苏省国土资源厅、江苏省发展和改革委员会、江苏省经济和信息化委员会，2013年8月；</w:t>
      </w:r>
    </w:p>
    <w:p w14:paraId="1D6D3B6B">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《无锡市制造业转型发展指导目录（2012）年本》，锡政办发[2013]54号；</w:t>
      </w:r>
    </w:p>
    <w:p w14:paraId="299F43B7">
      <w:pPr>
        <w:pStyle w:val="97"/>
        <w:numPr>
          <w:ilvl w:val="0"/>
          <w:numId w:val="9"/>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《无锡市产业结构调整指导目录(2008年本)》，锡政办发[2008]6号。</w:t>
      </w:r>
    </w:p>
    <w:p w14:paraId="5449C217">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91" w:name="_Toc51592645"/>
      <w:bookmarkStart w:id="92" w:name="_Toc60653443"/>
      <w:r>
        <w:rPr>
          <w:rFonts w:eastAsia="宋体"/>
          <w:color w:val="auto"/>
          <w:sz w:val="28"/>
          <w:szCs w:val="28"/>
          <w:highlight w:val="none"/>
        </w:rPr>
        <w:t>相关导则</w:t>
      </w:r>
      <w:bookmarkEnd w:id="91"/>
      <w:r>
        <w:rPr>
          <w:rFonts w:eastAsia="宋体"/>
          <w:color w:val="auto"/>
          <w:sz w:val="28"/>
          <w:szCs w:val="28"/>
          <w:highlight w:val="none"/>
        </w:rPr>
        <w:t>及技术规范</w:t>
      </w:r>
      <w:bookmarkEnd w:id="92"/>
    </w:p>
    <w:bookmarkEnd w:id="77"/>
    <w:bookmarkEnd w:id="78"/>
    <w:bookmarkEnd w:id="79"/>
    <w:bookmarkEnd w:id="80"/>
    <w:bookmarkEnd w:id="81"/>
    <w:bookmarkEnd w:id="82"/>
    <w:bookmarkEnd w:id="83"/>
    <w:bookmarkEnd w:id="84"/>
    <w:bookmarkEnd w:id="85"/>
    <w:p w14:paraId="41AC3F58">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《环境影响评价技术导则-总纲》，HJ2.1-2016；</w:t>
      </w:r>
    </w:p>
    <w:p w14:paraId="257E1759">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《环境影响评价技术导则-大气环境》，HJ2.2-2018；</w:t>
      </w:r>
    </w:p>
    <w:p w14:paraId="3C39B9B9">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《环境影响评价技术导则-地表水环境》，HJ 2.3-2018；</w:t>
      </w:r>
    </w:p>
    <w:p w14:paraId="5F5063A3">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《环境影响评价技术导则-声环境》，HJ2.4-2021；</w:t>
      </w:r>
    </w:p>
    <w:p w14:paraId="0411F272">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《环境影响评价技术导则-地下水环境》，HJ610-2016；</w:t>
      </w:r>
    </w:p>
    <w:p w14:paraId="4D86ED6C">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《环境影响评价技术导则-土壤环境》（试行），HJ964-2018；</w:t>
      </w:r>
    </w:p>
    <w:p w14:paraId="5D90AF89">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《环境影响评价技术导则-生态影响》，HJ19-2022；</w:t>
      </w:r>
    </w:p>
    <w:p w14:paraId="063ECF40">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《建设项目环境风险评价技术导则》，HJ169-2018；</w:t>
      </w:r>
    </w:p>
    <w:p w14:paraId="2F5E0CDD">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《环境空气质量功能区划分原则与技术方法》，HJ14-1996；</w:t>
      </w:r>
    </w:p>
    <w:p w14:paraId="128AAECC">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《声环境功能区划分技术规范》，GB/T15190-2014;</w:t>
      </w:r>
    </w:p>
    <w:p w14:paraId="3CE5F3D4">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《固体废物鉴别标准通则》，GB34330-2017；</w:t>
      </w:r>
    </w:p>
    <w:p w14:paraId="6B0EA0ED">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《建设项目环境影响技术评估导则》，HJ616-2011;</w:t>
      </w:r>
    </w:p>
    <w:p w14:paraId="73F0CD86">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《环境空气质量标准》，GB3095-2012；</w:t>
      </w:r>
    </w:p>
    <w:p w14:paraId="1FD53145">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《地表水环境质量标准》，GB3838-2002；</w:t>
      </w:r>
    </w:p>
    <w:p w14:paraId="4A6C09E7">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《声环境质量标准》，GB3096-2008；</w:t>
      </w:r>
    </w:p>
    <w:p w14:paraId="44E4F1CC">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《地下水环境质量标准》，GB/T 14848-2017；</w:t>
      </w:r>
    </w:p>
    <w:p w14:paraId="0E9A00A6">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《土壤环境质量标准建设用地土壤污染风险管控标准（试行）》，GB36600-2018；</w:t>
      </w:r>
    </w:p>
    <w:p w14:paraId="54306026">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《污水综合排放标准》，GB8978-1996；</w:t>
      </w:r>
    </w:p>
    <w:p w14:paraId="763815FA">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《污水排入城镇下水道水质标准》，GB/T31962-2015；</w:t>
      </w:r>
    </w:p>
    <w:p w14:paraId="6900766E">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《城镇污水处理厂污染物排放标准》，DB32/4440-2022；</w:t>
      </w:r>
    </w:p>
    <w:p w14:paraId="425A30FC">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《工业企业厂界环境噪声排放标准》，GB12348-2008；</w:t>
      </w:r>
    </w:p>
    <w:p w14:paraId="2803556F">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《无锡市区声环境功能区划分调整方案》，锡政办发[2018]157号；</w:t>
      </w:r>
    </w:p>
    <w:p w14:paraId="6E470587">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《危险废物贮存污染控制标准》（GB18597-2023）；</w:t>
      </w:r>
    </w:p>
    <w:p w14:paraId="17700892">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《一般工业固体废物贮存和填埋污染控制标准》，GB18599-2020；</w:t>
      </w:r>
    </w:p>
    <w:p w14:paraId="1FA99EA8">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《市政府关于无锡市区声环境功能区划分技术报告的批复》（锡政复[2011]97号）；</w:t>
      </w:r>
    </w:p>
    <w:p w14:paraId="4C85D2DA">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《市政府办公室关于转发市环保局无锡市环境空气质量功能区划规划的通知》（锡政办发[2011]300号）；</w:t>
      </w:r>
    </w:p>
    <w:p w14:paraId="3576AF49">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《建设项目危险废物环境影响评价指南》公告2017年第43号；</w:t>
      </w:r>
    </w:p>
    <w:p w14:paraId="42A5DA5A">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《危险废物贮存污染控制标准》，GB18597-2023</w:t>
      </w:r>
    </w:p>
    <w:p w14:paraId="034518C2">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《危险废物收集贮存运输技术规范》，HJ2025-2012；</w:t>
      </w:r>
    </w:p>
    <w:p w14:paraId="4041AD4B">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《排污许可证申请与核发技术规范 总则》，HJ942-2018；</w:t>
      </w:r>
    </w:p>
    <w:p w14:paraId="1F1F53AF">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《排污许可证申请与核发技术规范 电子工业》，HJ1031-2019；</w:t>
      </w:r>
    </w:p>
    <w:p w14:paraId="42CFB1F5">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《排污许可证申请与核发技术规范 专用化学产品制造工业》，HJ1103-2020；</w:t>
      </w:r>
    </w:p>
    <w:p w14:paraId="766EE335">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《排污单位自行监测技术指南 总则》，HJ819-2017；</w:t>
      </w:r>
    </w:p>
    <w:p w14:paraId="494B01F7">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《排污单位自行监测技术指南 电子工业》，HJ1253-2022；</w:t>
      </w:r>
    </w:p>
    <w:p w14:paraId="68251C51">
      <w:pPr>
        <w:pStyle w:val="97"/>
        <w:numPr>
          <w:ilvl w:val="0"/>
          <w:numId w:val="10"/>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《排污许可证申请与核发技术规范 工业固体废物和危险废物治理》，HJ1033-2019。</w:t>
      </w:r>
    </w:p>
    <w:p w14:paraId="28C8F0FD">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93" w:name="_Toc60653444"/>
      <w:r>
        <w:rPr>
          <w:rFonts w:eastAsia="宋体"/>
          <w:color w:val="auto"/>
          <w:sz w:val="28"/>
          <w:szCs w:val="28"/>
          <w:highlight w:val="none"/>
        </w:rPr>
        <w:t>有关技术文件</w:t>
      </w:r>
      <w:bookmarkEnd w:id="93"/>
    </w:p>
    <w:p w14:paraId="14E47FAE">
      <w:pPr>
        <w:pStyle w:val="97"/>
        <w:numPr>
          <w:ilvl w:val="0"/>
          <w:numId w:val="11"/>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环境影响报告书编制合同；</w:t>
      </w:r>
    </w:p>
    <w:p w14:paraId="2ED0A5BA">
      <w:pPr>
        <w:pStyle w:val="97"/>
        <w:numPr>
          <w:ilvl w:val="0"/>
          <w:numId w:val="11"/>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检测报告；</w:t>
      </w:r>
    </w:p>
    <w:p w14:paraId="768D6197">
      <w:pPr>
        <w:pStyle w:val="97"/>
        <w:numPr>
          <w:ilvl w:val="0"/>
          <w:numId w:val="11"/>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原环境影响评价文件；</w:t>
      </w:r>
    </w:p>
    <w:p w14:paraId="36D9848B">
      <w:pPr>
        <w:pStyle w:val="97"/>
        <w:numPr>
          <w:ilvl w:val="0"/>
          <w:numId w:val="11"/>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企业提供的其他技术资料；</w:t>
      </w:r>
    </w:p>
    <w:p w14:paraId="0DB33F78">
      <w:pPr>
        <w:pStyle w:val="97"/>
        <w:numPr>
          <w:ilvl w:val="0"/>
          <w:numId w:val="11"/>
        </w:numPr>
        <w:spacing w:line="360" w:lineRule="auto"/>
        <w:ind w:left="-105" w:right="-105" w:firstLine="480"/>
        <w:rPr>
          <w:rFonts w:eastAsia="宋体"/>
          <w:color w:val="auto"/>
          <w:sz w:val="24"/>
          <w:highlight w:val="none"/>
          <w:lang w:bidi="zh-CN"/>
        </w:rPr>
      </w:pPr>
      <w:r>
        <w:rPr>
          <w:rFonts w:hint="eastAsia" w:eastAsia="宋体"/>
          <w:color w:val="auto"/>
          <w:sz w:val="24"/>
          <w:highlight w:val="none"/>
          <w:lang w:bidi="zh-CN"/>
        </w:rPr>
        <w:t>企业《岩土工程勘察报告》（无锡高新工程检测有限公司2012.1.17）。</w:t>
      </w:r>
    </w:p>
    <w:p w14:paraId="68AC893A">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94" w:name="_Toc60653445"/>
      <w:bookmarkStart w:id="95" w:name="_Toc9022"/>
      <w:bookmarkStart w:id="96" w:name="_Toc352006404"/>
      <w:bookmarkStart w:id="97" w:name="_Toc139356097"/>
      <w:bookmarkStart w:id="98" w:name="_Toc327968199"/>
      <w:bookmarkStart w:id="99" w:name="_Toc28093"/>
      <w:bookmarkStart w:id="100" w:name="_Toc97409479"/>
      <w:bookmarkStart w:id="101" w:name="_Toc125882610"/>
      <w:bookmarkStart w:id="102" w:name="_Toc116115773"/>
      <w:bookmarkStart w:id="103" w:name="_Toc52622987"/>
      <w:bookmarkStart w:id="104" w:name="_Toc96756572"/>
      <w:bookmarkStart w:id="105" w:name="_Toc52622844"/>
      <w:r>
        <w:rPr>
          <w:rFonts w:ascii="Times New Roman" w:eastAsia="宋体"/>
          <w:color w:val="auto"/>
          <w:sz w:val="28"/>
          <w:szCs w:val="28"/>
          <w:highlight w:val="none"/>
        </w:rPr>
        <w:t>评价目的及原则</w:t>
      </w:r>
      <w:bookmarkEnd w:id="94"/>
      <w:bookmarkEnd w:id="95"/>
      <w:bookmarkEnd w:id="96"/>
      <w:bookmarkEnd w:id="97"/>
      <w:bookmarkEnd w:id="98"/>
      <w:bookmarkEnd w:id="99"/>
    </w:p>
    <w:bookmarkEnd w:id="100"/>
    <w:bookmarkEnd w:id="101"/>
    <w:bookmarkEnd w:id="102"/>
    <w:bookmarkEnd w:id="103"/>
    <w:bookmarkEnd w:id="104"/>
    <w:bookmarkEnd w:id="105"/>
    <w:p w14:paraId="5190E299">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06" w:name="_Toc30242"/>
      <w:bookmarkStart w:id="107" w:name="_Toc327968200"/>
      <w:bookmarkStart w:id="108" w:name="_Toc60653446"/>
      <w:bookmarkStart w:id="109" w:name="_Toc352006405"/>
      <w:bookmarkStart w:id="110" w:name="_Toc125882611"/>
      <w:bookmarkStart w:id="111" w:name="_Toc23604718"/>
      <w:bookmarkStart w:id="112" w:name="_Toc23604806"/>
      <w:bookmarkStart w:id="113" w:name="_Toc23933429"/>
      <w:bookmarkStart w:id="114" w:name="_Toc23738044"/>
      <w:bookmarkStart w:id="115" w:name="_Toc23933252"/>
      <w:bookmarkStart w:id="116" w:name="_Toc23933486"/>
      <w:bookmarkStart w:id="117" w:name="_Toc23673842"/>
      <w:bookmarkStart w:id="118" w:name="_Toc23673996"/>
      <w:bookmarkStart w:id="119" w:name="_Toc22899960"/>
      <w:r>
        <w:rPr>
          <w:rFonts w:eastAsia="宋体"/>
          <w:color w:val="auto"/>
          <w:sz w:val="28"/>
          <w:szCs w:val="28"/>
          <w:highlight w:val="none"/>
        </w:rPr>
        <w:t>评价目的</w:t>
      </w:r>
    </w:p>
    <w:p w14:paraId="2AD5037C">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(1)通过对建设项目的工程分析，确定项目各生产过程中的污染源特征，主要污染因子及其发生量。</w:t>
      </w:r>
    </w:p>
    <w:p w14:paraId="4D64148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(2)通过调查掌握拟建项目所在地自然环境及大气、水、噪声等主要环境要素的质量现状。</w:t>
      </w:r>
    </w:p>
    <w:p w14:paraId="6C7E4E3C">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(3)预测和评价该项目营运期</w:t>
      </w:r>
      <w:r>
        <w:rPr>
          <w:rFonts w:hint="eastAsia" w:ascii="Times New Roman" w:hAnsi="Times New Roman"/>
          <w:color w:val="auto"/>
          <w:highlight w:val="none"/>
        </w:rPr>
        <w:t>”</w:t>
      </w:r>
      <w:r>
        <w:rPr>
          <w:rFonts w:ascii="Times New Roman" w:hAnsi="Times New Roman" w:cs="Times New Roman"/>
          <w:color w:val="auto"/>
          <w:highlight w:val="none"/>
        </w:rPr>
        <w:t>对评价范围内大气、水、声等主要环境要素的影响范围及影响程度。</w:t>
      </w:r>
    </w:p>
    <w:p w14:paraId="7D891D3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(4)提出控制和缓解污染影响的对策建议，对环境保护措施的可行性作出明确的结论，作为项目建设和环保管理的科学依据。</w:t>
      </w:r>
    </w:p>
    <w:p w14:paraId="490B12C8">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r>
        <w:rPr>
          <w:rFonts w:eastAsia="宋体"/>
          <w:color w:val="auto"/>
          <w:sz w:val="28"/>
          <w:szCs w:val="28"/>
          <w:highlight w:val="none"/>
        </w:rPr>
        <w:t>评价原则</w:t>
      </w:r>
    </w:p>
    <w:p w14:paraId="4CDB7EA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突出环境影响评价的源头预防作用，坚持保护和改善环境质量。</w:t>
      </w:r>
    </w:p>
    <w:p w14:paraId="0BF13F48">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a)依法评价</w:t>
      </w:r>
    </w:p>
    <w:p w14:paraId="7545BE55">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贯彻执行我国环境保护相关法律法规、标准、政策和规划等，优化项目建设，服务环境管理。</w:t>
      </w:r>
    </w:p>
    <w:p w14:paraId="106D4A3E">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b)科学评价</w:t>
      </w:r>
    </w:p>
    <w:p w14:paraId="1E45843E">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规范环境影响评价方法，科学分析项目建设对环境质量的影响。</w:t>
      </w:r>
    </w:p>
    <w:p w14:paraId="659D889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c)突出重点</w:t>
      </w:r>
    </w:p>
    <w:p w14:paraId="688D45B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66D97B64">
      <w:pPr>
        <w:ind w:left="-105" w:right="-105"/>
        <w:rPr>
          <w:rFonts w:ascii="Times New Roman" w:hAnsi="Times New Roman" w:cs="Times New Roman"/>
          <w:color w:val="auto"/>
          <w:highlight w:val="none"/>
        </w:rPr>
      </w:pPr>
      <w:r>
        <w:rPr>
          <w:rFonts w:ascii="Times New Roman" w:hAnsi="Times New Roman" w:cs="Times New Roman"/>
          <w:color w:val="auto"/>
          <w:highlight w:val="none"/>
        </w:rPr>
        <w:br w:type="page"/>
      </w:r>
    </w:p>
    <w:p w14:paraId="6FDD9086">
      <w:pPr>
        <w:pStyle w:val="4"/>
        <w:numPr>
          <w:ilvl w:val="1"/>
          <w:numId w:val="6"/>
        </w:numPr>
        <w:tabs>
          <w:tab w:val="left" w:pos="426"/>
        </w:tabs>
        <w:spacing w:before="120" w:beforeLines="50" w:line="360" w:lineRule="auto"/>
        <w:ind w:left="-105" w:right="-105"/>
        <w:rPr>
          <w:rFonts w:ascii="Times New Roman" w:eastAsia="宋体"/>
          <w:color w:val="auto"/>
          <w:sz w:val="28"/>
          <w:szCs w:val="28"/>
          <w:highlight w:val="none"/>
        </w:rPr>
      </w:pPr>
      <w:bookmarkStart w:id="120" w:name="_Toc31409"/>
      <w:r>
        <w:rPr>
          <w:rFonts w:ascii="Times New Roman" w:eastAsia="宋体"/>
          <w:color w:val="auto"/>
          <w:sz w:val="28"/>
          <w:szCs w:val="28"/>
          <w:highlight w:val="none"/>
        </w:rPr>
        <w:t>评价因子与评价标准</w:t>
      </w:r>
      <w:bookmarkEnd w:id="106"/>
      <w:bookmarkEnd w:id="107"/>
      <w:bookmarkEnd w:id="108"/>
      <w:bookmarkEnd w:id="109"/>
      <w:bookmarkEnd w:id="120"/>
    </w:p>
    <w:p w14:paraId="1753A632">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21" w:name="_Toc60653447"/>
      <w:r>
        <w:rPr>
          <w:rFonts w:eastAsia="宋体"/>
          <w:color w:val="auto"/>
          <w:sz w:val="28"/>
          <w:szCs w:val="28"/>
          <w:highlight w:val="none"/>
        </w:rPr>
        <w:t>评价因子</w:t>
      </w:r>
      <w:bookmarkEnd w:id="121"/>
    </w:p>
    <w:p w14:paraId="574C7B40">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2.3.1.1环境影响因素识别</w:t>
      </w:r>
    </w:p>
    <w:p w14:paraId="1D3361D4">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根据《环境影响评价技术导则 总纲》（HJ 2.1-2016），本项目涉及的环境要素详见</w:t>
      </w:r>
      <w:r>
        <w:rPr>
          <w:rFonts w:hint="eastAsia" w:ascii="Times New Roman" w:hAnsi="Times New Roman"/>
          <w:color w:val="auto"/>
          <w:highlight w:val="none"/>
        </w:rPr>
        <w:t>下表</w:t>
      </w:r>
      <w:r>
        <w:rPr>
          <w:rFonts w:ascii="Times New Roman" w:hAnsi="Times New Roman"/>
          <w:color w:val="auto"/>
          <w:highlight w:val="none"/>
        </w:rPr>
        <w:t>。</w:t>
      </w:r>
    </w:p>
    <w:p w14:paraId="28C88B5B">
      <w:pPr>
        <w:pStyle w:val="15"/>
        <w:spacing w:line="360" w:lineRule="auto"/>
        <w:ind w:left="-105" w:right="-105" w:firstLine="482"/>
        <w:rPr>
          <w:rFonts w:eastAsia="宋体" w:cs="Times New Roman"/>
          <w:b w:val="0"/>
          <w:color w:val="auto"/>
          <w:sz w:val="24"/>
          <w:szCs w:val="18"/>
          <w:highlight w:val="none"/>
        </w:rPr>
      </w:pPr>
      <w:bookmarkStart w:id="122" w:name="_Ref424206132"/>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122"/>
      <w:r>
        <w:rPr>
          <w:rFonts w:eastAsia="宋体" w:cs="Times New Roman"/>
          <w:color w:val="auto"/>
          <w:sz w:val="24"/>
          <w:szCs w:val="18"/>
          <w:highlight w:val="none"/>
        </w:rPr>
        <w:t>本项目环境影响因子识别</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9"/>
        <w:gridCol w:w="1334"/>
        <w:gridCol w:w="742"/>
        <w:gridCol w:w="742"/>
        <w:gridCol w:w="742"/>
        <w:gridCol w:w="742"/>
        <w:gridCol w:w="759"/>
        <w:gridCol w:w="680"/>
        <w:gridCol w:w="680"/>
        <w:gridCol w:w="680"/>
        <w:gridCol w:w="944"/>
      </w:tblGrid>
      <w:tr w14:paraId="08F6A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4" w:hRule="atLeast"/>
          <w:tblHeader/>
          <w:jc w:val="center"/>
        </w:trPr>
        <w:tc>
          <w:tcPr>
            <w:tcW w:w="1054" w:type="pct"/>
            <w:gridSpan w:val="2"/>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410AE87F">
            <w:pPr>
              <w:snapToGrid w:val="0"/>
              <w:ind w:left="-105" w:right="-105"/>
              <w:jc w:val="center"/>
              <w:rPr>
                <w:rFonts w:hint="eastAsia" w:ascii="Times New Roman" w:hAnsi="Times New Roman"/>
                <w:b/>
                <w:color w:val="auto"/>
                <w:sz w:val="21"/>
                <w:szCs w:val="21"/>
                <w:highlight w:val="none"/>
                <w:lang w:val="en-US" w:eastAsia="zh-CN"/>
              </w:rPr>
            </w:pPr>
            <w:r>
              <w:rPr>
                <w:rFonts w:hint="eastAsia" w:ascii="Times New Roman" w:hAnsi="Times New Roman"/>
                <w:b/>
                <w:color w:val="auto"/>
                <w:sz w:val="21"/>
                <w:szCs w:val="21"/>
                <w:highlight w:val="none"/>
                <w:lang w:val="en-US" w:eastAsia="zh-CN"/>
              </w:rPr>
              <w:t xml:space="preserve">      </w:t>
            </w:r>
          </w:p>
          <w:p w14:paraId="30D816BC">
            <w:pPr>
              <w:snapToGrid w:val="0"/>
              <w:ind w:left="-105" w:right="-105"/>
              <w:jc w:val="center"/>
              <mc:AlternateContent>
                <mc:Choice Requires="wpsCustomData">
                  <wpsCustomData:diagonalParaType/>
                </mc:Choice>
              </mc:AlternateContent>
              <w:rPr>
                <w:rFonts w:ascii="Times New Roman" w:hAnsi="Times New Roman"/>
                <w:b/>
                <w:color w:val="auto"/>
                <w:sz w:val="21"/>
                <w:szCs w:val="21"/>
                <w:highlight w:val="none"/>
              </w:rPr>
            </w:pPr>
            <w:r>
              <w:rPr>
                <w:rFonts w:ascii="Times New Roman" w:hAnsi="Times New Roman"/>
                <w:b/>
                <w:color w:val="auto"/>
                <w:sz w:val="21"/>
                <w:szCs w:val="21"/>
                <w:highlight w:val="none"/>
              </w:rPr>
              <w:t>影响受</w:t>
            </w:r>
            <w:r>
              <w:rPr>
                <w:rFonts w:hint="eastAsia" w:ascii="Times New Roman" w:hAnsi="Times New Roman"/>
                <w:b/>
                <w:color w:val="auto"/>
                <w:sz w:val="21"/>
                <w:szCs w:val="21"/>
                <w:highlight w:val="none"/>
              </w:rPr>
              <w:t>体</w:t>
            </w:r>
          </w:p>
          <w:p w14:paraId="53B5EAA7">
            <w:pPr>
              <w:snapToGrid w:val="0"/>
              <w:ind w:left="-105" w:right="-105"/>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lang w:val="en-US" w:eastAsia="zh-CN"/>
              </w:rPr>
              <w:t xml:space="preserve">        </w:t>
            </w:r>
            <w:r>
              <w:rPr>
                <w:rFonts w:ascii="Times New Roman" w:hAnsi="Times New Roman"/>
                <w:b/>
                <w:color w:val="auto"/>
                <w:sz w:val="21"/>
                <w:szCs w:val="21"/>
                <w:highlight w:val="none"/>
              </w:rPr>
              <w:t>影响因素</w:t>
            </w:r>
          </w:p>
          <w:p w14:paraId="2E241E88">
            <w:pPr>
              <w:ind w:left="-105" w:right="-105"/>
              <w:jc w:val="center"/>
              <w:rPr>
                <w:rFonts w:ascii="Times New Roman" w:hAnsi="Times New Roman"/>
                <w:b/>
                <w:color w:val="auto"/>
                <w:sz w:val="21"/>
                <w:szCs w:val="21"/>
                <w:highlight w:val="none"/>
              </w:rPr>
            </w:pPr>
          </w:p>
        </w:tc>
        <w:tc>
          <w:tcPr>
            <w:tcW w:w="2190" w:type="pct"/>
            <w:gridSpan w:val="5"/>
            <w:tcBorders>
              <w:tl2br w:val="nil"/>
              <w:tr2bl w:val="nil"/>
            </w:tcBorders>
            <w:vAlign w:val="center"/>
          </w:tcPr>
          <w:p w14:paraId="36566009">
            <w:pPr>
              <w:ind w:left="-105" w:right="-105"/>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自然环境</w:t>
            </w:r>
          </w:p>
        </w:tc>
        <w:tc>
          <w:tcPr>
            <w:tcW w:w="1755" w:type="pct"/>
            <w:gridSpan w:val="4"/>
            <w:tcBorders>
              <w:tl2br w:val="nil"/>
              <w:tr2bl w:val="nil"/>
            </w:tcBorders>
            <w:vAlign w:val="center"/>
          </w:tcPr>
          <w:p w14:paraId="493F2DB8">
            <w:pPr>
              <w:ind w:left="-105" w:right="-105"/>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生态环境</w:t>
            </w:r>
          </w:p>
        </w:tc>
      </w:tr>
      <w:tr w14:paraId="1F807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054" w:type="pct"/>
            <w:gridSpan w:val="2"/>
            <w:vMerge w:val="continue"/>
            <w:tcBorders>
              <w:tl2br w:val="nil"/>
              <w:tr2bl w:val="nil"/>
            </w:tcBorders>
            <w:vAlign w:val="center"/>
          </w:tcPr>
          <w:p w14:paraId="6C15B06D">
            <w:pPr>
              <w:ind w:left="-105" w:right="-105"/>
              <w:jc w:val="center"/>
              <w:rPr>
                <w:rFonts w:ascii="Times New Roman" w:hAnsi="Times New Roman"/>
                <w:b/>
                <w:color w:val="auto"/>
                <w:sz w:val="21"/>
                <w:szCs w:val="21"/>
                <w:highlight w:val="none"/>
              </w:rPr>
            </w:pPr>
          </w:p>
        </w:tc>
        <w:tc>
          <w:tcPr>
            <w:tcW w:w="436" w:type="pct"/>
            <w:tcBorders>
              <w:tl2br w:val="nil"/>
              <w:tr2bl w:val="nil"/>
            </w:tcBorders>
            <w:vAlign w:val="center"/>
          </w:tcPr>
          <w:p w14:paraId="30BA4A7C">
            <w:pPr>
              <w:keepNext w:val="0"/>
              <w:keepLines w:val="0"/>
              <w:pageBreakBefore w:val="0"/>
              <w:widowControl/>
              <w:tabs>
                <w:tab w:val="left" w:pos="576"/>
              </w:tabs>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环境</w:t>
            </w:r>
          </w:p>
          <w:p w14:paraId="24F7C51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空气</w:t>
            </w:r>
          </w:p>
        </w:tc>
        <w:tc>
          <w:tcPr>
            <w:tcW w:w="436" w:type="pct"/>
            <w:tcBorders>
              <w:tl2br w:val="nil"/>
              <w:tr2bl w:val="nil"/>
            </w:tcBorders>
            <w:vAlign w:val="center"/>
          </w:tcPr>
          <w:p w14:paraId="74EC3F96">
            <w:pPr>
              <w:keepNext w:val="0"/>
              <w:keepLines w:val="0"/>
              <w:pageBreakBefore w:val="0"/>
              <w:widowControl/>
              <w:tabs>
                <w:tab w:val="left" w:pos="576"/>
              </w:tabs>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地表水环境</w:t>
            </w:r>
          </w:p>
        </w:tc>
        <w:tc>
          <w:tcPr>
            <w:tcW w:w="436" w:type="pct"/>
            <w:tcBorders>
              <w:tl2br w:val="nil"/>
              <w:tr2bl w:val="nil"/>
            </w:tcBorders>
            <w:vAlign w:val="center"/>
          </w:tcPr>
          <w:p w14:paraId="05D7B985">
            <w:pPr>
              <w:keepNext w:val="0"/>
              <w:keepLines w:val="0"/>
              <w:pageBreakBefore w:val="0"/>
              <w:widowControl/>
              <w:tabs>
                <w:tab w:val="left" w:pos="576"/>
              </w:tabs>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地下水环境</w:t>
            </w:r>
          </w:p>
        </w:tc>
        <w:tc>
          <w:tcPr>
            <w:tcW w:w="436" w:type="pct"/>
            <w:tcBorders>
              <w:tl2br w:val="nil"/>
              <w:tr2bl w:val="nil"/>
            </w:tcBorders>
            <w:vAlign w:val="center"/>
          </w:tcPr>
          <w:p w14:paraId="5D46958B">
            <w:pPr>
              <w:keepNext w:val="0"/>
              <w:keepLines w:val="0"/>
              <w:pageBreakBefore w:val="0"/>
              <w:widowControl/>
              <w:tabs>
                <w:tab w:val="left" w:pos="576"/>
              </w:tabs>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土壤</w:t>
            </w:r>
          </w:p>
          <w:p w14:paraId="571DD69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环境</w:t>
            </w:r>
          </w:p>
        </w:tc>
        <w:tc>
          <w:tcPr>
            <w:tcW w:w="445" w:type="pct"/>
            <w:tcBorders>
              <w:tl2br w:val="nil"/>
              <w:tr2bl w:val="nil"/>
            </w:tcBorders>
            <w:vAlign w:val="center"/>
          </w:tcPr>
          <w:p w14:paraId="3DB2835A">
            <w:pPr>
              <w:keepNext w:val="0"/>
              <w:keepLines w:val="0"/>
              <w:pageBreakBefore w:val="0"/>
              <w:widowControl/>
              <w:kinsoku/>
              <w:wordWrap/>
              <w:overflowPunct/>
              <w:topLinePunct w:val="0"/>
              <w:autoSpaceDE/>
              <w:autoSpaceDN/>
              <w:bidi w:val="0"/>
              <w:adjustRightInd/>
              <w:snapToGrid/>
              <w:ind w:left="0" w:right="0"/>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声环</w:t>
            </w:r>
          </w:p>
          <w:p w14:paraId="627C638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境</w:t>
            </w:r>
          </w:p>
        </w:tc>
        <w:tc>
          <w:tcPr>
            <w:tcW w:w="400" w:type="pct"/>
            <w:tcBorders>
              <w:tl2br w:val="nil"/>
              <w:tr2bl w:val="nil"/>
            </w:tcBorders>
            <w:vAlign w:val="center"/>
          </w:tcPr>
          <w:p w14:paraId="1CFB8237">
            <w:pPr>
              <w:keepNext w:val="0"/>
              <w:keepLines w:val="0"/>
              <w:pageBreakBefore w:val="0"/>
              <w:widowControl/>
              <w:kinsoku/>
              <w:wordWrap/>
              <w:overflowPunct/>
              <w:topLinePunct w:val="0"/>
              <w:autoSpaceDE/>
              <w:autoSpaceDN/>
              <w:bidi w:val="0"/>
              <w:adjustRightInd/>
              <w:snapToGrid/>
              <w:ind w:left="0" w:right="0"/>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陆域</w:t>
            </w:r>
          </w:p>
          <w:p w14:paraId="72784D2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环境</w:t>
            </w:r>
          </w:p>
        </w:tc>
        <w:tc>
          <w:tcPr>
            <w:tcW w:w="400" w:type="pct"/>
            <w:tcBorders>
              <w:tl2br w:val="nil"/>
              <w:tr2bl w:val="nil"/>
            </w:tcBorders>
            <w:vAlign w:val="center"/>
          </w:tcPr>
          <w:p w14:paraId="2054367F">
            <w:pPr>
              <w:keepNext w:val="0"/>
              <w:keepLines w:val="0"/>
              <w:pageBreakBefore w:val="0"/>
              <w:widowControl/>
              <w:kinsoku/>
              <w:wordWrap/>
              <w:overflowPunct/>
              <w:topLinePunct w:val="0"/>
              <w:autoSpaceDE/>
              <w:autoSpaceDN/>
              <w:bidi w:val="0"/>
              <w:adjustRightInd/>
              <w:snapToGrid/>
              <w:ind w:left="0" w:right="0"/>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水生</w:t>
            </w:r>
          </w:p>
          <w:p w14:paraId="4DBB900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生物</w:t>
            </w:r>
          </w:p>
        </w:tc>
        <w:tc>
          <w:tcPr>
            <w:tcW w:w="400" w:type="pct"/>
            <w:tcBorders>
              <w:tl2br w:val="nil"/>
              <w:tr2bl w:val="nil"/>
            </w:tcBorders>
            <w:vAlign w:val="center"/>
          </w:tcPr>
          <w:p w14:paraId="1749DBA1">
            <w:pPr>
              <w:keepNext w:val="0"/>
              <w:keepLines w:val="0"/>
              <w:pageBreakBefore w:val="0"/>
              <w:widowControl/>
              <w:kinsoku/>
              <w:wordWrap/>
              <w:overflowPunct/>
              <w:topLinePunct w:val="0"/>
              <w:autoSpaceDE/>
              <w:autoSpaceDN/>
              <w:bidi w:val="0"/>
              <w:adjustRightInd/>
              <w:snapToGrid/>
              <w:ind w:left="0" w:right="0"/>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渔业</w:t>
            </w:r>
          </w:p>
          <w:p w14:paraId="03FE05D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资源</w:t>
            </w:r>
          </w:p>
        </w:tc>
        <w:tc>
          <w:tcPr>
            <w:tcW w:w="553" w:type="pct"/>
            <w:tcBorders>
              <w:tl2br w:val="nil"/>
              <w:tr2bl w:val="nil"/>
            </w:tcBorders>
            <w:vAlign w:val="center"/>
          </w:tcPr>
          <w:p w14:paraId="7DA46594">
            <w:pPr>
              <w:keepNext w:val="0"/>
              <w:keepLines w:val="0"/>
              <w:pageBreakBefore w:val="0"/>
              <w:widowControl/>
              <w:kinsoku/>
              <w:wordWrap/>
              <w:overflowPunct/>
              <w:topLinePunct w:val="0"/>
              <w:autoSpaceDE/>
              <w:autoSpaceDN/>
              <w:bidi w:val="0"/>
              <w:adjustRightInd/>
              <w:snapToGrid/>
              <w:ind w:left="0" w:right="0"/>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主要生态保护区域</w:t>
            </w:r>
          </w:p>
        </w:tc>
      </w:tr>
      <w:tr w14:paraId="1ED38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0" w:type="pct"/>
            <w:vMerge w:val="restart"/>
            <w:tcBorders>
              <w:tl2br w:val="nil"/>
              <w:tr2bl w:val="nil"/>
            </w:tcBorders>
            <w:textDirection w:val="tbRlV"/>
            <w:vAlign w:val="center"/>
          </w:tcPr>
          <w:p w14:paraId="14356D86">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运行期</w:t>
            </w:r>
          </w:p>
        </w:tc>
        <w:tc>
          <w:tcPr>
            <w:tcW w:w="784" w:type="pct"/>
            <w:tcBorders>
              <w:tl2br w:val="nil"/>
              <w:tr2bl w:val="nil"/>
            </w:tcBorders>
            <w:vAlign w:val="center"/>
          </w:tcPr>
          <w:p w14:paraId="617479C9">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废水排放</w:t>
            </w:r>
          </w:p>
        </w:tc>
        <w:tc>
          <w:tcPr>
            <w:tcW w:w="436" w:type="pct"/>
            <w:tcBorders>
              <w:tl2br w:val="nil"/>
              <w:tr2bl w:val="nil"/>
            </w:tcBorders>
            <w:vAlign w:val="center"/>
          </w:tcPr>
          <w:p w14:paraId="224B1213">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6E918188">
            <w:pPr>
              <w:tabs>
                <w:tab w:val="left" w:pos="576"/>
              </w:tabs>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-1LD</w:t>
            </w:r>
          </w:p>
        </w:tc>
        <w:tc>
          <w:tcPr>
            <w:tcW w:w="436" w:type="pct"/>
            <w:tcBorders>
              <w:tl2br w:val="nil"/>
              <w:tr2bl w:val="nil"/>
            </w:tcBorders>
            <w:vAlign w:val="center"/>
          </w:tcPr>
          <w:p w14:paraId="6D966449">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144293DF">
            <w:pPr>
              <w:ind w:left="-105" w:right="-105"/>
              <w:jc w:val="center"/>
              <w:rPr>
                <w:rFonts w:ascii="Times New Roman" w:hAnsi="Times New Roman"/>
                <w:color w:val="auto"/>
                <w:sz w:val="21"/>
                <w:szCs w:val="21"/>
                <w:highlight w:val="none"/>
              </w:rPr>
            </w:pPr>
          </w:p>
        </w:tc>
        <w:tc>
          <w:tcPr>
            <w:tcW w:w="445" w:type="pct"/>
            <w:tcBorders>
              <w:tl2br w:val="nil"/>
              <w:tr2bl w:val="nil"/>
            </w:tcBorders>
            <w:vAlign w:val="center"/>
          </w:tcPr>
          <w:p w14:paraId="0DD3D556">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1895C226">
            <w:pPr>
              <w:tabs>
                <w:tab w:val="left" w:pos="576"/>
              </w:tabs>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3EDAAA15">
            <w:pPr>
              <w:tabs>
                <w:tab w:val="left" w:pos="576"/>
              </w:tabs>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499690C1">
            <w:pPr>
              <w:tabs>
                <w:tab w:val="left" w:pos="576"/>
              </w:tabs>
              <w:ind w:left="-105" w:right="-105"/>
              <w:jc w:val="center"/>
              <w:rPr>
                <w:rFonts w:ascii="Times New Roman" w:hAnsi="Times New Roman"/>
                <w:color w:val="auto"/>
                <w:sz w:val="21"/>
                <w:szCs w:val="21"/>
                <w:highlight w:val="none"/>
              </w:rPr>
            </w:pPr>
          </w:p>
        </w:tc>
        <w:tc>
          <w:tcPr>
            <w:tcW w:w="553" w:type="pct"/>
            <w:tcBorders>
              <w:tl2br w:val="nil"/>
              <w:tr2bl w:val="nil"/>
            </w:tcBorders>
            <w:vAlign w:val="center"/>
          </w:tcPr>
          <w:p w14:paraId="502DB9BE">
            <w:pPr>
              <w:tabs>
                <w:tab w:val="left" w:pos="576"/>
              </w:tabs>
              <w:ind w:left="-105" w:right="-105"/>
              <w:jc w:val="center"/>
              <w:rPr>
                <w:rFonts w:ascii="Times New Roman" w:hAnsi="Times New Roman"/>
                <w:color w:val="auto"/>
                <w:sz w:val="21"/>
                <w:szCs w:val="21"/>
                <w:highlight w:val="none"/>
              </w:rPr>
            </w:pPr>
          </w:p>
        </w:tc>
      </w:tr>
      <w:tr w14:paraId="42CA3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0" w:type="pct"/>
            <w:vMerge w:val="continue"/>
            <w:tcBorders>
              <w:tl2br w:val="nil"/>
              <w:tr2bl w:val="nil"/>
            </w:tcBorders>
            <w:textDirection w:val="tbRlV"/>
            <w:vAlign w:val="center"/>
          </w:tcPr>
          <w:p w14:paraId="0BDDCBB0">
            <w:pPr>
              <w:ind w:left="-105" w:right="-105"/>
              <w:jc w:val="center"/>
              <w:rPr>
                <w:rFonts w:ascii="Times New Roman" w:hAnsi="Times New Roman"/>
                <w:color w:val="auto"/>
                <w:sz w:val="21"/>
                <w:szCs w:val="21"/>
                <w:highlight w:val="none"/>
              </w:rPr>
            </w:pPr>
          </w:p>
        </w:tc>
        <w:tc>
          <w:tcPr>
            <w:tcW w:w="784" w:type="pct"/>
            <w:tcBorders>
              <w:tl2br w:val="nil"/>
              <w:tr2bl w:val="nil"/>
            </w:tcBorders>
            <w:vAlign w:val="center"/>
          </w:tcPr>
          <w:p w14:paraId="7DAB050C">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废气排放</w:t>
            </w:r>
          </w:p>
        </w:tc>
        <w:tc>
          <w:tcPr>
            <w:tcW w:w="436" w:type="pct"/>
            <w:tcBorders>
              <w:tl2br w:val="nil"/>
              <w:tr2bl w:val="nil"/>
            </w:tcBorders>
            <w:vAlign w:val="center"/>
          </w:tcPr>
          <w:p w14:paraId="7E50830D">
            <w:pPr>
              <w:tabs>
                <w:tab w:val="left" w:pos="576"/>
              </w:tabs>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-1LD</w:t>
            </w:r>
          </w:p>
        </w:tc>
        <w:tc>
          <w:tcPr>
            <w:tcW w:w="436" w:type="pct"/>
            <w:tcBorders>
              <w:tl2br w:val="nil"/>
              <w:tr2bl w:val="nil"/>
            </w:tcBorders>
            <w:vAlign w:val="center"/>
          </w:tcPr>
          <w:p w14:paraId="4440B5A9">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40330258">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2FCC0E3E">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-1L</w:t>
            </w:r>
          </w:p>
        </w:tc>
        <w:tc>
          <w:tcPr>
            <w:tcW w:w="445" w:type="pct"/>
            <w:tcBorders>
              <w:tl2br w:val="nil"/>
              <w:tr2bl w:val="nil"/>
            </w:tcBorders>
            <w:vAlign w:val="center"/>
          </w:tcPr>
          <w:p w14:paraId="139DFD51">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380D66D7">
            <w:pPr>
              <w:tabs>
                <w:tab w:val="left" w:pos="576"/>
              </w:tabs>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14050021">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0E734D62">
            <w:pPr>
              <w:ind w:left="-105" w:right="-105"/>
              <w:jc w:val="center"/>
              <w:rPr>
                <w:rFonts w:ascii="Times New Roman" w:hAnsi="Times New Roman"/>
                <w:color w:val="auto"/>
                <w:sz w:val="21"/>
                <w:szCs w:val="21"/>
                <w:highlight w:val="none"/>
              </w:rPr>
            </w:pPr>
          </w:p>
        </w:tc>
        <w:tc>
          <w:tcPr>
            <w:tcW w:w="553" w:type="pct"/>
            <w:tcBorders>
              <w:tl2br w:val="nil"/>
              <w:tr2bl w:val="nil"/>
            </w:tcBorders>
            <w:vAlign w:val="center"/>
          </w:tcPr>
          <w:p w14:paraId="6E439310">
            <w:pPr>
              <w:tabs>
                <w:tab w:val="left" w:pos="576"/>
              </w:tabs>
              <w:ind w:left="-105" w:right="-105"/>
              <w:jc w:val="center"/>
              <w:rPr>
                <w:rFonts w:ascii="Times New Roman" w:hAnsi="Times New Roman"/>
                <w:color w:val="auto"/>
                <w:sz w:val="21"/>
                <w:szCs w:val="21"/>
                <w:highlight w:val="none"/>
              </w:rPr>
            </w:pPr>
          </w:p>
        </w:tc>
      </w:tr>
      <w:tr w14:paraId="34CBD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0" w:type="pct"/>
            <w:vMerge w:val="continue"/>
            <w:tcBorders>
              <w:tl2br w:val="nil"/>
              <w:tr2bl w:val="nil"/>
            </w:tcBorders>
            <w:textDirection w:val="tbRlV"/>
            <w:vAlign w:val="center"/>
          </w:tcPr>
          <w:p w14:paraId="180AFA38">
            <w:pPr>
              <w:ind w:left="-105" w:right="-105"/>
              <w:jc w:val="center"/>
              <w:rPr>
                <w:rFonts w:ascii="Times New Roman" w:hAnsi="Times New Roman"/>
                <w:color w:val="auto"/>
                <w:sz w:val="21"/>
                <w:szCs w:val="21"/>
                <w:highlight w:val="none"/>
              </w:rPr>
            </w:pPr>
          </w:p>
        </w:tc>
        <w:tc>
          <w:tcPr>
            <w:tcW w:w="784" w:type="pct"/>
            <w:tcBorders>
              <w:tl2br w:val="nil"/>
              <w:tr2bl w:val="nil"/>
            </w:tcBorders>
            <w:vAlign w:val="center"/>
          </w:tcPr>
          <w:p w14:paraId="1C33949E">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噪声排放</w:t>
            </w:r>
          </w:p>
        </w:tc>
        <w:tc>
          <w:tcPr>
            <w:tcW w:w="436" w:type="pct"/>
            <w:tcBorders>
              <w:tl2br w:val="nil"/>
              <w:tr2bl w:val="nil"/>
            </w:tcBorders>
            <w:vAlign w:val="center"/>
          </w:tcPr>
          <w:p w14:paraId="6C1B56EB">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1292BD13">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33534A4B">
            <w:pPr>
              <w:ind w:left="-105" w:right="-105"/>
              <w:jc w:val="center"/>
              <w:rPr>
                <w:rFonts w:ascii="Times New Roman" w:hAnsi="Times New Roman"/>
                <w:color w:val="auto"/>
                <w:sz w:val="21"/>
                <w:szCs w:val="21"/>
                <w:highlight w:val="none"/>
              </w:rPr>
            </w:pPr>
          </w:p>
        </w:tc>
        <w:tc>
          <w:tcPr>
            <w:tcW w:w="436" w:type="pct"/>
            <w:tcBorders>
              <w:tl2br w:val="nil"/>
              <w:tr2bl w:val="nil"/>
            </w:tcBorders>
            <w:vAlign w:val="center"/>
          </w:tcPr>
          <w:p w14:paraId="4DE64F5A">
            <w:pPr>
              <w:ind w:left="-105" w:right="-105"/>
              <w:jc w:val="center"/>
              <w:rPr>
                <w:rFonts w:ascii="Times New Roman" w:hAnsi="Times New Roman"/>
                <w:color w:val="auto"/>
                <w:sz w:val="21"/>
                <w:szCs w:val="21"/>
                <w:highlight w:val="none"/>
              </w:rPr>
            </w:pPr>
          </w:p>
        </w:tc>
        <w:tc>
          <w:tcPr>
            <w:tcW w:w="445" w:type="pct"/>
            <w:tcBorders>
              <w:tl2br w:val="nil"/>
              <w:tr2bl w:val="nil"/>
            </w:tcBorders>
            <w:vAlign w:val="center"/>
          </w:tcPr>
          <w:p w14:paraId="24F2F10B">
            <w:pPr>
              <w:tabs>
                <w:tab w:val="left" w:pos="576"/>
              </w:tabs>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-1L</w:t>
            </w:r>
          </w:p>
        </w:tc>
        <w:tc>
          <w:tcPr>
            <w:tcW w:w="400" w:type="pct"/>
            <w:tcBorders>
              <w:tl2br w:val="nil"/>
              <w:tr2bl w:val="nil"/>
            </w:tcBorders>
            <w:vAlign w:val="center"/>
          </w:tcPr>
          <w:p w14:paraId="31EC7089">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3A7A8F36">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6FFAD248">
            <w:pPr>
              <w:ind w:left="-105" w:right="-105"/>
              <w:jc w:val="center"/>
              <w:rPr>
                <w:rFonts w:ascii="Times New Roman" w:hAnsi="Times New Roman"/>
                <w:color w:val="auto"/>
                <w:sz w:val="21"/>
                <w:szCs w:val="21"/>
                <w:highlight w:val="none"/>
              </w:rPr>
            </w:pPr>
          </w:p>
        </w:tc>
        <w:tc>
          <w:tcPr>
            <w:tcW w:w="553" w:type="pct"/>
            <w:tcBorders>
              <w:tl2br w:val="nil"/>
              <w:tr2bl w:val="nil"/>
            </w:tcBorders>
            <w:vAlign w:val="center"/>
          </w:tcPr>
          <w:p w14:paraId="6A9D33A9">
            <w:pPr>
              <w:ind w:left="-105" w:right="-105"/>
              <w:jc w:val="center"/>
              <w:rPr>
                <w:rFonts w:ascii="Times New Roman" w:hAnsi="Times New Roman"/>
                <w:color w:val="auto"/>
                <w:sz w:val="21"/>
                <w:szCs w:val="21"/>
                <w:highlight w:val="none"/>
              </w:rPr>
            </w:pPr>
          </w:p>
        </w:tc>
      </w:tr>
      <w:tr w14:paraId="4465C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70" w:type="pct"/>
            <w:vMerge w:val="continue"/>
            <w:tcBorders>
              <w:tl2br w:val="nil"/>
              <w:tr2bl w:val="nil"/>
            </w:tcBorders>
            <w:textDirection w:val="tbRlV"/>
            <w:vAlign w:val="center"/>
          </w:tcPr>
          <w:p w14:paraId="4BD770B8">
            <w:pPr>
              <w:ind w:left="-105" w:right="-105"/>
              <w:jc w:val="center"/>
              <w:rPr>
                <w:rFonts w:ascii="Times New Roman" w:hAnsi="Times New Roman"/>
                <w:color w:val="auto"/>
                <w:sz w:val="21"/>
                <w:szCs w:val="21"/>
                <w:highlight w:val="none"/>
              </w:rPr>
            </w:pPr>
          </w:p>
        </w:tc>
        <w:tc>
          <w:tcPr>
            <w:tcW w:w="784" w:type="pct"/>
            <w:tcBorders>
              <w:tl2br w:val="nil"/>
              <w:tr2bl w:val="nil"/>
            </w:tcBorders>
            <w:vAlign w:val="center"/>
          </w:tcPr>
          <w:p w14:paraId="1C6F363C">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固体废物</w:t>
            </w:r>
          </w:p>
        </w:tc>
        <w:tc>
          <w:tcPr>
            <w:tcW w:w="436" w:type="pct"/>
            <w:tcBorders>
              <w:tl2br w:val="nil"/>
              <w:tr2bl w:val="nil"/>
            </w:tcBorders>
            <w:vAlign w:val="center"/>
          </w:tcPr>
          <w:p w14:paraId="39306004">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-1SI</w:t>
            </w:r>
          </w:p>
        </w:tc>
        <w:tc>
          <w:tcPr>
            <w:tcW w:w="436" w:type="pct"/>
            <w:tcBorders>
              <w:tl2br w:val="nil"/>
              <w:tr2bl w:val="nil"/>
            </w:tcBorders>
            <w:vAlign w:val="center"/>
          </w:tcPr>
          <w:p w14:paraId="242FB1A4">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-1SI</w:t>
            </w:r>
          </w:p>
        </w:tc>
        <w:tc>
          <w:tcPr>
            <w:tcW w:w="436" w:type="pct"/>
            <w:tcBorders>
              <w:tl2br w:val="nil"/>
              <w:tr2bl w:val="nil"/>
            </w:tcBorders>
            <w:vAlign w:val="center"/>
          </w:tcPr>
          <w:p w14:paraId="5BB7F3CD">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-1SI</w:t>
            </w:r>
          </w:p>
        </w:tc>
        <w:tc>
          <w:tcPr>
            <w:tcW w:w="436" w:type="pct"/>
            <w:tcBorders>
              <w:tl2br w:val="nil"/>
              <w:tr2bl w:val="nil"/>
            </w:tcBorders>
            <w:vAlign w:val="center"/>
          </w:tcPr>
          <w:p w14:paraId="272C6B61">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-1LD</w:t>
            </w:r>
          </w:p>
        </w:tc>
        <w:tc>
          <w:tcPr>
            <w:tcW w:w="445" w:type="pct"/>
            <w:tcBorders>
              <w:tl2br w:val="nil"/>
              <w:tr2bl w:val="nil"/>
            </w:tcBorders>
            <w:vAlign w:val="center"/>
          </w:tcPr>
          <w:p w14:paraId="7BA12637">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59BF45D5">
            <w:pPr>
              <w:tabs>
                <w:tab w:val="left" w:pos="576"/>
              </w:tabs>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26BB58CE">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020B492D">
            <w:pPr>
              <w:ind w:left="-105" w:right="-105"/>
              <w:jc w:val="center"/>
              <w:rPr>
                <w:rFonts w:ascii="Times New Roman" w:hAnsi="Times New Roman"/>
                <w:color w:val="auto"/>
                <w:sz w:val="21"/>
                <w:szCs w:val="21"/>
                <w:highlight w:val="none"/>
              </w:rPr>
            </w:pPr>
          </w:p>
        </w:tc>
        <w:tc>
          <w:tcPr>
            <w:tcW w:w="553" w:type="pct"/>
            <w:tcBorders>
              <w:tl2br w:val="nil"/>
              <w:tr2bl w:val="nil"/>
            </w:tcBorders>
            <w:vAlign w:val="center"/>
          </w:tcPr>
          <w:p w14:paraId="71557802">
            <w:pPr>
              <w:ind w:left="-105" w:right="-105"/>
              <w:jc w:val="center"/>
              <w:rPr>
                <w:rFonts w:ascii="Times New Roman" w:hAnsi="Times New Roman"/>
                <w:color w:val="auto"/>
                <w:sz w:val="21"/>
                <w:szCs w:val="21"/>
                <w:highlight w:val="none"/>
              </w:rPr>
            </w:pPr>
          </w:p>
        </w:tc>
      </w:tr>
      <w:tr w14:paraId="4BCE5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70" w:type="pct"/>
            <w:vMerge w:val="continue"/>
            <w:tcBorders>
              <w:tl2br w:val="nil"/>
              <w:tr2bl w:val="nil"/>
            </w:tcBorders>
            <w:textDirection w:val="tbRlV"/>
            <w:vAlign w:val="center"/>
          </w:tcPr>
          <w:p w14:paraId="639F0DB8">
            <w:pPr>
              <w:ind w:left="-105" w:right="-105"/>
              <w:jc w:val="center"/>
              <w:rPr>
                <w:rFonts w:ascii="Times New Roman" w:hAnsi="Times New Roman"/>
                <w:color w:val="auto"/>
                <w:sz w:val="21"/>
                <w:szCs w:val="21"/>
                <w:highlight w:val="none"/>
              </w:rPr>
            </w:pPr>
          </w:p>
        </w:tc>
        <w:tc>
          <w:tcPr>
            <w:tcW w:w="784" w:type="pct"/>
            <w:tcBorders>
              <w:tl2br w:val="nil"/>
              <w:tr2bl w:val="nil"/>
            </w:tcBorders>
            <w:vAlign w:val="center"/>
          </w:tcPr>
          <w:p w14:paraId="00CE52B2">
            <w:pPr>
              <w:tabs>
                <w:tab w:val="left" w:pos="576"/>
              </w:tabs>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事故风险</w:t>
            </w:r>
          </w:p>
        </w:tc>
        <w:tc>
          <w:tcPr>
            <w:tcW w:w="436" w:type="pct"/>
            <w:tcBorders>
              <w:tl2br w:val="nil"/>
              <w:tr2bl w:val="nil"/>
            </w:tcBorders>
            <w:vAlign w:val="center"/>
          </w:tcPr>
          <w:p w14:paraId="25086414">
            <w:pPr>
              <w:tabs>
                <w:tab w:val="left" w:pos="576"/>
              </w:tabs>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36" w:type="pct"/>
            <w:tcBorders>
              <w:tl2br w:val="nil"/>
              <w:tr2bl w:val="nil"/>
            </w:tcBorders>
            <w:vAlign w:val="center"/>
          </w:tcPr>
          <w:p w14:paraId="385CE109">
            <w:pPr>
              <w:tabs>
                <w:tab w:val="left" w:pos="576"/>
              </w:tabs>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36" w:type="pct"/>
            <w:tcBorders>
              <w:tl2br w:val="nil"/>
              <w:tr2bl w:val="nil"/>
            </w:tcBorders>
            <w:vAlign w:val="center"/>
          </w:tcPr>
          <w:p w14:paraId="6A388C65">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36" w:type="pct"/>
            <w:tcBorders>
              <w:tl2br w:val="nil"/>
              <w:tr2bl w:val="nil"/>
            </w:tcBorders>
            <w:vAlign w:val="center"/>
          </w:tcPr>
          <w:p w14:paraId="3F50DB11">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45" w:type="pct"/>
            <w:tcBorders>
              <w:tl2br w:val="nil"/>
              <w:tr2bl w:val="nil"/>
            </w:tcBorders>
            <w:vAlign w:val="center"/>
          </w:tcPr>
          <w:p w14:paraId="2DC033DD">
            <w:pPr>
              <w:ind w:left="-105" w:right="-105"/>
              <w:jc w:val="center"/>
              <w:rPr>
                <w:rFonts w:ascii="Times New Roman" w:hAnsi="Times New Roman"/>
                <w:color w:val="auto"/>
                <w:sz w:val="21"/>
                <w:szCs w:val="21"/>
                <w:highlight w:val="none"/>
              </w:rPr>
            </w:pPr>
          </w:p>
        </w:tc>
        <w:tc>
          <w:tcPr>
            <w:tcW w:w="400" w:type="pct"/>
            <w:tcBorders>
              <w:tl2br w:val="nil"/>
              <w:tr2bl w:val="nil"/>
            </w:tcBorders>
            <w:vAlign w:val="center"/>
          </w:tcPr>
          <w:p w14:paraId="0428CFBC">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00" w:type="pct"/>
            <w:tcBorders>
              <w:tl2br w:val="nil"/>
              <w:tr2bl w:val="nil"/>
            </w:tcBorders>
            <w:vAlign w:val="center"/>
          </w:tcPr>
          <w:p w14:paraId="22F667C4">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-2S</w:t>
            </w:r>
          </w:p>
        </w:tc>
        <w:tc>
          <w:tcPr>
            <w:tcW w:w="400" w:type="pct"/>
            <w:tcBorders>
              <w:tl2br w:val="nil"/>
              <w:tr2bl w:val="nil"/>
            </w:tcBorders>
            <w:vAlign w:val="center"/>
          </w:tcPr>
          <w:p w14:paraId="18BA8BC5">
            <w:pPr>
              <w:ind w:left="-105" w:right="-105"/>
              <w:jc w:val="center"/>
              <w:rPr>
                <w:rFonts w:ascii="Times New Roman" w:hAnsi="Times New Roman"/>
                <w:color w:val="auto"/>
                <w:sz w:val="21"/>
                <w:szCs w:val="21"/>
                <w:highlight w:val="none"/>
              </w:rPr>
            </w:pPr>
          </w:p>
        </w:tc>
        <w:tc>
          <w:tcPr>
            <w:tcW w:w="553" w:type="pct"/>
            <w:tcBorders>
              <w:tl2br w:val="nil"/>
              <w:tr2bl w:val="nil"/>
            </w:tcBorders>
            <w:vAlign w:val="center"/>
          </w:tcPr>
          <w:p w14:paraId="0C71B46A">
            <w:pPr>
              <w:ind w:left="-105" w:right="-105"/>
              <w:jc w:val="center"/>
              <w:rPr>
                <w:rFonts w:ascii="Times New Roman" w:hAnsi="Times New Roman"/>
                <w:color w:val="auto"/>
                <w:sz w:val="21"/>
                <w:szCs w:val="21"/>
                <w:highlight w:val="none"/>
              </w:rPr>
            </w:pPr>
          </w:p>
        </w:tc>
      </w:tr>
    </w:tbl>
    <w:p w14:paraId="6040E25C">
      <w:pPr>
        <w:spacing w:line="360" w:lineRule="auto"/>
        <w:ind w:left="-105" w:right="-105" w:firstLine="402"/>
        <w:rPr>
          <w:rFonts w:ascii="Times New Roman" w:hAnsi="Times New Roman"/>
          <w:b/>
          <w:bCs/>
          <w:color w:val="auto"/>
          <w:sz w:val="20"/>
          <w:szCs w:val="20"/>
          <w:highlight w:val="none"/>
        </w:rPr>
      </w:pPr>
      <w:r>
        <w:rPr>
          <w:rFonts w:ascii="Times New Roman" w:hAnsi="Times New Roman"/>
          <w:b/>
          <w:bCs/>
          <w:color w:val="auto"/>
          <w:sz w:val="20"/>
          <w:szCs w:val="20"/>
          <w:highlight w:val="none"/>
        </w:rPr>
        <w:t>说明：“+”、“-”分别表示有利、不利影响；“L”、“S”分别表示长期、短期影响；“0”、“1”、“2”、“3”数值分别表示无影响、轻微影响、中等影响和重大影响；用“D”、“I”表示直接、间接影响。</w:t>
      </w:r>
    </w:p>
    <w:p w14:paraId="68E0CC8A">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通过上表可以看出，综合考虑本项目对环境的影响</w:t>
      </w:r>
      <w:r>
        <w:rPr>
          <w:rFonts w:hint="eastAsia" w:ascii="Times New Roman" w:hAnsi="Times New Roman"/>
          <w:color w:val="auto"/>
          <w:highlight w:val="none"/>
          <w:lang w:eastAsia="zh-CN"/>
        </w:rPr>
        <w:t>，</w:t>
      </w:r>
      <w:r>
        <w:rPr>
          <w:rFonts w:ascii="Times New Roman" w:hAnsi="Times New Roman"/>
          <w:color w:val="auto"/>
          <w:highlight w:val="none"/>
        </w:rPr>
        <w:t>在运行期的各种活动所产生的污染物对环境资源的影响是长期的，且影响程度大小有所不同。</w:t>
      </w:r>
      <w:r>
        <w:rPr>
          <w:rFonts w:ascii="Times New Roman" w:hAnsi="Times New Roman" w:cs="Times New Roman"/>
          <w:color w:val="auto"/>
          <w:highlight w:val="none"/>
        </w:rPr>
        <w:t>本项目的环境影响主要体现在对大气环境、地表水环境、地下水环境、土壤环境、声环境等方面。</w:t>
      </w:r>
      <w:r>
        <w:rPr>
          <w:rFonts w:ascii="Times New Roman" w:hAnsi="Times New Roman"/>
          <w:color w:val="auto"/>
          <w:highlight w:val="none"/>
        </w:rPr>
        <w:t>据此可以确定，本次评价时段为建设工程运营期。在评价时段内，对周围环境影响因子主要为废气、废水，其次是固体废物及噪声等。</w:t>
      </w:r>
    </w:p>
    <w:p w14:paraId="419F1C09">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2.3.1.2评价因子筛选</w:t>
      </w:r>
    </w:p>
    <w:p w14:paraId="33699B0E">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本项目评价因子筛选结果见</w:t>
      </w:r>
      <w:r>
        <w:rPr>
          <w:rFonts w:hint="eastAsia" w:ascii="Times New Roman" w:hAnsi="Times New Roman"/>
          <w:color w:val="auto"/>
          <w:highlight w:val="none"/>
        </w:rPr>
        <w:t>下表</w:t>
      </w:r>
      <w:r>
        <w:rPr>
          <w:rFonts w:ascii="Times New Roman" w:hAnsi="Times New Roman"/>
          <w:color w:val="auto"/>
          <w:highlight w:val="none"/>
        </w:rPr>
        <w:t>。</w:t>
      </w:r>
    </w:p>
    <w:p w14:paraId="22E72754">
      <w:pPr>
        <w:pStyle w:val="15"/>
        <w:spacing w:line="360" w:lineRule="auto"/>
        <w:ind w:left="-105" w:right="-105" w:firstLine="482"/>
        <w:rPr>
          <w:rFonts w:eastAsia="宋体" w:cs="Times New Roman"/>
          <w:color w:val="auto"/>
          <w:sz w:val="24"/>
          <w:szCs w:val="22"/>
          <w:highlight w:val="none"/>
        </w:rPr>
      </w:pPr>
      <w:bookmarkStart w:id="123" w:name="_Ref17710132"/>
      <w:bookmarkStart w:id="124" w:name="_Ref17461884"/>
      <w:r>
        <w:rPr>
          <w:rFonts w:eastAsia="宋体" w:cs="Times New Roman"/>
          <w:color w:val="auto"/>
          <w:sz w:val="24"/>
          <w:szCs w:val="22"/>
          <w:highlight w:val="none"/>
        </w:rPr>
        <w:t>表</w:t>
      </w:r>
      <w:r>
        <w:rPr>
          <w:rFonts w:eastAsia="宋体" w:cs="Times New Roman"/>
          <w:color w:val="auto"/>
          <w:sz w:val="24"/>
          <w:szCs w:val="22"/>
          <w:highlight w:val="none"/>
        </w:rPr>
        <w:fldChar w:fldCharType="begin"/>
      </w:r>
      <w:r>
        <w:rPr>
          <w:rFonts w:eastAsia="宋体" w:cs="Times New Roman"/>
          <w:color w:val="auto"/>
          <w:sz w:val="24"/>
          <w:szCs w:val="22"/>
          <w:highlight w:val="none"/>
        </w:rPr>
        <w:instrText xml:space="preserve"> STYLEREF 2 \s </w:instrText>
      </w:r>
      <w:r>
        <w:rPr>
          <w:rFonts w:eastAsia="宋体" w:cs="Times New Roman"/>
          <w:color w:val="auto"/>
          <w:sz w:val="24"/>
          <w:szCs w:val="22"/>
          <w:highlight w:val="none"/>
        </w:rPr>
        <w:fldChar w:fldCharType="separate"/>
      </w:r>
      <w:r>
        <w:rPr>
          <w:rFonts w:eastAsia="宋体" w:cs="Times New Roman"/>
          <w:color w:val="auto"/>
          <w:sz w:val="24"/>
          <w:szCs w:val="22"/>
          <w:highlight w:val="none"/>
        </w:rPr>
        <w:t>2.3</w:t>
      </w:r>
      <w:r>
        <w:rPr>
          <w:rFonts w:eastAsia="宋体" w:cs="Times New Roman"/>
          <w:color w:val="auto"/>
          <w:sz w:val="24"/>
          <w:szCs w:val="22"/>
          <w:highlight w:val="none"/>
        </w:rPr>
        <w:fldChar w:fldCharType="end"/>
      </w:r>
      <w:r>
        <w:rPr>
          <w:rFonts w:eastAsia="宋体" w:cs="Times New Roman"/>
          <w:color w:val="auto"/>
          <w:sz w:val="24"/>
          <w:szCs w:val="22"/>
          <w:highlight w:val="none"/>
        </w:rPr>
        <w:noBreakHyphen/>
      </w:r>
      <w:r>
        <w:rPr>
          <w:rFonts w:eastAsia="宋体" w:cs="Times New Roman"/>
          <w:color w:val="auto"/>
          <w:sz w:val="24"/>
          <w:szCs w:val="22"/>
          <w:highlight w:val="none"/>
        </w:rPr>
        <w:fldChar w:fldCharType="begin"/>
      </w:r>
      <w:r>
        <w:rPr>
          <w:rFonts w:eastAsia="宋体" w:cs="Times New Roman"/>
          <w:color w:val="auto"/>
          <w:sz w:val="24"/>
          <w:szCs w:val="22"/>
          <w:highlight w:val="none"/>
        </w:rPr>
        <w:instrText xml:space="preserve"> SEQ 表 \* ARABIC \s 2 </w:instrText>
      </w:r>
      <w:r>
        <w:rPr>
          <w:rFonts w:eastAsia="宋体" w:cs="Times New Roman"/>
          <w:color w:val="auto"/>
          <w:sz w:val="24"/>
          <w:szCs w:val="22"/>
          <w:highlight w:val="none"/>
        </w:rPr>
        <w:fldChar w:fldCharType="separate"/>
      </w:r>
      <w:r>
        <w:rPr>
          <w:rFonts w:eastAsia="宋体" w:cs="Times New Roman"/>
          <w:color w:val="auto"/>
          <w:sz w:val="24"/>
          <w:szCs w:val="22"/>
          <w:highlight w:val="none"/>
        </w:rPr>
        <w:t>2</w:t>
      </w:r>
      <w:r>
        <w:rPr>
          <w:rFonts w:eastAsia="宋体" w:cs="Times New Roman"/>
          <w:color w:val="auto"/>
          <w:sz w:val="24"/>
          <w:szCs w:val="22"/>
          <w:highlight w:val="none"/>
        </w:rPr>
        <w:fldChar w:fldCharType="end"/>
      </w:r>
      <w:bookmarkEnd w:id="123"/>
      <w:bookmarkEnd w:id="124"/>
      <w:r>
        <w:rPr>
          <w:rFonts w:eastAsia="宋体" w:cs="Times New Roman"/>
          <w:color w:val="auto"/>
          <w:sz w:val="24"/>
          <w:szCs w:val="22"/>
          <w:highlight w:val="none"/>
        </w:rPr>
        <w:t>评价因子筛选</w:t>
      </w:r>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02"/>
        <w:gridCol w:w="3357"/>
        <w:gridCol w:w="2005"/>
        <w:gridCol w:w="2456"/>
      </w:tblGrid>
      <w:tr w14:paraId="60E1D6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auto" w:sz="12" w:space="0"/>
              <w:left w:val="nil"/>
              <w:bottom w:val="single" w:color="000000" w:sz="4" w:space="0"/>
              <w:right w:val="single" w:color="000000" w:sz="4" w:space="0"/>
            </w:tcBorders>
            <w:vAlign w:val="center"/>
          </w:tcPr>
          <w:p w14:paraId="2041BFF9">
            <w:pPr>
              <w:pStyle w:val="98"/>
              <w:ind w:left="-105" w:right="-105"/>
              <w:rPr>
                <w:rFonts w:eastAsia="宋体"/>
                <w:b/>
                <w:color w:val="auto"/>
                <w:sz w:val="21"/>
                <w:szCs w:val="21"/>
                <w:highlight w:val="none"/>
              </w:rPr>
            </w:pPr>
            <w:r>
              <w:rPr>
                <w:rFonts w:eastAsia="宋体"/>
                <w:b/>
                <w:color w:val="auto"/>
                <w:sz w:val="21"/>
                <w:szCs w:val="21"/>
                <w:highlight w:val="none"/>
              </w:rPr>
              <w:t>项目</w:t>
            </w:r>
          </w:p>
        </w:tc>
        <w:tc>
          <w:tcPr>
            <w:tcW w:w="1924" w:type="pct"/>
            <w:tcBorders>
              <w:top w:val="single" w:color="auto" w:sz="12" w:space="0"/>
              <w:left w:val="single" w:color="000000" w:sz="4" w:space="0"/>
              <w:bottom w:val="single" w:color="000000" w:sz="4" w:space="0"/>
              <w:right w:val="single" w:color="000000" w:sz="4" w:space="0"/>
            </w:tcBorders>
            <w:vAlign w:val="center"/>
          </w:tcPr>
          <w:p w14:paraId="4BD51441">
            <w:pPr>
              <w:pStyle w:val="98"/>
              <w:ind w:left="-105" w:right="-105"/>
              <w:rPr>
                <w:rFonts w:eastAsia="宋体"/>
                <w:b/>
                <w:color w:val="auto"/>
                <w:sz w:val="21"/>
                <w:szCs w:val="21"/>
                <w:highlight w:val="none"/>
              </w:rPr>
            </w:pPr>
            <w:r>
              <w:rPr>
                <w:rFonts w:eastAsia="宋体"/>
                <w:b/>
                <w:color w:val="auto"/>
                <w:sz w:val="21"/>
                <w:szCs w:val="21"/>
                <w:highlight w:val="none"/>
              </w:rPr>
              <w:t>现状评价因子</w:t>
            </w:r>
          </w:p>
        </w:tc>
        <w:tc>
          <w:tcPr>
            <w:tcW w:w="1149" w:type="pct"/>
            <w:tcBorders>
              <w:top w:val="single" w:color="auto" w:sz="12" w:space="0"/>
              <w:left w:val="single" w:color="000000" w:sz="4" w:space="0"/>
              <w:bottom w:val="single" w:color="000000" w:sz="4" w:space="0"/>
              <w:right w:val="single" w:color="000000" w:sz="4" w:space="0"/>
            </w:tcBorders>
            <w:vAlign w:val="center"/>
          </w:tcPr>
          <w:p w14:paraId="11D8256C">
            <w:pPr>
              <w:pStyle w:val="98"/>
              <w:ind w:left="-105" w:right="-105"/>
              <w:rPr>
                <w:rFonts w:eastAsia="宋体"/>
                <w:b/>
                <w:color w:val="auto"/>
                <w:sz w:val="21"/>
                <w:szCs w:val="21"/>
                <w:highlight w:val="none"/>
              </w:rPr>
            </w:pPr>
            <w:r>
              <w:rPr>
                <w:rFonts w:eastAsia="宋体"/>
                <w:b/>
                <w:color w:val="auto"/>
                <w:sz w:val="21"/>
                <w:szCs w:val="21"/>
                <w:highlight w:val="none"/>
              </w:rPr>
              <w:t>影响评价因子</w:t>
            </w:r>
          </w:p>
        </w:tc>
        <w:tc>
          <w:tcPr>
            <w:tcW w:w="1408" w:type="pct"/>
            <w:tcBorders>
              <w:top w:val="single" w:color="auto" w:sz="12" w:space="0"/>
              <w:left w:val="single" w:color="000000" w:sz="4" w:space="0"/>
              <w:bottom w:val="single" w:color="000000" w:sz="4" w:space="0"/>
              <w:right w:val="nil"/>
            </w:tcBorders>
            <w:vAlign w:val="center"/>
          </w:tcPr>
          <w:p w14:paraId="0CA076EA">
            <w:pPr>
              <w:pStyle w:val="98"/>
              <w:ind w:left="-105" w:right="-105"/>
              <w:rPr>
                <w:rFonts w:eastAsia="宋体"/>
                <w:b/>
                <w:color w:val="auto"/>
                <w:sz w:val="21"/>
                <w:szCs w:val="21"/>
                <w:highlight w:val="none"/>
              </w:rPr>
            </w:pPr>
            <w:r>
              <w:rPr>
                <w:rFonts w:eastAsia="宋体"/>
                <w:b/>
                <w:color w:val="auto"/>
                <w:sz w:val="21"/>
                <w:szCs w:val="21"/>
                <w:highlight w:val="none"/>
              </w:rPr>
              <w:t>总量控制因子</w:t>
            </w:r>
          </w:p>
        </w:tc>
      </w:tr>
      <w:tr w14:paraId="1546E0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000000" w:sz="4" w:space="0"/>
              <w:right w:val="single" w:color="000000" w:sz="4" w:space="0"/>
            </w:tcBorders>
            <w:vAlign w:val="center"/>
          </w:tcPr>
          <w:p w14:paraId="547A77BB">
            <w:pPr>
              <w:pStyle w:val="98"/>
              <w:ind w:left="-105" w:right="-105"/>
              <w:rPr>
                <w:rFonts w:eastAsia="宋体"/>
                <w:color w:val="auto"/>
                <w:sz w:val="21"/>
                <w:szCs w:val="21"/>
                <w:highlight w:val="none"/>
              </w:rPr>
            </w:pPr>
            <w:r>
              <w:rPr>
                <w:rFonts w:eastAsia="宋体"/>
                <w:color w:val="auto"/>
                <w:sz w:val="21"/>
                <w:szCs w:val="21"/>
                <w:highlight w:val="none"/>
              </w:rPr>
              <w:t>大气环境</w:t>
            </w:r>
          </w:p>
        </w:tc>
        <w:tc>
          <w:tcPr>
            <w:tcW w:w="1924" w:type="pct"/>
            <w:tcBorders>
              <w:top w:val="single" w:color="000000" w:sz="4" w:space="0"/>
              <w:left w:val="single" w:color="000000" w:sz="4" w:space="0"/>
              <w:bottom w:val="single" w:color="000000" w:sz="4" w:space="0"/>
              <w:right w:val="single" w:color="000000" w:sz="4" w:space="0"/>
            </w:tcBorders>
            <w:vAlign w:val="center"/>
          </w:tcPr>
          <w:p w14:paraId="0BDEB690">
            <w:pPr>
              <w:pStyle w:val="98"/>
              <w:ind w:left="-105" w:right="-105"/>
              <w:rPr>
                <w:rFonts w:eastAsia="宋体"/>
                <w:color w:val="auto"/>
                <w:sz w:val="21"/>
                <w:szCs w:val="21"/>
                <w:highlight w:val="none"/>
              </w:rPr>
            </w:pPr>
            <w:r>
              <w:rPr>
                <w:rFonts w:eastAsia="宋体"/>
                <w:color w:val="auto"/>
                <w:sz w:val="21"/>
                <w:szCs w:val="21"/>
                <w:highlight w:val="none"/>
              </w:rPr>
              <w:t>SO</w:t>
            </w:r>
            <w:r>
              <w:rPr>
                <w:rFonts w:eastAsia="宋体"/>
                <w:color w:val="auto"/>
                <w:sz w:val="21"/>
                <w:szCs w:val="21"/>
                <w:highlight w:val="none"/>
                <w:vertAlign w:val="subscript"/>
              </w:rPr>
              <w:t>2</w:t>
            </w:r>
            <w:r>
              <w:rPr>
                <w:rFonts w:eastAsia="宋体"/>
                <w:color w:val="auto"/>
                <w:sz w:val="21"/>
                <w:szCs w:val="21"/>
                <w:highlight w:val="none"/>
              </w:rPr>
              <w:t>、NO</w:t>
            </w:r>
            <w:r>
              <w:rPr>
                <w:rFonts w:eastAsia="宋体"/>
                <w:color w:val="auto"/>
                <w:sz w:val="21"/>
                <w:szCs w:val="21"/>
                <w:highlight w:val="none"/>
                <w:vertAlign w:val="subscript"/>
              </w:rPr>
              <w:t>2</w:t>
            </w:r>
            <w:r>
              <w:rPr>
                <w:rFonts w:eastAsia="宋体"/>
                <w:color w:val="auto"/>
                <w:sz w:val="21"/>
                <w:szCs w:val="21"/>
                <w:highlight w:val="none"/>
              </w:rPr>
              <w:t>、PM</w:t>
            </w:r>
            <w:r>
              <w:rPr>
                <w:rFonts w:eastAsia="宋体"/>
                <w:color w:val="auto"/>
                <w:sz w:val="21"/>
                <w:szCs w:val="21"/>
                <w:highlight w:val="none"/>
                <w:vertAlign w:val="subscript"/>
              </w:rPr>
              <w:t>2.5</w:t>
            </w:r>
            <w:r>
              <w:rPr>
                <w:rFonts w:eastAsia="宋体"/>
                <w:color w:val="auto"/>
                <w:sz w:val="21"/>
                <w:szCs w:val="21"/>
                <w:highlight w:val="none"/>
              </w:rPr>
              <w:t>、PM</w:t>
            </w:r>
            <w:r>
              <w:rPr>
                <w:rFonts w:eastAsia="宋体"/>
                <w:color w:val="auto"/>
                <w:sz w:val="21"/>
                <w:szCs w:val="21"/>
                <w:highlight w:val="none"/>
                <w:vertAlign w:val="subscript"/>
              </w:rPr>
              <w:t>10</w:t>
            </w:r>
            <w:r>
              <w:rPr>
                <w:rFonts w:eastAsia="宋体"/>
                <w:color w:val="auto"/>
                <w:sz w:val="21"/>
                <w:szCs w:val="21"/>
                <w:highlight w:val="none"/>
              </w:rPr>
              <w:t>、CO、O</w:t>
            </w:r>
            <w:r>
              <w:rPr>
                <w:rFonts w:eastAsia="宋体"/>
                <w:color w:val="auto"/>
                <w:sz w:val="21"/>
                <w:szCs w:val="21"/>
                <w:highlight w:val="none"/>
                <w:vertAlign w:val="subscript"/>
              </w:rPr>
              <w:t>3</w:t>
            </w:r>
            <w:r>
              <w:rPr>
                <w:rFonts w:eastAsia="宋体"/>
                <w:color w:val="auto"/>
                <w:sz w:val="21"/>
                <w:szCs w:val="21"/>
                <w:highlight w:val="none"/>
              </w:rPr>
              <w:t>、</w:t>
            </w:r>
            <w:r>
              <w:rPr>
                <w:rFonts w:hint="eastAsia" w:eastAsia="宋体"/>
                <w:color w:val="auto"/>
                <w:sz w:val="21"/>
                <w:szCs w:val="21"/>
                <w:highlight w:val="none"/>
                <w:lang w:val="en-US"/>
              </w:rPr>
              <w:t>非甲烷总烃、甲醇</w:t>
            </w:r>
            <w:r>
              <w:rPr>
                <w:rFonts w:hint="eastAsia"/>
                <w:color w:val="auto"/>
                <w:sz w:val="21"/>
                <w:szCs w:val="21"/>
                <w:highlight w:val="none"/>
                <w:lang w:val="en-US"/>
              </w:rPr>
              <w:t>、</w:t>
            </w:r>
            <w:r>
              <w:rPr>
                <w:rFonts w:eastAsia="宋体"/>
                <w:color w:val="auto"/>
                <w:sz w:val="21"/>
                <w:szCs w:val="21"/>
                <w:highlight w:val="none"/>
              </w:rPr>
              <w:t>NOx</w:t>
            </w:r>
          </w:p>
        </w:tc>
        <w:tc>
          <w:tcPr>
            <w:tcW w:w="1149" w:type="pct"/>
            <w:tcBorders>
              <w:top w:val="single" w:color="000000" w:sz="4" w:space="0"/>
              <w:left w:val="single" w:color="000000" w:sz="4" w:space="0"/>
              <w:bottom w:val="single" w:color="000000" w:sz="4" w:space="0"/>
              <w:right w:val="single" w:color="000000" w:sz="4" w:space="0"/>
            </w:tcBorders>
            <w:vAlign w:val="center"/>
          </w:tcPr>
          <w:p w14:paraId="07D940B2">
            <w:pPr>
              <w:pStyle w:val="98"/>
              <w:ind w:left="-105" w:right="-105"/>
              <w:rPr>
                <w:rFonts w:eastAsia="宋体"/>
                <w:color w:val="auto"/>
                <w:sz w:val="21"/>
                <w:szCs w:val="21"/>
                <w:highlight w:val="none"/>
              </w:rPr>
            </w:pPr>
            <w:r>
              <w:rPr>
                <w:rFonts w:hint="eastAsia" w:eastAsia="宋体"/>
                <w:color w:val="auto"/>
                <w:sz w:val="21"/>
                <w:szCs w:val="21"/>
                <w:highlight w:val="none"/>
                <w:lang w:val="en-US"/>
              </w:rPr>
              <w:t>非甲烷总烃</w:t>
            </w:r>
            <w:r>
              <w:rPr>
                <w:rFonts w:hint="eastAsia" w:eastAsia="宋体"/>
                <w:color w:val="auto"/>
                <w:sz w:val="21"/>
                <w:szCs w:val="21"/>
                <w:highlight w:val="none"/>
                <w:lang w:val="en-US"/>
              </w:rPr>
              <w:t>、甲醇、氮氧化物</w:t>
            </w:r>
          </w:p>
        </w:tc>
        <w:tc>
          <w:tcPr>
            <w:tcW w:w="1408" w:type="pct"/>
            <w:tcBorders>
              <w:top w:val="single" w:color="000000" w:sz="4" w:space="0"/>
              <w:left w:val="single" w:color="000000" w:sz="4" w:space="0"/>
              <w:bottom w:val="single" w:color="000000" w:sz="4" w:space="0"/>
              <w:right w:val="nil"/>
            </w:tcBorders>
            <w:vAlign w:val="center"/>
          </w:tcPr>
          <w:p w14:paraId="456BC302">
            <w:pPr>
              <w:pStyle w:val="98"/>
              <w:ind w:left="-105" w:right="-105"/>
              <w:rPr>
                <w:rFonts w:eastAsia="宋体"/>
                <w:color w:val="auto"/>
                <w:sz w:val="21"/>
                <w:szCs w:val="21"/>
                <w:highlight w:val="none"/>
              </w:rPr>
            </w:pPr>
            <w:r>
              <w:rPr>
                <w:rFonts w:hint="eastAsia" w:eastAsia="宋体"/>
                <w:color w:val="auto"/>
                <w:sz w:val="21"/>
                <w:szCs w:val="21"/>
                <w:highlight w:val="none"/>
                <w:lang w:val="en-US"/>
              </w:rPr>
              <w:t>非甲烷总烃</w:t>
            </w:r>
            <w:r>
              <w:rPr>
                <w:rFonts w:hint="eastAsia" w:eastAsia="宋体"/>
                <w:color w:val="auto"/>
                <w:sz w:val="21"/>
                <w:szCs w:val="21"/>
                <w:highlight w:val="none"/>
                <w:lang w:val="en-US"/>
              </w:rPr>
              <w:t>、甲醇、氮氧化物</w:t>
            </w:r>
          </w:p>
        </w:tc>
      </w:tr>
      <w:tr w14:paraId="10AB3B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000000" w:sz="4" w:space="0"/>
              <w:right w:val="single" w:color="000000" w:sz="4" w:space="0"/>
            </w:tcBorders>
            <w:vAlign w:val="center"/>
          </w:tcPr>
          <w:p w14:paraId="55553B82">
            <w:pPr>
              <w:pStyle w:val="98"/>
              <w:ind w:left="-105" w:right="-105"/>
              <w:rPr>
                <w:rFonts w:eastAsia="宋体"/>
                <w:color w:val="auto"/>
                <w:sz w:val="21"/>
                <w:szCs w:val="21"/>
                <w:highlight w:val="none"/>
              </w:rPr>
            </w:pPr>
            <w:r>
              <w:rPr>
                <w:rFonts w:eastAsia="宋体"/>
                <w:color w:val="auto"/>
                <w:sz w:val="21"/>
                <w:szCs w:val="21"/>
                <w:highlight w:val="none"/>
              </w:rPr>
              <w:t>地表水</w:t>
            </w:r>
          </w:p>
          <w:p w14:paraId="47EBFA2E">
            <w:pPr>
              <w:pStyle w:val="98"/>
              <w:ind w:left="-105" w:right="-105"/>
              <w:rPr>
                <w:rFonts w:eastAsia="宋体"/>
                <w:color w:val="auto"/>
                <w:sz w:val="21"/>
                <w:szCs w:val="21"/>
                <w:highlight w:val="none"/>
              </w:rPr>
            </w:pPr>
            <w:r>
              <w:rPr>
                <w:rFonts w:eastAsia="宋体"/>
                <w:color w:val="auto"/>
                <w:sz w:val="21"/>
                <w:szCs w:val="21"/>
                <w:highlight w:val="none"/>
              </w:rPr>
              <w:t>环境</w:t>
            </w:r>
          </w:p>
        </w:tc>
        <w:tc>
          <w:tcPr>
            <w:tcW w:w="1924" w:type="pct"/>
            <w:tcBorders>
              <w:top w:val="single" w:color="000000" w:sz="4" w:space="0"/>
              <w:left w:val="single" w:color="000000" w:sz="4" w:space="0"/>
              <w:bottom w:val="single" w:color="000000" w:sz="4" w:space="0"/>
              <w:right w:val="single" w:color="000000" w:sz="4" w:space="0"/>
            </w:tcBorders>
            <w:vAlign w:val="center"/>
          </w:tcPr>
          <w:p w14:paraId="0D626BFA">
            <w:pPr>
              <w:pStyle w:val="98"/>
              <w:ind w:left="-105" w:right="-105"/>
              <w:rPr>
                <w:rFonts w:eastAsia="宋体"/>
                <w:color w:val="auto"/>
                <w:sz w:val="21"/>
                <w:szCs w:val="21"/>
                <w:highlight w:val="none"/>
              </w:rPr>
            </w:pPr>
            <w:r>
              <w:rPr>
                <w:rFonts w:eastAsia="宋体"/>
                <w:color w:val="auto"/>
                <w:position w:val="1"/>
                <w:sz w:val="21"/>
                <w:szCs w:val="21"/>
                <w:highlight w:val="none"/>
              </w:rPr>
              <w:t>pH、CODcr、BOD</w:t>
            </w:r>
            <w:r>
              <w:rPr>
                <w:rFonts w:eastAsia="宋体"/>
                <w:color w:val="auto"/>
                <w:sz w:val="21"/>
                <w:szCs w:val="21"/>
                <w:highlight w:val="none"/>
                <w:vertAlign w:val="subscript"/>
              </w:rPr>
              <w:t>5</w:t>
            </w:r>
            <w:r>
              <w:rPr>
                <w:rFonts w:eastAsia="宋体"/>
                <w:color w:val="auto"/>
                <w:position w:val="1"/>
                <w:sz w:val="21"/>
                <w:szCs w:val="21"/>
                <w:highlight w:val="none"/>
              </w:rPr>
              <w:t>、SS、氨氮、总磷、总氮</w:t>
            </w:r>
          </w:p>
        </w:tc>
        <w:tc>
          <w:tcPr>
            <w:tcW w:w="1149" w:type="pct"/>
            <w:tcBorders>
              <w:top w:val="single" w:color="000000" w:sz="4" w:space="0"/>
              <w:left w:val="single" w:color="000000" w:sz="4" w:space="0"/>
              <w:bottom w:val="single" w:color="000000" w:sz="4" w:space="0"/>
              <w:right w:val="single" w:color="000000" w:sz="4" w:space="0"/>
            </w:tcBorders>
            <w:vAlign w:val="center"/>
          </w:tcPr>
          <w:p w14:paraId="389D1EE7">
            <w:pPr>
              <w:pStyle w:val="98"/>
              <w:ind w:left="-105" w:right="-105"/>
              <w:rPr>
                <w:rFonts w:eastAsia="宋体"/>
                <w:color w:val="auto"/>
                <w:sz w:val="21"/>
                <w:szCs w:val="21"/>
                <w:highlight w:val="none"/>
              </w:rPr>
            </w:pPr>
            <w:r>
              <w:rPr>
                <w:rFonts w:eastAsia="宋体"/>
                <w:color w:val="auto"/>
                <w:sz w:val="21"/>
                <w:szCs w:val="21"/>
                <w:highlight w:val="none"/>
              </w:rPr>
              <w:t>—</w:t>
            </w:r>
          </w:p>
        </w:tc>
        <w:tc>
          <w:tcPr>
            <w:tcW w:w="1408" w:type="pct"/>
            <w:tcBorders>
              <w:top w:val="single" w:color="000000" w:sz="4" w:space="0"/>
              <w:left w:val="single" w:color="000000" w:sz="4" w:space="0"/>
              <w:bottom w:val="single" w:color="000000" w:sz="4" w:space="0"/>
              <w:right w:val="nil"/>
            </w:tcBorders>
            <w:vAlign w:val="center"/>
          </w:tcPr>
          <w:p w14:paraId="64DC3B10">
            <w:pPr>
              <w:pStyle w:val="98"/>
              <w:ind w:left="-105" w:right="-105"/>
              <w:rPr>
                <w:rFonts w:eastAsia="宋体"/>
                <w:color w:val="auto"/>
                <w:sz w:val="21"/>
                <w:szCs w:val="21"/>
                <w:highlight w:val="none"/>
              </w:rPr>
            </w:pPr>
            <w:r>
              <w:rPr>
                <w:rFonts w:eastAsia="宋体"/>
                <w:color w:val="auto"/>
                <w:sz w:val="21"/>
                <w:szCs w:val="21"/>
                <w:highlight w:val="none"/>
              </w:rPr>
              <w:t>—</w:t>
            </w:r>
          </w:p>
        </w:tc>
      </w:tr>
      <w:tr w14:paraId="01162D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000000" w:sz="4" w:space="0"/>
              <w:right w:val="single" w:color="000000" w:sz="4" w:space="0"/>
            </w:tcBorders>
            <w:vAlign w:val="center"/>
          </w:tcPr>
          <w:p w14:paraId="367A420E">
            <w:pPr>
              <w:pStyle w:val="98"/>
              <w:ind w:left="-105" w:right="-105"/>
              <w:rPr>
                <w:rFonts w:eastAsia="宋体"/>
                <w:color w:val="auto"/>
                <w:sz w:val="21"/>
                <w:szCs w:val="21"/>
                <w:highlight w:val="none"/>
              </w:rPr>
            </w:pPr>
            <w:r>
              <w:rPr>
                <w:rFonts w:eastAsia="宋体"/>
                <w:color w:val="auto"/>
                <w:sz w:val="21"/>
                <w:szCs w:val="21"/>
                <w:highlight w:val="none"/>
              </w:rPr>
              <w:t>地下水环境</w:t>
            </w:r>
          </w:p>
        </w:tc>
        <w:tc>
          <w:tcPr>
            <w:tcW w:w="1924" w:type="pct"/>
            <w:tcBorders>
              <w:top w:val="single" w:color="000000" w:sz="4" w:space="0"/>
              <w:left w:val="single" w:color="000000" w:sz="4" w:space="0"/>
              <w:bottom w:val="single" w:color="000000" w:sz="4" w:space="0"/>
              <w:right w:val="single" w:color="000000" w:sz="4" w:space="0"/>
            </w:tcBorders>
            <w:vAlign w:val="center"/>
          </w:tcPr>
          <w:p w14:paraId="39B05DDE">
            <w:pPr>
              <w:pStyle w:val="98"/>
              <w:ind w:left="-105" w:right="-105"/>
              <w:rPr>
                <w:rFonts w:eastAsia="宋体"/>
                <w:color w:val="auto"/>
                <w:sz w:val="21"/>
                <w:szCs w:val="21"/>
                <w:highlight w:val="none"/>
              </w:rPr>
            </w:pPr>
            <w:r>
              <w:rPr>
                <w:color w:val="auto"/>
                <w:sz w:val="21"/>
                <w:szCs w:val="21"/>
                <w:highlight w:val="none"/>
              </w:rPr>
              <w:t>p</w:t>
            </w:r>
            <w:r>
              <w:rPr>
                <w:color w:val="auto"/>
                <w:sz w:val="21"/>
                <w:szCs w:val="21"/>
                <w:highlight w:val="none"/>
              </w:rPr>
              <w:t>H</w:t>
            </w:r>
            <w:r>
              <w:rPr>
                <w:rFonts w:hint="eastAsia" w:ascii="宋体" w:hAnsi="宋体" w:eastAsia="宋体" w:cs="宋体"/>
                <w:color w:val="auto"/>
                <w:sz w:val="21"/>
                <w:szCs w:val="21"/>
                <w:highlight w:val="none"/>
              </w:rPr>
              <w:t>值、</w:t>
            </w:r>
            <w:r>
              <w:rPr>
                <w:color w:val="auto"/>
                <w:sz w:val="21"/>
                <w:szCs w:val="21"/>
                <w:highlight w:val="none"/>
              </w:rPr>
              <w:t>K</w:t>
            </w:r>
            <w:r>
              <w:rPr>
                <w:color w:val="auto"/>
                <w:sz w:val="21"/>
                <w:szCs w:val="21"/>
                <w:highlight w:val="none"/>
                <w:vertAlign w:val="superscript"/>
              </w:rPr>
              <w:t>+</w:t>
            </w:r>
            <w:r>
              <w:rPr>
                <w:rFonts w:hint="eastAsia" w:ascii="宋体" w:hAnsi="宋体" w:eastAsia="宋体" w:cs="宋体"/>
                <w:color w:val="auto"/>
                <w:sz w:val="21"/>
                <w:szCs w:val="21"/>
                <w:highlight w:val="none"/>
              </w:rPr>
              <w:t>、</w:t>
            </w:r>
            <w:r>
              <w:rPr>
                <w:color w:val="auto"/>
                <w:sz w:val="21"/>
                <w:szCs w:val="21"/>
                <w:highlight w:val="none"/>
              </w:rPr>
              <w:t>Na</w:t>
            </w:r>
            <w:r>
              <w:rPr>
                <w:color w:val="auto"/>
                <w:sz w:val="21"/>
                <w:szCs w:val="21"/>
                <w:highlight w:val="none"/>
                <w:vertAlign w:val="superscript"/>
              </w:rPr>
              <w:t>+</w:t>
            </w:r>
            <w:r>
              <w:rPr>
                <w:rFonts w:hint="eastAsia" w:ascii="宋体" w:hAnsi="宋体" w:eastAsia="宋体" w:cs="宋体"/>
                <w:color w:val="auto"/>
                <w:sz w:val="21"/>
                <w:szCs w:val="21"/>
                <w:highlight w:val="none"/>
              </w:rPr>
              <w:t>、</w:t>
            </w:r>
            <w:r>
              <w:rPr>
                <w:color w:val="auto"/>
                <w:sz w:val="21"/>
                <w:szCs w:val="21"/>
                <w:highlight w:val="none"/>
              </w:rPr>
              <w:t>Ca</w:t>
            </w:r>
            <w:r>
              <w:rPr>
                <w:color w:val="auto"/>
                <w:sz w:val="21"/>
                <w:szCs w:val="21"/>
                <w:highlight w:val="none"/>
                <w:vertAlign w:val="superscript"/>
              </w:rPr>
              <w:t>2+</w:t>
            </w:r>
            <w:r>
              <w:rPr>
                <w:rFonts w:hint="eastAsia" w:ascii="宋体" w:hAnsi="宋体" w:eastAsia="宋体" w:cs="宋体"/>
                <w:color w:val="auto"/>
                <w:sz w:val="21"/>
                <w:szCs w:val="21"/>
                <w:highlight w:val="none"/>
              </w:rPr>
              <w:t>、</w:t>
            </w:r>
            <w:r>
              <w:rPr>
                <w:color w:val="auto"/>
                <w:sz w:val="21"/>
                <w:szCs w:val="21"/>
                <w:highlight w:val="none"/>
              </w:rPr>
              <w:t>Mg</w:t>
            </w:r>
            <w:r>
              <w:rPr>
                <w:color w:val="auto"/>
                <w:sz w:val="21"/>
                <w:szCs w:val="21"/>
                <w:highlight w:val="none"/>
                <w:vertAlign w:val="superscript"/>
              </w:rPr>
              <w:t>2+</w:t>
            </w:r>
            <w:r>
              <w:rPr>
                <w:rFonts w:hint="eastAsia" w:ascii="宋体" w:hAnsi="宋体" w:eastAsia="宋体" w:cs="宋体"/>
                <w:color w:val="auto"/>
                <w:sz w:val="21"/>
                <w:szCs w:val="21"/>
                <w:highlight w:val="none"/>
              </w:rPr>
              <w:t>、</w:t>
            </w:r>
            <w:r>
              <w:rPr>
                <w:color w:val="auto"/>
                <w:sz w:val="21"/>
                <w:szCs w:val="21"/>
                <w:highlight w:val="none"/>
              </w:rPr>
              <w:t>CO</w:t>
            </w:r>
            <w:r>
              <w:rPr>
                <w:color w:val="auto"/>
                <w:sz w:val="21"/>
                <w:szCs w:val="21"/>
                <w:highlight w:val="none"/>
                <w:vertAlign w:val="subscript"/>
              </w:rPr>
              <w:t>3</w:t>
            </w:r>
            <w:r>
              <w:rPr>
                <w:color w:val="auto"/>
                <w:sz w:val="21"/>
                <w:szCs w:val="21"/>
                <w:highlight w:val="none"/>
                <w:vertAlign w:val="superscript"/>
              </w:rPr>
              <w:t>2-</w:t>
            </w:r>
            <w:r>
              <w:rPr>
                <w:rFonts w:hint="eastAsia" w:ascii="宋体" w:hAnsi="宋体" w:eastAsia="宋体" w:cs="宋体"/>
                <w:color w:val="auto"/>
                <w:sz w:val="21"/>
                <w:szCs w:val="21"/>
                <w:highlight w:val="none"/>
              </w:rPr>
              <w:t>、</w:t>
            </w:r>
            <w:r>
              <w:rPr>
                <w:color w:val="auto"/>
                <w:sz w:val="21"/>
                <w:szCs w:val="21"/>
                <w:highlight w:val="none"/>
              </w:rPr>
              <w:t>HCO</w:t>
            </w:r>
            <w:r>
              <w:rPr>
                <w:color w:val="auto"/>
                <w:sz w:val="21"/>
                <w:szCs w:val="21"/>
                <w:highlight w:val="none"/>
                <w:vertAlign w:val="subscript"/>
              </w:rPr>
              <w:t>3</w:t>
            </w:r>
            <w:r>
              <w:rPr>
                <w:color w:val="auto"/>
                <w:sz w:val="21"/>
                <w:szCs w:val="21"/>
                <w:highlight w:val="none"/>
              </w:rPr>
              <w:t>-</w:t>
            </w:r>
            <w:r>
              <w:rPr>
                <w:rFonts w:hint="eastAsia" w:ascii="宋体" w:hAnsi="宋体" w:eastAsia="宋体" w:cs="宋体"/>
                <w:color w:val="auto"/>
                <w:sz w:val="21"/>
                <w:szCs w:val="21"/>
                <w:highlight w:val="none"/>
              </w:rPr>
              <w:t>、</w:t>
            </w:r>
            <w:r>
              <w:rPr>
                <w:color w:val="auto"/>
                <w:sz w:val="21"/>
                <w:szCs w:val="21"/>
                <w:highlight w:val="none"/>
              </w:rPr>
              <w:t>SO</w:t>
            </w:r>
            <w:r>
              <w:rPr>
                <w:color w:val="auto"/>
                <w:sz w:val="21"/>
                <w:szCs w:val="21"/>
                <w:highlight w:val="none"/>
                <w:vertAlign w:val="subscript"/>
              </w:rPr>
              <w:t>4</w:t>
            </w:r>
            <w:r>
              <w:rPr>
                <w:color w:val="auto"/>
                <w:sz w:val="21"/>
                <w:szCs w:val="21"/>
                <w:highlight w:val="none"/>
                <w:vertAlign w:val="superscript"/>
              </w:rPr>
              <w:t>2-</w:t>
            </w:r>
            <w:r>
              <w:rPr>
                <w:rFonts w:hint="eastAsia" w:ascii="宋体" w:hAnsi="宋体" w:eastAsia="宋体" w:cs="宋体"/>
                <w:color w:val="auto"/>
                <w:sz w:val="21"/>
                <w:szCs w:val="21"/>
                <w:highlight w:val="none"/>
              </w:rPr>
              <w:t>、</w:t>
            </w:r>
            <w:r>
              <w:rPr>
                <w:color w:val="auto"/>
                <w:sz w:val="21"/>
                <w:szCs w:val="21"/>
                <w:highlight w:val="none"/>
              </w:rPr>
              <w:t>Cl</w:t>
            </w:r>
            <w:r>
              <w:rPr>
                <w:color w:val="auto"/>
                <w:sz w:val="21"/>
                <w:szCs w:val="21"/>
                <w:highlight w:val="none"/>
                <w:vertAlign w:val="superscript"/>
              </w:rPr>
              <w:t>-</w:t>
            </w:r>
            <w:r>
              <w:rPr>
                <w:rFonts w:hint="eastAsia" w:ascii="宋体" w:hAnsi="宋体" w:eastAsia="宋体" w:cs="宋体"/>
                <w:color w:val="auto"/>
                <w:sz w:val="21"/>
                <w:szCs w:val="21"/>
                <w:highlight w:val="none"/>
              </w:rPr>
              <w:t>、氨氮、硝酸盐、亚硝酸盐、挥发性酚类、氰化物、砷、汞、六价铬、总硬度、铅、氟化物、镉、铁、锰、溶解性总固体、耗氧量、锌、镍、总铬、石油类、挥发性有机物、半挥发性有机物、地下水水位</w:t>
            </w:r>
          </w:p>
        </w:tc>
        <w:tc>
          <w:tcPr>
            <w:tcW w:w="1149" w:type="pct"/>
            <w:tcBorders>
              <w:top w:val="single" w:color="000000" w:sz="4" w:space="0"/>
              <w:left w:val="single" w:color="000000" w:sz="4" w:space="0"/>
              <w:bottom w:val="single" w:color="000000" w:sz="4" w:space="0"/>
              <w:right w:val="single" w:color="000000" w:sz="4" w:space="0"/>
            </w:tcBorders>
            <w:vAlign w:val="center"/>
          </w:tcPr>
          <w:p w14:paraId="2DA2594E">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pH、</w:t>
            </w:r>
            <w:r>
              <w:rPr>
                <w:rFonts w:hint="eastAsia" w:ascii="宋体" w:hAnsi="宋体" w:eastAsia="宋体" w:cs="宋体"/>
                <w:color w:val="auto"/>
                <w:sz w:val="21"/>
                <w:szCs w:val="21"/>
                <w:highlight w:val="none"/>
              </w:rPr>
              <w:t>耗氧量</w:t>
            </w:r>
            <w:r>
              <w:rPr>
                <w:rFonts w:hint="eastAsia" w:eastAsia="宋体"/>
                <w:color w:val="auto"/>
                <w:sz w:val="21"/>
                <w:szCs w:val="21"/>
                <w:highlight w:val="none"/>
                <w:lang w:val="en-US"/>
              </w:rPr>
              <w:t>、氨氮</w:t>
            </w:r>
          </w:p>
        </w:tc>
        <w:tc>
          <w:tcPr>
            <w:tcW w:w="1408" w:type="pct"/>
            <w:tcBorders>
              <w:top w:val="single" w:color="000000" w:sz="4" w:space="0"/>
              <w:left w:val="single" w:color="000000" w:sz="4" w:space="0"/>
              <w:bottom w:val="single" w:color="000000" w:sz="4" w:space="0"/>
              <w:right w:val="nil"/>
            </w:tcBorders>
            <w:vAlign w:val="center"/>
          </w:tcPr>
          <w:p w14:paraId="7ECFE803">
            <w:pPr>
              <w:pStyle w:val="98"/>
              <w:ind w:left="-105" w:right="-105"/>
              <w:rPr>
                <w:rFonts w:eastAsia="宋体"/>
                <w:color w:val="auto"/>
                <w:sz w:val="21"/>
                <w:szCs w:val="21"/>
                <w:highlight w:val="none"/>
              </w:rPr>
            </w:pPr>
            <w:r>
              <w:rPr>
                <w:rFonts w:eastAsia="宋体"/>
                <w:color w:val="auto"/>
                <w:sz w:val="21"/>
                <w:szCs w:val="21"/>
                <w:highlight w:val="none"/>
              </w:rPr>
              <w:t>—</w:t>
            </w:r>
          </w:p>
        </w:tc>
      </w:tr>
      <w:tr w14:paraId="31F84E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000000" w:sz="4" w:space="0"/>
              <w:right w:val="single" w:color="000000" w:sz="4" w:space="0"/>
            </w:tcBorders>
            <w:vAlign w:val="center"/>
          </w:tcPr>
          <w:p w14:paraId="22012ECA">
            <w:pPr>
              <w:pStyle w:val="98"/>
              <w:ind w:left="-105" w:right="-105"/>
              <w:rPr>
                <w:rFonts w:eastAsia="宋体"/>
                <w:color w:val="auto"/>
                <w:sz w:val="21"/>
                <w:szCs w:val="21"/>
                <w:highlight w:val="none"/>
              </w:rPr>
            </w:pPr>
            <w:r>
              <w:rPr>
                <w:rFonts w:eastAsia="宋体"/>
                <w:color w:val="auto"/>
                <w:sz w:val="21"/>
                <w:szCs w:val="21"/>
                <w:highlight w:val="none"/>
              </w:rPr>
              <w:t>声环境</w:t>
            </w:r>
          </w:p>
        </w:tc>
        <w:tc>
          <w:tcPr>
            <w:tcW w:w="1924" w:type="pct"/>
            <w:tcBorders>
              <w:top w:val="single" w:color="000000" w:sz="4" w:space="0"/>
              <w:left w:val="single" w:color="000000" w:sz="4" w:space="0"/>
              <w:bottom w:val="single" w:color="000000" w:sz="4" w:space="0"/>
              <w:right w:val="single" w:color="000000" w:sz="4" w:space="0"/>
            </w:tcBorders>
            <w:vAlign w:val="center"/>
          </w:tcPr>
          <w:p w14:paraId="357809BB">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环境噪声</w:t>
            </w:r>
          </w:p>
          <w:p w14:paraId="410F94F3">
            <w:pPr>
              <w:pStyle w:val="98"/>
              <w:ind w:left="-105" w:right="-105"/>
              <w:rPr>
                <w:rFonts w:eastAsia="宋体"/>
                <w:color w:val="auto"/>
                <w:sz w:val="21"/>
                <w:szCs w:val="21"/>
                <w:highlight w:val="none"/>
              </w:rPr>
            </w:pPr>
            <w:r>
              <w:rPr>
                <w:rFonts w:hint="eastAsia" w:eastAsia="宋体"/>
                <w:color w:val="auto"/>
                <w:sz w:val="21"/>
                <w:szCs w:val="21"/>
                <w:highlight w:val="none"/>
                <w:lang w:val="en-US"/>
              </w:rPr>
              <w:t>（</w:t>
            </w:r>
            <w:r>
              <w:rPr>
                <w:rFonts w:eastAsia="宋体"/>
                <w:color w:val="auto"/>
                <w:sz w:val="21"/>
                <w:szCs w:val="21"/>
                <w:highlight w:val="none"/>
              </w:rPr>
              <w:t>等效连续A声级</w:t>
            </w:r>
            <w:r>
              <w:rPr>
                <w:rFonts w:hint="eastAsia" w:eastAsia="宋体"/>
                <w:color w:val="auto"/>
                <w:sz w:val="21"/>
                <w:szCs w:val="21"/>
                <w:highlight w:val="none"/>
                <w:lang w:val="en-US"/>
              </w:rPr>
              <w:t>）</w:t>
            </w:r>
          </w:p>
        </w:tc>
        <w:tc>
          <w:tcPr>
            <w:tcW w:w="1149" w:type="pct"/>
            <w:tcBorders>
              <w:top w:val="single" w:color="000000" w:sz="4" w:space="0"/>
              <w:left w:val="single" w:color="000000" w:sz="4" w:space="0"/>
              <w:bottom w:val="single" w:color="000000" w:sz="4" w:space="0"/>
              <w:right w:val="single" w:color="000000" w:sz="4" w:space="0"/>
            </w:tcBorders>
            <w:vAlign w:val="center"/>
          </w:tcPr>
          <w:p w14:paraId="575C81D6">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厂界噪声</w:t>
            </w:r>
          </w:p>
          <w:p w14:paraId="35B21DCF">
            <w:pPr>
              <w:pStyle w:val="98"/>
              <w:ind w:left="-105" w:right="-105"/>
              <w:rPr>
                <w:rFonts w:eastAsia="宋体"/>
                <w:color w:val="auto"/>
                <w:sz w:val="21"/>
                <w:szCs w:val="21"/>
                <w:highlight w:val="none"/>
              </w:rPr>
            </w:pPr>
            <w:r>
              <w:rPr>
                <w:rFonts w:hint="eastAsia" w:eastAsia="宋体"/>
                <w:color w:val="auto"/>
                <w:sz w:val="21"/>
                <w:szCs w:val="21"/>
                <w:highlight w:val="none"/>
                <w:lang w:val="en-US"/>
              </w:rPr>
              <w:t>（</w:t>
            </w:r>
            <w:r>
              <w:rPr>
                <w:rFonts w:eastAsia="宋体"/>
                <w:color w:val="auto"/>
                <w:sz w:val="21"/>
                <w:szCs w:val="21"/>
                <w:highlight w:val="none"/>
              </w:rPr>
              <w:t>等效连续A声级</w:t>
            </w:r>
            <w:r>
              <w:rPr>
                <w:rFonts w:hint="eastAsia" w:eastAsia="宋体"/>
                <w:color w:val="auto"/>
                <w:sz w:val="21"/>
                <w:szCs w:val="21"/>
                <w:highlight w:val="none"/>
                <w:lang w:val="en-US"/>
              </w:rPr>
              <w:t>）</w:t>
            </w:r>
          </w:p>
        </w:tc>
        <w:tc>
          <w:tcPr>
            <w:tcW w:w="1408" w:type="pct"/>
            <w:tcBorders>
              <w:top w:val="single" w:color="000000" w:sz="4" w:space="0"/>
              <w:left w:val="single" w:color="000000" w:sz="4" w:space="0"/>
              <w:bottom w:val="single" w:color="000000" w:sz="4" w:space="0"/>
              <w:right w:val="nil"/>
            </w:tcBorders>
            <w:vAlign w:val="center"/>
          </w:tcPr>
          <w:p w14:paraId="4EF60518">
            <w:pPr>
              <w:pStyle w:val="98"/>
              <w:ind w:left="-105" w:right="-105"/>
              <w:rPr>
                <w:rFonts w:eastAsia="宋体"/>
                <w:color w:val="auto"/>
                <w:sz w:val="21"/>
                <w:szCs w:val="21"/>
                <w:highlight w:val="none"/>
              </w:rPr>
            </w:pPr>
            <w:r>
              <w:rPr>
                <w:rFonts w:eastAsia="宋体"/>
                <w:color w:val="auto"/>
                <w:sz w:val="21"/>
                <w:szCs w:val="21"/>
                <w:highlight w:val="none"/>
              </w:rPr>
              <w:t>—</w:t>
            </w:r>
          </w:p>
        </w:tc>
      </w:tr>
      <w:tr w14:paraId="41B5E0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000000" w:sz="4" w:space="0"/>
              <w:right w:val="single" w:color="000000" w:sz="4" w:space="0"/>
            </w:tcBorders>
            <w:vAlign w:val="center"/>
          </w:tcPr>
          <w:p w14:paraId="1F3B4751">
            <w:pPr>
              <w:pStyle w:val="98"/>
              <w:ind w:left="-105" w:right="-105"/>
              <w:rPr>
                <w:rFonts w:eastAsia="宋体"/>
                <w:color w:val="auto"/>
                <w:sz w:val="21"/>
                <w:szCs w:val="21"/>
                <w:highlight w:val="none"/>
              </w:rPr>
            </w:pPr>
            <w:r>
              <w:rPr>
                <w:rFonts w:eastAsia="宋体"/>
                <w:color w:val="auto"/>
                <w:sz w:val="21"/>
                <w:szCs w:val="21"/>
                <w:highlight w:val="none"/>
              </w:rPr>
              <w:t>固废</w:t>
            </w:r>
          </w:p>
        </w:tc>
        <w:tc>
          <w:tcPr>
            <w:tcW w:w="1924" w:type="pct"/>
            <w:tcBorders>
              <w:top w:val="single" w:color="000000" w:sz="4" w:space="0"/>
              <w:left w:val="single" w:color="000000" w:sz="4" w:space="0"/>
              <w:bottom w:val="single" w:color="000000" w:sz="4" w:space="0"/>
              <w:right w:val="single" w:color="000000" w:sz="4" w:space="0"/>
            </w:tcBorders>
            <w:vAlign w:val="center"/>
          </w:tcPr>
          <w:p w14:paraId="7A84BCC2">
            <w:pPr>
              <w:pStyle w:val="98"/>
              <w:ind w:left="-105" w:right="-105"/>
              <w:rPr>
                <w:rFonts w:eastAsia="宋体"/>
                <w:color w:val="auto"/>
                <w:sz w:val="21"/>
                <w:szCs w:val="21"/>
                <w:highlight w:val="none"/>
              </w:rPr>
            </w:pPr>
            <w:r>
              <w:rPr>
                <w:rFonts w:eastAsia="宋体"/>
                <w:color w:val="auto"/>
                <w:sz w:val="21"/>
                <w:szCs w:val="21"/>
                <w:highlight w:val="none"/>
              </w:rPr>
              <w:t>—</w:t>
            </w:r>
          </w:p>
        </w:tc>
        <w:tc>
          <w:tcPr>
            <w:tcW w:w="1149" w:type="pct"/>
            <w:tcBorders>
              <w:top w:val="single" w:color="000000" w:sz="4" w:space="0"/>
              <w:left w:val="single" w:color="000000" w:sz="4" w:space="0"/>
              <w:bottom w:val="single" w:color="000000" w:sz="4" w:space="0"/>
              <w:right w:val="single" w:color="000000" w:sz="4" w:space="0"/>
            </w:tcBorders>
            <w:vAlign w:val="center"/>
          </w:tcPr>
          <w:p w14:paraId="5CB0AAC3">
            <w:pPr>
              <w:pStyle w:val="98"/>
              <w:ind w:left="-105" w:right="-105"/>
              <w:rPr>
                <w:rFonts w:eastAsia="宋体"/>
                <w:color w:val="auto"/>
                <w:sz w:val="21"/>
                <w:szCs w:val="21"/>
                <w:highlight w:val="none"/>
              </w:rPr>
            </w:pPr>
            <w:r>
              <w:rPr>
                <w:rFonts w:eastAsia="宋体"/>
                <w:color w:val="auto"/>
                <w:sz w:val="21"/>
                <w:szCs w:val="21"/>
                <w:highlight w:val="none"/>
              </w:rPr>
              <w:t>一般固废、危险固废</w:t>
            </w:r>
          </w:p>
        </w:tc>
        <w:tc>
          <w:tcPr>
            <w:tcW w:w="1408" w:type="pct"/>
            <w:tcBorders>
              <w:top w:val="single" w:color="000000" w:sz="4" w:space="0"/>
              <w:left w:val="single" w:color="000000" w:sz="4" w:space="0"/>
              <w:bottom w:val="single" w:color="000000" w:sz="4" w:space="0"/>
              <w:right w:val="nil"/>
            </w:tcBorders>
            <w:vAlign w:val="center"/>
          </w:tcPr>
          <w:p w14:paraId="6E22CFD3">
            <w:pPr>
              <w:pStyle w:val="98"/>
              <w:ind w:left="-105" w:right="-105"/>
              <w:rPr>
                <w:rFonts w:eastAsia="宋体"/>
                <w:color w:val="auto"/>
                <w:sz w:val="21"/>
                <w:szCs w:val="21"/>
                <w:highlight w:val="none"/>
              </w:rPr>
            </w:pPr>
            <w:r>
              <w:rPr>
                <w:rFonts w:eastAsia="宋体"/>
                <w:color w:val="auto"/>
                <w:sz w:val="21"/>
                <w:szCs w:val="21"/>
                <w:highlight w:val="none"/>
              </w:rPr>
              <w:t>一般固废、危险固废排放量</w:t>
            </w:r>
          </w:p>
        </w:tc>
      </w:tr>
      <w:tr w14:paraId="00856D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17" w:type="pct"/>
            <w:tcBorders>
              <w:top w:val="single" w:color="000000" w:sz="4" w:space="0"/>
              <w:left w:val="nil"/>
              <w:bottom w:val="single" w:color="auto" w:sz="12" w:space="0"/>
              <w:right w:val="single" w:color="000000" w:sz="4" w:space="0"/>
            </w:tcBorders>
            <w:vAlign w:val="center"/>
          </w:tcPr>
          <w:p w14:paraId="6510F401">
            <w:pPr>
              <w:pStyle w:val="98"/>
              <w:ind w:left="-105" w:right="-105"/>
              <w:rPr>
                <w:rFonts w:eastAsia="宋体"/>
                <w:color w:val="auto"/>
                <w:sz w:val="21"/>
                <w:szCs w:val="21"/>
                <w:highlight w:val="none"/>
              </w:rPr>
            </w:pPr>
            <w:r>
              <w:rPr>
                <w:rFonts w:eastAsia="宋体"/>
                <w:color w:val="auto"/>
                <w:sz w:val="21"/>
                <w:szCs w:val="21"/>
                <w:highlight w:val="none"/>
              </w:rPr>
              <w:t>土壤</w:t>
            </w:r>
          </w:p>
        </w:tc>
        <w:tc>
          <w:tcPr>
            <w:tcW w:w="1924" w:type="pct"/>
            <w:tcBorders>
              <w:top w:val="single" w:color="000000" w:sz="4" w:space="0"/>
              <w:left w:val="single" w:color="000000" w:sz="4" w:space="0"/>
              <w:bottom w:val="single" w:color="auto" w:sz="12" w:space="0"/>
              <w:right w:val="single" w:color="000000" w:sz="4" w:space="0"/>
            </w:tcBorders>
            <w:vAlign w:val="center"/>
          </w:tcPr>
          <w:p w14:paraId="793696E3">
            <w:pPr>
              <w:ind w:left="-105" w:right="-105"/>
              <w:jc w:val="center"/>
              <w:rPr>
                <w:color w:val="auto"/>
                <w:sz w:val="21"/>
                <w:szCs w:val="21"/>
                <w:highlight w:val="none"/>
              </w:rPr>
            </w:pPr>
            <w:r>
              <w:rPr>
                <w:rFonts w:ascii="Times New Roman" w:hAnsi="Times New Roman" w:cs="Times New Roman"/>
                <w:color w:val="auto"/>
                <w:sz w:val="21"/>
                <w:szCs w:val="21"/>
                <w:highlight w:val="none"/>
                <w:lang w:bidi="ar"/>
              </w:rPr>
              <w:t>pH</w:t>
            </w:r>
            <w:r>
              <w:rPr>
                <w:rFonts w:hint="eastAsia"/>
                <w:color w:val="auto"/>
                <w:sz w:val="21"/>
                <w:szCs w:val="21"/>
                <w:highlight w:val="none"/>
                <w:lang w:bidi="ar"/>
              </w:rPr>
              <w:t>、砷、镉、铬（六价）、铜、铅、汞、镍、挥发性有机污染物、半挥发性有机污染物和石油烃</w:t>
            </w:r>
          </w:p>
        </w:tc>
        <w:tc>
          <w:tcPr>
            <w:tcW w:w="1149" w:type="pct"/>
            <w:tcBorders>
              <w:top w:val="single" w:color="000000" w:sz="4" w:space="0"/>
              <w:left w:val="single" w:color="000000" w:sz="4" w:space="0"/>
              <w:bottom w:val="single" w:color="auto" w:sz="12" w:space="0"/>
              <w:right w:val="single" w:color="000000" w:sz="4" w:space="0"/>
            </w:tcBorders>
            <w:vAlign w:val="center"/>
          </w:tcPr>
          <w:p w14:paraId="000033A1">
            <w:pPr>
              <w:pStyle w:val="98"/>
              <w:ind w:left="-105" w:right="-105"/>
              <w:rPr>
                <w:rFonts w:eastAsia="宋体"/>
                <w:color w:val="auto"/>
                <w:sz w:val="21"/>
                <w:szCs w:val="21"/>
                <w:highlight w:val="none"/>
              </w:rPr>
            </w:pPr>
            <w:r>
              <w:rPr>
                <w:rFonts w:hint="eastAsia" w:eastAsia="宋体"/>
                <w:color w:val="auto"/>
                <w:sz w:val="21"/>
                <w:szCs w:val="21"/>
                <w:highlight w:val="none"/>
                <w:lang w:val="en-US"/>
              </w:rPr>
              <w:t>非甲烷总烃</w:t>
            </w:r>
          </w:p>
        </w:tc>
        <w:tc>
          <w:tcPr>
            <w:tcW w:w="1408" w:type="pct"/>
            <w:tcBorders>
              <w:top w:val="single" w:color="000000" w:sz="4" w:space="0"/>
              <w:left w:val="single" w:color="000000" w:sz="4" w:space="0"/>
              <w:bottom w:val="single" w:color="auto" w:sz="12" w:space="0"/>
              <w:right w:val="nil"/>
            </w:tcBorders>
            <w:vAlign w:val="center"/>
          </w:tcPr>
          <w:p w14:paraId="3C39C48A">
            <w:pPr>
              <w:pStyle w:val="98"/>
              <w:ind w:left="-105" w:right="-105"/>
              <w:rPr>
                <w:rFonts w:eastAsia="宋体"/>
                <w:color w:val="auto"/>
                <w:sz w:val="21"/>
                <w:szCs w:val="21"/>
                <w:highlight w:val="none"/>
              </w:rPr>
            </w:pPr>
            <w:r>
              <w:rPr>
                <w:rFonts w:eastAsia="宋体"/>
                <w:color w:val="auto"/>
                <w:sz w:val="21"/>
                <w:szCs w:val="21"/>
                <w:highlight w:val="none"/>
              </w:rPr>
              <w:t>—</w:t>
            </w:r>
          </w:p>
        </w:tc>
      </w:tr>
      <w:bookmarkEnd w:id="110"/>
    </w:tbl>
    <w:p w14:paraId="6704014F">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25" w:name="_Toc60653448"/>
      <w:r>
        <w:rPr>
          <w:rFonts w:eastAsia="宋体"/>
          <w:color w:val="auto"/>
          <w:sz w:val="28"/>
          <w:szCs w:val="28"/>
          <w:highlight w:val="none"/>
        </w:rPr>
        <w:t>评价标准</w:t>
      </w:r>
      <w:bookmarkEnd w:id="125"/>
    </w:p>
    <w:p w14:paraId="0E909B00">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bookmarkStart w:id="126" w:name="_Ref319483965"/>
      <w:r>
        <w:rPr>
          <w:rFonts w:ascii="Times New Roman" w:hAnsi="Times New Roman"/>
          <w:color w:val="auto"/>
          <w:sz w:val="24"/>
          <w:szCs w:val="24"/>
          <w:highlight w:val="none"/>
        </w:rPr>
        <w:t>2.3.2.1环境质量标准</w:t>
      </w:r>
      <w:bookmarkEnd w:id="126"/>
    </w:p>
    <w:p w14:paraId="2A7256FB">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（1）环境空气质量标准</w:t>
      </w:r>
    </w:p>
    <w:p w14:paraId="70DF5B18">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项目拟建地属于环境空气质量功能二类地区。SO</w:t>
      </w:r>
      <w:r>
        <w:rPr>
          <w:rFonts w:ascii="Times New Roman" w:hAnsi="Times New Roman"/>
          <w:color w:val="auto"/>
          <w:highlight w:val="none"/>
          <w:vertAlign w:val="subscript"/>
        </w:rPr>
        <w:t>2</w:t>
      </w:r>
      <w:r>
        <w:rPr>
          <w:rFonts w:ascii="Times New Roman" w:hAnsi="Times New Roman"/>
          <w:color w:val="auto"/>
          <w:highlight w:val="none"/>
        </w:rPr>
        <w:t>、NO</w:t>
      </w:r>
      <w:r>
        <w:rPr>
          <w:rFonts w:ascii="Times New Roman" w:hAnsi="Times New Roman"/>
          <w:color w:val="auto"/>
          <w:highlight w:val="none"/>
          <w:vertAlign w:val="subscript"/>
        </w:rPr>
        <w:t>2</w:t>
      </w:r>
      <w:r>
        <w:rPr>
          <w:rFonts w:ascii="Times New Roman" w:hAnsi="Times New Roman"/>
          <w:color w:val="auto"/>
          <w:highlight w:val="none"/>
        </w:rPr>
        <w:t>、PM</w:t>
      </w:r>
      <w:r>
        <w:rPr>
          <w:rFonts w:ascii="Times New Roman" w:hAnsi="Times New Roman"/>
          <w:color w:val="auto"/>
          <w:highlight w:val="none"/>
          <w:vertAlign w:val="subscript"/>
        </w:rPr>
        <w:t>2.5</w:t>
      </w:r>
      <w:r>
        <w:rPr>
          <w:rFonts w:ascii="Times New Roman" w:hAnsi="Times New Roman"/>
          <w:color w:val="auto"/>
          <w:highlight w:val="none"/>
        </w:rPr>
        <w:t>、PM</w:t>
      </w:r>
      <w:r>
        <w:rPr>
          <w:rFonts w:ascii="Times New Roman" w:hAnsi="Times New Roman"/>
          <w:color w:val="auto"/>
          <w:highlight w:val="none"/>
          <w:vertAlign w:val="subscript"/>
        </w:rPr>
        <w:t>10</w:t>
      </w:r>
      <w:r>
        <w:rPr>
          <w:rFonts w:ascii="Times New Roman" w:hAnsi="Times New Roman"/>
          <w:color w:val="auto"/>
          <w:highlight w:val="none"/>
        </w:rPr>
        <w:t>、CO、O</w:t>
      </w:r>
      <w:r>
        <w:rPr>
          <w:rFonts w:ascii="Times New Roman" w:hAnsi="Times New Roman"/>
          <w:color w:val="auto"/>
          <w:highlight w:val="none"/>
          <w:vertAlign w:val="subscript"/>
        </w:rPr>
        <w:t>3</w:t>
      </w:r>
      <w:r>
        <w:rPr>
          <w:rFonts w:ascii="Times New Roman" w:hAnsi="Times New Roman"/>
          <w:color w:val="auto"/>
          <w:highlight w:val="none"/>
        </w:rPr>
        <w:t>、NOx执行《环境空气质量标准》（GB3095-2012）中二级标准；</w:t>
      </w:r>
      <w:r>
        <w:rPr>
          <w:rFonts w:ascii="Times New Roman" w:hAnsi="Times New Roman" w:cs="Times New Roman"/>
          <w:color w:val="auto"/>
          <w:highlight w:val="none"/>
        </w:rPr>
        <w:t>非甲烷总烃参考执行《大气污染物综合排放标准详解》中的标准限值；</w:t>
      </w:r>
      <w:r>
        <w:rPr>
          <w:rFonts w:hint="eastAsia" w:ascii="Times New Roman" w:hAnsi="Times New Roman" w:cs="Times New Roman"/>
          <w:color w:val="auto"/>
          <w:highlight w:val="none"/>
        </w:rPr>
        <w:t>甲醇</w:t>
      </w:r>
      <w:r>
        <w:rPr>
          <w:rFonts w:ascii="Times New Roman" w:hAnsi="Times New Roman"/>
          <w:color w:val="auto"/>
          <w:highlight w:val="none"/>
        </w:rPr>
        <w:t>参考执行《环境影响评价技术导则 大气环境》（HJ2.2-2018）附录D中的其他污染物空气质量浓度参考限制中相应标准。具体见</w:t>
      </w:r>
      <w:r>
        <w:rPr>
          <w:rFonts w:ascii="Times New Roman" w:hAnsi="Times New Roman"/>
          <w:color w:val="auto"/>
          <w:highlight w:val="none"/>
        </w:rPr>
        <w:fldChar w:fldCharType="begin"/>
      </w:r>
      <w:r>
        <w:rPr>
          <w:rFonts w:ascii="Times New Roman" w:hAnsi="Times New Roman"/>
          <w:color w:val="auto"/>
          <w:highlight w:val="none"/>
        </w:rPr>
        <w:instrText xml:space="preserve"> REF _Ref17707823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表2.3</w:t>
      </w:r>
      <w:r>
        <w:rPr>
          <w:rFonts w:ascii="Times New Roman" w:hAnsi="Times New Roman"/>
          <w:color w:val="auto"/>
          <w:szCs w:val="22"/>
          <w:highlight w:val="none"/>
        </w:rPr>
        <w:noBreakHyphen/>
      </w:r>
      <w:r>
        <w:rPr>
          <w:rFonts w:ascii="Times New Roman" w:hAnsi="Times New Roman"/>
          <w:color w:val="auto"/>
          <w:szCs w:val="22"/>
          <w:highlight w:val="none"/>
        </w:rPr>
        <w:t>3</w:t>
      </w:r>
      <w:r>
        <w:rPr>
          <w:rFonts w:ascii="Times New Roman" w:hAnsi="Times New Roman"/>
          <w:color w:val="auto"/>
          <w:highlight w:val="none"/>
        </w:rPr>
        <w:fldChar w:fldCharType="end"/>
      </w:r>
      <w:r>
        <w:rPr>
          <w:rFonts w:ascii="Times New Roman" w:hAnsi="Times New Roman"/>
          <w:color w:val="auto"/>
          <w:highlight w:val="none"/>
        </w:rPr>
        <w:t>。</w:t>
      </w:r>
    </w:p>
    <w:p w14:paraId="53E47A37">
      <w:pPr>
        <w:pStyle w:val="15"/>
        <w:spacing w:line="360" w:lineRule="auto"/>
        <w:ind w:left="-105" w:right="-105" w:firstLine="482"/>
        <w:rPr>
          <w:rFonts w:eastAsia="宋体" w:cs="Times New Roman"/>
          <w:color w:val="auto"/>
          <w:sz w:val="24"/>
          <w:szCs w:val="22"/>
          <w:highlight w:val="none"/>
        </w:rPr>
      </w:pPr>
      <w:bookmarkStart w:id="127" w:name="_Ref1770782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w:t>
      </w:r>
      <w:r>
        <w:rPr>
          <w:rFonts w:eastAsia="宋体" w:cs="Times New Roman"/>
          <w:color w:val="auto"/>
          <w:sz w:val="24"/>
          <w:szCs w:val="18"/>
          <w:highlight w:val="none"/>
        </w:rPr>
        <w:fldChar w:fldCharType="end"/>
      </w:r>
      <w:bookmarkEnd w:id="127"/>
      <w:r>
        <w:rPr>
          <w:rFonts w:eastAsia="宋体" w:cs="Times New Roman"/>
          <w:color w:val="auto"/>
          <w:sz w:val="24"/>
          <w:szCs w:val="22"/>
          <w:highlight w:val="none"/>
        </w:rPr>
        <w:t>环境空气</w:t>
      </w:r>
      <w:r>
        <w:rPr>
          <w:rFonts w:eastAsia="宋体" w:cs="Times New Roman"/>
          <w:color w:val="auto"/>
          <w:spacing w:val="2"/>
          <w:sz w:val="24"/>
          <w:szCs w:val="22"/>
          <w:highlight w:val="none"/>
        </w:rPr>
        <w:t>质</w:t>
      </w:r>
      <w:r>
        <w:rPr>
          <w:rFonts w:eastAsia="宋体" w:cs="Times New Roman"/>
          <w:color w:val="auto"/>
          <w:sz w:val="24"/>
          <w:szCs w:val="22"/>
          <w:highlight w:val="none"/>
        </w:rPr>
        <w:t>量标准</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367"/>
        <w:gridCol w:w="1827"/>
        <w:gridCol w:w="3111"/>
      </w:tblGrid>
      <w:tr w14:paraId="29705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tcBorders>
              <w:tl2br w:val="nil"/>
              <w:tr2bl w:val="nil"/>
            </w:tcBorders>
            <w:vAlign w:val="center"/>
          </w:tcPr>
          <w:p w14:paraId="18CF4EC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评价因子</w:t>
            </w:r>
          </w:p>
        </w:tc>
        <w:tc>
          <w:tcPr>
            <w:tcW w:w="1357" w:type="pct"/>
            <w:tcBorders>
              <w:left w:val="single" w:color="000000" w:sz="4" w:space="0"/>
              <w:tl2br w:val="nil"/>
              <w:tr2bl w:val="nil"/>
            </w:tcBorders>
            <w:vAlign w:val="center"/>
          </w:tcPr>
          <w:p w14:paraId="09DD849D">
            <w:pPr>
              <w:pStyle w:val="19"/>
              <w:spacing w:after="0"/>
              <w:ind w:left="-105" w:right="-105"/>
              <w:jc w:val="center"/>
              <w:rPr>
                <w:rFonts w:eastAsia="宋体"/>
                <w:b/>
                <w:bCs/>
                <w:color w:val="auto"/>
                <w:sz w:val="21"/>
                <w:szCs w:val="21"/>
                <w:highlight w:val="none"/>
              </w:rPr>
            </w:pPr>
            <w:r>
              <w:rPr>
                <w:rFonts w:eastAsia="宋体"/>
                <w:b/>
                <w:bCs/>
                <w:color w:val="auto"/>
                <w:sz w:val="21"/>
                <w:szCs w:val="21"/>
                <w:highlight w:val="none"/>
              </w:rPr>
              <w:t>平均时段</w:t>
            </w:r>
          </w:p>
        </w:tc>
        <w:tc>
          <w:tcPr>
            <w:tcW w:w="1047" w:type="pct"/>
            <w:tcBorders>
              <w:tl2br w:val="nil"/>
              <w:tr2bl w:val="nil"/>
            </w:tcBorders>
            <w:vAlign w:val="center"/>
          </w:tcPr>
          <w:p w14:paraId="4DB534AF">
            <w:pPr>
              <w:pStyle w:val="19"/>
              <w:spacing w:after="0"/>
              <w:ind w:left="-105" w:right="-105"/>
              <w:jc w:val="center"/>
              <w:rPr>
                <w:rFonts w:eastAsia="宋体"/>
                <w:b/>
                <w:bCs/>
                <w:color w:val="auto"/>
                <w:sz w:val="21"/>
                <w:szCs w:val="21"/>
                <w:highlight w:val="none"/>
              </w:rPr>
            </w:pPr>
            <w:r>
              <w:rPr>
                <w:rFonts w:eastAsia="宋体"/>
                <w:b/>
                <w:bCs/>
                <w:color w:val="auto"/>
                <w:sz w:val="21"/>
                <w:szCs w:val="21"/>
                <w:highlight w:val="none"/>
              </w:rPr>
              <w:t>标准值（</w:t>
            </w:r>
            <w:r>
              <w:rPr>
                <w:rFonts w:eastAsia="宋体"/>
                <w:b/>
                <w:bCs/>
                <w:snapToGrid w:val="0"/>
                <w:color w:val="auto"/>
                <w:kern w:val="0"/>
                <w:sz w:val="21"/>
                <w:szCs w:val="21"/>
                <w:highlight w:val="none"/>
              </w:rPr>
              <w:t>µg/m</w:t>
            </w:r>
            <w:r>
              <w:rPr>
                <w:rFonts w:eastAsia="宋体"/>
                <w:b/>
                <w:bCs/>
                <w:snapToGrid w:val="0"/>
                <w:color w:val="auto"/>
                <w:kern w:val="0"/>
                <w:sz w:val="21"/>
                <w:szCs w:val="21"/>
                <w:highlight w:val="none"/>
                <w:vertAlign w:val="superscript"/>
              </w:rPr>
              <w:t>3</w:t>
            </w:r>
            <w:r>
              <w:rPr>
                <w:rFonts w:eastAsia="宋体"/>
                <w:b/>
                <w:bCs/>
                <w:color w:val="auto"/>
                <w:sz w:val="21"/>
                <w:szCs w:val="21"/>
                <w:highlight w:val="none"/>
              </w:rPr>
              <w:t>）</w:t>
            </w:r>
          </w:p>
        </w:tc>
        <w:tc>
          <w:tcPr>
            <w:tcW w:w="1783" w:type="pct"/>
            <w:tcBorders>
              <w:tl2br w:val="nil"/>
              <w:tr2bl w:val="nil"/>
            </w:tcBorders>
            <w:vAlign w:val="center"/>
          </w:tcPr>
          <w:p w14:paraId="7989E947">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执行标准</w:t>
            </w:r>
          </w:p>
        </w:tc>
      </w:tr>
      <w:tr w14:paraId="05E7A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6FACFED3">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2</w:t>
            </w:r>
          </w:p>
        </w:tc>
        <w:tc>
          <w:tcPr>
            <w:tcW w:w="1357" w:type="pct"/>
            <w:tcBorders>
              <w:tl2br w:val="nil"/>
              <w:tr2bl w:val="nil"/>
            </w:tcBorders>
            <w:vAlign w:val="center"/>
          </w:tcPr>
          <w:p w14:paraId="1D627B81">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年平均浓度限值</w:t>
            </w:r>
          </w:p>
        </w:tc>
        <w:tc>
          <w:tcPr>
            <w:tcW w:w="1047" w:type="pct"/>
            <w:tcBorders>
              <w:tl2br w:val="nil"/>
              <w:tr2bl w:val="nil"/>
            </w:tcBorders>
            <w:vAlign w:val="center"/>
          </w:tcPr>
          <w:p w14:paraId="674BB184">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60</w:t>
            </w:r>
          </w:p>
        </w:tc>
        <w:tc>
          <w:tcPr>
            <w:tcW w:w="1783" w:type="pct"/>
            <w:vMerge w:val="restart"/>
            <w:tcBorders>
              <w:tl2br w:val="nil"/>
              <w:tr2bl w:val="nil"/>
            </w:tcBorders>
            <w:vAlign w:val="center"/>
          </w:tcPr>
          <w:p w14:paraId="133E019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GB3095-2012《环境空气质量标准》表1中的二级标准</w:t>
            </w:r>
          </w:p>
        </w:tc>
      </w:tr>
      <w:tr w14:paraId="1C1BA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553F07D7">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2CE822BF">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396C7227">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150</w:t>
            </w:r>
          </w:p>
        </w:tc>
        <w:tc>
          <w:tcPr>
            <w:tcW w:w="1783" w:type="pct"/>
            <w:vMerge w:val="continue"/>
            <w:tcBorders>
              <w:tl2br w:val="nil"/>
              <w:tr2bl w:val="nil"/>
            </w:tcBorders>
            <w:vAlign w:val="center"/>
          </w:tcPr>
          <w:p w14:paraId="108E19D4">
            <w:pPr>
              <w:ind w:left="-105" w:right="-105"/>
              <w:jc w:val="center"/>
              <w:rPr>
                <w:rFonts w:ascii="Times New Roman" w:hAnsi="Times New Roman"/>
                <w:color w:val="auto"/>
                <w:sz w:val="21"/>
                <w:szCs w:val="21"/>
                <w:highlight w:val="none"/>
              </w:rPr>
            </w:pPr>
          </w:p>
        </w:tc>
      </w:tr>
      <w:tr w14:paraId="68B30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50156832">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5C76A947">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1</w:t>
            </w:r>
            <w:r>
              <w:rPr>
                <w:rStyle w:val="110"/>
                <w:rFonts w:ascii="Times New Roman" w:hAnsi="Times New Roman" w:cs="Times New Roman"/>
                <w:color w:val="auto"/>
                <w:sz w:val="21"/>
                <w:szCs w:val="21"/>
                <w:highlight w:val="none"/>
                <w:lang w:bidi="ar"/>
              </w:rPr>
              <w:t>小时平均浓度限值</w:t>
            </w:r>
          </w:p>
        </w:tc>
        <w:tc>
          <w:tcPr>
            <w:tcW w:w="1047" w:type="pct"/>
            <w:tcBorders>
              <w:tl2br w:val="nil"/>
              <w:tr2bl w:val="nil"/>
            </w:tcBorders>
            <w:vAlign w:val="center"/>
          </w:tcPr>
          <w:p w14:paraId="2A50FE5F">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500</w:t>
            </w:r>
          </w:p>
        </w:tc>
        <w:tc>
          <w:tcPr>
            <w:tcW w:w="1783" w:type="pct"/>
            <w:vMerge w:val="continue"/>
            <w:tcBorders>
              <w:tl2br w:val="nil"/>
              <w:tr2bl w:val="nil"/>
            </w:tcBorders>
            <w:vAlign w:val="center"/>
          </w:tcPr>
          <w:p w14:paraId="49A31521">
            <w:pPr>
              <w:ind w:left="-105" w:right="-105"/>
              <w:jc w:val="center"/>
              <w:rPr>
                <w:rFonts w:ascii="Times New Roman" w:hAnsi="Times New Roman"/>
                <w:color w:val="auto"/>
                <w:sz w:val="21"/>
                <w:szCs w:val="21"/>
                <w:highlight w:val="none"/>
              </w:rPr>
            </w:pPr>
          </w:p>
        </w:tc>
      </w:tr>
      <w:tr w14:paraId="73A8E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6CB32AA3">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NO</w:t>
            </w:r>
            <w:r>
              <w:rPr>
                <w:rFonts w:ascii="Times New Roman" w:hAnsi="Times New Roman"/>
                <w:color w:val="auto"/>
                <w:sz w:val="21"/>
                <w:szCs w:val="21"/>
                <w:highlight w:val="none"/>
                <w:vertAlign w:val="subscript"/>
              </w:rPr>
              <w:t>2</w:t>
            </w:r>
          </w:p>
        </w:tc>
        <w:tc>
          <w:tcPr>
            <w:tcW w:w="1357" w:type="pct"/>
            <w:tcBorders>
              <w:tl2br w:val="nil"/>
              <w:tr2bl w:val="nil"/>
            </w:tcBorders>
            <w:vAlign w:val="center"/>
          </w:tcPr>
          <w:p w14:paraId="7B0B9CF8">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年平均浓度限值</w:t>
            </w:r>
          </w:p>
        </w:tc>
        <w:tc>
          <w:tcPr>
            <w:tcW w:w="1047" w:type="pct"/>
            <w:tcBorders>
              <w:tl2br w:val="nil"/>
              <w:tr2bl w:val="nil"/>
            </w:tcBorders>
            <w:vAlign w:val="center"/>
          </w:tcPr>
          <w:p w14:paraId="2FD1075C">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40</w:t>
            </w:r>
          </w:p>
        </w:tc>
        <w:tc>
          <w:tcPr>
            <w:tcW w:w="1783" w:type="pct"/>
            <w:vMerge w:val="continue"/>
            <w:tcBorders>
              <w:tl2br w:val="nil"/>
              <w:tr2bl w:val="nil"/>
            </w:tcBorders>
            <w:vAlign w:val="center"/>
          </w:tcPr>
          <w:p w14:paraId="3B6E9BEB">
            <w:pPr>
              <w:ind w:left="-105" w:right="-105"/>
              <w:jc w:val="center"/>
              <w:rPr>
                <w:rFonts w:ascii="Times New Roman" w:hAnsi="Times New Roman"/>
                <w:color w:val="auto"/>
                <w:sz w:val="21"/>
                <w:szCs w:val="21"/>
                <w:highlight w:val="none"/>
              </w:rPr>
            </w:pPr>
          </w:p>
        </w:tc>
      </w:tr>
      <w:tr w14:paraId="2D239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5186C3FA">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1B923980">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143E0227">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80</w:t>
            </w:r>
          </w:p>
        </w:tc>
        <w:tc>
          <w:tcPr>
            <w:tcW w:w="1783" w:type="pct"/>
            <w:vMerge w:val="continue"/>
            <w:tcBorders>
              <w:tl2br w:val="nil"/>
              <w:tr2bl w:val="nil"/>
            </w:tcBorders>
            <w:vAlign w:val="center"/>
          </w:tcPr>
          <w:p w14:paraId="3D15B01F">
            <w:pPr>
              <w:ind w:left="-105" w:right="-105"/>
              <w:jc w:val="center"/>
              <w:rPr>
                <w:rFonts w:ascii="Times New Roman" w:hAnsi="Times New Roman"/>
                <w:color w:val="auto"/>
                <w:sz w:val="21"/>
                <w:szCs w:val="21"/>
                <w:highlight w:val="none"/>
              </w:rPr>
            </w:pPr>
          </w:p>
        </w:tc>
      </w:tr>
      <w:tr w14:paraId="3DAE5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77EE8360">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51D25D1D">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1小时平均浓度限值</w:t>
            </w:r>
          </w:p>
        </w:tc>
        <w:tc>
          <w:tcPr>
            <w:tcW w:w="1047" w:type="pct"/>
            <w:tcBorders>
              <w:tl2br w:val="nil"/>
              <w:tr2bl w:val="nil"/>
            </w:tcBorders>
            <w:vAlign w:val="center"/>
          </w:tcPr>
          <w:p w14:paraId="7FA10A58">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200</w:t>
            </w:r>
          </w:p>
        </w:tc>
        <w:tc>
          <w:tcPr>
            <w:tcW w:w="1783" w:type="pct"/>
            <w:vMerge w:val="continue"/>
            <w:tcBorders>
              <w:tl2br w:val="nil"/>
              <w:tr2bl w:val="nil"/>
            </w:tcBorders>
            <w:vAlign w:val="center"/>
          </w:tcPr>
          <w:p w14:paraId="628A1F8D">
            <w:pPr>
              <w:ind w:left="-105" w:right="-105"/>
              <w:jc w:val="center"/>
              <w:rPr>
                <w:rFonts w:ascii="Times New Roman" w:hAnsi="Times New Roman"/>
                <w:color w:val="auto"/>
                <w:sz w:val="21"/>
                <w:szCs w:val="21"/>
                <w:highlight w:val="none"/>
              </w:rPr>
            </w:pPr>
          </w:p>
        </w:tc>
      </w:tr>
      <w:tr w14:paraId="56CC6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52357713">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CO</w:t>
            </w:r>
          </w:p>
        </w:tc>
        <w:tc>
          <w:tcPr>
            <w:tcW w:w="1357" w:type="pct"/>
            <w:tcBorders>
              <w:tl2br w:val="nil"/>
              <w:tr2bl w:val="nil"/>
            </w:tcBorders>
            <w:vAlign w:val="center"/>
          </w:tcPr>
          <w:p w14:paraId="458614EB">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6D5343C3">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4</w:t>
            </w:r>
          </w:p>
        </w:tc>
        <w:tc>
          <w:tcPr>
            <w:tcW w:w="1783" w:type="pct"/>
            <w:vMerge w:val="continue"/>
            <w:tcBorders>
              <w:tl2br w:val="nil"/>
              <w:tr2bl w:val="nil"/>
            </w:tcBorders>
            <w:vAlign w:val="center"/>
          </w:tcPr>
          <w:p w14:paraId="5124A0CC">
            <w:pPr>
              <w:ind w:left="-105" w:right="-105"/>
              <w:jc w:val="center"/>
              <w:rPr>
                <w:rFonts w:ascii="Times New Roman" w:hAnsi="Times New Roman"/>
                <w:color w:val="auto"/>
                <w:sz w:val="21"/>
                <w:szCs w:val="21"/>
                <w:highlight w:val="none"/>
              </w:rPr>
            </w:pPr>
          </w:p>
        </w:tc>
      </w:tr>
      <w:tr w14:paraId="7A2A5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261A1823">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773D2FFD">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1小时平均浓度限值</w:t>
            </w:r>
          </w:p>
        </w:tc>
        <w:tc>
          <w:tcPr>
            <w:tcW w:w="1047" w:type="pct"/>
            <w:tcBorders>
              <w:tl2br w:val="nil"/>
              <w:tr2bl w:val="nil"/>
            </w:tcBorders>
            <w:vAlign w:val="center"/>
          </w:tcPr>
          <w:p w14:paraId="0B7A3E48">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10</w:t>
            </w:r>
          </w:p>
        </w:tc>
        <w:tc>
          <w:tcPr>
            <w:tcW w:w="1783" w:type="pct"/>
            <w:vMerge w:val="continue"/>
            <w:tcBorders>
              <w:tl2br w:val="nil"/>
              <w:tr2bl w:val="nil"/>
            </w:tcBorders>
            <w:vAlign w:val="center"/>
          </w:tcPr>
          <w:p w14:paraId="2EA72498">
            <w:pPr>
              <w:ind w:left="-105" w:right="-105"/>
              <w:jc w:val="center"/>
              <w:rPr>
                <w:rFonts w:ascii="Times New Roman" w:hAnsi="Times New Roman"/>
                <w:color w:val="auto"/>
                <w:sz w:val="21"/>
                <w:szCs w:val="21"/>
                <w:highlight w:val="none"/>
              </w:rPr>
            </w:pPr>
          </w:p>
        </w:tc>
      </w:tr>
      <w:tr w14:paraId="49E45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45A2E6FE">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O</w:t>
            </w:r>
            <w:r>
              <w:rPr>
                <w:rFonts w:ascii="Times New Roman" w:hAnsi="Times New Roman"/>
                <w:color w:val="auto"/>
                <w:sz w:val="21"/>
                <w:szCs w:val="21"/>
                <w:highlight w:val="none"/>
                <w:vertAlign w:val="subscript"/>
              </w:rPr>
              <w:t>3</w:t>
            </w:r>
          </w:p>
        </w:tc>
        <w:tc>
          <w:tcPr>
            <w:tcW w:w="1357" w:type="pct"/>
            <w:tcBorders>
              <w:tl2br w:val="nil"/>
              <w:tr2bl w:val="nil"/>
            </w:tcBorders>
            <w:vAlign w:val="center"/>
          </w:tcPr>
          <w:p w14:paraId="4E9AC77D">
            <w:pPr>
              <w:autoSpaceDE w:val="0"/>
              <w:autoSpaceDN w:val="0"/>
              <w:ind w:left="-105" w:right="-105"/>
              <w:jc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7EED462C">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160</w:t>
            </w:r>
          </w:p>
        </w:tc>
        <w:tc>
          <w:tcPr>
            <w:tcW w:w="1783" w:type="pct"/>
            <w:vMerge w:val="continue"/>
            <w:tcBorders>
              <w:tl2br w:val="nil"/>
              <w:tr2bl w:val="nil"/>
            </w:tcBorders>
            <w:vAlign w:val="center"/>
          </w:tcPr>
          <w:p w14:paraId="2F001391">
            <w:pPr>
              <w:ind w:left="-105" w:right="-105"/>
              <w:jc w:val="center"/>
              <w:rPr>
                <w:rFonts w:ascii="Times New Roman" w:hAnsi="Times New Roman"/>
                <w:color w:val="auto"/>
                <w:sz w:val="21"/>
                <w:szCs w:val="21"/>
                <w:highlight w:val="none"/>
              </w:rPr>
            </w:pPr>
          </w:p>
        </w:tc>
      </w:tr>
      <w:tr w14:paraId="220D5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76F0BBE6">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37C8061C">
            <w:pPr>
              <w:autoSpaceDE w:val="0"/>
              <w:autoSpaceDN w:val="0"/>
              <w:ind w:left="-105" w:right="-105"/>
              <w:jc w:val="center"/>
              <w:rPr>
                <w:rFonts w:ascii="Times New Roman" w:hAnsi="Times New Roman"/>
                <w:snapToGrid w:val="0"/>
                <w:color w:val="auto"/>
                <w:sz w:val="21"/>
                <w:szCs w:val="21"/>
                <w:highlight w:val="none"/>
              </w:rPr>
            </w:pPr>
            <w:r>
              <w:rPr>
                <w:rFonts w:ascii="Times New Roman" w:hAnsi="Times New Roman"/>
                <w:snapToGrid w:val="0"/>
                <w:color w:val="auto"/>
                <w:sz w:val="21"/>
                <w:szCs w:val="21"/>
                <w:highlight w:val="none"/>
              </w:rPr>
              <w:t>日最大8小试平均值</w:t>
            </w:r>
          </w:p>
        </w:tc>
        <w:tc>
          <w:tcPr>
            <w:tcW w:w="1047" w:type="pct"/>
            <w:tcBorders>
              <w:tl2br w:val="nil"/>
              <w:tr2bl w:val="nil"/>
            </w:tcBorders>
            <w:vAlign w:val="center"/>
          </w:tcPr>
          <w:p w14:paraId="01B5C125">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200</w:t>
            </w:r>
          </w:p>
        </w:tc>
        <w:tc>
          <w:tcPr>
            <w:tcW w:w="1783" w:type="pct"/>
            <w:vMerge w:val="continue"/>
            <w:tcBorders>
              <w:tl2br w:val="nil"/>
              <w:tr2bl w:val="nil"/>
            </w:tcBorders>
            <w:vAlign w:val="center"/>
          </w:tcPr>
          <w:p w14:paraId="33C49589">
            <w:pPr>
              <w:ind w:left="-105" w:right="-105"/>
              <w:jc w:val="center"/>
              <w:rPr>
                <w:rFonts w:ascii="Times New Roman" w:hAnsi="Times New Roman"/>
                <w:color w:val="auto"/>
                <w:sz w:val="21"/>
                <w:szCs w:val="21"/>
                <w:highlight w:val="none"/>
              </w:rPr>
            </w:pPr>
          </w:p>
        </w:tc>
      </w:tr>
      <w:tr w14:paraId="71612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56601AE1">
            <w:pPr>
              <w:autoSpaceDE w:val="0"/>
              <w:autoSpaceDN w:val="0"/>
              <w:ind w:left="-105" w:right="-105"/>
              <w:jc w:val="center"/>
              <w:rPr>
                <w:rFonts w:ascii="Times New Roman" w:hAnsi="Times New Roman"/>
                <w:color w:val="auto"/>
                <w:sz w:val="21"/>
                <w:szCs w:val="21"/>
                <w:highlight w:val="none"/>
              </w:rPr>
            </w:pPr>
            <w:r>
              <w:rPr>
                <w:rFonts w:ascii="Times New Roman" w:hAnsi="Times New Roman"/>
                <w:snapToGrid w:val="0"/>
                <w:color w:val="auto"/>
                <w:sz w:val="21"/>
                <w:szCs w:val="21"/>
                <w:highlight w:val="none"/>
              </w:rPr>
              <w:t>PM</w:t>
            </w:r>
            <w:r>
              <w:rPr>
                <w:rFonts w:ascii="Times New Roman" w:hAnsi="Times New Roman"/>
                <w:snapToGrid w:val="0"/>
                <w:color w:val="auto"/>
                <w:sz w:val="21"/>
                <w:szCs w:val="21"/>
                <w:highlight w:val="none"/>
                <w:vertAlign w:val="subscript"/>
              </w:rPr>
              <w:t>10</w:t>
            </w:r>
          </w:p>
        </w:tc>
        <w:tc>
          <w:tcPr>
            <w:tcW w:w="1357" w:type="pct"/>
            <w:tcBorders>
              <w:tl2br w:val="nil"/>
              <w:tr2bl w:val="nil"/>
            </w:tcBorders>
            <w:vAlign w:val="center"/>
          </w:tcPr>
          <w:p w14:paraId="1DF3400B">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年平均浓度限值</w:t>
            </w:r>
          </w:p>
        </w:tc>
        <w:tc>
          <w:tcPr>
            <w:tcW w:w="1047" w:type="pct"/>
            <w:tcBorders>
              <w:tl2br w:val="nil"/>
              <w:tr2bl w:val="nil"/>
            </w:tcBorders>
            <w:vAlign w:val="center"/>
          </w:tcPr>
          <w:p w14:paraId="5AF9B44A">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70</w:t>
            </w:r>
          </w:p>
        </w:tc>
        <w:tc>
          <w:tcPr>
            <w:tcW w:w="1783" w:type="pct"/>
            <w:vMerge w:val="continue"/>
            <w:tcBorders>
              <w:tl2br w:val="nil"/>
              <w:tr2bl w:val="nil"/>
            </w:tcBorders>
            <w:vAlign w:val="center"/>
          </w:tcPr>
          <w:p w14:paraId="598814BA">
            <w:pPr>
              <w:ind w:left="-105" w:right="-105"/>
              <w:jc w:val="center"/>
              <w:rPr>
                <w:rFonts w:ascii="Times New Roman" w:hAnsi="Times New Roman"/>
                <w:color w:val="auto"/>
                <w:sz w:val="21"/>
                <w:szCs w:val="21"/>
                <w:highlight w:val="none"/>
              </w:rPr>
            </w:pPr>
          </w:p>
        </w:tc>
      </w:tr>
      <w:tr w14:paraId="5B219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2AB7394C">
            <w:pPr>
              <w:autoSpaceDE w:val="0"/>
              <w:autoSpaceDN w:val="0"/>
              <w:ind w:left="-105" w:right="-105"/>
              <w:jc w:val="center"/>
              <w:rPr>
                <w:rFonts w:ascii="Times New Roman" w:hAnsi="Times New Roman"/>
                <w:snapToGrid w:val="0"/>
                <w:color w:val="auto"/>
                <w:sz w:val="21"/>
                <w:szCs w:val="21"/>
                <w:highlight w:val="none"/>
              </w:rPr>
            </w:pPr>
          </w:p>
        </w:tc>
        <w:tc>
          <w:tcPr>
            <w:tcW w:w="1357" w:type="pct"/>
            <w:tcBorders>
              <w:tl2br w:val="nil"/>
              <w:tr2bl w:val="nil"/>
            </w:tcBorders>
            <w:vAlign w:val="center"/>
          </w:tcPr>
          <w:p w14:paraId="540074F6">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73B015A4">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150</w:t>
            </w:r>
          </w:p>
        </w:tc>
        <w:tc>
          <w:tcPr>
            <w:tcW w:w="1783" w:type="pct"/>
            <w:vMerge w:val="continue"/>
            <w:tcBorders>
              <w:tl2br w:val="nil"/>
              <w:tr2bl w:val="nil"/>
            </w:tcBorders>
            <w:vAlign w:val="center"/>
          </w:tcPr>
          <w:p w14:paraId="4877C110">
            <w:pPr>
              <w:ind w:left="-105" w:right="-105"/>
              <w:jc w:val="center"/>
              <w:rPr>
                <w:rFonts w:ascii="Times New Roman" w:hAnsi="Times New Roman"/>
                <w:color w:val="auto"/>
                <w:sz w:val="21"/>
                <w:szCs w:val="21"/>
                <w:highlight w:val="none"/>
              </w:rPr>
            </w:pPr>
          </w:p>
        </w:tc>
      </w:tr>
      <w:tr w14:paraId="4BB7C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restart"/>
            <w:tcBorders>
              <w:tl2br w:val="nil"/>
              <w:tr2bl w:val="nil"/>
            </w:tcBorders>
            <w:vAlign w:val="center"/>
          </w:tcPr>
          <w:p w14:paraId="5695347D">
            <w:pPr>
              <w:autoSpaceDE w:val="0"/>
              <w:autoSpaceDN w:val="0"/>
              <w:ind w:left="-105" w:right="-105"/>
              <w:jc w:val="center"/>
              <w:rPr>
                <w:rFonts w:ascii="Times New Roman" w:hAnsi="Times New Roman"/>
                <w:color w:val="auto"/>
                <w:sz w:val="21"/>
                <w:szCs w:val="21"/>
                <w:highlight w:val="none"/>
              </w:rPr>
            </w:pPr>
            <w:r>
              <w:rPr>
                <w:rFonts w:ascii="Times New Roman" w:hAnsi="Times New Roman"/>
                <w:snapToGrid w:val="0"/>
                <w:color w:val="auto"/>
                <w:sz w:val="21"/>
                <w:szCs w:val="21"/>
                <w:highlight w:val="none"/>
              </w:rPr>
              <w:t>PM</w:t>
            </w:r>
            <w:r>
              <w:rPr>
                <w:rFonts w:ascii="Times New Roman" w:hAnsi="Times New Roman"/>
                <w:snapToGrid w:val="0"/>
                <w:color w:val="auto"/>
                <w:sz w:val="21"/>
                <w:szCs w:val="21"/>
                <w:highlight w:val="none"/>
                <w:vertAlign w:val="subscript"/>
              </w:rPr>
              <w:t>2.5</w:t>
            </w:r>
          </w:p>
        </w:tc>
        <w:tc>
          <w:tcPr>
            <w:tcW w:w="1357" w:type="pct"/>
            <w:tcBorders>
              <w:tl2br w:val="nil"/>
              <w:tr2bl w:val="nil"/>
            </w:tcBorders>
            <w:vAlign w:val="center"/>
          </w:tcPr>
          <w:p w14:paraId="4E50E187">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年平均浓度限值</w:t>
            </w:r>
          </w:p>
        </w:tc>
        <w:tc>
          <w:tcPr>
            <w:tcW w:w="1047" w:type="pct"/>
            <w:tcBorders>
              <w:tl2br w:val="nil"/>
              <w:tr2bl w:val="nil"/>
            </w:tcBorders>
            <w:vAlign w:val="center"/>
          </w:tcPr>
          <w:p w14:paraId="3DA83FF1">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35</w:t>
            </w:r>
          </w:p>
        </w:tc>
        <w:tc>
          <w:tcPr>
            <w:tcW w:w="1783" w:type="pct"/>
            <w:vMerge w:val="continue"/>
            <w:tcBorders>
              <w:tl2br w:val="nil"/>
              <w:tr2bl w:val="nil"/>
            </w:tcBorders>
            <w:vAlign w:val="center"/>
          </w:tcPr>
          <w:p w14:paraId="05269F9A">
            <w:pPr>
              <w:ind w:left="-105" w:right="-105"/>
              <w:jc w:val="center"/>
              <w:rPr>
                <w:rFonts w:ascii="Times New Roman" w:hAnsi="Times New Roman"/>
                <w:color w:val="auto"/>
                <w:sz w:val="21"/>
                <w:szCs w:val="21"/>
                <w:highlight w:val="none"/>
              </w:rPr>
            </w:pPr>
          </w:p>
        </w:tc>
      </w:tr>
      <w:tr w14:paraId="6F00E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vMerge w:val="continue"/>
            <w:tcBorders>
              <w:tl2br w:val="nil"/>
              <w:tr2bl w:val="nil"/>
            </w:tcBorders>
            <w:vAlign w:val="center"/>
          </w:tcPr>
          <w:p w14:paraId="01BB387B">
            <w:pPr>
              <w:autoSpaceDE w:val="0"/>
              <w:autoSpaceDN w:val="0"/>
              <w:ind w:left="-105" w:right="-105"/>
              <w:jc w:val="center"/>
              <w:rPr>
                <w:rFonts w:ascii="Times New Roman" w:hAnsi="Times New Roman"/>
                <w:snapToGrid w:val="0"/>
                <w:color w:val="auto"/>
                <w:sz w:val="21"/>
                <w:szCs w:val="21"/>
                <w:highlight w:val="none"/>
              </w:rPr>
            </w:pPr>
          </w:p>
        </w:tc>
        <w:tc>
          <w:tcPr>
            <w:tcW w:w="1357" w:type="pct"/>
            <w:tcBorders>
              <w:tl2br w:val="nil"/>
              <w:tr2bl w:val="nil"/>
            </w:tcBorders>
            <w:vAlign w:val="center"/>
          </w:tcPr>
          <w:p w14:paraId="44367D46">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68F66CC6">
            <w:pPr>
              <w:ind w:left="-105" w:right="-105"/>
              <w:jc w:val="center"/>
              <w:textAlignment w:val="center"/>
              <w:rPr>
                <w:rFonts w:ascii="Times New Roman" w:hAnsi="Times New Roman"/>
                <w:snapToGrid w:val="0"/>
                <w:color w:val="auto"/>
                <w:sz w:val="21"/>
                <w:szCs w:val="21"/>
                <w:highlight w:val="none"/>
              </w:rPr>
            </w:pPr>
            <w:r>
              <w:rPr>
                <w:rFonts w:ascii="Times New Roman" w:hAnsi="Times New Roman"/>
                <w:color w:val="auto"/>
                <w:sz w:val="21"/>
                <w:szCs w:val="21"/>
                <w:highlight w:val="none"/>
                <w:lang w:bidi="ar"/>
              </w:rPr>
              <w:t>75</w:t>
            </w:r>
          </w:p>
        </w:tc>
        <w:tc>
          <w:tcPr>
            <w:tcW w:w="1783" w:type="pct"/>
            <w:vMerge w:val="continue"/>
            <w:tcBorders>
              <w:tl2br w:val="nil"/>
              <w:tr2bl w:val="nil"/>
            </w:tcBorders>
            <w:vAlign w:val="center"/>
          </w:tcPr>
          <w:p w14:paraId="5F713CEF">
            <w:pPr>
              <w:ind w:left="-105" w:right="-105"/>
              <w:jc w:val="center"/>
              <w:rPr>
                <w:rFonts w:ascii="Times New Roman" w:hAnsi="Times New Roman"/>
                <w:color w:val="auto"/>
                <w:sz w:val="21"/>
                <w:szCs w:val="21"/>
                <w:highlight w:val="none"/>
              </w:rPr>
            </w:pPr>
          </w:p>
        </w:tc>
      </w:tr>
      <w:tr w14:paraId="3B85F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811" w:type="pct"/>
            <w:vMerge w:val="restart"/>
            <w:tcBorders>
              <w:tl2br w:val="nil"/>
              <w:tr2bl w:val="nil"/>
            </w:tcBorders>
            <w:vAlign w:val="center"/>
          </w:tcPr>
          <w:p w14:paraId="2C83B506">
            <w:pPr>
              <w:autoSpaceDE w:val="0"/>
              <w:autoSpaceDN w:val="0"/>
              <w:ind w:left="-105" w:right="-105"/>
              <w:jc w:val="center"/>
              <w:rPr>
                <w:rFonts w:ascii="Times New Roman" w:hAnsi="Times New Roman"/>
                <w:snapToGrid w:val="0"/>
                <w:color w:val="auto"/>
                <w:sz w:val="21"/>
                <w:szCs w:val="21"/>
                <w:highlight w:val="none"/>
              </w:rPr>
            </w:pPr>
            <w:r>
              <w:rPr>
                <w:rFonts w:ascii="Times New Roman" w:hAnsi="Times New Roman"/>
                <w:color w:val="auto"/>
                <w:sz w:val="21"/>
                <w:szCs w:val="21"/>
                <w:highlight w:val="none"/>
              </w:rPr>
              <w:t>NOx</w:t>
            </w:r>
          </w:p>
        </w:tc>
        <w:tc>
          <w:tcPr>
            <w:tcW w:w="1357" w:type="pct"/>
            <w:tcBorders>
              <w:tl2br w:val="nil"/>
              <w:tr2bl w:val="nil"/>
            </w:tcBorders>
            <w:vAlign w:val="center"/>
          </w:tcPr>
          <w:p w14:paraId="6E96EBFC">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年平均浓度限值</w:t>
            </w:r>
          </w:p>
        </w:tc>
        <w:tc>
          <w:tcPr>
            <w:tcW w:w="1047" w:type="pct"/>
            <w:tcBorders>
              <w:tl2br w:val="nil"/>
              <w:tr2bl w:val="nil"/>
            </w:tcBorders>
            <w:vAlign w:val="center"/>
          </w:tcPr>
          <w:p w14:paraId="4DD5D696">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50</w:t>
            </w:r>
          </w:p>
        </w:tc>
        <w:tc>
          <w:tcPr>
            <w:tcW w:w="1783" w:type="pct"/>
            <w:vMerge w:val="continue"/>
            <w:tcBorders>
              <w:tl2br w:val="nil"/>
              <w:tr2bl w:val="nil"/>
            </w:tcBorders>
            <w:vAlign w:val="center"/>
          </w:tcPr>
          <w:p w14:paraId="00CDD77F">
            <w:pPr>
              <w:ind w:left="-105" w:right="-105"/>
              <w:jc w:val="center"/>
              <w:rPr>
                <w:rFonts w:ascii="Times New Roman" w:hAnsi="Times New Roman"/>
                <w:color w:val="auto"/>
                <w:sz w:val="21"/>
                <w:szCs w:val="21"/>
                <w:highlight w:val="none"/>
              </w:rPr>
            </w:pPr>
          </w:p>
        </w:tc>
      </w:tr>
      <w:tr w14:paraId="74834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jc w:val="center"/>
        </w:trPr>
        <w:tc>
          <w:tcPr>
            <w:tcW w:w="811" w:type="pct"/>
            <w:vMerge w:val="continue"/>
            <w:tcBorders>
              <w:tl2br w:val="nil"/>
              <w:tr2bl w:val="nil"/>
            </w:tcBorders>
            <w:vAlign w:val="center"/>
          </w:tcPr>
          <w:p w14:paraId="3238336A">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05721A2D">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日平均浓度限值</w:t>
            </w:r>
          </w:p>
        </w:tc>
        <w:tc>
          <w:tcPr>
            <w:tcW w:w="1047" w:type="pct"/>
            <w:tcBorders>
              <w:tl2br w:val="nil"/>
              <w:tr2bl w:val="nil"/>
            </w:tcBorders>
            <w:vAlign w:val="center"/>
          </w:tcPr>
          <w:p w14:paraId="7FD8F391">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100</w:t>
            </w:r>
          </w:p>
        </w:tc>
        <w:tc>
          <w:tcPr>
            <w:tcW w:w="1783" w:type="pct"/>
            <w:vMerge w:val="continue"/>
            <w:tcBorders>
              <w:tl2br w:val="nil"/>
              <w:tr2bl w:val="nil"/>
            </w:tcBorders>
            <w:vAlign w:val="center"/>
          </w:tcPr>
          <w:p w14:paraId="599032B1">
            <w:pPr>
              <w:ind w:left="-105" w:right="-105"/>
              <w:jc w:val="center"/>
              <w:rPr>
                <w:rFonts w:ascii="Times New Roman" w:hAnsi="Times New Roman"/>
                <w:color w:val="auto"/>
                <w:sz w:val="21"/>
                <w:szCs w:val="21"/>
                <w:highlight w:val="none"/>
              </w:rPr>
            </w:pPr>
          </w:p>
        </w:tc>
      </w:tr>
      <w:tr w14:paraId="275FA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811" w:type="pct"/>
            <w:vMerge w:val="continue"/>
            <w:tcBorders>
              <w:tl2br w:val="nil"/>
              <w:tr2bl w:val="nil"/>
            </w:tcBorders>
            <w:vAlign w:val="center"/>
          </w:tcPr>
          <w:p w14:paraId="2DADB86C">
            <w:pPr>
              <w:autoSpaceDE w:val="0"/>
              <w:autoSpaceDN w:val="0"/>
              <w:ind w:left="-105" w:right="-105"/>
              <w:jc w:val="center"/>
              <w:rPr>
                <w:rFonts w:ascii="Times New Roman" w:hAnsi="Times New Roman"/>
                <w:color w:val="auto"/>
                <w:sz w:val="21"/>
                <w:szCs w:val="21"/>
                <w:highlight w:val="none"/>
              </w:rPr>
            </w:pPr>
          </w:p>
        </w:tc>
        <w:tc>
          <w:tcPr>
            <w:tcW w:w="1357" w:type="pct"/>
            <w:tcBorders>
              <w:tl2br w:val="nil"/>
              <w:tr2bl w:val="nil"/>
            </w:tcBorders>
            <w:vAlign w:val="center"/>
          </w:tcPr>
          <w:p w14:paraId="0567D0A2">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1</w:t>
            </w:r>
            <w:r>
              <w:rPr>
                <w:rStyle w:val="110"/>
                <w:rFonts w:ascii="Times New Roman" w:hAnsi="Times New Roman" w:cs="Times New Roman"/>
                <w:color w:val="auto"/>
                <w:sz w:val="21"/>
                <w:szCs w:val="21"/>
                <w:highlight w:val="none"/>
                <w:lang w:bidi="ar"/>
              </w:rPr>
              <w:t>小时平均浓度限值</w:t>
            </w:r>
          </w:p>
        </w:tc>
        <w:tc>
          <w:tcPr>
            <w:tcW w:w="1047" w:type="pct"/>
            <w:tcBorders>
              <w:tl2br w:val="nil"/>
              <w:tr2bl w:val="nil"/>
            </w:tcBorders>
            <w:vAlign w:val="center"/>
          </w:tcPr>
          <w:p w14:paraId="50663D15">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250</w:t>
            </w:r>
          </w:p>
        </w:tc>
        <w:tc>
          <w:tcPr>
            <w:tcW w:w="1783" w:type="pct"/>
            <w:vMerge w:val="continue"/>
            <w:tcBorders>
              <w:tl2br w:val="nil"/>
              <w:tr2bl w:val="nil"/>
            </w:tcBorders>
            <w:vAlign w:val="center"/>
          </w:tcPr>
          <w:p w14:paraId="2B5E9371">
            <w:pPr>
              <w:ind w:left="-105" w:right="-105"/>
              <w:jc w:val="center"/>
              <w:rPr>
                <w:rFonts w:ascii="Times New Roman" w:hAnsi="Times New Roman"/>
                <w:color w:val="auto"/>
                <w:sz w:val="21"/>
                <w:szCs w:val="21"/>
                <w:highlight w:val="none"/>
              </w:rPr>
            </w:pPr>
          </w:p>
        </w:tc>
      </w:tr>
      <w:tr w14:paraId="67204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tcBorders>
              <w:tl2br w:val="nil"/>
              <w:tr2bl w:val="nil"/>
            </w:tcBorders>
            <w:vAlign w:val="center"/>
          </w:tcPr>
          <w:p w14:paraId="6FB447B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357" w:type="pct"/>
            <w:tcBorders>
              <w:tl2br w:val="nil"/>
              <w:tr2bl w:val="nil"/>
            </w:tcBorders>
            <w:vAlign w:val="center"/>
          </w:tcPr>
          <w:p w14:paraId="7B80738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一次浓度值</w:t>
            </w:r>
          </w:p>
        </w:tc>
        <w:tc>
          <w:tcPr>
            <w:tcW w:w="1047" w:type="pct"/>
            <w:tcBorders>
              <w:tl2br w:val="nil"/>
              <w:tr2bl w:val="nil"/>
            </w:tcBorders>
            <w:vAlign w:val="center"/>
          </w:tcPr>
          <w:p w14:paraId="30C9C8D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w:t>
            </w:r>
          </w:p>
        </w:tc>
        <w:tc>
          <w:tcPr>
            <w:tcW w:w="1783" w:type="pct"/>
            <w:tcBorders>
              <w:tl2br w:val="nil"/>
              <w:tr2bl w:val="nil"/>
            </w:tcBorders>
            <w:vAlign w:val="center"/>
          </w:tcPr>
          <w:p w14:paraId="0E7FF79A">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《大气污染物综合排放标准详解》</w:t>
            </w:r>
          </w:p>
        </w:tc>
      </w:tr>
      <w:tr w14:paraId="69824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1" w:type="pct"/>
            <w:tcBorders>
              <w:tl2br w:val="nil"/>
              <w:tr2bl w:val="nil"/>
            </w:tcBorders>
            <w:vAlign w:val="center"/>
          </w:tcPr>
          <w:p w14:paraId="06D425F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1357" w:type="pct"/>
            <w:tcBorders>
              <w:tl2br w:val="nil"/>
              <w:tr2bl w:val="nil"/>
            </w:tcBorders>
            <w:vAlign w:val="center"/>
          </w:tcPr>
          <w:p w14:paraId="20282DE5">
            <w:pPr>
              <w:ind w:left="-105" w:right="-105"/>
              <w:jc w:val="center"/>
              <w:rPr>
                <w:rFonts w:ascii="Times New Roman" w:hAnsi="Times New Roman"/>
                <w:color w:val="auto"/>
                <w:sz w:val="21"/>
                <w:szCs w:val="21"/>
                <w:highlight w:val="none"/>
                <w:lang w:bidi="ar"/>
              </w:rPr>
            </w:pPr>
            <w:r>
              <w:rPr>
                <w:rFonts w:hint="eastAsia" w:ascii="Times New Roman" w:hAnsi="Times New Roman"/>
                <w:color w:val="auto"/>
                <w:sz w:val="21"/>
                <w:szCs w:val="21"/>
                <w:highlight w:val="none"/>
                <w:lang w:bidi="ar"/>
              </w:rPr>
              <w:t>1</w:t>
            </w:r>
            <w:r>
              <w:rPr>
                <w:rStyle w:val="110"/>
                <w:rFonts w:ascii="Times New Roman" w:hAnsi="Times New Roman" w:cs="Times New Roman"/>
                <w:color w:val="auto"/>
                <w:sz w:val="21"/>
                <w:szCs w:val="21"/>
                <w:highlight w:val="none"/>
                <w:lang w:bidi="ar"/>
              </w:rPr>
              <w:t>小时平均浓度限值</w:t>
            </w:r>
          </w:p>
        </w:tc>
        <w:tc>
          <w:tcPr>
            <w:tcW w:w="1047" w:type="pct"/>
            <w:tcBorders>
              <w:tl2br w:val="nil"/>
              <w:tr2bl w:val="nil"/>
            </w:tcBorders>
            <w:vAlign w:val="center"/>
          </w:tcPr>
          <w:p w14:paraId="4023E66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3000</w:t>
            </w:r>
          </w:p>
        </w:tc>
        <w:tc>
          <w:tcPr>
            <w:tcW w:w="1783" w:type="pct"/>
            <w:tcBorders>
              <w:tl2br w:val="nil"/>
              <w:tr2bl w:val="nil"/>
            </w:tcBorders>
            <w:vAlign w:val="center"/>
          </w:tcPr>
          <w:p w14:paraId="783AA56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《环境影响评价技术导则 大气环境》（HJ2.2-2018）</w:t>
            </w:r>
          </w:p>
        </w:tc>
      </w:tr>
    </w:tbl>
    <w:p w14:paraId="7218D673">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（2）地表水质量标准</w:t>
      </w:r>
    </w:p>
    <w:p w14:paraId="7795E39E">
      <w:pPr>
        <w:tabs>
          <w:tab w:val="left" w:pos="993"/>
          <w:tab w:val="left" w:pos="1276"/>
        </w:tabs>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根据《江苏省地表水(环境)功能区划（2021-2030年）》的要求，无锡市锡山云林污水处理有限公司</w:t>
      </w:r>
      <w:r>
        <w:rPr>
          <w:rFonts w:ascii="Times New Roman" w:hAnsi="Times New Roman" w:cs="Times New Roman"/>
          <w:color w:val="auto"/>
          <w:highlight w:val="none"/>
        </w:rPr>
        <w:t>收纳水体</w:t>
      </w:r>
      <w:r>
        <w:rPr>
          <w:rFonts w:hint="eastAsia" w:ascii="Times New Roman" w:hAnsi="Times New Roman"/>
          <w:color w:val="auto"/>
          <w:highlight w:val="none"/>
        </w:rPr>
        <w:t>北兴塘河执行《地表水环境质量标准》(GB3838-2002)中</w:t>
      </w:r>
      <w:r>
        <w:rPr>
          <w:rFonts w:ascii="Times New Roman" w:hAnsi="Times New Roman" w:cs="Times New Roman"/>
          <w:color w:val="auto"/>
          <w:highlight w:val="none"/>
        </w:rPr>
        <w:t>的Ⅲ</w:t>
      </w:r>
      <w:r>
        <w:rPr>
          <w:rFonts w:hint="eastAsia" w:ascii="Times New Roman" w:hAnsi="Times New Roman"/>
          <w:color w:val="auto"/>
          <w:highlight w:val="none"/>
        </w:rPr>
        <w:t>类标准，</w:t>
      </w:r>
      <w:r>
        <w:rPr>
          <w:rFonts w:ascii="Times New Roman" w:hAnsi="Times New Roman" w:cs="Times New Roman"/>
          <w:color w:val="auto"/>
          <w:highlight w:val="none"/>
        </w:rPr>
        <w:t>厂区雨水</w:t>
      </w:r>
      <w:r>
        <w:rPr>
          <w:rFonts w:hint="eastAsia" w:ascii="Times New Roman" w:hAnsi="Times New Roman"/>
          <w:color w:val="auto"/>
          <w:highlight w:val="none"/>
        </w:rPr>
        <w:t>收纳水体锡北运河执行《地表水环境质量标准》(GB3838-2002)中</w:t>
      </w:r>
      <w:r>
        <w:rPr>
          <w:rFonts w:ascii="Times New Roman" w:hAnsi="Times New Roman" w:cs="Times New Roman"/>
          <w:color w:val="auto"/>
          <w:highlight w:val="none"/>
        </w:rPr>
        <w:t>的Ⅲ</w:t>
      </w:r>
      <w:r>
        <w:rPr>
          <w:rFonts w:hint="eastAsia" w:ascii="Times New Roman" w:hAnsi="Times New Roman"/>
          <w:color w:val="auto"/>
          <w:highlight w:val="none"/>
        </w:rPr>
        <w:t>类标准，</w:t>
      </w:r>
      <w:r>
        <w:rPr>
          <w:rFonts w:ascii="Times New Roman" w:hAnsi="Times New Roman"/>
          <w:color w:val="auto"/>
          <w:highlight w:val="none"/>
        </w:rPr>
        <w:t>详见</w:t>
      </w:r>
      <w:r>
        <w:rPr>
          <w:rFonts w:ascii="Times New Roman" w:hAnsi="Times New Roman"/>
          <w:color w:val="auto"/>
          <w:highlight w:val="none"/>
        </w:rPr>
        <w:fldChar w:fldCharType="begin"/>
      </w:r>
      <w:r>
        <w:rPr>
          <w:rFonts w:ascii="Times New Roman" w:hAnsi="Times New Roman"/>
          <w:color w:val="auto"/>
          <w:highlight w:val="none"/>
        </w:rPr>
        <w:instrText xml:space="preserve"> REF _Ref17721183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表2.3</w:t>
      </w:r>
      <w:r>
        <w:rPr>
          <w:rFonts w:ascii="Times New Roman" w:hAnsi="Times New Roman"/>
          <w:color w:val="auto"/>
          <w:szCs w:val="22"/>
          <w:highlight w:val="none"/>
        </w:rPr>
        <w:noBreakHyphen/>
      </w:r>
      <w:r>
        <w:rPr>
          <w:rFonts w:ascii="Times New Roman" w:hAnsi="Times New Roman"/>
          <w:color w:val="auto"/>
          <w:szCs w:val="22"/>
          <w:highlight w:val="none"/>
        </w:rPr>
        <w:t>4</w:t>
      </w:r>
      <w:r>
        <w:rPr>
          <w:rFonts w:ascii="Times New Roman" w:hAnsi="Times New Roman"/>
          <w:color w:val="auto"/>
          <w:highlight w:val="none"/>
        </w:rPr>
        <w:fldChar w:fldCharType="end"/>
      </w:r>
      <w:r>
        <w:rPr>
          <w:rFonts w:ascii="Times New Roman" w:hAnsi="Times New Roman"/>
          <w:color w:val="auto"/>
          <w:highlight w:val="none"/>
        </w:rPr>
        <w:t>。</w:t>
      </w:r>
    </w:p>
    <w:p w14:paraId="04EF2330">
      <w:pPr>
        <w:pStyle w:val="15"/>
        <w:spacing w:line="360" w:lineRule="auto"/>
        <w:ind w:left="-105" w:right="-105" w:firstLine="482"/>
        <w:rPr>
          <w:rFonts w:eastAsia="宋体" w:cs="Times New Roman"/>
          <w:color w:val="auto"/>
          <w:sz w:val="24"/>
          <w:szCs w:val="22"/>
          <w:highlight w:val="none"/>
        </w:rPr>
      </w:pPr>
      <w:bookmarkStart w:id="128" w:name="_Ref1772118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w:t>
      </w:r>
      <w:r>
        <w:rPr>
          <w:rFonts w:eastAsia="宋体" w:cs="Times New Roman"/>
          <w:color w:val="auto"/>
          <w:sz w:val="24"/>
          <w:szCs w:val="18"/>
          <w:highlight w:val="none"/>
        </w:rPr>
        <w:fldChar w:fldCharType="end"/>
      </w:r>
      <w:bookmarkEnd w:id="128"/>
      <w:r>
        <w:rPr>
          <w:rFonts w:eastAsia="宋体" w:cs="Times New Roman"/>
          <w:color w:val="auto"/>
          <w:sz w:val="24"/>
          <w:szCs w:val="22"/>
          <w:highlight w:val="none"/>
        </w:rPr>
        <w:t>地表水环境质量标准</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93"/>
        <w:gridCol w:w="1978"/>
        <w:gridCol w:w="1453"/>
        <w:gridCol w:w="1420"/>
        <w:gridCol w:w="2976"/>
      </w:tblGrid>
      <w:tr w14:paraId="00A788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3" w:hRule="atLeast"/>
          <w:jc w:val="center"/>
        </w:trPr>
        <w:tc>
          <w:tcPr>
            <w:tcW w:w="512" w:type="pct"/>
            <w:vAlign w:val="center"/>
          </w:tcPr>
          <w:p w14:paraId="33EF7D5E">
            <w:pPr>
              <w:pStyle w:val="98"/>
              <w:ind w:left="-105" w:right="-105"/>
              <w:rPr>
                <w:rFonts w:eastAsia="宋体"/>
                <w:b/>
                <w:color w:val="auto"/>
                <w:sz w:val="21"/>
                <w:szCs w:val="21"/>
                <w:highlight w:val="none"/>
              </w:rPr>
            </w:pPr>
            <w:r>
              <w:rPr>
                <w:rFonts w:eastAsia="宋体"/>
                <w:b/>
                <w:color w:val="auto"/>
                <w:sz w:val="21"/>
                <w:szCs w:val="21"/>
                <w:highlight w:val="none"/>
              </w:rPr>
              <w:t>序号</w:t>
            </w:r>
          </w:p>
        </w:tc>
        <w:tc>
          <w:tcPr>
            <w:tcW w:w="1134" w:type="pct"/>
            <w:vAlign w:val="center"/>
          </w:tcPr>
          <w:p w14:paraId="49F46D16">
            <w:pPr>
              <w:pStyle w:val="98"/>
              <w:ind w:left="-105" w:right="-105"/>
              <w:rPr>
                <w:rFonts w:eastAsia="宋体"/>
                <w:b/>
                <w:color w:val="auto"/>
                <w:sz w:val="21"/>
                <w:szCs w:val="21"/>
                <w:highlight w:val="none"/>
              </w:rPr>
            </w:pPr>
            <w:r>
              <w:rPr>
                <w:rFonts w:eastAsia="宋体"/>
                <w:b/>
                <w:color w:val="auto"/>
                <w:sz w:val="21"/>
                <w:szCs w:val="21"/>
                <w:highlight w:val="none"/>
              </w:rPr>
              <w:t>项目</w:t>
            </w:r>
          </w:p>
        </w:tc>
        <w:tc>
          <w:tcPr>
            <w:tcW w:w="833" w:type="pct"/>
            <w:vAlign w:val="center"/>
          </w:tcPr>
          <w:p w14:paraId="0ED4E0B1">
            <w:pPr>
              <w:pStyle w:val="98"/>
              <w:ind w:left="-105" w:right="-105"/>
              <w:rPr>
                <w:rFonts w:eastAsia="宋体"/>
                <w:b/>
                <w:color w:val="auto"/>
                <w:sz w:val="21"/>
                <w:szCs w:val="21"/>
                <w:highlight w:val="none"/>
              </w:rPr>
            </w:pPr>
            <w:r>
              <w:rPr>
                <w:rFonts w:eastAsia="宋体"/>
                <w:b/>
                <w:color w:val="auto"/>
                <w:sz w:val="21"/>
                <w:szCs w:val="21"/>
                <w:highlight w:val="none"/>
              </w:rPr>
              <w:t>单位</w:t>
            </w:r>
          </w:p>
        </w:tc>
        <w:tc>
          <w:tcPr>
            <w:tcW w:w="814" w:type="pct"/>
            <w:vAlign w:val="center"/>
          </w:tcPr>
          <w:p w14:paraId="1C42BCB6">
            <w:pPr>
              <w:pStyle w:val="98"/>
              <w:ind w:left="-105" w:right="-105"/>
              <w:rPr>
                <w:rFonts w:eastAsia="宋体"/>
                <w:b/>
                <w:color w:val="auto"/>
                <w:sz w:val="21"/>
                <w:szCs w:val="21"/>
                <w:highlight w:val="none"/>
              </w:rPr>
            </w:pPr>
            <w:r>
              <w:rPr>
                <w:rFonts w:eastAsia="宋体"/>
                <w:b/>
                <w:color w:val="auto"/>
                <w:sz w:val="21"/>
                <w:szCs w:val="21"/>
                <w:highlight w:val="none"/>
              </w:rPr>
              <w:t>Ⅲ类</w:t>
            </w:r>
          </w:p>
        </w:tc>
        <w:tc>
          <w:tcPr>
            <w:tcW w:w="1706" w:type="pct"/>
            <w:vAlign w:val="center"/>
          </w:tcPr>
          <w:p w14:paraId="3123A88E">
            <w:pPr>
              <w:pStyle w:val="98"/>
              <w:ind w:left="-105" w:right="-105"/>
              <w:rPr>
                <w:rFonts w:eastAsia="宋体"/>
                <w:b/>
                <w:color w:val="auto"/>
                <w:sz w:val="21"/>
                <w:szCs w:val="21"/>
                <w:highlight w:val="none"/>
              </w:rPr>
            </w:pPr>
            <w:r>
              <w:rPr>
                <w:rFonts w:eastAsia="宋体"/>
                <w:b/>
                <w:color w:val="auto"/>
                <w:sz w:val="21"/>
                <w:szCs w:val="21"/>
                <w:highlight w:val="none"/>
              </w:rPr>
              <w:t>备注</w:t>
            </w:r>
          </w:p>
        </w:tc>
      </w:tr>
      <w:tr w14:paraId="72FE92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1" w:hRule="atLeast"/>
          <w:jc w:val="center"/>
        </w:trPr>
        <w:tc>
          <w:tcPr>
            <w:tcW w:w="512" w:type="pct"/>
            <w:vAlign w:val="center"/>
          </w:tcPr>
          <w:p w14:paraId="6FAD48DB">
            <w:pPr>
              <w:pStyle w:val="98"/>
              <w:ind w:left="-105" w:right="-105"/>
              <w:rPr>
                <w:rFonts w:eastAsia="宋体"/>
                <w:color w:val="auto"/>
                <w:sz w:val="21"/>
                <w:szCs w:val="21"/>
                <w:highlight w:val="none"/>
              </w:rPr>
            </w:pPr>
            <w:r>
              <w:rPr>
                <w:rFonts w:eastAsia="宋体"/>
                <w:color w:val="auto"/>
                <w:sz w:val="21"/>
                <w:szCs w:val="21"/>
                <w:highlight w:val="none"/>
              </w:rPr>
              <w:t>1</w:t>
            </w:r>
          </w:p>
        </w:tc>
        <w:tc>
          <w:tcPr>
            <w:tcW w:w="1134" w:type="pct"/>
            <w:vAlign w:val="center"/>
          </w:tcPr>
          <w:p w14:paraId="704BA7E8">
            <w:pPr>
              <w:pStyle w:val="98"/>
              <w:ind w:left="-105" w:right="-105"/>
              <w:rPr>
                <w:rFonts w:eastAsia="宋体"/>
                <w:color w:val="auto"/>
                <w:sz w:val="21"/>
                <w:szCs w:val="21"/>
                <w:highlight w:val="none"/>
              </w:rPr>
            </w:pPr>
            <w:r>
              <w:rPr>
                <w:rFonts w:eastAsia="宋体"/>
                <w:color w:val="auto"/>
                <w:sz w:val="21"/>
                <w:szCs w:val="21"/>
                <w:highlight w:val="none"/>
              </w:rPr>
              <w:t>pH</w:t>
            </w:r>
          </w:p>
        </w:tc>
        <w:tc>
          <w:tcPr>
            <w:tcW w:w="833" w:type="pct"/>
            <w:vAlign w:val="center"/>
          </w:tcPr>
          <w:p w14:paraId="1B294A0A">
            <w:pPr>
              <w:pStyle w:val="98"/>
              <w:ind w:left="-105" w:right="-105"/>
              <w:rPr>
                <w:rFonts w:eastAsia="宋体"/>
                <w:color w:val="auto"/>
                <w:sz w:val="21"/>
                <w:szCs w:val="21"/>
                <w:highlight w:val="none"/>
              </w:rPr>
            </w:pPr>
            <w:r>
              <w:rPr>
                <w:rFonts w:eastAsia="宋体"/>
                <w:color w:val="auto"/>
                <w:sz w:val="21"/>
                <w:szCs w:val="21"/>
                <w:highlight w:val="none"/>
              </w:rPr>
              <w:t>无量纲</w:t>
            </w:r>
          </w:p>
        </w:tc>
        <w:tc>
          <w:tcPr>
            <w:tcW w:w="814" w:type="pct"/>
            <w:vAlign w:val="center"/>
          </w:tcPr>
          <w:p w14:paraId="78EEE44F">
            <w:pPr>
              <w:pStyle w:val="98"/>
              <w:ind w:left="-105" w:right="-105"/>
              <w:rPr>
                <w:rFonts w:eastAsia="宋体"/>
                <w:color w:val="auto"/>
                <w:sz w:val="21"/>
                <w:szCs w:val="21"/>
                <w:highlight w:val="none"/>
              </w:rPr>
            </w:pPr>
            <w:r>
              <w:rPr>
                <w:rFonts w:eastAsia="宋体"/>
                <w:color w:val="auto"/>
                <w:sz w:val="21"/>
                <w:szCs w:val="21"/>
                <w:highlight w:val="none"/>
              </w:rPr>
              <w:t>6～9</w:t>
            </w:r>
          </w:p>
        </w:tc>
        <w:tc>
          <w:tcPr>
            <w:tcW w:w="1706" w:type="pct"/>
            <w:vMerge w:val="restart"/>
            <w:vAlign w:val="center"/>
          </w:tcPr>
          <w:p w14:paraId="677E7B06">
            <w:pPr>
              <w:pStyle w:val="98"/>
              <w:ind w:left="-105" w:right="-105"/>
              <w:rPr>
                <w:rFonts w:eastAsia="宋体"/>
                <w:color w:val="auto"/>
                <w:sz w:val="21"/>
                <w:szCs w:val="21"/>
                <w:highlight w:val="none"/>
              </w:rPr>
            </w:pPr>
            <w:r>
              <w:rPr>
                <w:rFonts w:eastAsia="宋体"/>
                <w:color w:val="auto"/>
                <w:sz w:val="21"/>
                <w:szCs w:val="21"/>
                <w:highlight w:val="none"/>
              </w:rPr>
              <w:t>《地表水环境质量标准》</w:t>
            </w:r>
          </w:p>
          <w:p w14:paraId="7C70209B">
            <w:pPr>
              <w:pStyle w:val="98"/>
              <w:ind w:left="-105" w:right="-105"/>
              <w:rPr>
                <w:rFonts w:eastAsia="宋体"/>
                <w:color w:val="auto"/>
                <w:sz w:val="21"/>
                <w:szCs w:val="21"/>
                <w:highlight w:val="none"/>
              </w:rPr>
            </w:pPr>
            <w:r>
              <w:rPr>
                <w:rFonts w:eastAsia="宋体"/>
                <w:color w:val="auto"/>
                <w:sz w:val="21"/>
                <w:szCs w:val="21"/>
                <w:highlight w:val="none"/>
              </w:rPr>
              <w:t>（GB3838-2002）</w:t>
            </w:r>
            <w:r>
              <w:rPr>
                <w:color w:val="auto"/>
                <w:sz w:val="21"/>
                <w:szCs w:val="21"/>
                <w:highlight w:val="none"/>
              </w:rPr>
              <w:t>Ⅲ</w:t>
            </w:r>
            <w:r>
              <w:rPr>
                <w:rFonts w:hint="eastAsia"/>
                <w:color w:val="auto"/>
                <w:sz w:val="21"/>
                <w:szCs w:val="21"/>
                <w:highlight w:val="none"/>
              </w:rPr>
              <w:t>类标准</w:t>
            </w:r>
          </w:p>
        </w:tc>
      </w:tr>
      <w:tr w14:paraId="5BBF6E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7" w:hRule="atLeast"/>
          <w:jc w:val="center"/>
        </w:trPr>
        <w:tc>
          <w:tcPr>
            <w:tcW w:w="512" w:type="pct"/>
            <w:vAlign w:val="center"/>
          </w:tcPr>
          <w:p w14:paraId="66448B71">
            <w:pPr>
              <w:pStyle w:val="98"/>
              <w:ind w:left="-105" w:right="-105"/>
              <w:rPr>
                <w:rFonts w:eastAsia="宋体"/>
                <w:color w:val="auto"/>
                <w:sz w:val="21"/>
                <w:szCs w:val="21"/>
                <w:highlight w:val="none"/>
              </w:rPr>
            </w:pPr>
            <w:r>
              <w:rPr>
                <w:rFonts w:eastAsia="宋体"/>
                <w:color w:val="auto"/>
                <w:sz w:val="21"/>
                <w:szCs w:val="21"/>
                <w:highlight w:val="none"/>
              </w:rPr>
              <w:t>2</w:t>
            </w:r>
          </w:p>
        </w:tc>
        <w:tc>
          <w:tcPr>
            <w:tcW w:w="1134" w:type="pct"/>
            <w:vAlign w:val="center"/>
          </w:tcPr>
          <w:p w14:paraId="1DD6637D">
            <w:pPr>
              <w:pStyle w:val="98"/>
              <w:ind w:left="-105" w:right="-105"/>
              <w:rPr>
                <w:rFonts w:eastAsia="宋体"/>
                <w:color w:val="auto"/>
                <w:sz w:val="21"/>
                <w:szCs w:val="21"/>
                <w:highlight w:val="none"/>
              </w:rPr>
            </w:pPr>
            <w:r>
              <w:rPr>
                <w:rFonts w:eastAsia="宋体"/>
                <w:color w:val="auto"/>
                <w:sz w:val="21"/>
                <w:szCs w:val="21"/>
                <w:highlight w:val="none"/>
              </w:rPr>
              <w:t>COD</w:t>
            </w:r>
          </w:p>
        </w:tc>
        <w:tc>
          <w:tcPr>
            <w:tcW w:w="833" w:type="pct"/>
            <w:vMerge w:val="restart"/>
            <w:vAlign w:val="center"/>
          </w:tcPr>
          <w:p w14:paraId="0AB65565">
            <w:pPr>
              <w:pStyle w:val="98"/>
              <w:ind w:left="-105" w:right="-105"/>
              <w:rPr>
                <w:rFonts w:eastAsia="宋体"/>
                <w:color w:val="auto"/>
                <w:sz w:val="21"/>
                <w:szCs w:val="21"/>
                <w:highlight w:val="none"/>
              </w:rPr>
            </w:pPr>
            <w:r>
              <w:rPr>
                <w:rFonts w:eastAsia="宋体"/>
                <w:color w:val="auto"/>
                <w:sz w:val="21"/>
                <w:szCs w:val="21"/>
                <w:highlight w:val="none"/>
              </w:rPr>
              <w:t>mg/L</w:t>
            </w:r>
          </w:p>
        </w:tc>
        <w:tc>
          <w:tcPr>
            <w:tcW w:w="814" w:type="pct"/>
            <w:vAlign w:val="center"/>
          </w:tcPr>
          <w:p w14:paraId="565A031F">
            <w:pPr>
              <w:pStyle w:val="98"/>
              <w:ind w:left="-105" w:right="-105"/>
              <w:rPr>
                <w:rFonts w:eastAsia="宋体"/>
                <w:color w:val="auto"/>
                <w:sz w:val="21"/>
                <w:szCs w:val="21"/>
                <w:highlight w:val="none"/>
              </w:rPr>
            </w:pPr>
            <w:r>
              <w:rPr>
                <w:rFonts w:eastAsia="宋体"/>
                <w:color w:val="auto"/>
                <w:sz w:val="21"/>
                <w:szCs w:val="21"/>
                <w:highlight w:val="none"/>
              </w:rPr>
              <w:t>≤20</w:t>
            </w:r>
          </w:p>
        </w:tc>
        <w:tc>
          <w:tcPr>
            <w:tcW w:w="1706" w:type="pct"/>
            <w:vMerge w:val="continue"/>
            <w:vAlign w:val="center"/>
          </w:tcPr>
          <w:p w14:paraId="347F347A">
            <w:pPr>
              <w:ind w:left="-105" w:right="-105"/>
              <w:jc w:val="center"/>
              <w:rPr>
                <w:rFonts w:ascii="Times New Roman" w:hAnsi="Times New Roman" w:cs="Times New Roman"/>
                <w:color w:val="auto"/>
                <w:sz w:val="21"/>
                <w:szCs w:val="21"/>
                <w:highlight w:val="none"/>
              </w:rPr>
            </w:pPr>
          </w:p>
        </w:tc>
      </w:tr>
      <w:tr w14:paraId="53FFB3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7" w:hRule="atLeast"/>
          <w:jc w:val="center"/>
        </w:trPr>
        <w:tc>
          <w:tcPr>
            <w:tcW w:w="512" w:type="pct"/>
            <w:vAlign w:val="center"/>
          </w:tcPr>
          <w:p w14:paraId="05A1C1C5">
            <w:pPr>
              <w:pStyle w:val="98"/>
              <w:ind w:left="-105" w:right="-105"/>
              <w:rPr>
                <w:rFonts w:eastAsia="宋体"/>
                <w:color w:val="auto"/>
                <w:sz w:val="21"/>
                <w:szCs w:val="21"/>
                <w:highlight w:val="none"/>
              </w:rPr>
            </w:pPr>
            <w:r>
              <w:rPr>
                <w:rFonts w:eastAsia="宋体"/>
                <w:color w:val="auto"/>
                <w:sz w:val="21"/>
                <w:szCs w:val="21"/>
                <w:highlight w:val="none"/>
              </w:rPr>
              <w:t>3</w:t>
            </w:r>
          </w:p>
        </w:tc>
        <w:tc>
          <w:tcPr>
            <w:tcW w:w="1134" w:type="pct"/>
            <w:vAlign w:val="center"/>
          </w:tcPr>
          <w:p w14:paraId="0197E250">
            <w:pPr>
              <w:pStyle w:val="98"/>
              <w:ind w:left="-105" w:right="-105"/>
              <w:rPr>
                <w:rFonts w:eastAsia="宋体"/>
                <w:color w:val="auto"/>
                <w:sz w:val="21"/>
                <w:szCs w:val="21"/>
                <w:highlight w:val="none"/>
              </w:rPr>
            </w:pPr>
            <w:r>
              <w:rPr>
                <w:rFonts w:eastAsia="宋体"/>
                <w:color w:val="auto"/>
                <w:sz w:val="21"/>
                <w:szCs w:val="21"/>
                <w:highlight w:val="none"/>
              </w:rPr>
              <w:t>DO</w:t>
            </w:r>
          </w:p>
        </w:tc>
        <w:tc>
          <w:tcPr>
            <w:tcW w:w="833" w:type="pct"/>
            <w:vMerge w:val="continue"/>
            <w:vAlign w:val="center"/>
          </w:tcPr>
          <w:p w14:paraId="5FEB052E">
            <w:pPr>
              <w:pStyle w:val="98"/>
              <w:ind w:left="-105" w:right="-105"/>
              <w:rPr>
                <w:rFonts w:eastAsia="宋体"/>
                <w:color w:val="auto"/>
                <w:sz w:val="21"/>
                <w:szCs w:val="21"/>
                <w:highlight w:val="none"/>
              </w:rPr>
            </w:pPr>
          </w:p>
        </w:tc>
        <w:tc>
          <w:tcPr>
            <w:tcW w:w="814" w:type="pct"/>
            <w:vAlign w:val="center"/>
          </w:tcPr>
          <w:p w14:paraId="399197A5">
            <w:pPr>
              <w:pStyle w:val="98"/>
              <w:ind w:left="-105" w:right="-105"/>
              <w:rPr>
                <w:rFonts w:eastAsia="宋体"/>
                <w:color w:val="auto"/>
                <w:sz w:val="21"/>
                <w:szCs w:val="21"/>
                <w:highlight w:val="none"/>
              </w:rPr>
            </w:pPr>
            <w:r>
              <w:rPr>
                <w:rFonts w:eastAsia="宋体"/>
                <w:color w:val="auto"/>
                <w:sz w:val="21"/>
                <w:szCs w:val="21"/>
                <w:highlight w:val="none"/>
              </w:rPr>
              <w:t>≥5</w:t>
            </w:r>
          </w:p>
        </w:tc>
        <w:tc>
          <w:tcPr>
            <w:tcW w:w="1706" w:type="pct"/>
            <w:vMerge w:val="continue"/>
            <w:vAlign w:val="center"/>
          </w:tcPr>
          <w:p w14:paraId="1EB65E2C">
            <w:pPr>
              <w:ind w:left="-105" w:right="-105"/>
              <w:jc w:val="center"/>
              <w:rPr>
                <w:rFonts w:ascii="Times New Roman" w:hAnsi="Times New Roman" w:cs="Times New Roman"/>
                <w:color w:val="auto"/>
                <w:sz w:val="21"/>
                <w:szCs w:val="21"/>
                <w:highlight w:val="none"/>
              </w:rPr>
            </w:pPr>
          </w:p>
        </w:tc>
      </w:tr>
      <w:tr w14:paraId="07BD69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512" w:type="pct"/>
            <w:vAlign w:val="center"/>
          </w:tcPr>
          <w:p w14:paraId="1401381D">
            <w:pPr>
              <w:pStyle w:val="98"/>
              <w:ind w:left="-105" w:right="-105"/>
              <w:rPr>
                <w:rFonts w:eastAsia="宋体"/>
                <w:color w:val="auto"/>
                <w:sz w:val="21"/>
                <w:szCs w:val="21"/>
                <w:highlight w:val="none"/>
              </w:rPr>
            </w:pPr>
            <w:r>
              <w:rPr>
                <w:rFonts w:eastAsia="宋体"/>
                <w:color w:val="auto"/>
                <w:sz w:val="21"/>
                <w:szCs w:val="21"/>
                <w:highlight w:val="none"/>
              </w:rPr>
              <w:t>4</w:t>
            </w:r>
          </w:p>
        </w:tc>
        <w:tc>
          <w:tcPr>
            <w:tcW w:w="1134" w:type="pct"/>
            <w:vAlign w:val="center"/>
          </w:tcPr>
          <w:p w14:paraId="34AF64B0">
            <w:pPr>
              <w:pStyle w:val="98"/>
              <w:ind w:left="-105" w:right="-105"/>
              <w:rPr>
                <w:rFonts w:eastAsia="宋体"/>
                <w:color w:val="auto"/>
                <w:sz w:val="21"/>
                <w:szCs w:val="21"/>
                <w:highlight w:val="none"/>
              </w:rPr>
            </w:pPr>
            <w:r>
              <w:rPr>
                <w:rFonts w:eastAsia="宋体"/>
                <w:color w:val="auto"/>
                <w:sz w:val="21"/>
                <w:szCs w:val="21"/>
                <w:highlight w:val="none"/>
              </w:rPr>
              <w:t>氨氮</w:t>
            </w:r>
          </w:p>
        </w:tc>
        <w:tc>
          <w:tcPr>
            <w:tcW w:w="833" w:type="pct"/>
            <w:vMerge w:val="continue"/>
            <w:vAlign w:val="center"/>
          </w:tcPr>
          <w:p w14:paraId="70DA8FEB">
            <w:pPr>
              <w:ind w:left="-105" w:right="-105"/>
              <w:jc w:val="center"/>
              <w:rPr>
                <w:rFonts w:ascii="Times New Roman" w:hAnsi="Times New Roman" w:cs="Times New Roman"/>
                <w:color w:val="auto"/>
                <w:sz w:val="21"/>
                <w:szCs w:val="21"/>
                <w:highlight w:val="none"/>
              </w:rPr>
            </w:pPr>
          </w:p>
        </w:tc>
        <w:tc>
          <w:tcPr>
            <w:tcW w:w="814" w:type="pct"/>
            <w:vAlign w:val="center"/>
          </w:tcPr>
          <w:p w14:paraId="794621A4">
            <w:pPr>
              <w:pStyle w:val="98"/>
              <w:ind w:left="-105" w:right="-105"/>
              <w:rPr>
                <w:rFonts w:eastAsia="宋体"/>
                <w:color w:val="auto"/>
                <w:sz w:val="21"/>
                <w:szCs w:val="21"/>
                <w:highlight w:val="none"/>
              </w:rPr>
            </w:pPr>
            <w:r>
              <w:rPr>
                <w:rFonts w:eastAsia="宋体"/>
                <w:color w:val="auto"/>
                <w:sz w:val="21"/>
                <w:szCs w:val="21"/>
                <w:highlight w:val="none"/>
              </w:rPr>
              <w:t>≤</w:t>
            </w:r>
            <w:r>
              <w:rPr>
                <w:rFonts w:eastAsia="宋体"/>
                <w:color w:val="auto"/>
                <w:sz w:val="21"/>
                <w:szCs w:val="21"/>
                <w:highlight w:val="none"/>
                <w:lang w:val="en-US"/>
              </w:rPr>
              <w:t>1.0</w:t>
            </w:r>
          </w:p>
        </w:tc>
        <w:tc>
          <w:tcPr>
            <w:tcW w:w="1706" w:type="pct"/>
            <w:vMerge w:val="continue"/>
            <w:vAlign w:val="center"/>
          </w:tcPr>
          <w:p w14:paraId="6D54B251">
            <w:pPr>
              <w:ind w:left="-105" w:right="-105"/>
              <w:jc w:val="center"/>
              <w:rPr>
                <w:rFonts w:ascii="Times New Roman" w:hAnsi="Times New Roman" w:cs="Times New Roman"/>
                <w:color w:val="auto"/>
                <w:sz w:val="21"/>
                <w:szCs w:val="21"/>
                <w:highlight w:val="none"/>
              </w:rPr>
            </w:pPr>
          </w:p>
        </w:tc>
      </w:tr>
      <w:tr w14:paraId="11688D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6" w:hRule="atLeast"/>
          <w:jc w:val="center"/>
        </w:trPr>
        <w:tc>
          <w:tcPr>
            <w:tcW w:w="512" w:type="pct"/>
            <w:vAlign w:val="center"/>
          </w:tcPr>
          <w:p w14:paraId="5F5E1F2C">
            <w:pPr>
              <w:pStyle w:val="98"/>
              <w:ind w:left="-105" w:right="-105"/>
              <w:rPr>
                <w:rFonts w:eastAsia="宋体"/>
                <w:color w:val="auto"/>
                <w:sz w:val="21"/>
                <w:szCs w:val="21"/>
                <w:highlight w:val="none"/>
              </w:rPr>
            </w:pPr>
            <w:r>
              <w:rPr>
                <w:rFonts w:eastAsia="宋体"/>
                <w:color w:val="auto"/>
                <w:sz w:val="21"/>
                <w:szCs w:val="21"/>
                <w:highlight w:val="none"/>
              </w:rPr>
              <w:t>5</w:t>
            </w:r>
          </w:p>
        </w:tc>
        <w:tc>
          <w:tcPr>
            <w:tcW w:w="1134" w:type="pct"/>
            <w:vAlign w:val="center"/>
          </w:tcPr>
          <w:p w14:paraId="49CD267A">
            <w:pPr>
              <w:pStyle w:val="98"/>
              <w:ind w:left="-105" w:right="-105"/>
              <w:rPr>
                <w:rFonts w:eastAsia="宋体"/>
                <w:color w:val="auto"/>
                <w:sz w:val="21"/>
                <w:szCs w:val="21"/>
                <w:highlight w:val="none"/>
              </w:rPr>
            </w:pPr>
            <w:r>
              <w:rPr>
                <w:rFonts w:eastAsia="宋体"/>
                <w:color w:val="auto"/>
                <w:position w:val="2"/>
                <w:sz w:val="21"/>
                <w:szCs w:val="21"/>
                <w:highlight w:val="none"/>
                <w:lang w:val="en-US"/>
              </w:rPr>
              <w:t>总氮</w:t>
            </w:r>
          </w:p>
        </w:tc>
        <w:tc>
          <w:tcPr>
            <w:tcW w:w="833" w:type="pct"/>
            <w:vMerge w:val="continue"/>
            <w:vAlign w:val="center"/>
          </w:tcPr>
          <w:p w14:paraId="4A0627EA">
            <w:pPr>
              <w:ind w:left="-105" w:right="-105"/>
              <w:jc w:val="center"/>
              <w:rPr>
                <w:rFonts w:ascii="Times New Roman" w:hAnsi="Times New Roman" w:cs="Times New Roman"/>
                <w:color w:val="auto"/>
                <w:sz w:val="21"/>
                <w:szCs w:val="21"/>
                <w:highlight w:val="none"/>
              </w:rPr>
            </w:pPr>
          </w:p>
        </w:tc>
        <w:tc>
          <w:tcPr>
            <w:tcW w:w="814" w:type="pct"/>
            <w:vAlign w:val="center"/>
          </w:tcPr>
          <w:p w14:paraId="06BBA505">
            <w:pPr>
              <w:pStyle w:val="98"/>
              <w:ind w:left="-105" w:right="-105"/>
              <w:rPr>
                <w:rFonts w:eastAsia="宋体"/>
                <w:color w:val="auto"/>
                <w:sz w:val="21"/>
                <w:szCs w:val="21"/>
                <w:highlight w:val="none"/>
              </w:rPr>
            </w:pPr>
            <w:r>
              <w:rPr>
                <w:rFonts w:eastAsia="宋体"/>
                <w:color w:val="auto"/>
                <w:sz w:val="21"/>
                <w:szCs w:val="21"/>
                <w:highlight w:val="none"/>
              </w:rPr>
              <w:t>≤1.0</w:t>
            </w:r>
          </w:p>
        </w:tc>
        <w:tc>
          <w:tcPr>
            <w:tcW w:w="1706" w:type="pct"/>
            <w:vMerge w:val="continue"/>
            <w:vAlign w:val="center"/>
          </w:tcPr>
          <w:p w14:paraId="6D9AA223">
            <w:pPr>
              <w:ind w:left="-105" w:right="-105"/>
              <w:jc w:val="center"/>
              <w:rPr>
                <w:rFonts w:ascii="Times New Roman" w:hAnsi="Times New Roman" w:cs="Times New Roman"/>
                <w:color w:val="auto"/>
                <w:sz w:val="21"/>
                <w:szCs w:val="21"/>
                <w:highlight w:val="none"/>
              </w:rPr>
            </w:pPr>
          </w:p>
        </w:tc>
      </w:tr>
      <w:tr w14:paraId="5B504C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6" w:hRule="atLeast"/>
          <w:jc w:val="center"/>
        </w:trPr>
        <w:tc>
          <w:tcPr>
            <w:tcW w:w="512" w:type="pct"/>
            <w:vAlign w:val="center"/>
          </w:tcPr>
          <w:p w14:paraId="4DABEC5A">
            <w:pPr>
              <w:pStyle w:val="98"/>
              <w:ind w:left="-105" w:right="-105"/>
              <w:rPr>
                <w:rFonts w:eastAsia="宋体"/>
                <w:color w:val="auto"/>
                <w:sz w:val="21"/>
                <w:szCs w:val="21"/>
                <w:highlight w:val="none"/>
              </w:rPr>
            </w:pPr>
            <w:r>
              <w:rPr>
                <w:rFonts w:eastAsia="宋体"/>
                <w:color w:val="auto"/>
                <w:sz w:val="21"/>
                <w:szCs w:val="21"/>
                <w:highlight w:val="none"/>
              </w:rPr>
              <w:t>6</w:t>
            </w:r>
          </w:p>
        </w:tc>
        <w:tc>
          <w:tcPr>
            <w:tcW w:w="1134" w:type="pct"/>
            <w:vAlign w:val="center"/>
          </w:tcPr>
          <w:p w14:paraId="238E7604">
            <w:pPr>
              <w:pStyle w:val="98"/>
              <w:ind w:left="-105" w:right="-105"/>
              <w:rPr>
                <w:rFonts w:eastAsia="宋体"/>
                <w:color w:val="auto"/>
                <w:sz w:val="21"/>
                <w:szCs w:val="21"/>
                <w:highlight w:val="none"/>
              </w:rPr>
            </w:pPr>
            <w:r>
              <w:rPr>
                <w:rFonts w:eastAsia="宋体"/>
                <w:color w:val="auto"/>
                <w:sz w:val="21"/>
                <w:szCs w:val="21"/>
                <w:highlight w:val="none"/>
              </w:rPr>
              <w:t>总磷</w:t>
            </w:r>
          </w:p>
        </w:tc>
        <w:tc>
          <w:tcPr>
            <w:tcW w:w="833" w:type="pct"/>
            <w:vMerge w:val="continue"/>
            <w:vAlign w:val="center"/>
          </w:tcPr>
          <w:p w14:paraId="5B6FC133">
            <w:pPr>
              <w:ind w:left="-105" w:right="-105"/>
              <w:jc w:val="center"/>
              <w:rPr>
                <w:rFonts w:ascii="Times New Roman" w:hAnsi="Times New Roman" w:cs="Times New Roman"/>
                <w:color w:val="auto"/>
                <w:sz w:val="21"/>
                <w:szCs w:val="21"/>
                <w:highlight w:val="none"/>
              </w:rPr>
            </w:pPr>
          </w:p>
        </w:tc>
        <w:tc>
          <w:tcPr>
            <w:tcW w:w="814" w:type="pct"/>
            <w:vAlign w:val="center"/>
          </w:tcPr>
          <w:p w14:paraId="52E469FF">
            <w:pPr>
              <w:pStyle w:val="98"/>
              <w:ind w:left="-105" w:right="-105"/>
              <w:rPr>
                <w:rFonts w:eastAsia="宋体"/>
                <w:color w:val="auto"/>
                <w:sz w:val="21"/>
                <w:szCs w:val="21"/>
                <w:highlight w:val="none"/>
              </w:rPr>
            </w:pPr>
            <w:r>
              <w:rPr>
                <w:rFonts w:eastAsia="宋体"/>
                <w:color w:val="auto"/>
                <w:sz w:val="21"/>
                <w:szCs w:val="21"/>
                <w:highlight w:val="none"/>
              </w:rPr>
              <w:t>≤0.2</w:t>
            </w:r>
          </w:p>
        </w:tc>
        <w:tc>
          <w:tcPr>
            <w:tcW w:w="1706" w:type="pct"/>
            <w:vMerge w:val="continue"/>
            <w:vAlign w:val="center"/>
          </w:tcPr>
          <w:p w14:paraId="435D5B26">
            <w:pPr>
              <w:ind w:left="-105" w:right="-105"/>
              <w:jc w:val="center"/>
              <w:rPr>
                <w:rFonts w:ascii="Times New Roman" w:hAnsi="Times New Roman" w:cs="Times New Roman"/>
                <w:color w:val="auto"/>
                <w:sz w:val="21"/>
                <w:szCs w:val="21"/>
                <w:highlight w:val="none"/>
              </w:rPr>
            </w:pPr>
          </w:p>
        </w:tc>
      </w:tr>
    </w:tbl>
    <w:p w14:paraId="11E4425D">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（3）地下水质量标准</w:t>
      </w:r>
    </w:p>
    <w:p w14:paraId="132542A2">
      <w:pPr>
        <w:tabs>
          <w:tab w:val="left" w:pos="993"/>
          <w:tab w:val="left" w:pos="1276"/>
        </w:tabs>
        <w:spacing w:line="360" w:lineRule="auto"/>
        <w:ind w:left="-105" w:right="-105" w:firstLine="480"/>
        <w:rPr>
          <w:rFonts w:ascii="Times New Roman" w:hAnsi="Times New Roman" w:cs="Times New Roman"/>
          <w:color w:val="auto"/>
          <w:highlight w:val="none"/>
        </w:rPr>
      </w:pPr>
      <w:r>
        <w:rPr>
          <w:rFonts w:ascii="Times New Roman" w:hAnsi="Times New Roman"/>
          <w:color w:val="auto"/>
          <w:highlight w:val="none"/>
        </w:rPr>
        <w:t>拟建项目所在地地下水未划分环境功能，区域地下水按《地下水环境质量标准》（GB/T14848-2017）评价，主要指标见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_Ref17722760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5</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p>
    <w:p w14:paraId="262CE57D">
      <w:pPr>
        <w:pStyle w:val="15"/>
        <w:spacing w:line="360" w:lineRule="auto"/>
        <w:ind w:left="-105" w:right="-105" w:firstLine="482"/>
        <w:rPr>
          <w:rFonts w:eastAsia="宋体" w:cs="Times New Roman"/>
          <w:color w:val="auto"/>
          <w:sz w:val="24"/>
          <w:szCs w:val="24"/>
          <w:highlight w:val="none"/>
        </w:rPr>
      </w:pPr>
      <w:bookmarkStart w:id="129" w:name="_Ref1772276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w:t>
      </w:r>
      <w:r>
        <w:rPr>
          <w:rFonts w:eastAsia="宋体" w:cs="Times New Roman"/>
          <w:color w:val="auto"/>
          <w:sz w:val="24"/>
          <w:szCs w:val="18"/>
          <w:highlight w:val="none"/>
        </w:rPr>
        <w:fldChar w:fldCharType="end"/>
      </w:r>
      <w:bookmarkEnd w:id="129"/>
      <w:r>
        <w:rPr>
          <w:rFonts w:eastAsia="宋体" w:cs="Times New Roman"/>
          <w:color w:val="auto"/>
          <w:sz w:val="24"/>
          <w:szCs w:val="21"/>
          <w:highlight w:val="none"/>
        </w:rPr>
        <w:t>地下水质</w:t>
      </w:r>
      <w:r>
        <w:rPr>
          <w:rFonts w:eastAsia="宋体" w:cs="Times New Roman"/>
          <w:color w:val="auto"/>
          <w:spacing w:val="2"/>
          <w:sz w:val="24"/>
          <w:szCs w:val="21"/>
          <w:highlight w:val="none"/>
        </w:rPr>
        <w:t>量</w:t>
      </w:r>
      <w:r>
        <w:rPr>
          <w:rFonts w:eastAsia="宋体" w:cs="Times New Roman"/>
          <w:color w:val="auto"/>
          <w:sz w:val="24"/>
          <w:szCs w:val="21"/>
          <w:highlight w:val="none"/>
        </w:rPr>
        <w:t>标准</w:t>
      </w:r>
      <w:r>
        <w:rPr>
          <w:rFonts w:eastAsia="宋体"/>
          <w:color w:val="auto"/>
          <w:sz w:val="24"/>
          <w:szCs w:val="21"/>
          <w:highlight w:val="none"/>
        </w:rPr>
        <w:t>（单位</w:t>
      </w:r>
      <w:r>
        <w:rPr>
          <w:rFonts w:eastAsia="宋体"/>
          <w:color w:val="auto"/>
          <w:sz w:val="21"/>
          <w:szCs w:val="21"/>
          <w:highlight w:val="none"/>
        </w:rPr>
        <w:t>mg/L</w:t>
      </w:r>
      <w:r>
        <w:rPr>
          <w:rFonts w:eastAsia="宋体"/>
          <w:color w:val="auto"/>
          <w:sz w:val="24"/>
          <w:szCs w:val="21"/>
          <w:highlight w:val="none"/>
        </w:rPr>
        <w:t>，pH值</w:t>
      </w:r>
      <w:r>
        <w:rPr>
          <w:rFonts w:eastAsia="宋体"/>
          <w:color w:val="auto"/>
          <w:spacing w:val="2"/>
          <w:sz w:val="24"/>
          <w:szCs w:val="21"/>
          <w:highlight w:val="none"/>
        </w:rPr>
        <w:t>除</w:t>
      </w:r>
      <w:r>
        <w:rPr>
          <w:rFonts w:eastAsia="宋体"/>
          <w:color w:val="auto"/>
          <w:sz w:val="24"/>
          <w:szCs w:val="21"/>
          <w:highlight w:val="none"/>
        </w:rPr>
        <w:t>外）</w:t>
      </w:r>
    </w:p>
    <w:tbl>
      <w:tblPr>
        <w:tblStyle w:val="45"/>
        <w:tblW w:w="8505"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07"/>
        <w:gridCol w:w="1704"/>
        <w:gridCol w:w="1024"/>
        <w:gridCol w:w="1024"/>
        <w:gridCol w:w="1025"/>
        <w:gridCol w:w="1622"/>
        <w:gridCol w:w="1299"/>
      </w:tblGrid>
      <w:tr w14:paraId="3766A0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tblHeader/>
          <w:jc w:val="center"/>
        </w:trPr>
        <w:tc>
          <w:tcPr>
            <w:tcW w:w="825" w:type="dxa"/>
            <w:vMerge w:val="restart"/>
            <w:vAlign w:val="center"/>
          </w:tcPr>
          <w:p w14:paraId="5F01E41F">
            <w:pPr>
              <w:pStyle w:val="98"/>
              <w:ind w:left="-105" w:right="-105"/>
              <w:rPr>
                <w:rFonts w:eastAsia="宋体"/>
                <w:b/>
                <w:bCs/>
                <w:color w:val="auto"/>
                <w:sz w:val="21"/>
                <w:szCs w:val="21"/>
                <w:highlight w:val="none"/>
              </w:rPr>
            </w:pPr>
            <w:bookmarkStart w:id="130" w:name="_Hlk17722772"/>
            <w:r>
              <w:rPr>
                <w:rFonts w:eastAsia="宋体"/>
                <w:b/>
                <w:bCs/>
                <w:color w:val="auto"/>
                <w:sz w:val="21"/>
                <w:szCs w:val="21"/>
                <w:highlight w:val="none"/>
              </w:rPr>
              <w:t>序号</w:t>
            </w:r>
          </w:p>
        </w:tc>
        <w:tc>
          <w:tcPr>
            <w:tcW w:w="1750" w:type="dxa"/>
            <w:vMerge w:val="restart"/>
            <w:vAlign w:val="center"/>
          </w:tcPr>
          <w:p w14:paraId="18845015">
            <w:pPr>
              <w:pStyle w:val="98"/>
              <w:ind w:left="-105" w:right="-105"/>
              <w:rPr>
                <w:rFonts w:eastAsia="宋体"/>
                <w:b/>
                <w:bCs/>
                <w:color w:val="auto"/>
                <w:sz w:val="21"/>
                <w:szCs w:val="21"/>
                <w:highlight w:val="none"/>
              </w:rPr>
            </w:pPr>
            <w:r>
              <w:rPr>
                <w:rFonts w:eastAsia="宋体"/>
                <w:b/>
                <w:bCs/>
                <w:color w:val="auto"/>
                <w:sz w:val="21"/>
                <w:szCs w:val="21"/>
                <w:highlight w:val="none"/>
              </w:rPr>
              <w:t>评价因子</w:t>
            </w:r>
          </w:p>
        </w:tc>
        <w:tc>
          <w:tcPr>
            <w:tcW w:w="6145" w:type="dxa"/>
            <w:gridSpan w:val="5"/>
            <w:vAlign w:val="center"/>
          </w:tcPr>
          <w:p w14:paraId="3E6C1CD1">
            <w:pPr>
              <w:pStyle w:val="98"/>
              <w:ind w:left="-105" w:right="-105"/>
              <w:rPr>
                <w:rFonts w:eastAsia="宋体"/>
                <w:b/>
                <w:bCs/>
                <w:color w:val="auto"/>
                <w:sz w:val="21"/>
                <w:szCs w:val="21"/>
                <w:highlight w:val="none"/>
              </w:rPr>
            </w:pPr>
            <w:r>
              <w:rPr>
                <w:rFonts w:eastAsia="宋体"/>
                <w:b/>
                <w:bCs/>
                <w:color w:val="auto"/>
                <w:sz w:val="21"/>
                <w:szCs w:val="21"/>
                <w:highlight w:val="none"/>
              </w:rPr>
              <w:t>标准值</w:t>
            </w:r>
          </w:p>
        </w:tc>
      </w:tr>
      <w:tr w14:paraId="69389F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tblHeader/>
          <w:jc w:val="center"/>
        </w:trPr>
        <w:tc>
          <w:tcPr>
            <w:tcW w:w="825" w:type="dxa"/>
            <w:vMerge w:val="continue"/>
            <w:vAlign w:val="center"/>
          </w:tcPr>
          <w:p w14:paraId="323EB6F2">
            <w:pPr>
              <w:ind w:left="-105" w:right="-105"/>
              <w:jc w:val="center"/>
              <w:rPr>
                <w:rFonts w:ascii="Times New Roman" w:hAnsi="Times New Roman" w:cs="Times New Roman"/>
                <w:b/>
                <w:bCs/>
                <w:color w:val="auto"/>
                <w:sz w:val="21"/>
                <w:szCs w:val="21"/>
                <w:highlight w:val="none"/>
              </w:rPr>
            </w:pPr>
          </w:p>
        </w:tc>
        <w:tc>
          <w:tcPr>
            <w:tcW w:w="1750" w:type="dxa"/>
            <w:vMerge w:val="continue"/>
            <w:vAlign w:val="center"/>
          </w:tcPr>
          <w:p w14:paraId="6F7B3A98">
            <w:pPr>
              <w:ind w:left="-105" w:right="-105"/>
              <w:jc w:val="center"/>
              <w:rPr>
                <w:rFonts w:ascii="Times New Roman" w:hAnsi="Times New Roman" w:cs="Times New Roman"/>
                <w:b/>
                <w:bCs/>
                <w:color w:val="auto"/>
                <w:sz w:val="21"/>
                <w:szCs w:val="21"/>
                <w:highlight w:val="none"/>
              </w:rPr>
            </w:pPr>
          </w:p>
        </w:tc>
        <w:tc>
          <w:tcPr>
            <w:tcW w:w="1049" w:type="dxa"/>
            <w:vAlign w:val="center"/>
          </w:tcPr>
          <w:p w14:paraId="1CC93408">
            <w:pPr>
              <w:pStyle w:val="98"/>
              <w:ind w:left="-105" w:right="-105"/>
              <w:rPr>
                <w:rFonts w:eastAsia="宋体"/>
                <w:b/>
                <w:bCs/>
                <w:color w:val="auto"/>
                <w:sz w:val="21"/>
                <w:szCs w:val="21"/>
                <w:highlight w:val="none"/>
              </w:rPr>
            </w:pPr>
            <w:r>
              <w:rPr>
                <w:rFonts w:eastAsia="宋体"/>
                <w:b/>
                <w:bCs/>
                <w:color w:val="auto"/>
                <w:sz w:val="21"/>
                <w:szCs w:val="21"/>
                <w:highlight w:val="none"/>
              </w:rPr>
              <w:t>Ⅰ类</w:t>
            </w:r>
          </w:p>
        </w:tc>
        <w:tc>
          <w:tcPr>
            <w:tcW w:w="1049" w:type="dxa"/>
            <w:vAlign w:val="center"/>
          </w:tcPr>
          <w:p w14:paraId="512B4ACB">
            <w:pPr>
              <w:pStyle w:val="98"/>
              <w:ind w:left="-105" w:right="-105"/>
              <w:rPr>
                <w:rFonts w:eastAsia="宋体"/>
                <w:b/>
                <w:bCs/>
                <w:color w:val="auto"/>
                <w:sz w:val="21"/>
                <w:szCs w:val="21"/>
                <w:highlight w:val="none"/>
              </w:rPr>
            </w:pPr>
            <w:r>
              <w:rPr>
                <w:rFonts w:eastAsia="宋体"/>
                <w:b/>
                <w:bCs/>
                <w:color w:val="auto"/>
                <w:sz w:val="21"/>
                <w:szCs w:val="21"/>
                <w:highlight w:val="none"/>
              </w:rPr>
              <w:t>Ⅱ类</w:t>
            </w:r>
          </w:p>
        </w:tc>
        <w:tc>
          <w:tcPr>
            <w:tcW w:w="1050" w:type="dxa"/>
            <w:vAlign w:val="center"/>
          </w:tcPr>
          <w:p w14:paraId="1284E608">
            <w:pPr>
              <w:pStyle w:val="98"/>
              <w:ind w:left="-105" w:right="-105"/>
              <w:rPr>
                <w:rFonts w:eastAsia="宋体"/>
                <w:b/>
                <w:bCs/>
                <w:color w:val="auto"/>
                <w:sz w:val="21"/>
                <w:szCs w:val="21"/>
                <w:highlight w:val="none"/>
              </w:rPr>
            </w:pPr>
            <w:r>
              <w:rPr>
                <w:rFonts w:eastAsia="宋体"/>
                <w:b/>
                <w:bCs/>
                <w:color w:val="auto"/>
                <w:sz w:val="21"/>
                <w:szCs w:val="21"/>
                <w:highlight w:val="none"/>
              </w:rPr>
              <w:t>Ⅲ类</w:t>
            </w:r>
          </w:p>
        </w:tc>
        <w:tc>
          <w:tcPr>
            <w:tcW w:w="1665" w:type="dxa"/>
            <w:vAlign w:val="center"/>
          </w:tcPr>
          <w:p w14:paraId="2019F8AB">
            <w:pPr>
              <w:pStyle w:val="98"/>
              <w:ind w:left="-105" w:right="-105"/>
              <w:rPr>
                <w:rFonts w:eastAsia="宋体"/>
                <w:b/>
                <w:bCs/>
                <w:color w:val="auto"/>
                <w:sz w:val="21"/>
                <w:szCs w:val="21"/>
                <w:highlight w:val="none"/>
              </w:rPr>
            </w:pPr>
            <w:r>
              <w:rPr>
                <w:rFonts w:eastAsia="宋体"/>
                <w:b/>
                <w:bCs/>
                <w:color w:val="auto"/>
                <w:sz w:val="21"/>
                <w:szCs w:val="21"/>
                <w:highlight w:val="none"/>
              </w:rPr>
              <w:t>Ⅳ类</w:t>
            </w:r>
          </w:p>
        </w:tc>
        <w:tc>
          <w:tcPr>
            <w:tcW w:w="1332" w:type="dxa"/>
            <w:vAlign w:val="center"/>
          </w:tcPr>
          <w:p w14:paraId="2DCF07A8">
            <w:pPr>
              <w:pStyle w:val="98"/>
              <w:ind w:left="-105" w:right="-105"/>
              <w:rPr>
                <w:rFonts w:eastAsia="宋体"/>
                <w:b/>
                <w:bCs/>
                <w:color w:val="auto"/>
                <w:sz w:val="21"/>
                <w:szCs w:val="21"/>
                <w:highlight w:val="none"/>
              </w:rPr>
            </w:pPr>
            <w:r>
              <w:rPr>
                <w:rFonts w:eastAsia="宋体"/>
                <w:b/>
                <w:bCs/>
                <w:color w:val="auto"/>
                <w:sz w:val="21"/>
                <w:szCs w:val="21"/>
                <w:highlight w:val="none"/>
              </w:rPr>
              <w:t>Ⅴ类</w:t>
            </w:r>
          </w:p>
        </w:tc>
      </w:tr>
      <w:tr w14:paraId="13F98B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A0CBF77">
            <w:pPr>
              <w:pStyle w:val="98"/>
              <w:numPr>
                <w:ilvl w:val="0"/>
                <w:numId w:val="12"/>
              </w:numPr>
              <w:ind w:left="-105" w:right="-105" w:firstLine="0"/>
              <w:rPr>
                <w:rFonts w:eastAsia="宋体"/>
                <w:color w:val="auto"/>
                <w:sz w:val="21"/>
                <w:szCs w:val="21"/>
                <w:highlight w:val="none"/>
              </w:rPr>
            </w:pPr>
          </w:p>
        </w:tc>
        <w:tc>
          <w:tcPr>
            <w:tcW w:w="1750" w:type="dxa"/>
            <w:vAlign w:val="center"/>
          </w:tcPr>
          <w:p w14:paraId="76E53D5D">
            <w:pPr>
              <w:pStyle w:val="98"/>
              <w:ind w:left="-105" w:right="-105"/>
              <w:rPr>
                <w:rFonts w:eastAsia="宋体"/>
                <w:color w:val="auto"/>
                <w:sz w:val="21"/>
                <w:szCs w:val="21"/>
                <w:highlight w:val="none"/>
              </w:rPr>
            </w:pPr>
            <w:r>
              <w:rPr>
                <w:rFonts w:eastAsia="宋体"/>
                <w:color w:val="auto"/>
                <w:sz w:val="21"/>
                <w:szCs w:val="21"/>
                <w:highlight w:val="none"/>
              </w:rPr>
              <w:t>pH</w:t>
            </w:r>
          </w:p>
        </w:tc>
        <w:tc>
          <w:tcPr>
            <w:tcW w:w="3148" w:type="dxa"/>
            <w:gridSpan w:val="3"/>
            <w:vAlign w:val="center"/>
          </w:tcPr>
          <w:p w14:paraId="5CEB6A53">
            <w:pPr>
              <w:pStyle w:val="98"/>
              <w:ind w:left="-105" w:right="-105"/>
              <w:rPr>
                <w:rFonts w:eastAsia="宋体"/>
                <w:color w:val="auto"/>
                <w:sz w:val="21"/>
                <w:szCs w:val="21"/>
                <w:highlight w:val="none"/>
              </w:rPr>
            </w:pPr>
            <w:r>
              <w:rPr>
                <w:rFonts w:eastAsia="宋体"/>
                <w:color w:val="auto"/>
                <w:sz w:val="21"/>
                <w:szCs w:val="21"/>
                <w:highlight w:val="none"/>
              </w:rPr>
              <w:t>6.5≤</w:t>
            </w:r>
            <w:r>
              <w:rPr>
                <w:rFonts w:hint="eastAsia" w:eastAsia="宋体"/>
                <w:color w:val="auto"/>
                <w:sz w:val="21"/>
                <w:szCs w:val="21"/>
                <w:highlight w:val="none"/>
              </w:rPr>
              <w:t>p</w:t>
            </w:r>
            <w:r>
              <w:rPr>
                <w:rFonts w:eastAsia="宋体"/>
                <w:color w:val="auto"/>
                <w:sz w:val="21"/>
                <w:szCs w:val="21"/>
                <w:highlight w:val="none"/>
              </w:rPr>
              <w:t>H≤8.5</w:t>
            </w:r>
          </w:p>
        </w:tc>
        <w:tc>
          <w:tcPr>
            <w:tcW w:w="1665" w:type="dxa"/>
            <w:vAlign w:val="center"/>
          </w:tcPr>
          <w:p w14:paraId="439FD3FF">
            <w:pPr>
              <w:pStyle w:val="98"/>
              <w:ind w:left="-105" w:right="-105"/>
              <w:rPr>
                <w:rFonts w:eastAsia="宋体"/>
                <w:color w:val="auto"/>
                <w:sz w:val="21"/>
                <w:szCs w:val="21"/>
                <w:highlight w:val="none"/>
              </w:rPr>
            </w:pPr>
            <w:r>
              <w:rPr>
                <w:rFonts w:eastAsia="宋体"/>
                <w:color w:val="auto"/>
                <w:sz w:val="21"/>
                <w:szCs w:val="21"/>
                <w:highlight w:val="none"/>
              </w:rPr>
              <w:t>5.5≤pH＜6.5，8.5＜pH≤9.0</w:t>
            </w:r>
          </w:p>
        </w:tc>
        <w:tc>
          <w:tcPr>
            <w:tcW w:w="1332" w:type="dxa"/>
            <w:vAlign w:val="center"/>
          </w:tcPr>
          <w:p w14:paraId="3E7AC49B">
            <w:pPr>
              <w:pStyle w:val="98"/>
              <w:ind w:left="-105" w:right="-105"/>
              <w:rPr>
                <w:rFonts w:eastAsia="宋体"/>
                <w:color w:val="auto"/>
                <w:sz w:val="21"/>
                <w:szCs w:val="21"/>
                <w:highlight w:val="none"/>
              </w:rPr>
            </w:pPr>
            <w:r>
              <w:rPr>
                <w:rFonts w:eastAsia="宋体"/>
                <w:color w:val="auto"/>
                <w:sz w:val="21"/>
                <w:szCs w:val="21"/>
                <w:highlight w:val="none"/>
              </w:rPr>
              <w:t>pH＜5.5或</w:t>
            </w:r>
          </w:p>
          <w:p w14:paraId="33D8C76D">
            <w:pPr>
              <w:pStyle w:val="98"/>
              <w:ind w:left="-105" w:right="-105"/>
              <w:rPr>
                <w:rFonts w:eastAsia="宋体"/>
                <w:color w:val="auto"/>
                <w:sz w:val="21"/>
                <w:szCs w:val="21"/>
                <w:highlight w:val="none"/>
              </w:rPr>
            </w:pPr>
            <w:r>
              <w:rPr>
                <w:rFonts w:eastAsia="宋体"/>
                <w:color w:val="auto"/>
                <w:sz w:val="21"/>
                <w:szCs w:val="21"/>
                <w:highlight w:val="none"/>
              </w:rPr>
              <w:t>pH＞9.0</w:t>
            </w:r>
          </w:p>
        </w:tc>
      </w:tr>
      <w:tr w14:paraId="0D4FFC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1100B45">
            <w:pPr>
              <w:pStyle w:val="98"/>
              <w:numPr>
                <w:ilvl w:val="0"/>
                <w:numId w:val="12"/>
              </w:numPr>
              <w:ind w:left="-105" w:right="-105" w:firstLine="0"/>
              <w:rPr>
                <w:rFonts w:eastAsia="宋体"/>
                <w:color w:val="auto"/>
                <w:sz w:val="21"/>
                <w:szCs w:val="21"/>
                <w:highlight w:val="none"/>
              </w:rPr>
            </w:pPr>
          </w:p>
        </w:tc>
        <w:tc>
          <w:tcPr>
            <w:tcW w:w="1750" w:type="dxa"/>
            <w:vAlign w:val="center"/>
          </w:tcPr>
          <w:p w14:paraId="49102231">
            <w:pPr>
              <w:pStyle w:val="98"/>
              <w:ind w:left="-105" w:right="-105"/>
              <w:rPr>
                <w:rFonts w:eastAsia="宋体"/>
                <w:color w:val="auto"/>
                <w:sz w:val="21"/>
                <w:szCs w:val="21"/>
                <w:highlight w:val="none"/>
              </w:rPr>
            </w:pPr>
            <w:r>
              <w:rPr>
                <w:rFonts w:eastAsia="宋体"/>
                <w:color w:val="auto"/>
                <w:sz w:val="21"/>
                <w:szCs w:val="21"/>
                <w:highlight w:val="none"/>
              </w:rPr>
              <w:t>钠</w:t>
            </w:r>
          </w:p>
        </w:tc>
        <w:tc>
          <w:tcPr>
            <w:tcW w:w="1049" w:type="dxa"/>
            <w:vAlign w:val="center"/>
          </w:tcPr>
          <w:p w14:paraId="056E6D8B">
            <w:pPr>
              <w:pStyle w:val="98"/>
              <w:ind w:left="-105" w:right="-105"/>
              <w:rPr>
                <w:rFonts w:eastAsia="宋体"/>
                <w:color w:val="auto"/>
                <w:sz w:val="21"/>
                <w:szCs w:val="21"/>
                <w:highlight w:val="none"/>
              </w:rPr>
            </w:pPr>
            <w:r>
              <w:rPr>
                <w:rFonts w:eastAsia="宋体"/>
                <w:color w:val="auto"/>
                <w:sz w:val="21"/>
                <w:szCs w:val="21"/>
                <w:highlight w:val="none"/>
              </w:rPr>
              <w:t>≤100</w:t>
            </w:r>
          </w:p>
        </w:tc>
        <w:tc>
          <w:tcPr>
            <w:tcW w:w="1049" w:type="dxa"/>
            <w:vAlign w:val="center"/>
          </w:tcPr>
          <w:p w14:paraId="321ACC3B">
            <w:pPr>
              <w:pStyle w:val="98"/>
              <w:ind w:left="-105" w:right="-105"/>
              <w:rPr>
                <w:rFonts w:eastAsia="宋体"/>
                <w:color w:val="auto"/>
                <w:sz w:val="21"/>
                <w:szCs w:val="21"/>
                <w:highlight w:val="none"/>
              </w:rPr>
            </w:pPr>
            <w:r>
              <w:rPr>
                <w:rFonts w:eastAsia="宋体"/>
                <w:color w:val="auto"/>
                <w:sz w:val="21"/>
                <w:szCs w:val="21"/>
                <w:highlight w:val="none"/>
              </w:rPr>
              <w:t>≤150</w:t>
            </w:r>
          </w:p>
        </w:tc>
        <w:tc>
          <w:tcPr>
            <w:tcW w:w="1050" w:type="dxa"/>
            <w:vAlign w:val="center"/>
          </w:tcPr>
          <w:p w14:paraId="4E4FFA61">
            <w:pPr>
              <w:pStyle w:val="98"/>
              <w:ind w:left="-105" w:right="-105"/>
              <w:rPr>
                <w:rFonts w:eastAsia="宋体"/>
                <w:color w:val="auto"/>
                <w:sz w:val="21"/>
                <w:szCs w:val="21"/>
                <w:highlight w:val="none"/>
              </w:rPr>
            </w:pPr>
            <w:r>
              <w:rPr>
                <w:rFonts w:eastAsia="宋体"/>
                <w:color w:val="auto"/>
                <w:sz w:val="21"/>
                <w:szCs w:val="21"/>
                <w:highlight w:val="none"/>
              </w:rPr>
              <w:t>≤200</w:t>
            </w:r>
          </w:p>
        </w:tc>
        <w:tc>
          <w:tcPr>
            <w:tcW w:w="1665" w:type="dxa"/>
            <w:vAlign w:val="center"/>
          </w:tcPr>
          <w:p w14:paraId="68418EE1">
            <w:pPr>
              <w:pStyle w:val="98"/>
              <w:ind w:left="-105" w:right="-105"/>
              <w:rPr>
                <w:rFonts w:eastAsia="宋体"/>
                <w:color w:val="auto"/>
                <w:sz w:val="21"/>
                <w:szCs w:val="21"/>
                <w:highlight w:val="none"/>
              </w:rPr>
            </w:pPr>
            <w:r>
              <w:rPr>
                <w:rFonts w:eastAsia="宋体"/>
                <w:color w:val="auto"/>
                <w:sz w:val="21"/>
                <w:szCs w:val="21"/>
                <w:highlight w:val="none"/>
              </w:rPr>
              <w:t>≤400</w:t>
            </w:r>
          </w:p>
        </w:tc>
        <w:tc>
          <w:tcPr>
            <w:tcW w:w="1332" w:type="dxa"/>
            <w:vAlign w:val="center"/>
          </w:tcPr>
          <w:p w14:paraId="6DF2CC32">
            <w:pPr>
              <w:pStyle w:val="98"/>
              <w:ind w:left="-105" w:right="-105"/>
              <w:rPr>
                <w:rFonts w:eastAsia="宋体"/>
                <w:color w:val="auto"/>
                <w:sz w:val="21"/>
                <w:szCs w:val="21"/>
                <w:highlight w:val="none"/>
              </w:rPr>
            </w:pPr>
            <w:r>
              <w:rPr>
                <w:rFonts w:eastAsia="宋体"/>
                <w:color w:val="auto"/>
                <w:sz w:val="21"/>
                <w:szCs w:val="21"/>
                <w:highlight w:val="none"/>
              </w:rPr>
              <w:t>＞400</w:t>
            </w:r>
          </w:p>
        </w:tc>
      </w:tr>
      <w:tr w14:paraId="61931C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C61C8A6">
            <w:pPr>
              <w:pStyle w:val="98"/>
              <w:numPr>
                <w:ilvl w:val="0"/>
                <w:numId w:val="12"/>
              </w:numPr>
              <w:ind w:left="-105" w:right="-105" w:firstLine="0"/>
              <w:rPr>
                <w:rFonts w:eastAsia="宋体"/>
                <w:color w:val="auto"/>
                <w:sz w:val="21"/>
                <w:szCs w:val="21"/>
                <w:highlight w:val="none"/>
              </w:rPr>
            </w:pPr>
          </w:p>
        </w:tc>
        <w:tc>
          <w:tcPr>
            <w:tcW w:w="1750" w:type="dxa"/>
            <w:vAlign w:val="center"/>
          </w:tcPr>
          <w:p w14:paraId="63C595D7">
            <w:pPr>
              <w:pStyle w:val="98"/>
              <w:ind w:left="-105" w:right="-105"/>
              <w:rPr>
                <w:rFonts w:eastAsia="宋体"/>
                <w:color w:val="auto"/>
                <w:sz w:val="21"/>
                <w:szCs w:val="21"/>
                <w:highlight w:val="none"/>
              </w:rPr>
            </w:pPr>
            <w:r>
              <w:rPr>
                <w:rFonts w:eastAsia="宋体"/>
                <w:color w:val="auto"/>
                <w:sz w:val="21"/>
                <w:szCs w:val="21"/>
                <w:highlight w:val="none"/>
              </w:rPr>
              <w:t>硫酸盐</w:t>
            </w:r>
          </w:p>
        </w:tc>
        <w:tc>
          <w:tcPr>
            <w:tcW w:w="1049" w:type="dxa"/>
            <w:vAlign w:val="center"/>
          </w:tcPr>
          <w:p w14:paraId="53378183">
            <w:pPr>
              <w:pStyle w:val="98"/>
              <w:ind w:left="-105" w:right="-105"/>
              <w:rPr>
                <w:rFonts w:eastAsia="宋体"/>
                <w:color w:val="auto"/>
                <w:sz w:val="21"/>
                <w:szCs w:val="21"/>
                <w:highlight w:val="none"/>
              </w:rPr>
            </w:pPr>
            <w:r>
              <w:rPr>
                <w:rFonts w:eastAsia="宋体"/>
                <w:color w:val="auto"/>
                <w:sz w:val="21"/>
                <w:szCs w:val="21"/>
                <w:highlight w:val="none"/>
              </w:rPr>
              <w:t>≤50</w:t>
            </w:r>
          </w:p>
        </w:tc>
        <w:tc>
          <w:tcPr>
            <w:tcW w:w="1049" w:type="dxa"/>
            <w:vAlign w:val="center"/>
          </w:tcPr>
          <w:p w14:paraId="7E9AB882">
            <w:pPr>
              <w:pStyle w:val="98"/>
              <w:ind w:left="-105" w:right="-105"/>
              <w:rPr>
                <w:rFonts w:eastAsia="宋体"/>
                <w:color w:val="auto"/>
                <w:sz w:val="21"/>
                <w:szCs w:val="21"/>
                <w:highlight w:val="none"/>
              </w:rPr>
            </w:pPr>
            <w:r>
              <w:rPr>
                <w:rFonts w:eastAsia="宋体"/>
                <w:color w:val="auto"/>
                <w:sz w:val="21"/>
                <w:szCs w:val="21"/>
                <w:highlight w:val="none"/>
              </w:rPr>
              <w:t>≤150</w:t>
            </w:r>
          </w:p>
        </w:tc>
        <w:tc>
          <w:tcPr>
            <w:tcW w:w="1050" w:type="dxa"/>
            <w:vAlign w:val="center"/>
          </w:tcPr>
          <w:p w14:paraId="1148CA40">
            <w:pPr>
              <w:pStyle w:val="98"/>
              <w:ind w:left="-105" w:right="-105"/>
              <w:rPr>
                <w:rFonts w:eastAsia="宋体"/>
                <w:color w:val="auto"/>
                <w:sz w:val="21"/>
                <w:szCs w:val="21"/>
                <w:highlight w:val="none"/>
              </w:rPr>
            </w:pPr>
            <w:r>
              <w:rPr>
                <w:rFonts w:eastAsia="宋体"/>
                <w:color w:val="auto"/>
                <w:sz w:val="21"/>
                <w:szCs w:val="21"/>
                <w:highlight w:val="none"/>
              </w:rPr>
              <w:t>≤250</w:t>
            </w:r>
          </w:p>
        </w:tc>
        <w:tc>
          <w:tcPr>
            <w:tcW w:w="1665" w:type="dxa"/>
            <w:vAlign w:val="center"/>
          </w:tcPr>
          <w:p w14:paraId="49896D7F">
            <w:pPr>
              <w:pStyle w:val="98"/>
              <w:ind w:left="-105" w:right="-105"/>
              <w:rPr>
                <w:rFonts w:eastAsia="宋体"/>
                <w:color w:val="auto"/>
                <w:sz w:val="21"/>
                <w:szCs w:val="21"/>
                <w:highlight w:val="none"/>
              </w:rPr>
            </w:pPr>
            <w:r>
              <w:rPr>
                <w:rFonts w:eastAsia="宋体"/>
                <w:color w:val="auto"/>
                <w:sz w:val="21"/>
                <w:szCs w:val="21"/>
                <w:highlight w:val="none"/>
              </w:rPr>
              <w:t>≤350</w:t>
            </w:r>
          </w:p>
        </w:tc>
        <w:tc>
          <w:tcPr>
            <w:tcW w:w="1332" w:type="dxa"/>
            <w:vAlign w:val="center"/>
          </w:tcPr>
          <w:p w14:paraId="0DC8D696">
            <w:pPr>
              <w:pStyle w:val="98"/>
              <w:ind w:left="-105" w:right="-105"/>
              <w:rPr>
                <w:rFonts w:eastAsia="宋体"/>
                <w:color w:val="auto"/>
                <w:sz w:val="21"/>
                <w:szCs w:val="21"/>
                <w:highlight w:val="none"/>
              </w:rPr>
            </w:pPr>
            <w:r>
              <w:rPr>
                <w:rFonts w:eastAsia="宋体"/>
                <w:color w:val="auto"/>
                <w:sz w:val="21"/>
                <w:szCs w:val="21"/>
                <w:highlight w:val="none"/>
              </w:rPr>
              <w:t>＞350</w:t>
            </w:r>
          </w:p>
        </w:tc>
      </w:tr>
      <w:tr w14:paraId="5424F4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C766DB2">
            <w:pPr>
              <w:pStyle w:val="98"/>
              <w:numPr>
                <w:ilvl w:val="0"/>
                <w:numId w:val="12"/>
              </w:numPr>
              <w:ind w:left="-105" w:right="-105" w:firstLine="0"/>
              <w:rPr>
                <w:rFonts w:eastAsia="宋体"/>
                <w:color w:val="auto"/>
                <w:sz w:val="21"/>
                <w:szCs w:val="21"/>
                <w:highlight w:val="none"/>
              </w:rPr>
            </w:pPr>
          </w:p>
        </w:tc>
        <w:tc>
          <w:tcPr>
            <w:tcW w:w="1750" w:type="dxa"/>
            <w:vAlign w:val="center"/>
          </w:tcPr>
          <w:p w14:paraId="2C25ED26">
            <w:pPr>
              <w:pStyle w:val="98"/>
              <w:ind w:left="-105" w:right="-105"/>
              <w:rPr>
                <w:rFonts w:eastAsia="宋体"/>
                <w:color w:val="auto"/>
                <w:sz w:val="21"/>
                <w:szCs w:val="21"/>
                <w:highlight w:val="none"/>
              </w:rPr>
            </w:pPr>
            <w:r>
              <w:rPr>
                <w:rFonts w:eastAsia="宋体"/>
                <w:color w:val="auto"/>
                <w:sz w:val="21"/>
                <w:szCs w:val="21"/>
                <w:highlight w:val="none"/>
              </w:rPr>
              <w:t>氯化物</w:t>
            </w:r>
          </w:p>
        </w:tc>
        <w:tc>
          <w:tcPr>
            <w:tcW w:w="1049" w:type="dxa"/>
            <w:vAlign w:val="center"/>
          </w:tcPr>
          <w:p w14:paraId="07C5DD0D">
            <w:pPr>
              <w:pStyle w:val="98"/>
              <w:ind w:left="-105" w:right="-105"/>
              <w:rPr>
                <w:rFonts w:eastAsia="宋体"/>
                <w:bCs/>
                <w:color w:val="auto"/>
                <w:sz w:val="21"/>
                <w:szCs w:val="21"/>
                <w:highlight w:val="none"/>
              </w:rPr>
            </w:pPr>
            <w:r>
              <w:rPr>
                <w:rFonts w:eastAsia="宋体"/>
                <w:color w:val="auto"/>
                <w:sz w:val="21"/>
                <w:szCs w:val="21"/>
                <w:highlight w:val="none"/>
              </w:rPr>
              <w:t>≤50</w:t>
            </w:r>
          </w:p>
        </w:tc>
        <w:tc>
          <w:tcPr>
            <w:tcW w:w="1049" w:type="dxa"/>
            <w:vAlign w:val="center"/>
          </w:tcPr>
          <w:p w14:paraId="06AAD1D1">
            <w:pPr>
              <w:pStyle w:val="98"/>
              <w:ind w:left="-105" w:right="-105"/>
              <w:rPr>
                <w:rFonts w:eastAsia="宋体"/>
                <w:bCs/>
                <w:color w:val="auto"/>
                <w:sz w:val="21"/>
                <w:szCs w:val="21"/>
                <w:highlight w:val="none"/>
              </w:rPr>
            </w:pPr>
            <w:r>
              <w:rPr>
                <w:rFonts w:eastAsia="宋体"/>
                <w:color w:val="auto"/>
                <w:sz w:val="21"/>
                <w:szCs w:val="21"/>
                <w:highlight w:val="none"/>
              </w:rPr>
              <w:t>≤150</w:t>
            </w:r>
          </w:p>
        </w:tc>
        <w:tc>
          <w:tcPr>
            <w:tcW w:w="1050" w:type="dxa"/>
            <w:vAlign w:val="center"/>
          </w:tcPr>
          <w:p w14:paraId="55F735A9">
            <w:pPr>
              <w:pStyle w:val="98"/>
              <w:ind w:left="-105" w:right="-105"/>
              <w:rPr>
                <w:rFonts w:eastAsia="宋体"/>
                <w:bCs/>
                <w:color w:val="auto"/>
                <w:sz w:val="21"/>
                <w:szCs w:val="21"/>
                <w:highlight w:val="none"/>
              </w:rPr>
            </w:pPr>
            <w:r>
              <w:rPr>
                <w:rFonts w:eastAsia="宋体"/>
                <w:color w:val="auto"/>
                <w:sz w:val="21"/>
                <w:szCs w:val="21"/>
                <w:highlight w:val="none"/>
              </w:rPr>
              <w:t>≤250</w:t>
            </w:r>
          </w:p>
        </w:tc>
        <w:tc>
          <w:tcPr>
            <w:tcW w:w="1665" w:type="dxa"/>
            <w:vAlign w:val="center"/>
          </w:tcPr>
          <w:p w14:paraId="372B9651">
            <w:pPr>
              <w:pStyle w:val="98"/>
              <w:ind w:left="-105" w:right="-105"/>
              <w:rPr>
                <w:rFonts w:eastAsia="宋体"/>
                <w:bCs/>
                <w:color w:val="auto"/>
                <w:sz w:val="21"/>
                <w:szCs w:val="21"/>
                <w:highlight w:val="none"/>
              </w:rPr>
            </w:pPr>
            <w:r>
              <w:rPr>
                <w:rFonts w:eastAsia="宋体"/>
                <w:color w:val="auto"/>
                <w:sz w:val="21"/>
                <w:szCs w:val="21"/>
                <w:highlight w:val="none"/>
              </w:rPr>
              <w:t>≤350</w:t>
            </w:r>
          </w:p>
        </w:tc>
        <w:tc>
          <w:tcPr>
            <w:tcW w:w="1332" w:type="dxa"/>
            <w:vAlign w:val="center"/>
          </w:tcPr>
          <w:p w14:paraId="02422F6C">
            <w:pPr>
              <w:pStyle w:val="98"/>
              <w:ind w:left="-105" w:right="-105"/>
              <w:rPr>
                <w:rFonts w:eastAsia="宋体"/>
                <w:bCs/>
                <w:color w:val="auto"/>
                <w:sz w:val="21"/>
                <w:szCs w:val="21"/>
                <w:highlight w:val="none"/>
              </w:rPr>
            </w:pPr>
            <w:r>
              <w:rPr>
                <w:rFonts w:eastAsia="宋体"/>
                <w:color w:val="auto"/>
                <w:sz w:val="21"/>
                <w:szCs w:val="21"/>
                <w:highlight w:val="none"/>
              </w:rPr>
              <w:t>＞350</w:t>
            </w:r>
          </w:p>
        </w:tc>
      </w:tr>
      <w:tr w14:paraId="547575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B451ABF">
            <w:pPr>
              <w:pStyle w:val="98"/>
              <w:numPr>
                <w:ilvl w:val="0"/>
                <w:numId w:val="12"/>
              </w:numPr>
              <w:ind w:left="-105" w:right="-105" w:firstLine="0"/>
              <w:rPr>
                <w:rFonts w:eastAsia="宋体"/>
                <w:color w:val="auto"/>
                <w:sz w:val="21"/>
                <w:szCs w:val="21"/>
                <w:highlight w:val="none"/>
              </w:rPr>
            </w:pPr>
          </w:p>
        </w:tc>
        <w:tc>
          <w:tcPr>
            <w:tcW w:w="1750" w:type="dxa"/>
            <w:vAlign w:val="center"/>
          </w:tcPr>
          <w:p w14:paraId="305654A2">
            <w:pPr>
              <w:pStyle w:val="98"/>
              <w:ind w:left="-105" w:right="-105"/>
              <w:rPr>
                <w:rFonts w:eastAsia="宋体"/>
                <w:color w:val="auto"/>
                <w:sz w:val="21"/>
                <w:szCs w:val="21"/>
                <w:highlight w:val="none"/>
              </w:rPr>
            </w:pPr>
            <w:r>
              <w:rPr>
                <w:rFonts w:eastAsia="宋体"/>
                <w:color w:val="auto"/>
                <w:sz w:val="21"/>
                <w:szCs w:val="21"/>
                <w:highlight w:val="none"/>
              </w:rPr>
              <w:t>氨氮（以N计）</w:t>
            </w:r>
          </w:p>
        </w:tc>
        <w:tc>
          <w:tcPr>
            <w:tcW w:w="1049" w:type="dxa"/>
            <w:vAlign w:val="center"/>
          </w:tcPr>
          <w:p w14:paraId="211A62B1">
            <w:pPr>
              <w:pStyle w:val="98"/>
              <w:ind w:left="-105" w:right="-105"/>
              <w:rPr>
                <w:rFonts w:eastAsia="宋体"/>
                <w:color w:val="auto"/>
                <w:sz w:val="21"/>
                <w:szCs w:val="21"/>
                <w:highlight w:val="none"/>
              </w:rPr>
            </w:pPr>
            <w:r>
              <w:rPr>
                <w:rFonts w:eastAsia="宋体"/>
                <w:color w:val="auto"/>
                <w:sz w:val="21"/>
                <w:szCs w:val="21"/>
                <w:highlight w:val="none"/>
              </w:rPr>
              <w:t>≤0.02</w:t>
            </w:r>
          </w:p>
        </w:tc>
        <w:tc>
          <w:tcPr>
            <w:tcW w:w="1049" w:type="dxa"/>
            <w:vAlign w:val="center"/>
          </w:tcPr>
          <w:p w14:paraId="1AF9343A">
            <w:pPr>
              <w:pStyle w:val="98"/>
              <w:ind w:left="-105" w:right="-105"/>
              <w:rPr>
                <w:rFonts w:eastAsia="宋体"/>
                <w:color w:val="auto"/>
                <w:sz w:val="21"/>
                <w:szCs w:val="21"/>
                <w:highlight w:val="none"/>
              </w:rPr>
            </w:pPr>
            <w:r>
              <w:rPr>
                <w:rFonts w:eastAsia="宋体"/>
                <w:color w:val="auto"/>
                <w:sz w:val="21"/>
                <w:szCs w:val="21"/>
                <w:highlight w:val="none"/>
              </w:rPr>
              <w:t>≤0.1</w:t>
            </w:r>
          </w:p>
        </w:tc>
        <w:tc>
          <w:tcPr>
            <w:tcW w:w="1050" w:type="dxa"/>
            <w:vAlign w:val="center"/>
          </w:tcPr>
          <w:p w14:paraId="2033DB1E">
            <w:pPr>
              <w:pStyle w:val="98"/>
              <w:ind w:left="-105" w:right="-105"/>
              <w:rPr>
                <w:rFonts w:eastAsia="宋体"/>
                <w:color w:val="auto"/>
                <w:sz w:val="21"/>
                <w:szCs w:val="21"/>
                <w:highlight w:val="none"/>
              </w:rPr>
            </w:pPr>
            <w:r>
              <w:rPr>
                <w:rFonts w:eastAsia="宋体"/>
                <w:color w:val="auto"/>
                <w:sz w:val="21"/>
                <w:szCs w:val="21"/>
                <w:highlight w:val="none"/>
              </w:rPr>
              <w:t>≤0.5</w:t>
            </w:r>
          </w:p>
        </w:tc>
        <w:tc>
          <w:tcPr>
            <w:tcW w:w="1665" w:type="dxa"/>
            <w:vAlign w:val="center"/>
          </w:tcPr>
          <w:p w14:paraId="58180735">
            <w:pPr>
              <w:pStyle w:val="98"/>
              <w:ind w:left="-105" w:right="-105"/>
              <w:rPr>
                <w:rFonts w:eastAsia="宋体"/>
                <w:color w:val="auto"/>
                <w:sz w:val="21"/>
                <w:szCs w:val="21"/>
                <w:highlight w:val="none"/>
              </w:rPr>
            </w:pPr>
            <w:r>
              <w:rPr>
                <w:rFonts w:eastAsia="宋体"/>
                <w:color w:val="auto"/>
                <w:sz w:val="21"/>
                <w:szCs w:val="21"/>
                <w:highlight w:val="none"/>
              </w:rPr>
              <w:t>≤1.5</w:t>
            </w:r>
          </w:p>
        </w:tc>
        <w:tc>
          <w:tcPr>
            <w:tcW w:w="1332" w:type="dxa"/>
            <w:vAlign w:val="center"/>
          </w:tcPr>
          <w:p w14:paraId="1593F566">
            <w:pPr>
              <w:pStyle w:val="98"/>
              <w:ind w:left="-105" w:right="-105"/>
              <w:rPr>
                <w:rFonts w:eastAsia="宋体"/>
                <w:color w:val="auto"/>
                <w:sz w:val="21"/>
                <w:szCs w:val="21"/>
                <w:highlight w:val="none"/>
              </w:rPr>
            </w:pPr>
            <w:r>
              <w:rPr>
                <w:rFonts w:eastAsia="宋体"/>
                <w:color w:val="auto"/>
                <w:sz w:val="21"/>
                <w:szCs w:val="21"/>
                <w:highlight w:val="none"/>
              </w:rPr>
              <w:t>＞1.5</w:t>
            </w:r>
          </w:p>
        </w:tc>
      </w:tr>
      <w:tr w14:paraId="08DD38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E0178ED">
            <w:pPr>
              <w:pStyle w:val="98"/>
              <w:numPr>
                <w:ilvl w:val="0"/>
                <w:numId w:val="12"/>
              </w:numPr>
              <w:ind w:left="-105" w:right="-105" w:firstLine="0"/>
              <w:rPr>
                <w:rFonts w:eastAsia="宋体"/>
                <w:color w:val="auto"/>
                <w:sz w:val="21"/>
                <w:szCs w:val="21"/>
                <w:highlight w:val="none"/>
              </w:rPr>
            </w:pPr>
          </w:p>
        </w:tc>
        <w:tc>
          <w:tcPr>
            <w:tcW w:w="1750" w:type="dxa"/>
            <w:vAlign w:val="center"/>
          </w:tcPr>
          <w:p w14:paraId="727994E3">
            <w:pPr>
              <w:pStyle w:val="98"/>
              <w:ind w:left="-105" w:right="-105"/>
              <w:rPr>
                <w:rFonts w:eastAsia="宋体"/>
                <w:color w:val="auto"/>
                <w:sz w:val="21"/>
                <w:szCs w:val="21"/>
                <w:highlight w:val="none"/>
              </w:rPr>
            </w:pPr>
            <w:r>
              <w:rPr>
                <w:rFonts w:eastAsia="宋体"/>
                <w:color w:val="auto"/>
                <w:sz w:val="21"/>
                <w:szCs w:val="21"/>
                <w:highlight w:val="none"/>
              </w:rPr>
              <w:t>硝酸盐(以N计)</w:t>
            </w:r>
          </w:p>
        </w:tc>
        <w:tc>
          <w:tcPr>
            <w:tcW w:w="1049" w:type="dxa"/>
            <w:vAlign w:val="center"/>
          </w:tcPr>
          <w:p w14:paraId="2321572B">
            <w:pPr>
              <w:pStyle w:val="98"/>
              <w:ind w:left="-105" w:right="-105"/>
              <w:rPr>
                <w:rFonts w:eastAsia="宋体"/>
                <w:color w:val="auto"/>
                <w:sz w:val="21"/>
                <w:szCs w:val="21"/>
                <w:highlight w:val="none"/>
              </w:rPr>
            </w:pPr>
            <w:r>
              <w:rPr>
                <w:rFonts w:eastAsia="宋体"/>
                <w:color w:val="auto"/>
                <w:sz w:val="21"/>
                <w:szCs w:val="21"/>
                <w:highlight w:val="none"/>
              </w:rPr>
              <w:t>≤2.0</w:t>
            </w:r>
          </w:p>
        </w:tc>
        <w:tc>
          <w:tcPr>
            <w:tcW w:w="1049" w:type="dxa"/>
            <w:vAlign w:val="center"/>
          </w:tcPr>
          <w:p w14:paraId="01472CF5">
            <w:pPr>
              <w:pStyle w:val="98"/>
              <w:ind w:left="-105" w:right="-105"/>
              <w:rPr>
                <w:rFonts w:eastAsia="宋体"/>
                <w:color w:val="auto"/>
                <w:sz w:val="21"/>
                <w:szCs w:val="21"/>
                <w:highlight w:val="none"/>
              </w:rPr>
            </w:pPr>
            <w:r>
              <w:rPr>
                <w:rFonts w:eastAsia="宋体"/>
                <w:color w:val="auto"/>
                <w:sz w:val="21"/>
                <w:szCs w:val="21"/>
                <w:highlight w:val="none"/>
              </w:rPr>
              <w:t>≤5.0</w:t>
            </w:r>
          </w:p>
        </w:tc>
        <w:tc>
          <w:tcPr>
            <w:tcW w:w="1050" w:type="dxa"/>
            <w:vAlign w:val="center"/>
          </w:tcPr>
          <w:p w14:paraId="140701E3">
            <w:pPr>
              <w:pStyle w:val="98"/>
              <w:ind w:left="-105" w:right="-105"/>
              <w:rPr>
                <w:rFonts w:eastAsia="宋体"/>
                <w:color w:val="auto"/>
                <w:sz w:val="21"/>
                <w:szCs w:val="21"/>
                <w:highlight w:val="none"/>
              </w:rPr>
            </w:pPr>
            <w:r>
              <w:rPr>
                <w:rFonts w:eastAsia="宋体"/>
                <w:color w:val="auto"/>
                <w:sz w:val="21"/>
                <w:szCs w:val="21"/>
                <w:highlight w:val="none"/>
              </w:rPr>
              <w:t>≤20</w:t>
            </w:r>
          </w:p>
        </w:tc>
        <w:tc>
          <w:tcPr>
            <w:tcW w:w="1665" w:type="dxa"/>
            <w:vAlign w:val="center"/>
          </w:tcPr>
          <w:p w14:paraId="141B8188">
            <w:pPr>
              <w:pStyle w:val="98"/>
              <w:ind w:left="-105" w:right="-105"/>
              <w:rPr>
                <w:rFonts w:eastAsia="宋体"/>
                <w:color w:val="auto"/>
                <w:sz w:val="21"/>
                <w:szCs w:val="21"/>
                <w:highlight w:val="none"/>
              </w:rPr>
            </w:pPr>
            <w:r>
              <w:rPr>
                <w:rFonts w:eastAsia="宋体"/>
                <w:color w:val="auto"/>
                <w:sz w:val="21"/>
                <w:szCs w:val="21"/>
                <w:highlight w:val="none"/>
              </w:rPr>
              <w:t>≤30</w:t>
            </w:r>
          </w:p>
        </w:tc>
        <w:tc>
          <w:tcPr>
            <w:tcW w:w="1332" w:type="dxa"/>
            <w:vAlign w:val="center"/>
          </w:tcPr>
          <w:p w14:paraId="14359034">
            <w:pPr>
              <w:pStyle w:val="98"/>
              <w:ind w:left="-105" w:right="-105"/>
              <w:rPr>
                <w:rFonts w:eastAsia="宋体"/>
                <w:color w:val="auto"/>
                <w:sz w:val="21"/>
                <w:szCs w:val="21"/>
                <w:highlight w:val="none"/>
              </w:rPr>
            </w:pPr>
            <w:r>
              <w:rPr>
                <w:rFonts w:eastAsia="宋体"/>
                <w:color w:val="auto"/>
                <w:sz w:val="21"/>
                <w:szCs w:val="21"/>
                <w:highlight w:val="none"/>
              </w:rPr>
              <w:t>＞30</w:t>
            </w:r>
          </w:p>
        </w:tc>
      </w:tr>
      <w:tr w14:paraId="3C686F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25BB5FA">
            <w:pPr>
              <w:pStyle w:val="98"/>
              <w:numPr>
                <w:ilvl w:val="0"/>
                <w:numId w:val="12"/>
              </w:numPr>
              <w:ind w:left="-105" w:right="-105" w:firstLine="0"/>
              <w:rPr>
                <w:rFonts w:eastAsia="宋体"/>
                <w:color w:val="auto"/>
                <w:sz w:val="21"/>
                <w:szCs w:val="21"/>
                <w:highlight w:val="none"/>
              </w:rPr>
            </w:pPr>
          </w:p>
        </w:tc>
        <w:tc>
          <w:tcPr>
            <w:tcW w:w="1750" w:type="dxa"/>
            <w:vAlign w:val="center"/>
          </w:tcPr>
          <w:p w14:paraId="528CD7E0">
            <w:pPr>
              <w:pStyle w:val="98"/>
              <w:ind w:left="-105" w:right="-105"/>
              <w:rPr>
                <w:rFonts w:eastAsia="宋体"/>
                <w:color w:val="auto"/>
                <w:sz w:val="21"/>
                <w:szCs w:val="21"/>
                <w:highlight w:val="none"/>
              </w:rPr>
            </w:pPr>
            <w:r>
              <w:rPr>
                <w:rFonts w:eastAsia="宋体"/>
                <w:color w:val="auto"/>
                <w:sz w:val="21"/>
                <w:szCs w:val="21"/>
                <w:highlight w:val="none"/>
              </w:rPr>
              <w:t>亚硝酸盐(以N计)</w:t>
            </w:r>
          </w:p>
        </w:tc>
        <w:tc>
          <w:tcPr>
            <w:tcW w:w="1049" w:type="dxa"/>
            <w:vAlign w:val="center"/>
          </w:tcPr>
          <w:p w14:paraId="6DCBDDAA">
            <w:pPr>
              <w:pStyle w:val="98"/>
              <w:ind w:left="-105" w:right="-105"/>
              <w:rPr>
                <w:rFonts w:eastAsia="宋体"/>
                <w:color w:val="auto"/>
                <w:sz w:val="21"/>
                <w:szCs w:val="21"/>
                <w:highlight w:val="none"/>
              </w:rPr>
            </w:pPr>
            <w:r>
              <w:rPr>
                <w:rFonts w:eastAsia="宋体"/>
                <w:color w:val="auto"/>
                <w:sz w:val="21"/>
                <w:szCs w:val="21"/>
                <w:highlight w:val="none"/>
              </w:rPr>
              <w:t>≤0.01</w:t>
            </w:r>
          </w:p>
        </w:tc>
        <w:tc>
          <w:tcPr>
            <w:tcW w:w="1049" w:type="dxa"/>
            <w:vAlign w:val="center"/>
          </w:tcPr>
          <w:p w14:paraId="33CB468C">
            <w:pPr>
              <w:pStyle w:val="98"/>
              <w:ind w:left="-105" w:right="-105"/>
              <w:rPr>
                <w:rFonts w:eastAsia="宋体"/>
                <w:color w:val="auto"/>
                <w:sz w:val="21"/>
                <w:szCs w:val="21"/>
                <w:highlight w:val="none"/>
              </w:rPr>
            </w:pPr>
            <w:r>
              <w:rPr>
                <w:rFonts w:eastAsia="宋体"/>
                <w:color w:val="auto"/>
                <w:sz w:val="21"/>
                <w:szCs w:val="21"/>
                <w:highlight w:val="none"/>
              </w:rPr>
              <w:t>≤0.1</w:t>
            </w:r>
          </w:p>
        </w:tc>
        <w:tc>
          <w:tcPr>
            <w:tcW w:w="1050" w:type="dxa"/>
            <w:vAlign w:val="center"/>
          </w:tcPr>
          <w:p w14:paraId="774623DD">
            <w:pPr>
              <w:pStyle w:val="98"/>
              <w:ind w:left="-105" w:right="-105"/>
              <w:rPr>
                <w:rFonts w:eastAsia="宋体"/>
                <w:color w:val="auto"/>
                <w:sz w:val="21"/>
                <w:szCs w:val="21"/>
                <w:highlight w:val="none"/>
              </w:rPr>
            </w:pPr>
            <w:r>
              <w:rPr>
                <w:rFonts w:eastAsia="宋体"/>
                <w:color w:val="auto"/>
                <w:sz w:val="21"/>
                <w:szCs w:val="21"/>
                <w:highlight w:val="none"/>
              </w:rPr>
              <w:t>≤1.0</w:t>
            </w:r>
          </w:p>
        </w:tc>
        <w:tc>
          <w:tcPr>
            <w:tcW w:w="1665" w:type="dxa"/>
            <w:vAlign w:val="center"/>
          </w:tcPr>
          <w:p w14:paraId="73317D44">
            <w:pPr>
              <w:pStyle w:val="98"/>
              <w:ind w:left="-105" w:right="-105"/>
              <w:rPr>
                <w:rFonts w:eastAsia="宋体"/>
                <w:color w:val="auto"/>
                <w:sz w:val="21"/>
                <w:szCs w:val="21"/>
                <w:highlight w:val="none"/>
              </w:rPr>
            </w:pPr>
            <w:r>
              <w:rPr>
                <w:rFonts w:eastAsia="宋体"/>
                <w:color w:val="auto"/>
                <w:sz w:val="21"/>
                <w:szCs w:val="21"/>
                <w:highlight w:val="none"/>
              </w:rPr>
              <w:t>≤4.8</w:t>
            </w:r>
          </w:p>
        </w:tc>
        <w:tc>
          <w:tcPr>
            <w:tcW w:w="1332" w:type="dxa"/>
            <w:vAlign w:val="center"/>
          </w:tcPr>
          <w:p w14:paraId="505F2589">
            <w:pPr>
              <w:pStyle w:val="98"/>
              <w:ind w:left="-105" w:right="-105"/>
              <w:rPr>
                <w:rFonts w:eastAsia="宋体"/>
                <w:color w:val="auto"/>
                <w:sz w:val="21"/>
                <w:szCs w:val="21"/>
                <w:highlight w:val="none"/>
              </w:rPr>
            </w:pPr>
            <w:r>
              <w:rPr>
                <w:rFonts w:eastAsia="宋体"/>
                <w:color w:val="auto"/>
                <w:sz w:val="21"/>
                <w:szCs w:val="21"/>
                <w:highlight w:val="none"/>
              </w:rPr>
              <w:t>＞4.8</w:t>
            </w:r>
          </w:p>
        </w:tc>
      </w:tr>
      <w:tr w14:paraId="53D8EC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4CE9A58A">
            <w:pPr>
              <w:pStyle w:val="98"/>
              <w:numPr>
                <w:ilvl w:val="0"/>
                <w:numId w:val="12"/>
              </w:numPr>
              <w:ind w:left="-105" w:right="-105" w:firstLine="0"/>
              <w:rPr>
                <w:rFonts w:eastAsia="宋体"/>
                <w:color w:val="auto"/>
                <w:sz w:val="21"/>
                <w:szCs w:val="21"/>
                <w:highlight w:val="none"/>
              </w:rPr>
            </w:pPr>
          </w:p>
        </w:tc>
        <w:tc>
          <w:tcPr>
            <w:tcW w:w="1750" w:type="dxa"/>
            <w:vAlign w:val="center"/>
          </w:tcPr>
          <w:p w14:paraId="17385287">
            <w:pPr>
              <w:pStyle w:val="98"/>
              <w:ind w:left="-105" w:right="-105"/>
              <w:rPr>
                <w:rFonts w:eastAsia="宋体"/>
                <w:color w:val="auto"/>
                <w:sz w:val="21"/>
                <w:szCs w:val="21"/>
                <w:highlight w:val="none"/>
              </w:rPr>
            </w:pPr>
            <w:r>
              <w:rPr>
                <w:rFonts w:eastAsia="宋体"/>
                <w:color w:val="auto"/>
                <w:sz w:val="21"/>
                <w:szCs w:val="21"/>
                <w:highlight w:val="none"/>
              </w:rPr>
              <w:t>挥发性酚类</w:t>
            </w:r>
          </w:p>
          <w:p w14:paraId="1A7BE213">
            <w:pPr>
              <w:pStyle w:val="98"/>
              <w:ind w:left="-105" w:right="-105"/>
              <w:rPr>
                <w:rFonts w:eastAsia="宋体"/>
                <w:color w:val="auto"/>
                <w:sz w:val="21"/>
                <w:szCs w:val="21"/>
                <w:highlight w:val="none"/>
              </w:rPr>
            </w:pPr>
            <w:r>
              <w:rPr>
                <w:rFonts w:eastAsia="宋体"/>
                <w:color w:val="auto"/>
                <w:sz w:val="21"/>
                <w:szCs w:val="21"/>
                <w:highlight w:val="none"/>
              </w:rPr>
              <w:t>（以苯酚计）</w:t>
            </w:r>
          </w:p>
        </w:tc>
        <w:tc>
          <w:tcPr>
            <w:tcW w:w="1049" w:type="dxa"/>
            <w:vAlign w:val="center"/>
          </w:tcPr>
          <w:p w14:paraId="29C7885F">
            <w:pPr>
              <w:pStyle w:val="98"/>
              <w:ind w:left="-105" w:right="-105"/>
              <w:rPr>
                <w:rFonts w:eastAsia="宋体"/>
                <w:color w:val="auto"/>
                <w:sz w:val="21"/>
                <w:szCs w:val="21"/>
                <w:highlight w:val="none"/>
              </w:rPr>
            </w:pPr>
            <w:r>
              <w:rPr>
                <w:rFonts w:eastAsia="宋体"/>
                <w:color w:val="auto"/>
                <w:sz w:val="21"/>
                <w:szCs w:val="21"/>
                <w:highlight w:val="none"/>
              </w:rPr>
              <w:t>≤0.001</w:t>
            </w:r>
          </w:p>
        </w:tc>
        <w:tc>
          <w:tcPr>
            <w:tcW w:w="1049" w:type="dxa"/>
            <w:vAlign w:val="center"/>
          </w:tcPr>
          <w:p w14:paraId="635DADB2">
            <w:pPr>
              <w:pStyle w:val="98"/>
              <w:ind w:left="-105" w:right="-105"/>
              <w:rPr>
                <w:rFonts w:eastAsia="宋体"/>
                <w:color w:val="auto"/>
                <w:sz w:val="21"/>
                <w:szCs w:val="21"/>
                <w:highlight w:val="none"/>
              </w:rPr>
            </w:pPr>
            <w:r>
              <w:rPr>
                <w:rFonts w:eastAsia="宋体"/>
                <w:color w:val="auto"/>
                <w:sz w:val="21"/>
                <w:szCs w:val="21"/>
                <w:highlight w:val="none"/>
              </w:rPr>
              <w:t>≤0.001</w:t>
            </w:r>
          </w:p>
        </w:tc>
        <w:tc>
          <w:tcPr>
            <w:tcW w:w="1050" w:type="dxa"/>
            <w:vAlign w:val="center"/>
          </w:tcPr>
          <w:p w14:paraId="58048AEA">
            <w:pPr>
              <w:pStyle w:val="98"/>
              <w:ind w:left="-105" w:right="-105"/>
              <w:rPr>
                <w:rFonts w:eastAsia="宋体"/>
                <w:color w:val="auto"/>
                <w:sz w:val="21"/>
                <w:szCs w:val="21"/>
                <w:highlight w:val="none"/>
              </w:rPr>
            </w:pPr>
            <w:r>
              <w:rPr>
                <w:rFonts w:eastAsia="宋体"/>
                <w:color w:val="auto"/>
                <w:sz w:val="21"/>
                <w:szCs w:val="21"/>
                <w:highlight w:val="none"/>
              </w:rPr>
              <w:t>≤0.002</w:t>
            </w:r>
          </w:p>
        </w:tc>
        <w:tc>
          <w:tcPr>
            <w:tcW w:w="1665" w:type="dxa"/>
            <w:vAlign w:val="center"/>
          </w:tcPr>
          <w:p w14:paraId="6D665DA0">
            <w:pPr>
              <w:pStyle w:val="98"/>
              <w:ind w:left="-105" w:right="-105"/>
              <w:rPr>
                <w:rFonts w:eastAsia="宋体"/>
                <w:color w:val="auto"/>
                <w:sz w:val="21"/>
                <w:szCs w:val="21"/>
                <w:highlight w:val="none"/>
              </w:rPr>
            </w:pPr>
            <w:r>
              <w:rPr>
                <w:rFonts w:eastAsia="宋体"/>
                <w:color w:val="auto"/>
                <w:sz w:val="21"/>
                <w:szCs w:val="21"/>
                <w:highlight w:val="none"/>
              </w:rPr>
              <w:t>≤0.01</w:t>
            </w:r>
          </w:p>
        </w:tc>
        <w:tc>
          <w:tcPr>
            <w:tcW w:w="1332" w:type="dxa"/>
            <w:vAlign w:val="center"/>
          </w:tcPr>
          <w:p w14:paraId="78F5A783">
            <w:pPr>
              <w:pStyle w:val="98"/>
              <w:ind w:left="-105" w:right="-105"/>
              <w:rPr>
                <w:rFonts w:eastAsia="宋体"/>
                <w:color w:val="auto"/>
                <w:sz w:val="21"/>
                <w:szCs w:val="21"/>
                <w:highlight w:val="none"/>
              </w:rPr>
            </w:pPr>
            <w:r>
              <w:rPr>
                <w:rFonts w:eastAsia="宋体"/>
                <w:color w:val="auto"/>
                <w:sz w:val="21"/>
                <w:szCs w:val="21"/>
                <w:highlight w:val="none"/>
              </w:rPr>
              <w:t>＞0.01</w:t>
            </w:r>
          </w:p>
        </w:tc>
      </w:tr>
      <w:tr w14:paraId="1CF7CE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BB237C0">
            <w:pPr>
              <w:pStyle w:val="98"/>
              <w:numPr>
                <w:ilvl w:val="0"/>
                <w:numId w:val="12"/>
              </w:numPr>
              <w:ind w:left="-105" w:right="-105" w:firstLine="0"/>
              <w:rPr>
                <w:rFonts w:eastAsia="宋体"/>
                <w:color w:val="auto"/>
                <w:sz w:val="21"/>
                <w:szCs w:val="21"/>
                <w:highlight w:val="none"/>
              </w:rPr>
            </w:pPr>
          </w:p>
        </w:tc>
        <w:tc>
          <w:tcPr>
            <w:tcW w:w="1750" w:type="dxa"/>
            <w:vAlign w:val="center"/>
          </w:tcPr>
          <w:p w14:paraId="7150FE44">
            <w:pPr>
              <w:pStyle w:val="98"/>
              <w:ind w:left="-105" w:right="-105"/>
              <w:rPr>
                <w:rFonts w:eastAsia="宋体"/>
                <w:color w:val="auto"/>
                <w:sz w:val="21"/>
                <w:szCs w:val="21"/>
                <w:highlight w:val="none"/>
              </w:rPr>
            </w:pPr>
            <w:r>
              <w:rPr>
                <w:rFonts w:eastAsia="宋体"/>
                <w:color w:val="auto"/>
                <w:sz w:val="21"/>
                <w:szCs w:val="21"/>
                <w:highlight w:val="none"/>
              </w:rPr>
              <w:t>氰化物</w:t>
            </w:r>
          </w:p>
        </w:tc>
        <w:tc>
          <w:tcPr>
            <w:tcW w:w="1049" w:type="dxa"/>
            <w:vAlign w:val="center"/>
          </w:tcPr>
          <w:p w14:paraId="7BFADC4F">
            <w:pPr>
              <w:pStyle w:val="98"/>
              <w:ind w:left="-105" w:right="-105"/>
              <w:rPr>
                <w:rFonts w:eastAsia="宋体"/>
                <w:color w:val="auto"/>
                <w:sz w:val="21"/>
                <w:szCs w:val="21"/>
                <w:highlight w:val="none"/>
              </w:rPr>
            </w:pPr>
            <w:r>
              <w:rPr>
                <w:rFonts w:eastAsia="宋体"/>
                <w:color w:val="auto"/>
                <w:sz w:val="21"/>
                <w:szCs w:val="21"/>
                <w:highlight w:val="none"/>
              </w:rPr>
              <w:t>≤0.001</w:t>
            </w:r>
          </w:p>
        </w:tc>
        <w:tc>
          <w:tcPr>
            <w:tcW w:w="1049" w:type="dxa"/>
            <w:vAlign w:val="center"/>
          </w:tcPr>
          <w:p w14:paraId="7E4FC189">
            <w:pPr>
              <w:pStyle w:val="98"/>
              <w:ind w:left="-105" w:right="-105"/>
              <w:rPr>
                <w:rFonts w:eastAsia="宋体"/>
                <w:color w:val="auto"/>
                <w:sz w:val="21"/>
                <w:szCs w:val="21"/>
                <w:highlight w:val="none"/>
              </w:rPr>
            </w:pPr>
            <w:r>
              <w:rPr>
                <w:rFonts w:eastAsia="宋体"/>
                <w:color w:val="auto"/>
                <w:sz w:val="21"/>
                <w:szCs w:val="21"/>
                <w:highlight w:val="none"/>
              </w:rPr>
              <w:t>≤0.01</w:t>
            </w:r>
          </w:p>
        </w:tc>
        <w:tc>
          <w:tcPr>
            <w:tcW w:w="1050" w:type="dxa"/>
            <w:vAlign w:val="center"/>
          </w:tcPr>
          <w:p w14:paraId="783FD0D1">
            <w:pPr>
              <w:pStyle w:val="98"/>
              <w:ind w:left="-105" w:right="-105"/>
              <w:rPr>
                <w:rFonts w:eastAsia="宋体"/>
                <w:color w:val="auto"/>
                <w:sz w:val="21"/>
                <w:szCs w:val="21"/>
                <w:highlight w:val="none"/>
              </w:rPr>
            </w:pPr>
            <w:r>
              <w:rPr>
                <w:rFonts w:eastAsia="宋体"/>
                <w:color w:val="auto"/>
                <w:sz w:val="21"/>
                <w:szCs w:val="21"/>
                <w:highlight w:val="none"/>
              </w:rPr>
              <w:t>≤0.05</w:t>
            </w:r>
          </w:p>
        </w:tc>
        <w:tc>
          <w:tcPr>
            <w:tcW w:w="1665" w:type="dxa"/>
            <w:vAlign w:val="center"/>
          </w:tcPr>
          <w:p w14:paraId="2C25D7A7">
            <w:pPr>
              <w:pStyle w:val="98"/>
              <w:ind w:left="-105" w:right="-105"/>
              <w:rPr>
                <w:rFonts w:eastAsia="宋体"/>
                <w:color w:val="auto"/>
                <w:sz w:val="21"/>
                <w:szCs w:val="21"/>
                <w:highlight w:val="none"/>
              </w:rPr>
            </w:pPr>
            <w:r>
              <w:rPr>
                <w:rFonts w:eastAsia="宋体"/>
                <w:color w:val="auto"/>
                <w:sz w:val="21"/>
                <w:szCs w:val="21"/>
                <w:highlight w:val="none"/>
              </w:rPr>
              <w:t>≤0.1</w:t>
            </w:r>
          </w:p>
        </w:tc>
        <w:tc>
          <w:tcPr>
            <w:tcW w:w="1332" w:type="dxa"/>
            <w:vAlign w:val="center"/>
          </w:tcPr>
          <w:p w14:paraId="50723ADF">
            <w:pPr>
              <w:pStyle w:val="98"/>
              <w:ind w:left="-105" w:right="-105"/>
              <w:rPr>
                <w:rFonts w:eastAsia="宋体"/>
                <w:color w:val="auto"/>
                <w:sz w:val="21"/>
                <w:szCs w:val="21"/>
                <w:highlight w:val="none"/>
              </w:rPr>
            </w:pPr>
            <w:r>
              <w:rPr>
                <w:rFonts w:eastAsia="宋体"/>
                <w:color w:val="auto"/>
                <w:sz w:val="21"/>
                <w:szCs w:val="21"/>
                <w:highlight w:val="none"/>
              </w:rPr>
              <w:t>＞0.1</w:t>
            </w:r>
          </w:p>
        </w:tc>
      </w:tr>
      <w:tr w14:paraId="0DABC5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6EEB2A4B">
            <w:pPr>
              <w:pStyle w:val="98"/>
              <w:numPr>
                <w:ilvl w:val="0"/>
                <w:numId w:val="12"/>
              </w:numPr>
              <w:ind w:left="-105" w:right="-105" w:firstLine="0"/>
              <w:rPr>
                <w:rFonts w:eastAsia="宋体"/>
                <w:color w:val="auto"/>
                <w:sz w:val="21"/>
                <w:szCs w:val="21"/>
                <w:highlight w:val="none"/>
              </w:rPr>
            </w:pPr>
          </w:p>
        </w:tc>
        <w:tc>
          <w:tcPr>
            <w:tcW w:w="1750" w:type="dxa"/>
            <w:vAlign w:val="center"/>
          </w:tcPr>
          <w:p w14:paraId="0BF6C647">
            <w:pPr>
              <w:pStyle w:val="98"/>
              <w:ind w:left="-105" w:right="-105"/>
              <w:rPr>
                <w:rFonts w:eastAsia="宋体"/>
                <w:color w:val="auto"/>
                <w:sz w:val="21"/>
                <w:szCs w:val="21"/>
                <w:highlight w:val="none"/>
              </w:rPr>
            </w:pPr>
            <w:r>
              <w:rPr>
                <w:rFonts w:eastAsia="宋体"/>
                <w:color w:val="auto"/>
                <w:sz w:val="21"/>
                <w:szCs w:val="21"/>
                <w:highlight w:val="none"/>
              </w:rPr>
              <w:t>砷</w:t>
            </w:r>
          </w:p>
        </w:tc>
        <w:tc>
          <w:tcPr>
            <w:tcW w:w="1049" w:type="dxa"/>
            <w:vAlign w:val="center"/>
          </w:tcPr>
          <w:p w14:paraId="12E90EE0">
            <w:pPr>
              <w:pStyle w:val="98"/>
              <w:ind w:left="-105" w:right="-105"/>
              <w:rPr>
                <w:rFonts w:eastAsia="宋体"/>
                <w:color w:val="auto"/>
                <w:sz w:val="21"/>
                <w:szCs w:val="21"/>
                <w:highlight w:val="none"/>
              </w:rPr>
            </w:pPr>
            <w:r>
              <w:rPr>
                <w:rFonts w:eastAsia="宋体"/>
                <w:color w:val="auto"/>
                <w:sz w:val="21"/>
                <w:szCs w:val="21"/>
                <w:highlight w:val="none"/>
              </w:rPr>
              <w:t>≤0.001</w:t>
            </w:r>
          </w:p>
        </w:tc>
        <w:tc>
          <w:tcPr>
            <w:tcW w:w="1049" w:type="dxa"/>
            <w:vAlign w:val="center"/>
          </w:tcPr>
          <w:p w14:paraId="743D2970">
            <w:pPr>
              <w:pStyle w:val="98"/>
              <w:ind w:left="-105" w:right="-105"/>
              <w:rPr>
                <w:rFonts w:eastAsia="宋体"/>
                <w:color w:val="auto"/>
                <w:sz w:val="21"/>
                <w:szCs w:val="21"/>
                <w:highlight w:val="none"/>
              </w:rPr>
            </w:pPr>
            <w:r>
              <w:rPr>
                <w:rFonts w:eastAsia="宋体"/>
                <w:color w:val="auto"/>
                <w:sz w:val="21"/>
                <w:szCs w:val="21"/>
                <w:highlight w:val="none"/>
              </w:rPr>
              <w:t>≤0.001</w:t>
            </w:r>
          </w:p>
        </w:tc>
        <w:tc>
          <w:tcPr>
            <w:tcW w:w="1050" w:type="dxa"/>
            <w:vAlign w:val="center"/>
          </w:tcPr>
          <w:p w14:paraId="45932A55">
            <w:pPr>
              <w:pStyle w:val="98"/>
              <w:ind w:left="-105" w:right="-105"/>
              <w:rPr>
                <w:rFonts w:eastAsia="宋体"/>
                <w:color w:val="auto"/>
                <w:sz w:val="21"/>
                <w:szCs w:val="21"/>
                <w:highlight w:val="none"/>
              </w:rPr>
            </w:pPr>
            <w:r>
              <w:rPr>
                <w:rFonts w:eastAsia="宋体"/>
                <w:color w:val="auto"/>
                <w:sz w:val="21"/>
                <w:szCs w:val="21"/>
                <w:highlight w:val="none"/>
              </w:rPr>
              <w:t>≤0.01</w:t>
            </w:r>
          </w:p>
        </w:tc>
        <w:tc>
          <w:tcPr>
            <w:tcW w:w="1665" w:type="dxa"/>
            <w:vAlign w:val="center"/>
          </w:tcPr>
          <w:p w14:paraId="470B7CA8">
            <w:pPr>
              <w:pStyle w:val="98"/>
              <w:ind w:left="-105" w:right="-105"/>
              <w:rPr>
                <w:rFonts w:eastAsia="宋体"/>
                <w:color w:val="auto"/>
                <w:sz w:val="21"/>
                <w:szCs w:val="21"/>
                <w:highlight w:val="none"/>
              </w:rPr>
            </w:pPr>
            <w:r>
              <w:rPr>
                <w:rFonts w:eastAsia="宋体"/>
                <w:color w:val="auto"/>
                <w:sz w:val="21"/>
                <w:szCs w:val="21"/>
                <w:highlight w:val="none"/>
              </w:rPr>
              <w:t>≤0.05</w:t>
            </w:r>
          </w:p>
        </w:tc>
        <w:tc>
          <w:tcPr>
            <w:tcW w:w="1332" w:type="dxa"/>
            <w:vAlign w:val="center"/>
          </w:tcPr>
          <w:p w14:paraId="07C6D341">
            <w:pPr>
              <w:pStyle w:val="98"/>
              <w:ind w:left="-105" w:right="-105"/>
              <w:rPr>
                <w:rFonts w:eastAsia="宋体"/>
                <w:color w:val="auto"/>
                <w:sz w:val="21"/>
                <w:szCs w:val="21"/>
                <w:highlight w:val="none"/>
              </w:rPr>
            </w:pPr>
            <w:r>
              <w:rPr>
                <w:rFonts w:eastAsia="宋体"/>
                <w:color w:val="auto"/>
                <w:sz w:val="21"/>
                <w:szCs w:val="21"/>
                <w:highlight w:val="none"/>
              </w:rPr>
              <w:t>＞0.05</w:t>
            </w:r>
          </w:p>
        </w:tc>
      </w:tr>
      <w:tr w14:paraId="2E581B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6355D67">
            <w:pPr>
              <w:pStyle w:val="98"/>
              <w:numPr>
                <w:ilvl w:val="0"/>
                <w:numId w:val="12"/>
              </w:numPr>
              <w:ind w:left="-105" w:right="-105" w:firstLine="0"/>
              <w:rPr>
                <w:rFonts w:eastAsia="宋体"/>
                <w:color w:val="auto"/>
                <w:sz w:val="21"/>
                <w:szCs w:val="21"/>
                <w:highlight w:val="none"/>
              </w:rPr>
            </w:pPr>
          </w:p>
        </w:tc>
        <w:tc>
          <w:tcPr>
            <w:tcW w:w="1750" w:type="dxa"/>
            <w:vAlign w:val="center"/>
          </w:tcPr>
          <w:p w14:paraId="3E74EB70">
            <w:pPr>
              <w:pStyle w:val="98"/>
              <w:ind w:left="-105" w:right="-105"/>
              <w:rPr>
                <w:rFonts w:eastAsia="宋体"/>
                <w:color w:val="auto"/>
                <w:sz w:val="21"/>
                <w:szCs w:val="21"/>
                <w:highlight w:val="none"/>
              </w:rPr>
            </w:pPr>
            <w:r>
              <w:rPr>
                <w:rFonts w:eastAsia="宋体"/>
                <w:color w:val="auto"/>
                <w:sz w:val="21"/>
                <w:szCs w:val="21"/>
                <w:highlight w:val="none"/>
              </w:rPr>
              <w:t>汞</w:t>
            </w:r>
          </w:p>
        </w:tc>
        <w:tc>
          <w:tcPr>
            <w:tcW w:w="1049" w:type="dxa"/>
            <w:vAlign w:val="center"/>
          </w:tcPr>
          <w:p w14:paraId="77CAB553">
            <w:pPr>
              <w:pStyle w:val="98"/>
              <w:ind w:left="-105" w:right="-105"/>
              <w:rPr>
                <w:rFonts w:eastAsia="宋体"/>
                <w:color w:val="auto"/>
                <w:sz w:val="21"/>
                <w:szCs w:val="21"/>
                <w:highlight w:val="none"/>
              </w:rPr>
            </w:pPr>
            <w:r>
              <w:rPr>
                <w:rFonts w:eastAsia="宋体"/>
                <w:color w:val="auto"/>
                <w:sz w:val="21"/>
                <w:szCs w:val="21"/>
                <w:highlight w:val="none"/>
              </w:rPr>
              <w:t>≤0.0001</w:t>
            </w:r>
          </w:p>
        </w:tc>
        <w:tc>
          <w:tcPr>
            <w:tcW w:w="1049" w:type="dxa"/>
            <w:vAlign w:val="center"/>
          </w:tcPr>
          <w:p w14:paraId="1004A5F9">
            <w:pPr>
              <w:pStyle w:val="98"/>
              <w:ind w:left="-105" w:right="-105"/>
              <w:rPr>
                <w:rFonts w:eastAsia="宋体"/>
                <w:color w:val="auto"/>
                <w:sz w:val="21"/>
                <w:szCs w:val="21"/>
                <w:highlight w:val="none"/>
              </w:rPr>
            </w:pPr>
            <w:r>
              <w:rPr>
                <w:rFonts w:eastAsia="宋体"/>
                <w:color w:val="auto"/>
                <w:sz w:val="21"/>
                <w:szCs w:val="21"/>
                <w:highlight w:val="none"/>
              </w:rPr>
              <w:t>≤0.0001</w:t>
            </w:r>
          </w:p>
        </w:tc>
        <w:tc>
          <w:tcPr>
            <w:tcW w:w="1050" w:type="dxa"/>
            <w:vAlign w:val="center"/>
          </w:tcPr>
          <w:p w14:paraId="620E4AE2">
            <w:pPr>
              <w:pStyle w:val="98"/>
              <w:ind w:left="-105" w:right="-105"/>
              <w:rPr>
                <w:rFonts w:eastAsia="宋体"/>
                <w:color w:val="auto"/>
                <w:sz w:val="21"/>
                <w:szCs w:val="21"/>
                <w:highlight w:val="none"/>
              </w:rPr>
            </w:pPr>
            <w:r>
              <w:rPr>
                <w:rFonts w:eastAsia="宋体"/>
                <w:color w:val="auto"/>
                <w:sz w:val="21"/>
                <w:szCs w:val="21"/>
                <w:highlight w:val="none"/>
              </w:rPr>
              <w:t>≤0.001</w:t>
            </w:r>
          </w:p>
        </w:tc>
        <w:tc>
          <w:tcPr>
            <w:tcW w:w="1665" w:type="dxa"/>
            <w:vAlign w:val="center"/>
          </w:tcPr>
          <w:p w14:paraId="663C9DE6">
            <w:pPr>
              <w:pStyle w:val="98"/>
              <w:ind w:left="-105" w:right="-105"/>
              <w:rPr>
                <w:rFonts w:eastAsia="宋体"/>
                <w:color w:val="auto"/>
                <w:sz w:val="21"/>
                <w:szCs w:val="21"/>
                <w:highlight w:val="none"/>
              </w:rPr>
            </w:pPr>
            <w:r>
              <w:rPr>
                <w:rFonts w:eastAsia="宋体"/>
                <w:color w:val="auto"/>
                <w:sz w:val="21"/>
                <w:szCs w:val="21"/>
                <w:highlight w:val="none"/>
              </w:rPr>
              <w:t>≤0.002</w:t>
            </w:r>
          </w:p>
        </w:tc>
        <w:tc>
          <w:tcPr>
            <w:tcW w:w="1332" w:type="dxa"/>
            <w:vAlign w:val="center"/>
          </w:tcPr>
          <w:p w14:paraId="3717083C">
            <w:pPr>
              <w:pStyle w:val="98"/>
              <w:ind w:left="-105" w:right="-105"/>
              <w:rPr>
                <w:rFonts w:eastAsia="宋体"/>
                <w:color w:val="auto"/>
                <w:sz w:val="21"/>
                <w:szCs w:val="21"/>
                <w:highlight w:val="none"/>
              </w:rPr>
            </w:pPr>
            <w:r>
              <w:rPr>
                <w:rFonts w:eastAsia="宋体"/>
                <w:color w:val="auto"/>
                <w:sz w:val="21"/>
                <w:szCs w:val="21"/>
                <w:highlight w:val="none"/>
              </w:rPr>
              <w:t>＞0.002</w:t>
            </w:r>
          </w:p>
        </w:tc>
      </w:tr>
      <w:tr w14:paraId="116D82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C49CF88">
            <w:pPr>
              <w:pStyle w:val="98"/>
              <w:numPr>
                <w:ilvl w:val="0"/>
                <w:numId w:val="12"/>
              </w:numPr>
              <w:ind w:left="-105" w:right="-105" w:firstLine="0"/>
              <w:rPr>
                <w:rFonts w:eastAsia="宋体"/>
                <w:color w:val="auto"/>
                <w:sz w:val="21"/>
                <w:szCs w:val="21"/>
                <w:highlight w:val="none"/>
              </w:rPr>
            </w:pPr>
          </w:p>
        </w:tc>
        <w:tc>
          <w:tcPr>
            <w:tcW w:w="1750" w:type="dxa"/>
            <w:vAlign w:val="center"/>
          </w:tcPr>
          <w:p w14:paraId="33577280">
            <w:pPr>
              <w:pStyle w:val="98"/>
              <w:ind w:left="-105" w:right="-105"/>
              <w:rPr>
                <w:rFonts w:eastAsia="宋体"/>
                <w:color w:val="auto"/>
                <w:sz w:val="21"/>
                <w:szCs w:val="21"/>
                <w:highlight w:val="none"/>
              </w:rPr>
            </w:pPr>
            <w:r>
              <w:rPr>
                <w:rFonts w:eastAsia="宋体"/>
                <w:color w:val="auto"/>
                <w:sz w:val="21"/>
                <w:szCs w:val="21"/>
                <w:highlight w:val="none"/>
              </w:rPr>
              <w:t>铬（六价）</w:t>
            </w:r>
          </w:p>
        </w:tc>
        <w:tc>
          <w:tcPr>
            <w:tcW w:w="1049" w:type="dxa"/>
            <w:vAlign w:val="center"/>
          </w:tcPr>
          <w:p w14:paraId="6A7110D4">
            <w:pPr>
              <w:pStyle w:val="98"/>
              <w:ind w:left="-105" w:right="-105"/>
              <w:rPr>
                <w:rFonts w:eastAsia="宋体"/>
                <w:color w:val="auto"/>
                <w:sz w:val="21"/>
                <w:szCs w:val="21"/>
                <w:highlight w:val="none"/>
              </w:rPr>
            </w:pPr>
            <w:r>
              <w:rPr>
                <w:rFonts w:eastAsia="宋体"/>
                <w:color w:val="auto"/>
                <w:sz w:val="21"/>
                <w:szCs w:val="21"/>
                <w:highlight w:val="none"/>
              </w:rPr>
              <w:t>≤0.005</w:t>
            </w:r>
          </w:p>
        </w:tc>
        <w:tc>
          <w:tcPr>
            <w:tcW w:w="1049" w:type="dxa"/>
            <w:vAlign w:val="center"/>
          </w:tcPr>
          <w:p w14:paraId="27DFB5CB">
            <w:pPr>
              <w:pStyle w:val="98"/>
              <w:ind w:left="-105" w:right="-105"/>
              <w:rPr>
                <w:rFonts w:eastAsia="宋体"/>
                <w:color w:val="auto"/>
                <w:sz w:val="21"/>
                <w:szCs w:val="21"/>
                <w:highlight w:val="none"/>
              </w:rPr>
            </w:pPr>
            <w:r>
              <w:rPr>
                <w:rFonts w:eastAsia="宋体"/>
                <w:color w:val="auto"/>
                <w:sz w:val="21"/>
                <w:szCs w:val="21"/>
                <w:highlight w:val="none"/>
              </w:rPr>
              <w:t>≤0.01</w:t>
            </w:r>
          </w:p>
        </w:tc>
        <w:tc>
          <w:tcPr>
            <w:tcW w:w="1050" w:type="dxa"/>
            <w:vAlign w:val="center"/>
          </w:tcPr>
          <w:p w14:paraId="54006FA2">
            <w:pPr>
              <w:pStyle w:val="98"/>
              <w:ind w:left="-105" w:right="-105"/>
              <w:rPr>
                <w:rFonts w:eastAsia="宋体"/>
                <w:color w:val="auto"/>
                <w:sz w:val="21"/>
                <w:szCs w:val="21"/>
                <w:highlight w:val="none"/>
              </w:rPr>
            </w:pPr>
            <w:r>
              <w:rPr>
                <w:rFonts w:eastAsia="宋体"/>
                <w:color w:val="auto"/>
                <w:sz w:val="21"/>
                <w:szCs w:val="21"/>
                <w:highlight w:val="none"/>
              </w:rPr>
              <w:t>≤0.05</w:t>
            </w:r>
          </w:p>
        </w:tc>
        <w:tc>
          <w:tcPr>
            <w:tcW w:w="1665" w:type="dxa"/>
            <w:vAlign w:val="center"/>
          </w:tcPr>
          <w:p w14:paraId="45D46276">
            <w:pPr>
              <w:pStyle w:val="98"/>
              <w:ind w:left="-105" w:right="-105"/>
              <w:rPr>
                <w:rFonts w:eastAsia="宋体"/>
                <w:color w:val="auto"/>
                <w:sz w:val="21"/>
                <w:szCs w:val="21"/>
                <w:highlight w:val="none"/>
              </w:rPr>
            </w:pPr>
            <w:r>
              <w:rPr>
                <w:rFonts w:eastAsia="宋体"/>
                <w:color w:val="auto"/>
                <w:sz w:val="21"/>
                <w:szCs w:val="21"/>
                <w:highlight w:val="none"/>
              </w:rPr>
              <w:t>≤0.1</w:t>
            </w:r>
          </w:p>
        </w:tc>
        <w:tc>
          <w:tcPr>
            <w:tcW w:w="1332" w:type="dxa"/>
            <w:vAlign w:val="center"/>
          </w:tcPr>
          <w:p w14:paraId="60996E16">
            <w:pPr>
              <w:pStyle w:val="98"/>
              <w:ind w:left="-105" w:right="-105"/>
              <w:rPr>
                <w:rFonts w:eastAsia="宋体"/>
                <w:color w:val="auto"/>
                <w:sz w:val="21"/>
                <w:szCs w:val="21"/>
                <w:highlight w:val="none"/>
              </w:rPr>
            </w:pPr>
            <w:r>
              <w:rPr>
                <w:rFonts w:eastAsia="宋体"/>
                <w:color w:val="auto"/>
                <w:sz w:val="21"/>
                <w:szCs w:val="21"/>
                <w:highlight w:val="none"/>
              </w:rPr>
              <w:t>＞0.1</w:t>
            </w:r>
          </w:p>
        </w:tc>
      </w:tr>
      <w:tr w14:paraId="2D0350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C067DBB">
            <w:pPr>
              <w:pStyle w:val="98"/>
              <w:numPr>
                <w:ilvl w:val="0"/>
                <w:numId w:val="12"/>
              </w:numPr>
              <w:ind w:left="-105" w:right="-105" w:firstLine="0"/>
              <w:rPr>
                <w:rFonts w:eastAsia="宋体"/>
                <w:color w:val="auto"/>
                <w:sz w:val="21"/>
                <w:szCs w:val="21"/>
                <w:highlight w:val="none"/>
              </w:rPr>
            </w:pPr>
          </w:p>
        </w:tc>
        <w:tc>
          <w:tcPr>
            <w:tcW w:w="1750" w:type="dxa"/>
            <w:vAlign w:val="center"/>
          </w:tcPr>
          <w:p w14:paraId="73A1B346">
            <w:pPr>
              <w:pStyle w:val="98"/>
              <w:ind w:left="-105" w:right="-105"/>
              <w:rPr>
                <w:rFonts w:eastAsia="宋体"/>
                <w:color w:val="auto"/>
                <w:sz w:val="21"/>
                <w:szCs w:val="21"/>
                <w:highlight w:val="none"/>
              </w:rPr>
            </w:pPr>
            <w:r>
              <w:rPr>
                <w:rFonts w:eastAsia="宋体"/>
                <w:color w:val="auto"/>
                <w:sz w:val="21"/>
                <w:szCs w:val="21"/>
                <w:highlight w:val="none"/>
              </w:rPr>
              <w:t>总硬度</w:t>
            </w:r>
          </w:p>
          <w:p w14:paraId="30566AA7">
            <w:pPr>
              <w:pStyle w:val="98"/>
              <w:ind w:left="-105" w:right="-105"/>
              <w:rPr>
                <w:rFonts w:eastAsia="宋体"/>
                <w:color w:val="auto"/>
                <w:sz w:val="21"/>
                <w:szCs w:val="21"/>
                <w:highlight w:val="none"/>
              </w:rPr>
            </w:pPr>
            <w:r>
              <w:rPr>
                <w:rFonts w:eastAsia="宋体"/>
                <w:color w:val="auto"/>
                <w:position w:val="1"/>
                <w:sz w:val="21"/>
                <w:szCs w:val="21"/>
                <w:highlight w:val="none"/>
              </w:rPr>
              <w:t>（以CaCO</w:t>
            </w:r>
            <w:r>
              <w:rPr>
                <w:rFonts w:eastAsia="宋体"/>
                <w:color w:val="auto"/>
                <w:sz w:val="21"/>
                <w:szCs w:val="21"/>
                <w:highlight w:val="none"/>
                <w:vertAlign w:val="subscript"/>
              </w:rPr>
              <w:t>3</w:t>
            </w:r>
            <w:r>
              <w:rPr>
                <w:rFonts w:eastAsia="宋体"/>
                <w:color w:val="auto"/>
                <w:position w:val="1"/>
                <w:sz w:val="21"/>
                <w:szCs w:val="21"/>
                <w:highlight w:val="none"/>
              </w:rPr>
              <w:t>计）</w:t>
            </w:r>
          </w:p>
        </w:tc>
        <w:tc>
          <w:tcPr>
            <w:tcW w:w="1049" w:type="dxa"/>
            <w:vAlign w:val="center"/>
          </w:tcPr>
          <w:p w14:paraId="3CD2FBEA">
            <w:pPr>
              <w:pStyle w:val="98"/>
              <w:ind w:left="-105" w:right="-105"/>
              <w:rPr>
                <w:rFonts w:eastAsia="宋体"/>
                <w:color w:val="auto"/>
                <w:sz w:val="21"/>
                <w:szCs w:val="21"/>
                <w:highlight w:val="none"/>
              </w:rPr>
            </w:pPr>
            <w:r>
              <w:rPr>
                <w:rFonts w:eastAsia="宋体"/>
                <w:color w:val="auto"/>
                <w:sz w:val="21"/>
                <w:szCs w:val="21"/>
                <w:highlight w:val="none"/>
              </w:rPr>
              <w:t>≤150</w:t>
            </w:r>
          </w:p>
        </w:tc>
        <w:tc>
          <w:tcPr>
            <w:tcW w:w="1049" w:type="dxa"/>
            <w:vAlign w:val="center"/>
          </w:tcPr>
          <w:p w14:paraId="1515ACE3">
            <w:pPr>
              <w:pStyle w:val="98"/>
              <w:ind w:left="-105" w:right="-105"/>
              <w:rPr>
                <w:rFonts w:eastAsia="宋体"/>
                <w:color w:val="auto"/>
                <w:sz w:val="21"/>
                <w:szCs w:val="21"/>
                <w:highlight w:val="none"/>
              </w:rPr>
            </w:pPr>
            <w:r>
              <w:rPr>
                <w:rFonts w:eastAsia="宋体"/>
                <w:color w:val="auto"/>
                <w:sz w:val="21"/>
                <w:szCs w:val="21"/>
                <w:highlight w:val="none"/>
              </w:rPr>
              <w:t>≤300</w:t>
            </w:r>
          </w:p>
        </w:tc>
        <w:tc>
          <w:tcPr>
            <w:tcW w:w="1050" w:type="dxa"/>
            <w:vAlign w:val="center"/>
          </w:tcPr>
          <w:p w14:paraId="17ED7DF0">
            <w:pPr>
              <w:pStyle w:val="98"/>
              <w:ind w:left="-105" w:right="-105"/>
              <w:rPr>
                <w:rFonts w:eastAsia="宋体"/>
                <w:color w:val="auto"/>
                <w:sz w:val="21"/>
                <w:szCs w:val="21"/>
                <w:highlight w:val="none"/>
              </w:rPr>
            </w:pPr>
            <w:r>
              <w:rPr>
                <w:rFonts w:eastAsia="宋体"/>
                <w:color w:val="auto"/>
                <w:sz w:val="21"/>
                <w:szCs w:val="21"/>
                <w:highlight w:val="none"/>
              </w:rPr>
              <w:t>≤450</w:t>
            </w:r>
          </w:p>
        </w:tc>
        <w:tc>
          <w:tcPr>
            <w:tcW w:w="1665" w:type="dxa"/>
            <w:vAlign w:val="center"/>
          </w:tcPr>
          <w:p w14:paraId="7D25D75E">
            <w:pPr>
              <w:pStyle w:val="98"/>
              <w:ind w:left="-105" w:right="-105"/>
              <w:rPr>
                <w:rFonts w:eastAsia="宋体"/>
                <w:color w:val="auto"/>
                <w:sz w:val="21"/>
                <w:szCs w:val="21"/>
                <w:highlight w:val="none"/>
              </w:rPr>
            </w:pPr>
            <w:r>
              <w:rPr>
                <w:rFonts w:eastAsia="宋体"/>
                <w:color w:val="auto"/>
                <w:sz w:val="21"/>
                <w:szCs w:val="21"/>
                <w:highlight w:val="none"/>
              </w:rPr>
              <w:t>≤650</w:t>
            </w:r>
          </w:p>
        </w:tc>
        <w:tc>
          <w:tcPr>
            <w:tcW w:w="1332" w:type="dxa"/>
            <w:vAlign w:val="center"/>
          </w:tcPr>
          <w:p w14:paraId="5260D1A2">
            <w:pPr>
              <w:pStyle w:val="98"/>
              <w:ind w:left="-105" w:right="-105"/>
              <w:rPr>
                <w:rFonts w:eastAsia="宋体"/>
                <w:color w:val="auto"/>
                <w:sz w:val="21"/>
                <w:szCs w:val="21"/>
                <w:highlight w:val="none"/>
              </w:rPr>
            </w:pPr>
            <w:r>
              <w:rPr>
                <w:rFonts w:eastAsia="宋体"/>
                <w:color w:val="auto"/>
                <w:sz w:val="21"/>
                <w:szCs w:val="21"/>
                <w:highlight w:val="none"/>
              </w:rPr>
              <w:t>＞650</w:t>
            </w:r>
          </w:p>
        </w:tc>
      </w:tr>
      <w:tr w14:paraId="4B0E2E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35103B8">
            <w:pPr>
              <w:pStyle w:val="98"/>
              <w:numPr>
                <w:ilvl w:val="0"/>
                <w:numId w:val="12"/>
              </w:numPr>
              <w:ind w:left="-105" w:right="-105" w:firstLine="0"/>
              <w:rPr>
                <w:rFonts w:eastAsia="宋体"/>
                <w:color w:val="auto"/>
                <w:sz w:val="21"/>
                <w:szCs w:val="21"/>
                <w:highlight w:val="none"/>
              </w:rPr>
            </w:pPr>
          </w:p>
        </w:tc>
        <w:tc>
          <w:tcPr>
            <w:tcW w:w="1750" w:type="dxa"/>
            <w:vAlign w:val="center"/>
          </w:tcPr>
          <w:p w14:paraId="61786D55">
            <w:pPr>
              <w:pStyle w:val="98"/>
              <w:ind w:left="-105" w:right="-105"/>
              <w:rPr>
                <w:rFonts w:eastAsia="宋体"/>
                <w:color w:val="auto"/>
                <w:sz w:val="21"/>
                <w:szCs w:val="21"/>
                <w:highlight w:val="none"/>
              </w:rPr>
            </w:pPr>
            <w:r>
              <w:rPr>
                <w:rFonts w:eastAsia="宋体"/>
                <w:color w:val="auto"/>
                <w:sz w:val="21"/>
                <w:szCs w:val="21"/>
                <w:highlight w:val="none"/>
              </w:rPr>
              <w:t>铅</w:t>
            </w:r>
          </w:p>
        </w:tc>
        <w:tc>
          <w:tcPr>
            <w:tcW w:w="1049" w:type="dxa"/>
            <w:vAlign w:val="center"/>
          </w:tcPr>
          <w:p w14:paraId="16889E49">
            <w:pPr>
              <w:pStyle w:val="98"/>
              <w:ind w:left="-105" w:right="-105"/>
              <w:rPr>
                <w:rFonts w:eastAsia="宋体"/>
                <w:color w:val="auto"/>
                <w:sz w:val="21"/>
                <w:szCs w:val="21"/>
                <w:highlight w:val="none"/>
              </w:rPr>
            </w:pPr>
            <w:r>
              <w:rPr>
                <w:rFonts w:eastAsia="宋体"/>
                <w:color w:val="auto"/>
                <w:sz w:val="21"/>
                <w:szCs w:val="21"/>
                <w:highlight w:val="none"/>
              </w:rPr>
              <w:t>≤0.005</w:t>
            </w:r>
          </w:p>
        </w:tc>
        <w:tc>
          <w:tcPr>
            <w:tcW w:w="1049" w:type="dxa"/>
            <w:vAlign w:val="center"/>
          </w:tcPr>
          <w:p w14:paraId="0BC55492">
            <w:pPr>
              <w:pStyle w:val="98"/>
              <w:ind w:left="-105" w:right="-105"/>
              <w:rPr>
                <w:rFonts w:eastAsia="宋体"/>
                <w:color w:val="auto"/>
                <w:sz w:val="21"/>
                <w:szCs w:val="21"/>
                <w:highlight w:val="none"/>
              </w:rPr>
            </w:pPr>
            <w:r>
              <w:rPr>
                <w:rFonts w:eastAsia="宋体"/>
                <w:color w:val="auto"/>
                <w:sz w:val="21"/>
                <w:szCs w:val="21"/>
                <w:highlight w:val="none"/>
              </w:rPr>
              <w:t>≤0.005</w:t>
            </w:r>
          </w:p>
        </w:tc>
        <w:tc>
          <w:tcPr>
            <w:tcW w:w="1050" w:type="dxa"/>
            <w:vAlign w:val="center"/>
          </w:tcPr>
          <w:p w14:paraId="180470C8">
            <w:pPr>
              <w:pStyle w:val="98"/>
              <w:ind w:left="-105" w:right="-105"/>
              <w:rPr>
                <w:rFonts w:eastAsia="宋体"/>
                <w:color w:val="auto"/>
                <w:sz w:val="21"/>
                <w:szCs w:val="21"/>
                <w:highlight w:val="none"/>
              </w:rPr>
            </w:pPr>
            <w:r>
              <w:rPr>
                <w:rFonts w:eastAsia="宋体"/>
                <w:color w:val="auto"/>
                <w:sz w:val="21"/>
                <w:szCs w:val="21"/>
                <w:highlight w:val="none"/>
              </w:rPr>
              <w:t>≤0.01</w:t>
            </w:r>
          </w:p>
        </w:tc>
        <w:tc>
          <w:tcPr>
            <w:tcW w:w="1665" w:type="dxa"/>
            <w:vAlign w:val="center"/>
          </w:tcPr>
          <w:p w14:paraId="6DA87F32">
            <w:pPr>
              <w:pStyle w:val="98"/>
              <w:ind w:left="-105" w:right="-105"/>
              <w:rPr>
                <w:rFonts w:eastAsia="宋体"/>
                <w:color w:val="auto"/>
                <w:sz w:val="21"/>
                <w:szCs w:val="21"/>
                <w:highlight w:val="none"/>
              </w:rPr>
            </w:pPr>
            <w:r>
              <w:rPr>
                <w:rFonts w:eastAsia="宋体"/>
                <w:color w:val="auto"/>
                <w:sz w:val="21"/>
                <w:szCs w:val="21"/>
                <w:highlight w:val="none"/>
              </w:rPr>
              <w:t>≤0.1</w:t>
            </w:r>
          </w:p>
        </w:tc>
        <w:tc>
          <w:tcPr>
            <w:tcW w:w="1332" w:type="dxa"/>
            <w:vAlign w:val="center"/>
          </w:tcPr>
          <w:p w14:paraId="2A072397">
            <w:pPr>
              <w:pStyle w:val="98"/>
              <w:ind w:left="-105" w:right="-105"/>
              <w:rPr>
                <w:rFonts w:eastAsia="宋体"/>
                <w:color w:val="auto"/>
                <w:sz w:val="21"/>
                <w:szCs w:val="21"/>
                <w:highlight w:val="none"/>
              </w:rPr>
            </w:pPr>
            <w:r>
              <w:rPr>
                <w:rFonts w:eastAsia="宋体"/>
                <w:color w:val="auto"/>
                <w:sz w:val="21"/>
                <w:szCs w:val="21"/>
                <w:highlight w:val="none"/>
              </w:rPr>
              <w:t>＞0.1</w:t>
            </w:r>
          </w:p>
        </w:tc>
      </w:tr>
      <w:tr w14:paraId="520435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1B85132">
            <w:pPr>
              <w:pStyle w:val="98"/>
              <w:numPr>
                <w:ilvl w:val="0"/>
                <w:numId w:val="12"/>
              </w:numPr>
              <w:ind w:left="-105" w:right="-105" w:firstLine="0"/>
              <w:rPr>
                <w:rFonts w:eastAsia="宋体"/>
                <w:color w:val="auto"/>
                <w:sz w:val="21"/>
                <w:szCs w:val="21"/>
                <w:highlight w:val="none"/>
              </w:rPr>
            </w:pPr>
          </w:p>
        </w:tc>
        <w:tc>
          <w:tcPr>
            <w:tcW w:w="1750" w:type="dxa"/>
            <w:vAlign w:val="center"/>
          </w:tcPr>
          <w:p w14:paraId="7739627B">
            <w:pPr>
              <w:pStyle w:val="98"/>
              <w:ind w:left="-105" w:right="-105"/>
              <w:rPr>
                <w:rFonts w:eastAsia="宋体"/>
                <w:color w:val="auto"/>
                <w:sz w:val="21"/>
                <w:szCs w:val="21"/>
                <w:highlight w:val="none"/>
              </w:rPr>
            </w:pPr>
            <w:r>
              <w:rPr>
                <w:rFonts w:eastAsia="宋体"/>
                <w:color w:val="auto"/>
                <w:sz w:val="21"/>
                <w:szCs w:val="21"/>
                <w:highlight w:val="none"/>
              </w:rPr>
              <w:t>氟化物</w:t>
            </w:r>
          </w:p>
        </w:tc>
        <w:tc>
          <w:tcPr>
            <w:tcW w:w="1049" w:type="dxa"/>
            <w:vAlign w:val="center"/>
          </w:tcPr>
          <w:p w14:paraId="40F71B57">
            <w:pPr>
              <w:pStyle w:val="98"/>
              <w:ind w:left="-105" w:right="-105"/>
              <w:rPr>
                <w:rFonts w:eastAsia="宋体"/>
                <w:color w:val="auto"/>
                <w:sz w:val="21"/>
                <w:szCs w:val="21"/>
                <w:highlight w:val="none"/>
              </w:rPr>
            </w:pPr>
            <w:r>
              <w:rPr>
                <w:rFonts w:eastAsia="宋体"/>
                <w:color w:val="auto"/>
                <w:sz w:val="21"/>
                <w:szCs w:val="21"/>
                <w:highlight w:val="none"/>
              </w:rPr>
              <w:t>≤1.0</w:t>
            </w:r>
          </w:p>
        </w:tc>
        <w:tc>
          <w:tcPr>
            <w:tcW w:w="1049" w:type="dxa"/>
            <w:vAlign w:val="center"/>
          </w:tcPr>
          <w:p w14:paraId="6B27633E">
            <w:pPr>
              <w:pStyle w:val="98"/>
              <w:ind w:left="-105" w:right="-105"/>
              <w:rPr>
                <w:rFonts w:eastAsia="宋体"/>
                <w:color w:val="auto"/>
                <w:sz w:val="21"/>
                <w:szCs w:val="21"/>
                <w:highlight w:val="none"/>
              </w:rPr>
            </w:pPr>
            <w:r>
              <w:rPr>
                <w:rFonts w:eastAsia="宋体"/>
                <w:color w:val="auto"/>
                <w:sz w:val="21"/>
                <w:szCs w:val="21"/>
                <w:highlight w:val="none"/>
              </w:rPr>
              <w:t>≤1.0</w:t>
            </w:r>
          </w:p>
        </w:tc>
        <w:tc>
          <w:tcPr>
            <w:tcW w:w="1050" w:type="dxa"/>
            <w:vAlign w:val="center"/>
          </w:tcPr>
          <w:p w14:paraId="65F65C0E">
            <w:pPr>
              <w:pStyle w:val="98"/>
              <w:ind w:left="-105" w:right="-105"/>
              <w:rPr>
                <w:rFonts w:eastAsia="宋体"/>
                <w:color w:val="auto"/>
                <w:sz w:val="21"/>
                <w:szCs w:val="21"/>
                <w:highlight w:val="none"/>
              </w:rPr>
            </w:pPr>
            <w:r>
              <w:rPr>
                <w:rFonts w:eastAsia="宋体"/>
                <w:color w:val="auto"/>
                <w:sz w:val="21"/>
                <w:szCs w:val="21"/>
                <w:highlight w:val="none"/>
              </w:rPr>
              <w:t>≤1.0</w:t>
            </w:r>
          </w:p>
        </w:tc>
        <w:tc>
          <w:tcPr>
            <w:tcW w:w="1665" w:type="dxa"/>
            <w:vAlign w:val="center"/>
          </w:tcPr>
          <w:p w14:paraId="21793148">
            <w:pPr>
              <w:pStyle w:val="98"/>
              <w:ind w:left="-105" w:right="-105"/>
              <w:rPr>
                <w:rFonts w:eastAsia="宋体"/>
                <w:color w:val="auto"/>
                <w:sz w:val="21"/>
                <w:szCs w:val="21"/>
                <w:highlight w:val="none"/>
              </w:rPr>
            </w:pPr>
            <w:r>
              <w:rPr>
                <w:rFonts w:eastAsia="宋体"/>
                <w:color w:val="auto"/>
                <w:sz w:val="21"/>
                <w:szCs w:val="21"/>
                <w:highlight w:val="none"/>
              </w:rPr>
              <w:t>≤2.0</w:t>
            </w:r>
          </w:p>
        </w:tc>
        <w:tc>
          <w:tcPr>
            <w:tcW w:w="1332" w:type="dxa"/>
            <w:vAlign w:val="center"/>
          </w:tcPr>
          <w:p w14:paraId="7CBDC51D">
            <w:pPr>
              <w:pStyle w:val="98"/>
              <w:ind w:left="-105" w:right="-105"/>
              <w:rPr>
                <w:rFonts w:eastAsia="宋体"/>
                <w:color w:val="auto"/>
                <w:sz w:val="21"/>
                <w:szCs w:val="21"/>
                <w:highlight w:val="none"/>
              </w:rPr>
            </w:pPr>
            <w:r>
              <w:rPr>
                <w:rFonts w:eastAsia="宋体"/>
                <w:color w:val="auto"/>
                <w:sz w:val="21"/>
                <w:szCs w:val="21"/>
                <w:highlight w:val="none"/>
              </w:rPr>
              <w:t>＞2.0</w:t>
            </w:r>
          </w:p>
        </w:tc>
      </w:tr>
      <w:tr w14:paraId="34A1DD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AE6A842">
            <w:pPr>
              <w:pStyle w:val="98"/>
              <w:numPr>
                <w:ilvl w:val="0"/>
                <w:numId w:val="12"/>
              </w:numPr>
              <w:ind w:left="-105" w:right="-105" w:firstLine="0"/>
              <w:rPr>
                <w:rFonts w:eastAsia="宋体"/>
                <w:color w:val="auto"/>
                <w:sz w:val="21"/>
                <w:szCs w:val="21"/>
                <w:highlight w:val="none"/>
              </w:rPr>
            </w:pPr>
          </w:p>
        </w:tc>
        <w:tc>
          <w:tcPr>
            <w:tcW w:w="1750" w:type="dxa"/>
            <w:vAlign w:val="center"/>
          </w:tcPr>
          <w:p w14:paraId="26F9F81D">
            <w:pPr>
              <w:pStyle w:val="98"/>
              <w:ind w:left="-105" w:right="-105"/>
              <w:rPr>
                <w:rFonts w:eastAsia="宋体"/>
                <w:color w:val="auto"/>
                <w:sz w:val="21"/>
                <w:szCs w:val="21"/>
                <w:highlight w:val="none"/>
              </w:rPr>
            </w:pPr>
            <w:r>
              <w:rPr>
                <w:rFonts w:eastAsia="宋体"/>
                <w:color w:val="auto"/>
                <w:sz w:val="21"/>
                <w:szCs w:val="21"/>
                <w:highlight w:val="none"/>
              </w:rPr>
              <w:t>镉</w:t>
            </w:r>
          </w:p>
        </w:tc>
        <w:tc>
          <w:tcPr>
            <w:tcW w:w="1049" w:type="dxa"/>
            <w:vAlign w:val="center"/>
          </w:tcPr>
          <w:p w14:paraId="3252C2D5">
            <w:pPr>
              <w:pStyle w:val="98"/>
              <w:ind w:left="-105" w:right="-105"/>
              <w:rPr>
                <w:rFonts w:eastAsia="宋体"/>
                <w:color w:val="auto"/>
                <w:sz w:val="21"/>
                <w:szCs w:val="21"/>
                <w:highlight w:val="none"/>
              </w:rPr>
            </w:pPr>
            <w:r>
              <w:rPr>
                <w:rFonts w:eastAsia="宋体"/>
                <w:color w:val="auto"/>
                <w:sz w:val="21"/>
                <w:szCs w:val="21"/>
                <w:highlight w:val="none"/>
              </w:rPr>
              <w:t>≤0.0001</w:t>
            </w:r>
          </w:p>
        </w:tc>
        <w:tc>
          <w:tcPr>
            <w:tcW w:w="1049" w:type="dxa"/>
            <w:vAlign w:val="center"/>
          </w:tcPr>
          <w:p w14:paraId="2DF46551">
            <w:pPr>
              <w:pStyle w:val="98"/>
              <w:ind w:left="-105" w:right="-105"/>
              <w:rPr>
                <w:rFonts w:eastAsia="宋体"/>
                <w:color w:val="auto"/>
                <w:sz w:val="21"/>
                <w:szCs w:val="21"/>
                <w:highlight w:val="none"/>
              </w:rPr>
            </w:pPr>
            <w:r>
              <w:rPr>
                <w:rFonts w:eastAsia="宋体"/>
                <w:color w:val="auto"/>
                <w:sz w:val="21"/>
                <w:szCs w:val="21"/>
                <w:highlight w:val="none"/>
              </w:rPr>
              <w:t>≤0.001</w:t>
            </w:r>
          </w:p>
        </w:tc>
        <w:tc>
          <w:tcPr>
            <w:tcW w:w="1050" w:type="dxa"/>
            <w:vAlign w:val="center"/>
          </w:tcPr>
          <w:p w14:paraId="7E2A433B">
            <w:pPr>
              <w:pStyle w:val="98"/>
              <w:ind w:left="-105" w:right="-105"/>
              <w:rPr>
                <w:rFonts w:eastAsia="宋体"/>
                <w:color w:val="auto"/>
                <w:sz w:val="21"/>
                <w:szCs w:val="21"/>
                <w:highlight w:val="none"/>
              </w:rPr>
            </w:pPr>
            <w:r>
              <w:rPr>
                <w:rFonts w:eastAsia="宋体"/>
                <w:color w:val="auto"/>
                <w:sz w:val="21"/>
                <w:szCs w:val="21"/>
                <w:highlight w:val="none"/>
              </w:rPr>
              <w:t>≤0.005</w:t>
            </w:r>
          </w:p>
        </w:tc>
        <w:tc>
          <w:tcPr>
            <w:tcW w:w="1665" w:type="dxa"/>
            <w:vAlign w:val="center"/>
          </w:tcPr>
          <w:p w14:paraId="364CB921">
            <w:pPr>
              <w:pStyle w:val="98"/>
              <w:ind w:left="-105" w:right="-105"/>
              <w:rPr>
                <w:rFonts w:eastAsia="宋体"/>
                <w:color w:val="auto"/>
                <w:sz w:val="21"/>
                <w:szCs w:val="21"/>
                <w:highlight w:val="none"/>
              </w:rPr>
            </w:pPr>
            <w:r>
              <w:rPr>
                <w:rFonts w:eastAsia="宋体"/>
                <w:color w:val="auto"/>
                <w:sz w:val="21"/>
                <w:szCs w:val="21"/>
                <w:highlight w:val="none"/>
              </w:rPr>
              <w:t>≤0.01</w:t>
            </w:r>
          </w:p>
        </w:tc>
        <w:tc>
          <w:tcPr>
            <w:tcW w:w="1332" w:type="dxa"/>
            <w:vAlign w:val="center"/>
          </w:tcPr>
          <w:p w14:paraId="3E8303B6">
            <w:pPr>
              <w:pStyle w:val="98"/>
              <w:ind w:left="-105" w:right="-105"/>
              <w:rPr>
                <w:rFonts w:eastAsia="宋体"/>
                <w:color w:val="auto"/>
                <w:sz w:val="21"/>
                <w:szCs w:val="21"/>
                <w:highlight w:val="none"/>
              </w:rPr>
            </w:pPr>
            <w:r>
              <w:rPr>
                <w:rFonts w:eastAsia="宋体"/>
                <w:color w:val="auto"/>
                <w:sz w:val="21"/>
                <w:szCs w:val="21"/>
                <w:highlight w:val="none"/>
              </w:rPr>
              <w:t>＞0.01</w:t>
            </w:r>
          </w:p>
        </w:tc>
      </w:tr>
      <w:tr w14:paraId="1B3CD7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18448A7">
            <w:pPr>
              <w:pStyle w:val="98"/>
              <w:numPr>
                <w:ilvl w:val="0"/>
                <w:numId w:val="12"/>
              </w:numPr>
              <w:ind w:left="-105" w:right="-105" w:firstLine="0"/>
              <w:rPr>
                <w:rFonts w:eastAsia="宋体"/>
                <w:color w:val="auto"/>
                <w:sz w:val="21"/>
                <w:szCs w:val="21"/>
                <w:highlight w:val="none"/>
              </w:rPr>
            </w:pPr>
          </w:p>
        </w:tc>
        <w:tc>
          <w:tcPr>
            <w:tcW w:w="1750" w:type="dxa"/>
            <w:vAlign w:val="center"/>
          </w:tcPr>
          <w:p w14:paraId="4EEB5C5A">
            <w:pPr>
              <w:pStyle w:val="98"/>
              <w:ind w:left="-105" w:right="-105"/>
              <w:rPr>
                <w:rFonts w:eastAsia="宋体"/>
                <w:color w:val="auto"/>
                <w:sz w:val="21"/>
                <w:szCs w:val="21"/>
                <w:highlight w:val="none"/>
              </w:rPr>
            </w:pPr>
            <w:r>
              <w:rPr>
                <w:rFonts w:eastAsia="宋体"/>
                <w:color w:val="auto"/>
                <w:sz w:val="21"/>
                <w:szCs w:val="21"/>
                <w:highlight w:val="none"/>
              </w:rPr>
              <w:t>铁</w:t>
            </w:r>
          </w:p>
        </w:tc>
        <w:tc>
          <w:tcPr>
            <w:tcW w:w="1049" w:type="dxa"/>
            <w:vAlign w:val="center"/>
          </w:tcPr>
          <w:p w14:paraId="4A97F8B0">
            <w:pPr>
              <w:pStyle w:val="98"/>
              <w:ind w:left="-105" w:right="-105"/>
              <w:rPr>
                <w:rFonts w:eastAsia="宋体"/>
                <w:color w:val="auto"/>
                <w:sz w:val="21"/>
                <w:szCs w:val="21"/>
                <w:highlight w:val="none"/>
              </w:rPr>
            </w:pPr>
            <w:r>
              <w:rPr>
                <w:rFonts w:eastAsia="宋体"/>
                <w:color w:val="auto"/>
                <w:sz w:val="21"/>
                <w:szCs w:val="21"/>
                <w:highlight w:val="none"/>
              </w:rPr>
              <w:t>≤0.1</w:t>
            </w:r>
          </w:p>
        </w:tc>
        <w:tc>
          <w:tcPr>
            <w:tcW w:w="1049" w:type="dxa"/>
            <w:vAlign w:val="center"/>
          </w:tcPr>
          <w:p w14:paraId="5E6403C4">
            <w:pPr>
              <w:pStyle w:val="98"/>
              <w:ind w:left="-105" w:right="-105"/>
              <w:rPr>
                <w:rFonts w:eastAsia="宋体"/>
                <w:color w:val="auto"/>
                <w:sz w:val="21"/>
                <w:szCs w:val="21"/>
                <w:highlight w:val="none"/>
              </w:rPr>
            </w:pPr>
            <w:r>
              <w:rPr>
                <w:rFonts w:eastAsia="宋体"/>
                <w:color w:val="auto"/>
                <w:sz w:val="21"/>
                <w:szCs w:val="21"/>
                <w:highlight w:val="none"/>
              </w:rPr>
              <w:t>≤0.2</w:t>
            </w:r>
          </w:p>
        </w:tc>
        <w:tc>
          <w:tcPr>
            <w:tcW w:w="1050" w:type="dxa"/>
            <w:vAlign w:val="center"/>
          </w:tcPr>
          <w:p w14:paraId="46ADE83E">
            <w:pPr>
              <w:pStyle w:val="98"/>
              <w:ind w:left="-105" w:right="-105"/>
              <w:rPr>
                <w:rFonts w:eastAsia="宋体"/>
                <w:color w:val="auto"/>
                <w:sz w:val="21"/>
                <w:szCs w:val="21"/>
                <w:highlight w:val="none"/>
              </w:rPr>
            </w:pPr>
            <w:r>
              <w:rPr>
                <w:rFonts w:eastAsia="宋体"/>
                <w:color w:val="auto"/>
                <w:sz w:val="21"/>
                <w:szCs w:val="21"/>
                <w:highlight w:val="none"/>
              </w:rPr>
              <w:t>≤0.3</w:t>
            </w:r>
          </w:p>
        </w:tc>
        <w:tc>
          <w:tcPr>
            <w:tcW w:w="1665" w:type="dxa"/>
            <w:vAlign w:val="center"/>
          </w:tcPr>
          <w:p w14:paraId="273EBA05">
            <w:pPr>
              <w:pStyle w:val="98"/>
              <w:ind w:left="-105" w:right="-105"/>
              <w:rPr>
                <w:rFonts w:eastAsia="宋体"/>
                <w:color w:val="auto"/>
                <w:sz w:val="21"/>
                <w:szCs w:val="21"/>
                <w:highlight w:val="none"/>
              </w:rPr>
            </w:pPr>
            <w:r>
              <w:rPr>
                <w:rFonts w:eastAsia="宋体"/>
                <w:color w:val="auto"/>
                <w:sz w:val="21"/>
                <w:szCs w:val="21"/>
                <w:highlight w:val="none"/>
              </w:rPr>
              <w:t>≤2.0</w:t>
            </w:r>
          </w:p>
        </w:tc>
        <w:tc>
          <w:tcPr>
            <w:tcW w:w="1332" w:type="dxa"/>
            <w:vAlign w:val="center"/>
          </w:tcPr>
          <w:p w14:paraId="5B870A32">
            <w:pPr>
              <w:pStyle w:val="98"/>
              <w:ind w:left="-105" w:right="-105"/>
              <w:rPr>
                <w:rFonts w:eastAsia="宋体"/>
                <w:color w:val="auto"/>
                <w:sz w:val="21"/>
                <w:szCs w:val="21"/>
                <w:highlight w:val="none"/>
              </w:rPr>
            </w:pPr>
            <w:r>
              <w:rPr>
                <w:rFonts w:eastAsia="宋体"/>
                <w:color w:val="auto"/>
                <w:sz w:val="21"/>
                <w:szCs w:val="21"/>
                <w:highlight w:val="none"/>
              </w:rPr>
              <w:t>＞2.0</w:t>
            </w:r>
          </w:p>
        </w:tc>
      </w:tr>
      <w:tr w14:paraId="0F2F5E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2A49D79">
            <w:pPr>
              <w:pStyle w:val="98"/>
              <w:numPr>
                <w:ilvl w:val="0"/>
                <w:numId w:val="12"/>
              </w:numPr>
              <w:ind w:left="-105" w:right="-105" w:firstLine="0"/>
              <w:rPr>
                <w:rFonts w:eastAsia="宋体"/>
                <w:color w:val="auto"/>
                <w:sz w:val="21"/>
                <w:szCs w:val="21"/>
                <w:highlight w:val="none"/>
              </w:rPr>
            </w:pPr>
          </w:p>
        </w:tc>
        <w:tc>
          <w:tcPr>
            <w:tcW w:w="1750" w:type="dxa"/>
            <w:vAlign w:val="center"/>
          </w:tcPr>
          <w:p w14:paraId="774AE41D">
            <w:pPr>
              <w:pStyle w:val="98"/>
              <w:ind w:left="-105" w:right="-105"/>
              <w:rPr>
                <w:rFonts w:eastAsia="宋体"/>
                <w:color w:val="auto"/>
                <w:sz w:val="21"/>
                <w:szCs w:val="21"/>
                <w:highlight w:val="none"/>
              </w:rPr>
            </w:pPr>
            <w:r>
              <w:rPr>
                <w:rFonts w:eastAsia="宋体"/>
                <w:color w:val="auto"/>
                <w:sz w:val="21"/>
                <w:szCs w:val="21"/>
                <w:highlight w:val="none"/>
              </w:rPr>
              <w:t>锰</w:t>
            </w:r>
          </w:p>
        </w:tc>
        <w:tc>
          <w:tcPr>
            <w:tcW w:w="1049" w:type="dxa"/>
            <w:vAlign w:val="center"/>
          </w:tcPr>
          <w:p w14:paraId="7096E8E7">
            <w:pPr>
              <w:pStyle w:val="98"/>
              <w:ind w:left="-105" w:right="-105"/>
              <w:rPr>
                <w:rFonts w:eastAsia="宋体"/>
                <w:color w:val="auto"/>
                <w:sz w:val="21"/>
                <w:szCs w:val="21"/>
                <w:highlight w:val="none"/>
              </w:rPr>
            </w:pPr>
            <w:r>
              <w:rPr>
                <w:rFonts w:eastAsia="宋体"/>
                <w:color w:val="auto"/>
                <w:sz w:val="21"/>
                <w:szCs w:val="21"/>
                <w:highlight w:val="none"/>
              </w:rPr>
              <w:t>≤0.05</w:t>
            </w:r>
          </w:p>
        </w:tc>
        <w:tc>
          <w:tcPr>
            <w:tcW w:w="1049" w:type="dxa"/>
            <w:vAlign w:val="center"/>
          </w:tcPr>
          <w:p w14:paraId="5F950413">
            <w:pPr>
              <w:pStyle w:val="98"/>
              <w:ind w:left="-105" w:right="-105"/>
              <w:rPr>
                <w:rFonts w:eastAsia="宋体"/>
                <w:color w:val="auto"/>
                <w:sz w:val="21"/>
                <w:szCs w:val="21"/>
                <w:highlight w:val="none"/>
              </w:rPr>
            </w:pPr>
            <w:r>
              <w:rPr>
                <w:rFonts w:eastAsia="宋体"/>
                <w:color w:val="auto"/>
                <w:sz w:val="21"/>
                <w:szCs w:val="21"/>
                <w:highlight w:val="none"/>
              </w:rPr>
              <w:t>≤0.05</w:t>
            </w:r>
          </w:p>
        </w:tc>
        <w:tc>
          <w:tcPr>
            <w:tcW w:w="1050" w:type="dxa"/>
            <w:vAlign w:val="center"/>
          </w:tcPr>
          <w:p w14:paraId="406CC589">
            <w:pPr>
              <w:pStyle w:val="98"/>
              <w:ind w:left="-105" w:right="-105"/>
              <w:rPr>
                <w:rFonts w:eastAsia="宋体"/>
                <w:color w:val="auto"/>
                <w:sz w:val="21"/>
                <w:szCs w:val="21"/>
                <w:highlight w:val="none"/>
              </w:rPr>
            </w:pPr>
            <w:r>
              <w:rPr>
                <w:rFonts w:eastAsia="宋体"/>
                <w:color w:val="auto"/>
                <w:sz w:val="21"/>
                <w:szCs w:val="21"/>
                <w:highlight w:val="none"/>
              </w:rPr>
              <w:t>≤0.1</w:t>
            </w:r>
          </w:p>
        </w:tc>
        <w:tc>
          <w:tcPr>
            <w:tcW w:w="1665" w:type="dxa"/>
            <w:vAlign w:val="center"/>
          </w:tcPr>
          <w:p w14:paraId="70DEECBE">
            <w:pPr>
              <w:pStyle w:val="98"/>
              <w:ind w:left="-105" w:right="-105"/>
              <w:rPr>
                <w:rFonts w:eastAsia="宋体"/>
                <w:color w:val="auto"/>
                <w:sz w:val="21"/>
                <w:szCs w:val="21"/>
                <w:highlight w:val="none"/>
              </w:rPr>
            </w:pPr>
            <w:r>
              <w:rPr>
                <w:rFonts w:eastAsia="宋体"/>
                <w:color w:val="auto"/>
                <w:sz w:val="21"/>
                <w:szCs w:val="21"/>
                <w:highlight w:val="none"/>
              </w:rPr>
              <w:t>≤1.5</w:t>
            </w:r>
          </w:p>
        </w:tc>
        <w:tc>
          <w:tcPr>
            <w:tcW w:w="1332" w:type="dxa"/>
            <w:vAlign w:val="center"/>
          </w:tcPr>
          <w:p w14:paraId="6B61C703">
            <w:pPr>
              <w:pStyle w:val="98"/>
              <w:ind w:left="-105" w:right="-105"/>
              <w:rPr>
                <w:rFonts w:eastAsia="宋体"/>
                <w:color w:val="auto"/>
                <w:sz w:val="21"/>
                <w:szCs w:val="21"/>
                <w:highlight w:val="none"/>
              </w:rPr>
            </w:pPr>
            <w:r>
              <w:rPr>
                <w:rFonts w:eastAsia="宋体"/>
                <w:color w:val="auto"/>
                <w:sz w:val="21"/>
                <w:szCs w:val="21"/>
                <w:highlight w:val="none"/>
              </w:rPr>
              <w:t>＞1.5</w:t>
            </w:r>
          </w:p>
        </w:tc>
      </w:tr>
      <w:tr w14:paraId="130D64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26790B6">
            <w:pPr>
              <w:pStyle w:val="98"/>
              <w:numPr>
                <w:ilvl w:val="0"/>
                <w:numId w:val="12"/>
              </w:numPr>
              <w:ind w:left="-105" w:right="-105" w:firstLine="0"/>
              <w:rPr>
                <w:rFonts w:eastAsia="宋体"/>
                <w:color w:val="auto"/>
                <w:sz w:val="21"/>
                <w:szCs w:val="21"/>
                <w:highlight w:val="none"/>
              </w:rPr>
            </w:pPr>
          </w:p>
        </w:tc>
        <w:tc>
          <w:tcPr>
            <w:tcW w:w="1750" w:type="dxa"/>
            <w:vAlign w:val="center"/>
          </w:tcPr>
          <w:p w14:paraId="1C03EA61">
            <w:pPr>
              <w:pStyle w:val="98"/>
              <w:ind w:left="-105" w:right="-105"/>
              <w:rPr>
                <w:rFonts w:eastAsia="宋体"/>
                <w:color w:val="auto"/>
                <w:sz w:val="21"/>
                <w:szCs w:val="21"/>
                <w:highlight w:val="none"/>
              </w:rPr>
            </w:pPr>
            <w:r>
              <w:rPr>
                <w:rFonts w:eastAsia="宋体"/>
                <w:color w:val="auto"/>
                <w:sz w:val="21"/>
                <w:szCs w:val="21"/>
                <w:highlight w:val="none"/>
              </w:rPr>
              <w:t>溶解性总固体</w:t>
            </w:r>
          </w:p>
        </w:tc>
        <w:tc>
          <w:tcPr>
            <w:tcW w:w="1049" w:type="dxa"/>
            <w:vAlign w:val="center"/>
          </w:tcPr>
          <w:p w14:paraId="619EFFA7">
            <w:pPr>
              <w:pStyle w:val="98"/>
              <w:ind w:left="-105" w:right="-105"/>
              <w:rPr>
                <w:rFonts w:eastAsia="宋体"/>
                <w:color w:val="auto"/>
                <w:sz w:val="21"/>
                <w:szCs w:val="21"/>
                <w:highlight w:val="none"/>
              </w:rPr>
            </w:pPr>
            <w:r>
              <w:rPr>
                <w:rFonts w:eastAsia="宋体"/>
                <w:color w:val="auto"/>
                <w:sz w:val="21"/>
                <w:szCs w:val="21"/>
                <w:highlight w:val="none"/>
              </w:rPr>
              <w:t>≤300</w:t>
            </w:r>
          </w:p>
        </w:tc>
        <w:tc>
          <w:tcPr>
            <w:tcW w:w="1049" w:type="dxa"/>
            <w:vAlign w:val="center"/>
          </w:tcPr>
          <w:p w14:paraId="679CF87B">
            <w:pPr>
              <w:pStyle w:val="98"/>
              <w:ind w:left="-105" w:right="-105"/>
              <w:rPr>
                <w:rFonts w:eastAsia="宋体"/>
                <w:color w:val="auto"/>
                <w:sz w:val="21"/>
                <w:szCs w:val="21"/>
                <w:highlight w:val="none"/>
              </w:rPr>
            </w:pPr>
            <w:r>
              <w:rPr>
                <w:rFonts w:eastAsia="宋体"/>
                <w:color w:val="auto"/>
                <w:sz w:val="21"/>
                <w:szCs w:val="21"/>
                <w:highlight w:val="none"/>
              </w:rPr>
              <w:t>≤500</w:t>
            </w:r>
          </w:p>
        </w:tc>
        <w:tc>
          <w:tcPr>
            <w:tcW w:w="1050" w:type="dxa"/>
            <w:vAlign w:val="center"/>
          </w:tcPr>
          <w:p w14:paraId="15E1135C">
            <w:pPr>
              <w:pStyle w:val="98"/>
              <w:ind w:left="-105" w:right="-105"/>
              <w:rPr>
                <w:rFonts w:eastAsia="宋体"/>
                <w:color w:val="auto"/>
                <w:sz w:val="21"/>
                <w:szCs w:val="21"/>
                <w:highlight w:val="none"/>
              </w:rPr>
            </w:pPr>
            <w:r>
              <w:rPr>
                <w:rFonts w:eastAsia="宋体"/>
                <w:color w:val="auto"/>
                <w:sz w:val="21"/>
                <w:szCs w:val="21"/>
                <w:highlight w:val="none"/>
              </w:rPr>
              <w:t>≤1000</w:t>
            </w:r>
          </w:p>
        </w:tc>
        <w:tc>
          <w:tcPr>
            <w:tcW w:w="1665" w:type="dxa"/>
            <w:vAlign w:val="center"/>
          </w:tcPr>
          <w:p w14:paraId="64C5510E">
            <w:pPr>
              <w:pStyle w:val="98"/>
              <w:ind w:left="-105" w:right="-105"/>
              <w:rPr>
                <w:rFonts w:eastAsia="宋体"/>
                <w:color w:val="auto"/>
                <w:sz w:val="21"/>
                <w:szCs w:val="21"/>
                <w:highlight w:val="none"/>
              </w:rPr>
            </w:pPr>
            <w:r>
              <w:rPr>
                <w:rFonts w:eastAsia="宋体"/>
                <w:color w:val="auto"/>
                <w:sz w:val="21"/>
                <w:szCs w:val="21"/>
                <w:highlight w:val="none"/>
              </w:rPr>
              <w:t>≤2000</w:t>
            </w:r>
          </w:p>
        </w:tc>
        <w:tc>
          <w:tcPr>
            <w:tcW w:w="1332" w:type="dxa"/>
            <w:vAlign w:val="center"/>
          </w:tcPr>
          <w:p w14:paraId="5AF13F0C">
            <w:pPr>
              <w:pStyle w:val="98"/>
              <w:ind w:left="-105" w:right="-105"/>
              <w:rPr>
                <w:rFonts w:eastAsia="宋体"/>
                <w:color w:val="auto"/>
                <w:sz w:val="21"/>
                <w:szCs w:val="21"/>
                <w:highlight w:val="none"/>
              </w:rPr>
            </w:pPr>
            <w:r>
              <w:rPr>
                <w:rFonts w:eastAsia="宋体"/>
                <w:color w:val="auto"/>
                <w:sz w:val="21"/>
                <w:szCs w:val="21"/>
                <w:highlight w:val="none"/>
              </w:rPr>
              <w:t>＞2000</w:t>
            </w:r>
          </w:p>
        </w:tc>
      </w:tr>
      <w:tr w14:paraId="6FA02F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6FEF07C9">
            <w:pPr>
              <w:pStyle w:val="98"/>
              <w:numPr>
                <w:ilvl w:val="0"/>
                <w:numId w:val="12"/>
              </w:numPr>
              <w:ind w:left="-105" w:right="-105" w:firstLine="0"/>
              <w:rPr>
                <w:rFonts w:eastAsia="宋体"/>
                <w:color w:val="auto"/>
                <w:sz w:val="21"/>
                <w:szCs w:val="21"/>
                <w:highlight w:val="none"/>
              </w:rPr>
            </w:pPr>
          </w:p>
        </w:tc>
        <w:tc>
          <w:tcPr>
            <w:tcW w:w="1750" w:type="dxa"/>
            <w:vAlign w:val="center"/>
          </w:tcPr>
          <w:p w14:paraId="30F65D64">
            <w:pPr>
              <w:pStyle w:val="98"/>
              <w:ind w:left="-105" w:right="-105"/>
              <w:rPr>
                <w:rFonts w:eastAsia="宋体"/>
                <w:color w:val="auto"/>
                <w:sz w:val="21"/>
                <w:szCs w:val="21"/>
                <w:highlight w:val="none"/>
              </w:rPr>
            </w:pPr>
            <w:r>
              <w:rPr>
                <w:rFonts w:eastAsia="宋体"/>
                <w:color w:val="auto"/>
                <w:sz w:val="21"/>
                <w:szCs w:val="21"/>
                <w:highlight w:val="none"/>
              </w:rPr>
              <w:t>耗氧量</w:t>
            </w:r>
          </w:p>
        </w:tc>
        <w:tc>
          <w:tcPr>
            <w:tcW w:w="1049" w:type="dxa"/>
            <w:vAlign w:val="center"/>
          </w:tcPr>
          <w:p w14:paraId="03D5000C">
            <w:pPr>
              <w:pStyle w:val="98"/>
              <w:ind w:left="-105" w:right="-105"/>
              <w:rPr>
                <w:rFonts w:eastAsia="宋体"/>
                <w:color w:val="auto"/>
                <w:sz w:val="21"/>
                <w:szCs w:val="21"/>
                <w:highlight w:val="none"/>
              </w:rPr>
            </w:pPr>
            <w:r>
              <w:rPr>
                <w:rFonts w:eastAsia="宋体"/>
                <w:bCs/>
                <w:color w:val="auto"/>
                <w:sz w:val="21"/>
                <w:szCs w:val="21"/>
                <w:highlight w:val="none"/>
              </w:rPr>
              <w:t>≤1.0</w:t>
            </w:r>
          </w:p>
        </w:tc>
        <w:tc>
          <w:tcPr>
            <w:tcW w:w="1049" w:type="dxa"/>
            <w:vAlign w:val="center"/>
          </w:tcPr>
          <w:p w14:paraId="6ECF2C19">
            <w:pPr>
              <w:pStyle w:val="98"/>
              <w:ind w:left="-105" w:right="-105"/>
              <w:rPr>
                <w:rFonts w:eastAsia="宋体"/>
                <w:color w:val="auto"/>
                <w:sz w:val="21"/>
                <w:szCs w:val="21"/>
                <w:highlight w:val="none"/>
              </w:rPr>
            </w:pPr>
            <w:r>
              <w:rPr>
                <w:rFonts w:eastAsia="宋体"/>
                <w:bCs/>
                <w:color w:val="auto"/>
                <w:sz w:val="21"/>
                <w:szCs w:val="21"/>
                <w:highlight w:val="none"/>
              </w:rPr>
              <w:t>≤2.0</w:t>
            </w:r>
          </w:p>
        </w:tc>
        <w:tc>
          <w:tcPr>
            <w:tcW w:w="1050" w:type="dxa"/>
            <w:vAlign w:val="center"/>
          </w:tcPr>
          <w:p w14:paraId="158C292E">
            <w:pPr>
              <w:pStyle w:val="98"/>
              <w:ind w:left="-105" w:right="-105"/>
              <w:rPr>
                <w:rFonts w:eastAsia="宋体"/>
                <w:color w:val="auto"/>
                <w:sz w:val="21"/>
                <w:szCs w:val="21"/>
                <w:highlight w:val="none"/>
              </w:rPr>
            </w:pPr>
            <w:r>
              <w:rPr>
                <w:rFonts w:eastAsia="宋体"/>
                <w:bCs/>
                <w:color w:val="auto"/>
                <w:sz w:val="21"/>
                <w:szCs w:val="21"/>
                <w:highlight w:val="none"/>
              </w:rPr>
              <w:t>≤3.0</w:t>
            </w:r>
          </w:p>
        </w:tc>
        <w:tc>
          <w:tcPr>
            <w:tcW w:w="1665" w:type="dxa"/>
            <w:vAlign w:val="center"/>
          </w:tcPr>
          <w:p w14:paraId="30C48CF7">
            <w:pPr>
              <w:pStyle w:val="98"/>
              <w:ind w:left="-105" w:right="-105"/>
              <w:rPr>
                <w:rFonts w:eastAsia="宋体"/>
                <w:color w:val="auto"/>
                <w:sz w:val="21"/>
                <w:szCs w:val="21"/>
                <w:highlight w:val="none"/>
              </w:rPr>
            </w:pPr>
            <w:r>
              <w:rPr>
                <w:rFonts w:eastAsia="宋体"/>
                <w:bCs/>
                <w:color w:val="auto"/>
                <w:sz w:val="21"/>
                <w:szCs w:val="21"/>
                <w:highlight w:val="none"/>
              </w:rPr>
              <w:t>≤10</w:t>
            </w:r>
          </w:p>
        </w:tc>
        <w:tc>
          <w:tcPr>
            <w:tcW w:w="1332" w:type="dxa"/>
            <w:vAlign w:val="center"/>
          </w:tcPr>
          <w:p w14:paraId="0B7A963A">
            <w:pPr>
              <w:pStyle w:val="98"/>
              <w:ind w:left="-105" w:right="-105"/>
              <w:rPr>
                <w:rFonts w:eastAsia="宋体"/>
                <w:color w:val="auto"/>
                <w:sz w:val="21"/>
                <w:szCs w:val="21"/>
                <w:highlight w:val="none"/>
              </w:rPr>
            </w:pPr>
            <w:r>
              <w:rPr>
                <w:rFonts w:eastAsia="宋体"/>
                <w:bCs/>
                <w:color w:val="auto"/>
                <w:sz w:val="21"/>
                <w:szCs w:val="21"/>
                <w:highlight w:val="none"/>
              </w:rPr>
              <w:t>＞10</w:t>
            </w:r>
          </w:p>
        </w:tc>
      </w:tr>
      <w:tr w14:paraId="40DBE8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B3D824B">
            <w:pPr>
              <w:pStyle w:val="98"/>
              <w:numPr>
                <w:ilvl w:val="0"/>
                <w:numId w:val="12"/>
              </w:numPr>
              <w:ind w:left="-105" w:right="-105" w:firstLine="0"/>
              <w:rPr>
                <w:rFonts w:eastAsia="宋体"/>
                <w:color w:val="auto"/>
                <w:sz w:val="21"/>
                <w:szCs w:val="21"/>
                <w:highlight w:val="none"/>
              </w:rPr>
            </w:pPr>
          </w:p>
        </w:tc>
        <w:tc>
          <w:tcPr>
            <w:tcW w:w="1750" w:type="dxa"/>
            <w:vAlign w:val="center"/>
          </w:tcPr>
          <w:p w14:paraId="7ECB2DAD">
            <w:pPr>
              <w:pStyle w:val="98"/>
              <w:ind w:left="-105" w:right="-105"/>
              <w:rPr>
                <w:rFonts w:eastAsia="宋体"/>
                <w:color w:val="auto"/>
                <w:sz w:val="21"/>
                <w:szCs w:val="21"/>
                <w:highlight w:val="none"/>
              </w:rPr>
            </w:pPr>
            <w:r>
              <w:rPr>
                <w:rFonts w:eastAsia="宋体"/>
                <w:color w:val="auto"/>
                <w:sz w:val="21"/>
                <w:szCs w:val="21"/>
                <w:highlight w:val="none"/>
              </w:rPr>
              <w:t>锌</w:t>
            </w:r>
          </w:p>
        </w:tc>
        <w:tc>
          <w:tcPr>
            <w:tcW w:w="1049" w:type="dxa"/>
            <w:vAlign w:val="center"/>
          </w:tcPr>
          <w:p w14:paraId="0906BF75">
            <w:pPr>
              <w:pStyle w:val="98"/>
              <w:ind w:left="-105" w:right="-105"/>
              <w:rPr>
                <w:rFonts w:eastAsia="宋体"/>
                <w:color w:val="auto"/>
                <w:sz w:val="21"/>
                <w:szCs w:val="21"/>
                <w:highlight w:val="none"/>
              </w:rPr>
            </w:pPr>
            <w:r>
              <w:rPr>
                <w:rFonts w:eastAsia="宋体"/>
                <w:color w:val="auto"/>
                <w:sz w:val="21"/>
                <w:szCs w:val="21"/>
                <w:highlight w:val="none"/>
              </w:rPr>
              <w:t>≤0.05</w:t>
            </w:r>
          </w:p>
        </w:tc>
        <w:tc>
          <w:tcPr>
            <w:tcW w:w="1049" w:type="dxa"/>
            <w:vAlign w:val="center"/>
          </w:tcPr>
          <w:p w14:paraId="593C77E2">
            <w:pPr>
              <w:pStyle w:val="98"/>
              <w:ind w:left="-105" w:right="-105"/>
              <w:rPr>
                <w:rFonts w:eastAsia="宋体"/>
                <w:color w:val="auto"/>
                <w:sz w:val="21"/>
                <w:szCs w:val="21"/>
                <w:highlight w:val="none"/>
              </w:rPr>
            </w:pPr>
            <w:r>
              <w:rPr>
                <w:rFonts w:eastAsia="宋体"/>
                <w:color w:val="auto"/>
                <w:sz w:val="21"/>
                <w:szCs w:val="21"/>
                <w:highlight w:val="none"/>
              </w:rPr>
              <w:t>≤0.5</w:t>
            </w:r>
          </w:p>
        </w:tc>
        <w:tc>
          <w:tcPr>
            <w:tcW w:w="1050" w:type="dxa"/>
            <w:vAlign w:val="center"/>
          </w:tcPr>
          <w:p w14:paraId="225C7D68">
            <w:pPr>
              <w:pStyle w:val="98"/>
              <w:ind w:left="-105" w:right="-105"/>
              <w:rPr>
                <w:rFonts w:eastAsia="宋体"/>
                <w:color w:val="auto"/>
                <w:sz w:val="21"/>
                <w:szCs w:val="21"/>
                <w:highlight w:val="none"/>
              </w:rPr>
            </w:pPr>
            <w:r>
              <w:rPr>
                <w:rFonts w:eastAsia="宋体"/>
                <w:color w:val="auto"/>
                <w:sz w:val="21"/>
                <w:szCs w:val="21"/>
                <w:highlight w:val="none"/>
              </w:rPr>
              <w:t>≤1.0</w:t>
            </w:r>
          </w:p>
        </w:tc>
        <w:tc>
          <w:tcPr>
            <w:tcW w:w="1665" w:type="dxa"/>
            <w:vAlign w:val="center"/>
          </w:tcPr>
          <w:p w14:paraId="7459DEFB">
            <w:pPr>
              <w:pStyle w:val="98"/>
              <w:ind w:left="-105" w:right="-105"/>
              <w:rPr>
                <w:rFonts w:eastAsia="宋体"/>
                <w:color w:val="auto"/>
                <w:sz w:val="21"/>
                <w:szCs w:val="21"/>
                <w:highlight w:val="none"/>
              </w:rPr>
            </w:pPr>
            <w:r>
              <w:rPr>
                <w:rFonts w:eastAsia="宋体"/>
                <w:color w:val="auto"/>
                <w:sz w:val="21"/>
                <w:szCs w:val="21"/>
                <w:highlight w:val="none"/>
              </w:rPr>
              <w:t>≤5.0</w:t>
            </w:r>
          </w:p>
        </w:tc>
        <w:tc>
          <w:tcPr>
            <w:tcW w:w="1332" w:type="dxa"/>
            <w:vAlign w:val="center"/>
          </w:tcPr>
          <w:p w14:paraId="7066D7AB">
            <w:pPr>
              <w:pStyle w:val="98"/>
              <w:ind w:left="-105" w:right="-105"/>
              <w:rPr>
                <w:rFonts w:eastAsia="宋体"/>
                <w:color w:val="auto"/>
                <w:sz w:val="21"/>
                <w:szCs w:val="21"/>
                <w:highlight w:val="none"/>
              </w:rPr>
            </w:pPr>
            <w:r>
              <w:rPr>
                <w:rFonts w:eastAsia="宋体"/>
                <w:color w:val="auto"/>
                <w:sz w:val="21"/>
                <w:szCs w:val="21"/>
                <w:highlight w:val="none"/>
              </w:rPr>
              <w:t>＞5.0</w:t>
            </w:r>
          </w:p>
        </w:tc>
      </w:tr>
      <w:tr w14:paraId="24FD7D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654D8202">
            <w:pPr>
              <w:pStyle w:val="98"/>
              <w:numPr>
                <w:ilvl w:val="0"/>
                <w:numId w:val="12"/>
              </w:numPr>
              <w:ind w:left="-105" w:right="-105" w:firstLine="0"/>
              <w:rPr>
                <w:rFonts w:eastAsia="宋体"/>
                <w:color w:val="auto"/>
                <w:sz w:val="21"/>
                <w:szCs w:val="21"/>
                <w:highlight w:val="none"/>
              </w:rPr>
            </w:pPr>
          </w:p>
        </w:tc>
        <w:tc>
          <w:tcPr>
            <w:tcW w:w="1750" w:type="dxa"/>
            <w:vAlign w:val="center"/>
          </w:tcPr>
          <w:p w14:paraId="35F5F8CA">
            <w:pPr>
              <w:pStyle w:val="98"/>
              <w:ind w:left="-105" w:right="-105"/>
              <w:rPr>
                <w:rFonts w:eastAsia="宋体"/>
                <w:color w:val="auto"/>
                <w:sz w:val="21"/>
                <w:szCs w:val="21"/>
                <w:highlight w:val="none"/>
              </w:rPr>
            </w:pPr>
            <w:r>
              <w:rPr>
                <w:rFonts w:eastAsia="宋体"/>
                <w:color w:val="auto"/>
                <w:sz w:val="21"/>
                <w:szCs w:val="21"/>
                <w:highlight w:val="none"/>
              </w:rPr>
              <w:t>镍</w:t>
            </w:r>
          </w:p>
        </w:tc>
        <w:tc>
          <w:tcPr>
            <w:tcW w:w="1049" w:type="dxa"/>
            <w:vAlign w:val="center"/>
          </w:tcPr>
          <w:p w14:paraId="4616EC63">
            <w:pPr>
              <w:pStyle w:val="98"/>
              <w:ind w:left="-105" w:right="-105"/>
              <w:rPr>
                <w:rFonts w:eastAsia="宋体"/>
                <w:color w:val="auto"/>
                <w:sz w:val="21"/>
                <w:szCs w:val="21"/>
                <w:highlight w:val="none"/>
              </w:rPr>
            </w:pPr>
            <w:r>
              <w:rPr>
                <w:rFonts w:eastAsia="宋体"/>
                <w:color w:val="auto"/>
                <w:sz w:val="21"/>
                <w:szCs w:val="21"/>
                <w:highlight w:val="none"/>
              </w:rPr>
              <w:t>≤0.002</w:t>
            </w:r>
          </w:p>
        </w:tc>
        <w:tc>
          <w:tcPr>
            <w:tcW w:w="1049" w:type="dxa"/>
            <w:vAlign w:val="center"/>
          </w:tcPr>
          <w:p w14:paraId="5AEED4C3">
            <w:pPr>
              <w:pStyle w:val="98"/>
              <w:ind w:left="-105" w:right="-105"/>
              <w:rPr>
                <w:rFonts w:eastAsia="宋体"/>
                <w:color w:val="auto"/>
                <w:sz w:val="21"/>
                <w:szCs w:val="21"/>
                <w:highlight w:val="none"/>
              </w:rPr>
            </w:pPr>
            <w:r>
              <w:rPr>
                <w:rFonts w:eastAsia="宋体"/>
                <w:color w:val="auto"/>
                <w:sz w:val="21"/>
                <w:szCs w:val="21"/>
                <w:highlight w:val="none"/>
              </w:rPr>
              <w:t>≤0.002</w:t>
            </w:r>
          </w:p>
        </w:tc>
        <w:tc>
          <w:tcPr>
            <w:tcW w:w="1050" w:type="dxa"/>
            <w:vAlign w:val="center"/>
          </w:tcPr>
          <w:p w14:paraId="54A6BE1E">
            <w:pPr>
              <w:pStyle w:val="98"/>
              <w:ind w:left="-105" w:right="-105"/>
              <w:rPr>
                <w:rFonts w:eastAsia="宋体"/>
                <w:color w:val="auto"/>
                <w:sz w:val="21"/>
                <w:szCs w:val="21"/>
                <w:highlight w:val="none"/>
              </w:rPr>
            </w:pPr>
            <w:r>
              <w:rPr>
                <w:rFonts w:eastAsia="宋体"/>
                <w:color w:val="auto"/>
                <w:sz w:val="21"/>
                <w:szCs w:val="21"/>
                <w:highlight w:val="none"/>
              </w:rPr>
              <w:t>≤0.02</w:t>
            </w:r>
          </w:p>
        </w:tc>
        <w:tc>
          <w:tcPr>
            <w:tcW w:w="1665" w:type="dxa"/>
            <w:vAlign w:val="center"/>
          </w:tcPr>
          <w:p w14:paraId="165D7366">
            <w:pPr>
              <w:pStyle w:val="98"/>
              <w:ind w:left="-105" w:right="-105"/>
              <w:rPr>
                <w:rFonts w:eastAsia="宋体"/>
                <w:color w:val="auto"/>
                <w:sz w:val="21"/>
                <w:szCs w:val="21"/>
                <w:highlight w:val="none"/>
              </w:rPr>
            </w:pPr>
            <w:r>
              <w:rPr>
                <w:rFonts w:eastAsia="宋体"/>
                <w:color w:val="auto"/>
                <w:sz w:val="21"/>
                <w:szCs w:val="21"/>
                <w:highlight w:val="none"/>
              </w:rPr>
              <w:t>≤0.1</w:t>
            </w:r>
          </w:p>
        </w:tc>
        <w:tc>
          <w:tcPr>
            <w:tcW w:w="1332" w:type="dxa"/>
            <w:vAlign w:val="center"/>
          </w:tcPr>
          <w:p w14:paraId="79C8984F">
            <w:pPr>
              <w:pStyle w:val="98"/>
              <w:ind w:left="-105" w:right="-105"/>
              <w:rPr>
                <w:rFonts w:eastAsia="宋体"/>
                <w:color w:val="auto"/>
                <w:sz w:val="21"/>
                <w:szCs w:val="21"/>
                <w:highlight w:val="none"/>
              </w:rPr>
            </w:pPr>
            <w:r>
              <w:rPr>
                <w:rFonts w:eastAsia="宋体"/>
                <w:color w:val="auto"/>
                <w:sz w:val="21"/>
                <w:szCs w:val="21"/>
                <w:highlight w:val="none"/>
              </w:rPr>
              <w:t>＞0.1</w:t>
            </w:r>
          </w:p>
        </w:tc>
      </w:tr>
      <w:tr w14:paraId="359246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E491364">
            <w:pPr>
              <w:pStyle w:val="98"/>
              <w:numPr>
                <w:ilvl w:val="0"/>
                <w:numId w:val="12"/>
              </w:numPr>
              <w:ind w:left="-105" w:right="-105" w:firstLine="0"/>
              <w:rPr>
                <w:rFonts w:eastAsia="宋体"/>
                <w:color w:val="auto"/>
                <w:sz w:val="21"/>
                <w:szCs w:val="21"/>
                <w:highlight w:val="none"/>
              </w:rPr>
            </w:pPr>
          </w:p>
        </w:tc>
        <w:tc>
          <w:tcPr>
            <w:tcW w:w="1750" w:type="dxa"/>
            <w:vAlign w:val="center"/>
          </w:tcPr>
          <w:p w14:paraId="0216B88A">
            <w:pPr>
              <w:pStyle w:val="98"/>
              <w:ind w:left="-105" w:right="-105"/>
              <w:rPr>
                <w:rFonts w:eastAsia="宋体"/>
                <w:color w:val="auto"/>
                <w:sz w:val="21"/>
                <w:szCs w:val="21"/>
                <w:highlight w:val="none"/>
              </w:rPr>
            </w:pPr>
            <w:r>
              <w:rPr>
                <w:rFonts w:eastAsia="宋体"/>
                <w:color w:val="auto"/>
                <w:sz w:val="21"/>
                <w:szCs w:val="21"/>
                <w:highlight w:val="none"/>
              </w:rPr>
              <w:t>氯乙烯</w:t>
            </w:r>
          </w:p>
        </w:tc>
        <w:tc>
          <w:tcPr>
            <w:tcW w:w="1049" w:type="dxa"/>
            <w:vAlign w:val="center"/>
          </w:tcPr>
          <w:p w14:paraId="229435F6">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3EE598C1">
            <w:pPr>
              <w:pStyle w:val="98"/>
              <w:ind w:left="-105" w:right="-105"/>
              <w:rPr>
                <w:rFonts w:eastAsia="宋体"/>
                <w:color w:val="auto"/>
                <w:sz w:val="21"/>
                <w:szCs w:val="21"/>
                <w:highlight w:val="none"/>
              </w:rPr>
            </w:pPr>
            <w:r>
              <w:rPr>
                <w:rFonts w:eastAsia="宋体"/>
                <w:color w:val="auto"/>
                <w:sz w:val="21"/>
                <w:szCs w:val="21"/>
                <w:highlight w:val="none"/>
              </w:rPr>
              <w:t>≤0.5</w:t>
            </w:r>
          </w:p>
        </w:tc>
        <w:tc>
          <w:tcPr>
            <w:tcW w:w="1050" w:type="dxa"/>
            <w:vAlign w:val="center"/>
          </w:tcPr>
          <w:p w14:paraId="5ABAF127">
            <w:pPr>
              <w:pStyle w:val="98"/>
              <w:ind w:left="-105" w:right="-105"/>
              <w:rPr>
                <w:rFonts w:eastAsia="宋体"/>
                <w:color w:val="auto"/>
                <w:sz w:val="21"/>
                <w:szCs w:val="21"/>
                <w:highlight w:val="none"/>
              </w:rPr>
            </w:pPr>
            <w:r>
              <w:rPr>
                <w:rFonts w:eastAsia="宋体"/>
                <w:color w:val="auto"/>
                <w:sz w:val="21"/>
                <w:szCs w:val="21"/>
                <w:highlight w:val="none"/>
              </w:rPr>
              <w:t>≤5.0</w:t>
            </w:r>
          </w:p>
        </w:tc>
        <w:tc>
          <w:tcPr>
            <w:tcW w:w="1665" w:type="dxa"/>
            <w:vAlign w:val="center"/>
          </w:tcPr>
          <w:p w14:paraId="487B0295">
            <w:pPr>
              <w:pStyle w:val="98"/>
              <w:ind w:left="-105" w:right="-105"/>
              <w:rPr>
                <w:rFonts w:eastAsia="宋体"/>
                <w:color w:val="auto"/>
                <w:sz w:val="21"/>
                <w:szCs w:val="21"/>
                <w:highlight w:val="none"/>
              </w:rPr>
            </w:pPr>
            <w:r>
              <w:rPr>
                <w:rFonts w:eastAsia="宋体"/>
                <w:color w:val="auto"/>
                <w:sz w:val="21"/>
                <w:szCs w:val="21"/>
                <w:highlight w:val="none"/>
              </w:rPr>
              <w:t>≤90.0</w:t>
            </w:r>
          </w:p>
        </w:tc>
        <w:tc>
          <w:tcPr>
            <w:tcW w:w="1332" w:type="dxa"/>
            <w:vAlign w:val="center"/>
          </w:tcPr>
          <w:p w14:paraId="02715D5D">
            <w:pPr>
              <w:pStyle w:val="98"/>
              <w:ind w:left="-105" w:right="-105"/>
              <w:rPr>
                <w:rFonts w:eastAsia="宋体"/>
                <w:color w:val="auto"/>
                <w:sz w:val="21"/>
                <w:szCs w:val="21"/>
                <w:highlight w:val="none"/>
              </w:rPr>
            </w:pPr>
            <w:r>
              <w:rPr>
                <w:rFonts w:eastAsia="宋体"/>
                <w:color w:val="auto"/>
                <w:sz w:val="21"/>
                <w:szCs w:val="21"/>
                <w:highlight w:val="none"/>
              </w:rPr>
              <w:t>＞90.0</w:t>
            </w:r>
          </w:p>
        </w:tc>
      </w:tr>
      <w:tr w14:paraId="26ADEF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4AD4A812">
            <w:pPr>
              <w:pStyle w:val="98"/>
              <w:numPr>
                <w:ilvl w:val="0"/>
                <w:numId w:val="12"/>
              </w:numPr>
              <w:ind w:left="-105" w:right="-105" w:firstLine="0"/>
              <w:rPr>
                <w:rFonts w:eastAsia="宋体"/>
                <w:color w:val="auto"/>
                <w:sz w:val="21"/>
                <w:szCs w:val="21"/>
                <w:highlight w:val="none"/>
              </w:rPr>
            </w:pPr>
          </w:p>
        </w:tc>
        <w:tc>
          <w:tcPr>
            <w:tcW w:w="1750" w:type="dxa"/>
            <w:vAlign w:val="center"/>
          </w:tcPr>
          <w:p w14:paraId="2FCEE84B">
            <w:pPr>
              <w:pStyle w:val="98"/>
              <w:ind w:left="-105" w:right="-105"/>
              <w:rPr>
                <w:rFonts w:eastAsia="宋体"/>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二氯乙烯</w:t>
            </w:r>
          </w:p>
        </w:tc>
        <w:tc>
          <w:tcPr>
            <w:tcW w:w="1049" w:type="dxa"/>
            <w:vAlign w:val="center"/>
          </w:tcPr>
          <w:p w14:paraId="23ABAF87">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54BB3549">
            <w:pPr>
              <w:pStyle w:val="98"/>
              <w:ind w:left="-105" w:right="-105"/>
              <w:rPr>
                <w:rFonts w:eastAsia="宋体"/>
                <w:color w:val="auto"/>
                <w:sz w:val="21"/>
                <w:szCs w:val="21"/>
                <w:highlight w:val="none"/>
              </w:rPr>
            </w:pPr>
            <w:r>
              <w:rPr>
                <w:rFonts w:eastAsia="宋体"/>
                <w:color w:val="auto"/>
                <w:sz w:val="21"/>
                <w:szCs w:val="21"/>
                <w:highlight w:val="none"/>
              </w:rPr>
              <w:t>≤3.0</w:t>
            </w:r>
          </w:p>
        </w:tc>
        <w:tc>
          <w:tcPr>
            <w:tcW w:w="1050" w:type="dxa"/>
            <w:vAlign w:val="center"/>
          </w:tcPr>
          <w:p w14:paraId="5BF20B19">
            <w:pPr>
              <w:pStyle w:val="98"/>
              <w:ind w:left="-105" w:right="-105"/>
              <w:rPr>
                <w:rFonts w:eastAsia="宋体"/>
                <w:color w:val="auto"/>
                <w:sz w:val="21"/>
                <w:szCs w:val="21"/>
                <w:highlight w:val="none"/>
              </w:rPr>
            </w:pPr>
            <w:r>
              <w:rPr>
                <w:rFonts w:eastAsia="宋体"/>
                <w:color w:val="auto"/>
                <w:sz w:val="21"/>
                <w:szCs w:val="21"/>
                <w:highlight w:val="none"/>
              </w:rPr>
              <w:t>≤30.0</w:t>
            </w:r>
          </w:p>
        </w:tc>
        <w:tc>
          <w:tcPr>
            <w:tcW w:w="1665" w:type="dxa"/>
            <w:vAlign w:val="center"/>
          </w:tcPr>
          <w:p w14:paraId="52355B73">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59B82A1C">
            <w:pPr>
              <w:pStyle w:val="98"/>
              <w:ind w:left="-105" w:right="-105"/>
              <w:rPr>
                <w:rFonts w:eastAsia="宋体"/>
                <w:color w:val="auto"/>
                <w:sz w:val="21"/>
                <w:szCs w:val="21"/>
                <w:highlight w:val="none"/>
              </w:rPr>
            </w:pPr>
            <w:r>
              <w:rPr>
                <w:rFonts w:eastAsia="宋体"/>
                <w:color w:val="auto"/>
                <w:sz w:val="21"/>
                <w:szCs w:val="21"/>
                <w:highlight w:val="none"/>
              </w:rPr>
              <w:t>＞60.0</w:t>
            </w:r>
          </w:p>
        </w:tc>
      </w:tr>
      <w:tr w14:paraId="19EB03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D9FE469">
            <w:pPr>
              <w:pStyle w:val="98"/>
              <w:numPr>
                <w:ilvl w:val="0"/>
                <w:numId w:val="12"/>
              </w:numPr>
              <w:ind w:left="-105" w:right="-105" w:firstLine="0"/>
              <w:rPr>
                <w:rFonts w:eastAsia="宋体"/>
                <w:color w:val="auto"/>
                <w:sz w:val="21"/>
                <w:szCs w:val="21"/>
                <w:highlight w:val="none"/>
              </w:rPr>
            </w:pPr>
          </w:p>
        </w:tc>
        <w:tc>
          <w:tcPr>
            <w:tcW w:w="1750" w:type="dxa"/>
            <w:vAlign w:val="center"/>
          </w:tcPr>
          <w:p w14:paraId="4AE8DEE5">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二氯甲烷</w:t>
            </w:r>
          </w:p>
        </w:tc>
        <w:tc>
          <w:tcPr>
            <w:tcW w:w="1049" w:type="dxa"/>
            <w:vAlign w:val="center"/>
          </w:tcPr>
          <w:p w14:paraId="656AC997">
            <w:pPr>
              <w:pStyle w:val="98"/>
              <w:ind w:left="-105" w:right="-105"/>
              <w:rPr>
                <w:rFonts w:eastAsia="宋体"/>
                <w:color w:val="auto"/>
                <w:sz w:val="21"/>
                <w:szCs w:val="21"/>
                <w:highlight w:val="none"/>
              </w:rPr>
            </w:pPr>
            <w:r>
              <w:rPr>
                <w:rFonts w:eastAsia="宋体"/>
                <w:color w:val="auto"/>
                <w:sz w:val="21"/>
                <w:szCs w:val="21"/>
                <w:highlight w:val="none"/>
              </w:rPr>
              <w:t>≤1</w:t>
            </w:r>
          </w:p>
        </w:tc>
        <w:tc>
          <w:tcPr>
            <w:tcW w:w="1049" w:type="dxa"/>
            <w:vAlign w:val="center"/>
          </w:tcPr>
          <w:p w14:paraId="5F46A4FF">
            <w:pPr>
              <w:pStyle w:val="98"/>
              <w:ind w:left="-105" w:right="-105"/>
              <w:rPr>
                <w:rFonts w:eastAsia="宋体"/>
                <w:color w:val="auto"/>
                <w:sz w:val="21"/>
                <w:szCs w:val="21"/>
                <w:highlight w:val="none"/>
              </w:rPr>
            </w:pPr>
            <w:r>
              <w:rPr>
                <w:rFonts w:eastAsia="宋体"/>
                <w:color w:val="auto"/>
                <w:sz w:val="21"/>
                <w:szCs w:val="21"/>
                <w:highlight w:val="none"/>
              </w:rPr>
              <w:t>≤2</w:t>
            </w:r>
          </w:p>
        </w:tc>
        <w:tc>
          <w:tcPr>
            <w:tcW w:w="1050" w:type="dxa"/>
            <w:vAlign w:val="center"/>
          </w:tcPr>
          <w:p w14:paraId="73737AB8">
            <w:pPr>
              <w:pStyle w:val="98"/>
              <w:ind w:left="-105" w:right="-105"/>
              <w:rPr>
                <w:rFonts w:eastAsia="宋体"/>
                <w:color w:val="auto"/>
                <w:sz w:val="21"/>
                <w:szCs w:val="21"/>
                <w:highlight w:val="none"/>
              </w:rPr>
            </w:pPr>
            <w:r>
              <w:rPr>
                <w:rFonts w:eastAsia="宋体"/>
                <w:color w:val="auto"/>
                <w:sz w:val="21"/>
                <w:szCs w:val="21"/>
                <w:highlight w:val="none"/>
              </w:rPr>
              <w:t>≤20</w:t>
            </w:r>
          </w:p>
        </w:tc>
        <w:tc>
          <w:tcPr>
            <w:tcW w:w="1665" w:type="dxa"/>
            <w:vAlign w:val="center"/>
          </w:tcPr>
          <w:p w14:paraId="731836DD">
            <w:pPr>
              <w:pStyle w:val="98"/>
              <w:ind w:left="-105" w:right="-105"/>
              <w:rPr>
                <w:rFonts w:eastAsia="宋体"/>
                <w:color w:val="auto"/>
                <w:sz w:val="21"/>
                <w:szCs w:val="21"/>
                <w:highlight w:val="none"/>
              </w:rPr>
            </w:pPr>
            <w:r>
              <w:rPr>
                <w:rFonts w:eastAsia="宋体"/>
                <w:color w:val="auto"/>
                <w:sz w:val="21"/>
                <w:szCs w:val="21"/>
                <w:highlight w:val="none"/>
              </w:rPr>
              <w:t>≤500</w:t>
            </w:r>
          </w:p>
        </w:tc>
        <w:tc>
          <w:tcPr>
            <w:tcW w:w="1332" w:type="dxa"/>
            <w:vAlign w:val="center"/>
          </w:tcPr>
          <w:p w14:paraId="1FD7EC6E">
            <w:pPr>
              <w:pStyle w:val="98"/>
              <w:ind w:left="-105" w:right="-105"/>
              <w:rPr>
                <w:rFonts w:eastAsia="宋体"/>
                <w:color w:val="auto"/>
                <w:sz w:val="21"/>
                <w:szCs w:val="21"/>
                <w:highlight w:val="none"/>
              </w:rPr>
            </w:pPr>
            <w:r>
              <w:rPr>
                <w:rFonts w:eastAsia="宋体"/>
                <w:color w:val="auto"/>
                <w:sz w:val="21"/>
                <w:szCs w:val="21"/>
                <w:highlight w:val="none"/>
              </w:rPr>
              <w:t>＞500</w:t>
            </w:r>
          </w:p>
        </w:tc>
      </w:tr>
      <w:tr w14:paraId="098ED6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2C403A8">
            <w:pPr>
              <w:pStyle w:val="98"/>
              <w:numPr>
                <w:ilvl w:val="0"/>
                <w:numId w:val="12"/>
              </w:numPr>
              <w:ind w:left="-105" w:right="-105" w:firstLine="0"/>
              <w:rPr>
                <w:rFonts w:eastAsia="宋体"/>
                <w:color w:val="auto"/>
                <w:sz w:val="21"/>
                <w:szCs w:val="21"/>
                <w:highlight w:val="none"/>
              </w:rPr>
            </w:pPr>
          </w:p>
        </w:tc>
        <w:tc>
          <w:tcPr>
            <w:tcW w:w="1750" w:type="dxa"/>
            <w:vAlign w:val="center"/>
          </w:tcPr>
          <w:p w14:paraId="37BA9AE5">
            <w:pPr>
              <w:pStyle w:val="98"/>
              <w:ind w:left="-105" w:right="-105"/>
              <w:rPr>
                <w:rFonts w:eastAsia="宋体"/>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二氯乙烯</w:t>
            </w:r>
          </w:p>
        </w:tc>
        <w:tc>
          <w:tcPr>
            <w:tcW w:w="1049" w:type="dxa"/>
            <w:vAlign w:val="center"/>
          </w:tcPr>
          <w:p w14:paraId="0D9A595F">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244B2318">
            <w:pPr>
              <w:pStyle w:val="98"/>
              <w:ind w:left="-105" w:right="-105"/>
              <w:rPr>
                <w:rFonts w:eastAsia="宋体"/>
                <w:color w:val="auto"/>
                <w:sz w:val="21"/>
                <w:szCs w:val="21"/>
                <w:highlight w:val="none"/>
              </w:rPr>
            </w:pPr>
            <w:r>
              <w:rPr>
                <w:rFonts w:eastAsia="宋体"/>
                <w:color w:val="auto"/>
                <w:sz w:val="21"/>
                <w:szCs w:val="21"/>
                <w:highlight w:val="none"/>
              </w:rPr>
              <w:t>≤5.0</w:t>
            </w:r>
          </w:p>
        </w:tc>
        <w:tc>
          <w:tcPr>
            <w:tcW w:w="1050" w:type="dxa"/>
            <w:vAlign w:val="center"/>
          </w:tcPr>
          <w:p w14:paraId="4FFB8649">
            <w:pPr>
              <w:pStyle w:val="98"/>
              <w:ind w:left="-105" w:right="-105"/>
              <w:rPr>
                <w:rFonts w:eastAsia="宋体"/>
                <w:color w:val="auto"/>
                <w:sz w:val="21"/>
                <w:szCs w:val="21"/>
                <w:highlight w:val="none"/>
              </w:rPr>
            </w:pPr>
            <w:r>
              <w:rPr>
                <w:rFonts w:eastAsia="宋体"/>
                <w:color w:val="auto"/>
                <w:sz w:val="21"/>
                <w:szCs w:val="21"/>
                <w:highlight w:val="none"/>
              </w:rPr>
              <w:t>≤50.0</w:t>
            </w:r>
          </w:p>
        </w:tc>
        <w:tc>
          <w:tcPr>
            <w:tcW w:w="1665" w:type="dxa"/>
            <w:vAlign w:val="center"/>
          </w:tcPr>
          <w:p w14:paraId="5E1B9060">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4BAD81F3">
            <w:pPr>
              <w:pStyle w:val="98"/>
              <w:ind w:left="-105" w:right="-105"/>
              <w:rPr>
                <w:rFonts w:eastAsia="宋体"/>
                <w:color w:val="auto"/>
                <w:sz w:val="21"/>
                <w:szCs w:val="21"/>
                <w:highlight w:val="none"/>
              </w:rPr>
            </w:pPr>
            <w:r>
              <w:rPr>
                <w:rFonts w:eastAsia="宋体"/>
                <w:color w:val="auto"/>
                <w:sz w:val="21"/>
                <w:szCs w:val="21"/>
                <w:highlight w:val="none"/>
              </w:rPr>
              <w:t>＞60.0</w:t>
            </w:r>
          </w:p>
        </w:tc>
      </w:tr>
      <w:tr w14:paraId="1C5546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6C7DDBE">
            <w:pPr>
              <w:pStyle w:val="98"/>
              <w:numPr>
                <w:ilvl w:val="0"/>
                <w:numId w:val="12"/>
              </w:numPr>
              <w:ind w:left="-105" w:right="-105" w:firstLine="0"/>
              <w:rPr>
                <w:rFonts w:eastAsia="宋体"/>
                <w:color w:val="auto"/>
                <w:sz w:val="21"/>
                <w:szCs w:val="21"/>
                <w:highlight w:val="none"/>
              </w:rPr>
            </w:pPr>
          </w:p>
        </w:tc>
        <w:tc>
          <w:tcPr>
            <w:tcW w:w="1750" w:type="dxa"/>
            <w:vAlign w:val="center"/>
          </w:tcPr>
          <w:p w14:paraId="6C7E0DB5">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三氯甲烷</w:t>
            </w:r>
          </w:p>
        </w:tc>
        <w:tc>
          <w:tcPr>
            <w:tcW w:w="1049" w:type="dxa"/>
            <w:vAlign w:val="center"/>
          </w:tcPr>
          <w:p w14:paraId="1BC544F2">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A50FDAF">
            <w:pPr>
              <w:pStyle w:val="98"/>
              <w:ind w:left="-105" w:right="-105"/>
              <w:rPr>
                <w:rFonts w:eastAsia="宋体"/>
                <w:color w:val="auto"/>
                <w:sz w:val="21"/>
                <w:szCs w:val="21"/>
                <w:highlight w:val="none"/>
              </w:rPr>
            </w:pPr>
            <w:r>
              <w:rPr>
                <w:rFonts w:eastAsia="宋体"/>
                <w:color w:val="auto"/>
                <w:sz w:val="21"/>
                <w:szCs w:val="21"/>
                <w:highlight w:val="none"/>
              </w:rPr>
              <w:t>≤6</w:t>
            </w:r>
          </w:p>
        </w:tc>
        <w:tc>
          <w:tcPr>
            <w:tcW w:w="1050" w:type="dxa"/>
            <w:vAlign w:val="center"/>
          </w:tcPr>
          <w:p w14:paraId="17FF2E94">
            <w:pPr>
              <w:pStyle w:val="98"/>
              <w:ind w:left="-105" w:right="-105"/>
              <w:rPr>
                <w:rFonts w:eastAsia="宋体"/>
                <w:color w:val="auto"/>
                <w:sz w:val="21"/>
                <w:szCs w:val="21"/>
                <w:highlight w:val="none"/>
              </w:rPr>
            </w:pPr>
            <w:r>
              <w:rPr>
                <w:rFonts w:eastAsia="宋体"/>
                <w:color w:val="auto"/>
                <w:sz w:val="21"/>
                <w:szCs w:val="21"/>
                <w:highlight w:val="none"/>
              </w:rPr>
              <w:t>≤60</w:t>
            </w:r>
          </w:p>
        </w:tc>
        <w:tc>
          <w:tcPr>
            <w:tcW w:w="1665" w:type="dxa"/>
            <w:vAlign w:val="center"/>
          </w:tcPr>
          <w:p w14:paraId="0D0A6738">
            <w:pPr>
              <w:pStyle w:val="98"/>
              <w:ind w:left="-105" w:right="-105"/>
              <w:rPr>
                <w:rFonts w:eastAsia="宋体"/>
                <w:color w:val="auto"/>
                <w:sz w:val="21"/>
                <w:szCs w:val="21"/>
                <w:highlight w:val="none"/>
              </w:rPr>
            </w:pPr>
            <w:r>
              <w:rPr>
                <w:rFonts w:eastAsia="宋体"/>
                <w:color w:val="auto"/>
                <w:sz w:val="21"/>
                <w:szCs w:val="21"/>
                <w:highlight w:val="none"/>
              </w:rPr>
              <w:t>≤300</w:t>
            </w:r>
          </w:p>
        </w:tc>
        <w:tc>
          <w:tcPr>
            <w:tcW w:w="1332" w:type="dxa"/>
            <w:vAlign w:val="center"/>
          </w:tcPr>
          <w:p w14:paraId="06350F79">
            <w:pPr>
              <w:pStyle w:val="98"/>
              <w:ind w:left="-105" w:right="-105"/>
              <w:rPr>
                <w:rFonts w:eastAsia="宋体"/>
                <w:color w:val="auto"/>
                <w:sz w:val="21"/>
                <w:szCs w:val="21"/>
                <w:highlight w:val="none"/>
              </w:rPr>
            </w:pPr>
            <w:r>
              <w:rPr>
                <w:rFonts w:eastAsia="宋体"/>
                <w:color w:val="auto"/>
                <w:sz w:val="21"/>
                <w:szCs w:val="21"/>
                <w:highlight w:val="none"/>
              </w:rPr>
              <w:t>＞300</w:t>
            </w:r>
          </w:p>
        </w:tc>
      </w:tr>
      <w:tr w14:paraId="09AF26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C4CC6D5">
            <w:pPr>
              <w:pStyle w:val="98"/>
              <w:numPr>
                <w:ilvl w:val="0"/>
                <w:numId w:val="12"/>
              </w:numPr>
              <w:ind w:left="-105" w:right="-105" w:firstLine="0"/>
              <w:rPr>
                <w:rFonts w:eastAsia="宋体"/>
                <w:color w:val="auto"/>
                <w:sz w:val="21"/>
                <w:szCs w:val="21"/>
                <w:highlight w:val="none"/>
              </w:rPr>
            </w:pPr>
          </w:p>
        </w:tc>
        <w:tc>
          <w:tcPr>
            <w:tcW w:w="1750" w:type="dxa"/>
            <w:vAlign w:val="center"/>
          </w:tcPr>
          <w:p w14:paraId="46C936A1">
            <w:pPr>
              <w:pStyle w:val="98"/>
              <w:ind w:left="-105" w:right="-105"/>
              <w:rPr>
                <w:rFonts w:eastAsia="宋体"/>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三氯乙烷</w:t>
            </w:r>
          </w:p>
        </w:tc>
        <w:tc>
          <w:tcPr>
            <w:tcW w:w="1049" w:type="dxa"/>
            <w:vAlign w:val="center"/>
          </w:tcPr>
          <w:p w14:paraId="6E7D6A8E">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66671F8">
            <w:pPr>
              <w:pStyle w:val="98"/>
              <w:ind w:left="-105" w:right="-105"/>
              <w:rPr>
                <w:rFonts w:eastAsia="宋体"/>
                <w:color w:val="auto"/>
                <w:sz w:val="21"/>
                <w:szCs w:val="21"/>
                <w:highlight w:val="none"/>
              </w:rPr>
            </w:pPr>
            <w:r>
              <w:rPr>
                <w:rFonts w:eastAsia="宋体"/>
                <w:color w:val="auto"/>
                <w:sz w:val="21"/>
                <w:szCs w:val="21"/>
                <w:highlight w:val="none"/>
              </w:rPr>
              <w:t>≤400</w:t>
            </w:r>
          </w:p>
        </w:tc>
        <w:tc>
          <w:tcPr>
            <w:tcW w:w="1050" w:type="dxa"/>
            <w:vAlign w:val="center"/>
          </w:tcPr>
          <w:p w14:paraId="346EE913">
            <w:pPr>
              <w:pStyle w:val="98"/>
              <w:ind w:left="-105" w:right="-105"/>
              <w:rPr>
                <w:rFonts w:eastAsia="宋体"/>
                <w:color w:val="auto"/>
                <w:sz w:val="21"/>
                <w:szCs w:val="21"/>
                <w:highlight w:val="none"/>
              </w:rPr>
            </w:pPr>
            <w:r>
              <w:rPr>
                <w:rFonts w:eastAsia="宋体"/>
                <w:color w:val="auto"/>
                <w:sz w:val="21"/>
                <w:szCs w:val="21"/>
                <w:highlight w:val="none"/>
              </w:rPr>
              <w:t>≤2000</w:t>
            </w:r>
          </w:p>
        </w:tc>
        <w:tc>
          <w:tcPr>
            <w:tcW w:w="1665" w:type="dxa"/>
            <w:vAlign w:val="center"/>
          </w:tcPr>
          <w:p w14:paraId="66D09FCD">
            <w:pPr>
              <w:pStyle w:val="98"/>
              <w:ind w:left="-105" w:right="-105"/>
              <w:rPr>
                <w:rFonts w:eastAsia="宋体"/>
                <w:color w:val="auto"/>
                <w:sz w:val="21"/>
                <w:szCs w:val="21"/>
                <w:highlight w:val="none"/>
              </w:rPr>
            </w:pPr>
            <w:r>
              <w:rPr>
                <w:rFonts w:eastAsia="宋体"/>
                <w:color w:val="auto"/>
                <w:sz w:val="21"/>
                <w:szCs w:val="21"/>
                <w:highlight w:val="none"/>
              </w:rPr>
              <w:t>≤4000</w:t>
            </w:r>
          </w:p>
        </w:tc>
        <w:tc>
          <w:tcPr>
            <w:tcW w:w="1332" w:type="dxa"/>
            <w:vAlign w:val="center"/>
          </w:tcPr>
          <w:p w14:paraId="11212FCB">
            <w:pPr>
              <w:pStyle w:val="98"/>
              <w:ind w:left="-105" w:right="-105"/>
              <w:rPr>
                <w:rFonts w:eastAsia="宋体"/>
                <w:color w:val="auto"/>
                <w:sz w:val="21"/>
                <w:szCs w:val="21"/>
                <w:highlight w:val="none"/>
              </w:rPr>
            </w:pPr>
            <w:r>
              <w:rPr>
                <w:rFonts w:eastAsia="宋体"/>
                <w:color w:val="auto"/>
                <w:sz w:val="21"/>
                <w:szCs w:val="21"/>
                <w:highlight w:val="none"/>
              </w:rPr>
              <w:t>＞4000</w:t>
            </w:r>
          </w:p>
        </w:tc>
      </w:tr>
      <w:tr w14:paraId="20ABF7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9A2F0B0">
            <w:pPr>
              <w:pStyle w:val="98"/>
              <w:numPr>
                <w:ilvl w:val="0"/>
                <w:numId w:val="12"/>
              </w:numPr>
              <w:ind w:left="-105" w:right="-105" w:firstLine="0"/>
              <w:rPr>
                <w:rFonts w:eastAsia="宋体"/>
                <w:color w:val="auto"/>
                <w:sz w:val="21"/>
                <w:szCs w:val="21"/>
                <w:highlight w:val="none"/>
              </w:rPr>
            </w:pPr>
          </w:p>
        </w:tc>
        <w:tc>
          <w:tcPr>
            <w:tcW w:w="1750" w:type="dxa"/>
            <w:vAlign w:val="center"/>
          </w:tcPr>
          <w:p w14:paraId="78B56864">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四氯化碳</w:t>
            </w:r>
          </w:p>
        </w:tc>
        <w:tc>
          <w:tcPr>
            <w:tcW w:w="1049" w:type="dxa"/>
            <w:vAlign w:val="center"/>
          </w:tcPr>
          <w:p w14:paraId="74E90CEA">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4C349FB">
            <w:pPr>
              <w:pStyle w:val="98"/>
              <w:ind w:left="-105" w:right="-105"/>
              <w:rPr>
                <w:rFonts w:eastAsia="宋体"/>
                <w:color w:val="auto"/>
                <w:sz w:val="21"/>
                <w:szCs w:val="21"/>
                <w:highlight w:val="none"/>
              </w:rPr>
            </w:pPr>
            <w:r>
              <w:rPr>
                <w:rFonts w:eastAsia="宋体"/>
                <w:color w:val="auto"/>
                <w:sz w:val="21"/>
                <w:szCs w:val="21"/>
                <w:highlight w:val="none"/>
              </w:rPr>
              <w:t>≤0.5</w:t>
            </w:r>
          </w:p>
        </w:tc>
        <w:tc>
          <w:tcPr>
            <w:tcW w:w="1050" w:type="dxa"/>
            <w:vAlign w:val="center"/>
          </w:tcPr>
          <w:p w14:paraId="4B24B3CE">
            <w:pPr>
              <w:pStyle w:val="98"/>
              <w:ind w:left="-105" w:right="-105"/>
              <w:rPr>
                <w:rFonts w:eastAsia="宋体"/>
                <w:color w:val="auto"/>
                <w:sz w:val="21"/>
                <w:szCs w:val="21"/>
                <w:highlight w:val="none"/>
              </w:rPr>
            </w:pPr>
            <w:r>
              <w:rPr>
                <w:rFonts w:eastAsia="宋体"/>
                <w:color w:val="auto"/>
                <w:sz w:val="21"/>
                <w:szCs w:val="21"/>
                <w:highlight w:val="none"/>
              </w:rPr>
              <w:t>≤2.0</w:t>
            </w:r>
          </w:p>
        </w:tc>
        <w:tc>
          <w:tcPr>
            <w:tcW w:w="1665" w:type="dxa"/>
            <w:vAlign w:val="center"/>
          </w:tcPr>
          <w:p w14:paraId="5ABF1889">
            <w:pPr>
              <w:pStyle w:val="98"/>
              <w:ind w:left="-105" w:right="-105"/>
              <w:rPr>
                <w:rFonts w:eastAsia="宋体"/>
                <w:color w:val="auto"/>
                <w:sz w:val="21"/>
                <w:szCs w:val="21"/>
                <w:highlight w:val="none"/>
              </w:rPr>
            </w:pPr>
            <w:r>
              <w:rPr>
                <w:rFonts w:eastAsia="宋体"/>
                <w:color w:val="auto"/>
                <w:sz w:val="21"/>
                <w:szCs w:val="21"/>
                <w:highlight w:val="none"/>
              </w:rPr>
              <w:t>≤50.0</w:t>
            </w:r>
          </w:p>
        </w:tc>
        <w:tc>
          <w:tcPr>
            <w:tcW w:w="1332" w:type="dxa"/>
            <w:vAlign w:val="center"/>
          </w:tcPr>
          <w:p w14:paraId="261C3AE2">
            <w:pPr>
              <w:pStyle w:val="98"/>
              <w:ind w:left="-105" w:right="-105"/>
              <w:rPr>
                <w:rFonts w:eastAsia="宋体"/>
                <w:color w:val="auto"/>
                <w:sz w:val="21"/>
                <w:szCs w:val="21"/>
                <w:highlight w:val="none"/>
              </w:rPr>
            </w:pPr>
            <w:r>
              <w:rPr>
                <w:rFonts w:eastAsia="宋体"/>
                <w:color w:val="auto"/>
                <w:sz w:val="21"/>
                <w:szCs w:val="21"/>
                <w:highlight w:val="none"/>
              </w:rPr>
              <w:t>＞50.0</w:t>
            </w:r>
          </w:p>
        </w:tc>
      </w:tr>
      <w:tr w14:paraId="30B7CF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CDF2B4D">
            <w:pPr>
              <w:pStyle w:val="98"/>
              <w:numPr>
                <w:ilvl w:val="0"/>
                <w:numId w:val="12"/>
              </w:numPr>
              <w:ind w:left="-105" w:right="-105" w:firstLine="0"/>
              <w:rPr>
                <w:rFonts w:eastAsia="宋体"/>
                <w:color w:val="auto"/>
                <w:sz w:val="21"/>
                <w:szCs w:val="21"/>
                <w:highlight w:val="none"/>
              </w:rPr>
            </w:pPr>
          </w:p>
        </w:tc>
        <w:tc>
          <w:tcPr>
            <w:tcW w:w="1750" w:type="dxa"/>
            <w:vAlign w:val="center"/>
          </w:tcPr>
          <w:p w14:paraId="76DDAE83">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苯</w:t>
            </w:r>
          </w:p>
        </w:tc>
        <w:tc>
          <w:tcPr>
            <w:tcW w:w="1049" w:type="dxa"/>
            <w:vAlign w:val="center"/>
          </w:tcPr>
          <w:p w14:paraId="2D55CACA">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173C83A2">
            <w:pPr>
              <w:pStyle w:val="98"/>
              <w:ind w:left="-105" w:right="-105"/>
              <w:rPr>
                <w:rFonts w:eastAsia="宋体"/>
                <w:color w:val="auto"/>
                <w:sz w:val="21"/>
                <w:szCs w:val="21"/>
                <w:highlight w:val="none"/>
              </w:rPr>
            </w:pPr>
            <w:r>
              <w:rPr>
                <w:rFonts w:eastAsia="宋体"/>
                <w:color w:val="auto"/>
                <w:sz w:val="21"/>
                <w:szCs w:val="21"/>
                <w:highlight w:val="none"/>
              </w:rPr>
              <w:t>≤1.0</w:t>
            </w:r>
          </w:p>
        </w:tc>
        <w:tc>
          <w:tcPr>
            <w:tcW w:w="1050" w:type="dxa"/>
            <w:vAlign w:val="center"/>
          </w:tcPr>
          <w:p w14:paraId="42D98076">
            <w:pPr>
              <w:pStyle w:val="98"/>
              <w:ind w:left="-105" w:right="-105"/>
              <w:rPr>
                <w:rFonts w:eastAsia="宋体"/>
                <w:color w:val="auto"/>
                <w:sz w:val="21"/>
                <w:szCs w:val="21"/>
                <w:highlight w:val="none"/>
              </w:rPr>
            </w:pPr>
            <w:r>
              <w:rPr>
                <w:rFonts w:eastAsia="宋体"/>
                <w:color w:val="auto"/>
                <w:sz w:val="21"/>
                <w:szCs w:val="21"/>
                <w:highlight w:val="none"/>
              </w:rPr>
              <w:t>≤10.0</w:t>
            </w:r>
          </w:p>
        </w:tc>
        <w:tc>
          <w:tcPr>
            <w:tcW w:w="1665" w:type="dxa"/>
            <w:vAlign w:val="center"/>
          </w:tcPr>
          <w:p w14:paraId="69B4AB7F">
            <w:pPr>
              <w:pStyle w:val="98"/>
              <w:ind w:left="-105" w:right="-105"/>
              <w:rPr>
                <w:rFonts w:eastAsia="宋体"/>
                <w:color w:val="auto"/>
                <w:sz w:val="21"/>
                <w:szCs w:val="21"/>
                <w:highlight w:val="none"/>
              </w:rPr>
            </w:pPr>
            <w:r>
              <w:rPr>
                <w:rFonts w:eastAsia="宋体"/>
                <w:color w:val="auto"/>
                <w:sz w:val="21"/>
                <w:szCs w:val="21"/>
                <w:highlight w:val="none"/>
              </w:rPr>
              <w:t>≤120</w:t>
            </w:r>
          </w:p>
        </w:tc>
        <w:tc>
          <w:tcPr>
            <w:tcW w:w="1332" w:type="dxa"/>
            <w:vAlign w:val="center"/>
          </w:tcPr>
          <w:p w14:paraId="6ECF7C2E">
            <w:pPr>
              <w:pStyle w:val="98"/>
              <w:ind w:left="-105" w:right="-105"/>
              <w:rPr>
                <w:rFonts w:eastAsia="宋体"/>
                <w:color w:val="auto"/>
                <w:sz w:val="21"/>
                <w:szCs w:val="21"/>
                <w:highlight w:val="none"/>
              </w:rPr>
            </w:pPr>
            <w:r>
              <w:rPr>
                <w:rFonts w:eastAsia="宋体"/>
                <w:color w:val="auto"/>
                <w:sz w:val="21"/>
                <w:szCs w:val="21"/>
                <w:highlight w:val="none"/>
              </w:rPr>
              <w:t>＞120</w:t>
            </w:r>
          </w:p>
        </w:tc>
      </w:tr>
      <w:tr w14:paraId="6CF065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637199AE">
            <w:pPr>
              <w:pStyle w:val="98"/>
              <w:numPr>
                <w:ilvl w:val="0"/>
                <w:numId w:val="12"/>
              </w:numPr>
              <w:ind w:left="-105" w:right="-105" w:firstLine="0"/>
              <w:rPr>
                <w:rFonts w:eastAsia="宋体"/>
                <w:color w:val="auto"/>
                <w:sz w:val="21"/>
                <w:szCs w:val="21"/>
                <w:highlight w:val="none"/>
              </w:rPr>
            </w:pPr>
          </w:p>
        </w:tc>
        <w:tc>
          <w:tcPr>
            <w:tcW w:w="1750" w:type="dxa"/>
            <w:vAlign w:val="center"/>
          </w:tcPr>
          <w:p w14:paraId="37FC010B">
            <w:pPr>
              <w:pStyle w:val="98"/>
              <w:ind w:left="-105" w:right="-105"/>
              <w:rPr>
                <w:rFonts w:eastAsia="宋体"/>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二氯乙烷</w:t>
            </w:r>
          </w:p>
        </w:tc>
        <w:tc>
          <w:tcPr>
            <w:tcW w:w="1049" w:type="dxa"/>
            <w:vAlign w:val="center"/>
          </w:tcPr>
          <w:p w14:paraId="6CC0BC45">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08470474">
            <w:pPr>
              <w:pStyle w:val="98"/>
              <w:ind w:left="-105" w:right="-105"/>
              <w:rPr>
                <w:rFonts w:eastAsia="宋体"/>
                <w:color w:val="auto"/>
                <w:sz w:val="21"/>
                <w:szCs w:val="21"/>
                <w:highlight w:val="none"/>
              </w:rPr>
            </w:pPr>
            <w:r>
              <w:rPr>
                <w:rFonts w:eastAsia="宋体"/>
                <w:color w:val="auto"/>
                <w:sz w:val="21"/>
                <w:szCs w:val="21"/>
                <w:highlight w:val="none"/>
              </w:rPr>
              <w:t>≤3.0</w:t>
            </w:r>
          </w:p>
        </w:tc>
        <w:tc>
          <w:tcPr>
            <w:tcW w:w="1050" w:type="dxa"/>
            <w:vAlign w:val="center"/>
          </w:tcPr>
          <w:p w14:paraId="20AD3A0E">
            <w:pPr>
              <w:pStyle w:val="98"/>
              <w:ind w:left="-105" w:right="-105"/>
              <w:rPr>
                <w:rFonts w:eastAsia="宋体"/>
                <w:color w:val="auto"/>
                <w:sz w:val="21"/>
                <w:szCs w:val="21"/>
                <w:highlight w:val="none"/>
              </w:rPr>
            </w:pPr>
            <w:r>
              <w:rPr>
                <w:rFonts w:eastAsia="宋体"/>
                <w:color w:val="auto"/>
                <w:sz w:val="21"/>
                <w:szCs w:val="21"/>
                <w:highlight w:val="none"/>
              </w:rPr>
              <w:t>≤30.0</w:t>
            </w:r>
          </w:p>
        </w:tc>
        <w:tc>
          <w:tcPr>
            <w:tcW w:w="1665" w:type="dxa"/>
            <w:vAlign w:val="center"/>
          </w:tcPr>
          <w:p w14:paraId="32D5BD0E">
            <w:pPr>
              <w:pStyle w:val="98"/>
              <w:ind w:left="-105" w:right="-105"/>
              <w:rPr>
                <w:rFonts w:eastAsia="宋体"/>
                <w:color w:val="auto"/>
                <w:sz w:val="21"/>
                <w:szCs w:val="21"/>
                <w:highlight w:val="none"/>
              </w:rPr>
            </w:pPr>
            <w:r>
              <w:rPr>
                <w:rFonts w:eastAsia="宋体"/>
                <w:color w:val="auto"/>
                <w:sz w:val="21"/>
                <w:szCs w:val="21"/>
                <w:highlight w:val="none"/>
              </w:rPr>
              <w:t>≤40.0</w:t>
            </w:r>
          </w:p>
        </w:tc>
        <w:tc>
          <w:tcPr>
            <w:tcW w:w="1332" w:type="dxa"/>
            <w:vAlign w:val="center"/>
          </w:tcPr>
          <w:p w14:paraId="5261CBE8">
            <w:pPr>
              <w:pStyle w:val="98"/>
              <w:ind w:left="-105" w:right="-105"/>
              <w:rPr>
                <w:rFonts w:eastAsia="宋体"/>
                <w:color w:val="auto"/>
                <w:sz w:val="21"/>
                <w:szCs w:val="21"/>
                <w:highlight w:val="none"/>
              </w:rPr>
            </w:pPr>
            <w:r>
              <w:rPr>
                <w:rFonts w:eastAsia="宋体"/>
                <w:color w:val="auto"/>
                <w:sz w:val="21"/>
                <w:szCs w:val="21"/>
                <w:highlight w:val="none"/>
              </w:rPr>
              <w:t>＞40.0</w:t>
            </w:r>
          </w:p>
        </w:tc>
      </w:tr>
      <w:tr w14:paraId="714859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FFB0365">
            <w:pPr>
              <w:pStyle w:val="98"/>
              <w:numPr>
                <w:ilvl w:val="0"/>
                <w:numId w:val="12"/>
              </w:numPr>
              <w:ind w:left="-105" w:right="-105" w:firstLine="0"/>
              <w:rPr>
                <w:rFonts w:eastAsia="宋体"/>
                <w:color w:val="auto"/>
                <w:sz w:val="21"/>
                <w:szCs w:val="21"/>
                <w:highlight w:val="none"/>
              </w:rPr>
            </w:pPr>
          </w:p>
        </w:tc>
        <w:tc>
          <w:tcPr>
            <w:tcW w:w="1750" w:type="dxa"/>
            <w:vAlign w:val="center"/>
          </w:tcPr>
          <w:p w14:paraId="4BF499F0">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三氯乙烯</w:t>
            </w:r>
          </w:p>
        </w:tc>
        <w:tc>
          <w:tcPr>
            <w:tcW w:w="1049" w:type="dxa"/>
            <w:vAlign w:val="center"/>
          </w:tcPr>
          <w:p w14:paraId="161754F2">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5943D336">
            <w:pPr>
              <w:pStyle w:val="98"/>
              <w:ind w:left="-105" w:right="-105"/>
              <w:rPr>
                <w:rFonts w:eastAsia="宋体"/>
                <w:color w:val="auto"/>
                <w:sz w:val="21"/>
                <w:szCs w:val="21"/>
                <w:highlight w:val="none"/>
              </w:rPr>
            </w:pPr>
            <w:r>
              <w:rPr>
                <w:rFonts w:eastAsia="宋体"/>
                <w:color w:val="auto"/>
                <w:sz w:val="21"/>
                <w:szCs w:val="21"/>
                <w:highlight w:val="none"/>
              </w:rPr>
              <w:t>≤7.0</w:t>
            </w:r>
          </w:p>
        </w:tc>
        <w:tc>
          <w:tcPr>
            <w:tcW w:w="1050" w:type="dxa"/>
            <w:vAlign w:val="center"/>
          </w:tcPr>
          <w:p w14:paraId="6FC16C01">
            <w:pPr>
              <w:pStyle w:val="98"/>
              <w:ind w:left="-105" w:right="-105"/>
              <w:rPr>
                <w:rFonts w:eastAsia="宋体"/>
                <w:color w:val="auto"/>
                <w:sz w:val="21"/>
                <w:szCs w:val="21"/>
                <w:highlight w:val="none"/>
              </w:rPr>
            </w:pPr>
            <w:r>
              <w:rPr>
                <w:rFonts w:eastAsia="宋体"/>
                <w:color w:val="auto"/>
                <w:sz w:val="21"/>
                <w:szCs w:val="21"/>
                <w:highlight w:val="none"/>
              </w:rPr>
              <w:t>≤70.0</w:t>
            </w:r>
          </w:p>
        </w:tc>
        <w:tc>
          <w:tcPr>
            <w:tcW w:w="1665" w:type="dxa"/>
            <w:vAlign w:val="center"/>
          </w:tcPr>
          <w:p w14:paraId="772DB246">
            <w:pPr>
              <w:pStyle w:val="98"/>
              <w:ind w:left="-105" w:right="-105"/>
              <w:rPr>
                <w:rFonts w:eastAsia="宋体"/>
                <w:color w:val="auto"/>
                <w:sz w:val="21"/>
                <w:szCs w:val="21"/>
                <w:highlight w:val="none"/>
              </w:rPr>
            </w:pPr>
            <w:r>
              <w:rPr>
                <w:rFonts w:eastAsia="宋体"/>
                <w:color w:val="auto"/>
                <w:sz w:val="21"/>
                <w:szCs w:val="21"/>
                <w:highlight w:val="none"/>
              </w:rPr>
              <w:t>≤210</w:t>
            </w:r>
          </w:p>
        </w:tc>
        <w:tc>
          <w:tcPr>
            <w:tcW w:w="1332" w:type="dxa"/>
            <w:vAlign w:val="center"/>
          </w:tcPr>
          <w:p w14:paraId="5BE0BF9F">
            <w:pPr>
              <w:pStyle w:val="98"/>
              <w:ind w:left="-105" w:right="-105"/>
              <w:rPr>
                <w:rFonts w:eastAsia="宋体"/>
                <w:color w:val="auto"/>
                <w:sz w:val="21"/>
                <w:szCs w:val="21"/>
                <w:highlight w:val="none"/>
              </w:rPr>
            </w:pPr>
            <w:r>
              <w:rPr>
                <w:rFonts w:eastAsia="宋体"/>
                <w:color w:val="auto"/>
                <w:sz w:val="21"/>
                <w:szCs w:val="21"/>
                <w:highlight w:val="none"/>
              </w:rPr>
              <w:t>＞210</w:t>
            </w:r>
          </w:p>
        </w:tc>
      </w:tr>
      <w:tr w14:paraId="08133A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411BA21A">
            <w:pPr>
              <w:pStyle w:val="98"/>
              <w:numPr>
                <w:ilvl w:val="0"/>
                <w:numId w:val="12"/>
              </w:numPr>
              <w:ind w:left="-105" w:right="-105" w:firstLine="0"/>
              <w:rPr>
                <w:rFonts w:eastAsia="宋体"/>
                <w:color w:val="auto"/>
                <w:sz w:val="21"/>
                <w:szCs w:val="21"/>
                <w:highlight w:val="none"/>
              </w:rPr>
            </w:pPr>
          </w:p>
        </w:tc>
        <w:tc>
          <w:tcPr>
            <w:tcW w:w="1750" w:type="dxa"/>
            <w:vAlign w:val="center"/>
          </w:tcPr>
          <w:p w14:paraId="223CEA75">
            <w:pPr>
              <w:pStyle w:val="98"/>
              <w:ind w:left="-105" w:right="-105"/>
              <w:rPr>
                <w:rFonts w:eastAsia="宋体"/>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二氯丙烷</w:t>
            </w:r>
          </w:p>
        </w:tc>
        <w:tc>
          <w:tcPr>
            <w:tcW w:w="1049" w:type="dxa"/>
            <w:vAlign w:val="center"/>
          </w:tcPr>
          <w:p w14:paraId="1161D2CC">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175FCE0">
            <w:pPr>
              <w:pStyle w:val="98"/>
              <w:ind w:left="-105" w:right="-105"/>
              <w:rPr>
                <w:rFonts w:eastAsia="宋体"/>
                <w:color w:val="auto"/>
                <w:sz w:val="21"/>
                <w:szCs w:val="21"/>
                <w:highlight w:val="none"/>
              </w:rPr>
            </w:pPr>
            <w:r>
              <w:rPr>
                <w:rFonts w:eastAsia="宋体"/>
                <w:color w:val="auto"/>
                <w:sz w:val="21"/>
                <w:szCs w:val="21"/>
                <w:highlight w:val="none"/>
              </w:rPr>
              <w:t>≤0.5</w:t>
            </w:r>
          </w:p>
        </w:tc>
        <w:tc>
          <w:tcPr>
            <w:tcW w:w="1050" w:type="dxa"/>
            <w:vAlign w:val="center"/>
          </w:tcPr>
          <w:p w14:paraId="7C5DA6A9">
            <w:pPr>
              <w:pStyle w:val="98"/>
              <w:ind w:left="-105" w:right="-105"/>
              <w:rPr>
                <w:rFonts w:eastAsia="宋体"/>
                <w:color w:val="auto"/>
                <w:sz w:val="21"/>
                <w:szCs w:val="21"/>
                <w:highlight w:val="none"/>
              </w:rPr>
            </w:pPr>
            <w:r>
              <w:rPr>
                <w:rFonts w:eastAsia="宋体"/>
                <w:color w:val="auto"/>
                <w:sz w:val="21"/>
                <w:szCs w:val="21"/>
                <w:highlight w:val="none"/>
              </w:rPr>
              <w:t>≤5.0</w:t>
            </w:r>
          </w:p>
        </w:tc>
        <w:tc>
          <w:tcPr>
            <w:tcW w:w="1665" w:type="dxa"/>
            <w:vAlign w:val="center"/>
          </w:tcPr>
          <w:p w14:paraId="463C7525">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6A35E0D0">
            <w:pPr>
              <w:pStyle w:val="98"/>
              <w:ind w:left="-105" w:right="-105"/>
              <w:rPr>
                <w:rFonts w:eastAsia="宋体"/>
                <w:color w:val="auto"/>
                <w:sz w:val="21"/>
                <w:szCs w:val="21"/>
                <w:highlight w:val="none"/>
              </w:rPr>
            </w:pPr>
            <w:r>
              <w:rPr>
                <w:rFonts w:eastAsia="宋体"/>
                <w:color w:val="auto"/>
                <w:sz w:val="21"/>
                <w:szCs w:val="21"/>
                <w:highlight w:val="none"/>
              </w:rPr>
              <w:t>＞60.0</w:t>
            </w:r>
          </w:p>
        </w:tc>
      </w:tr>
      <w:tr w14:paraId="4892F3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DA3F0DE">
            <w:pPr>
              <w:pStyle w:val="98"/>
              <w:numPr>
                <w:ilvl w:val="0"/>
                <w:numId w:val="12"/>
              </w:numPr>
              <w:ind w:left="-105" w:right="-105" w:firstLine="0"/>
              <w:rPr>
                <w:rFonts w:eastAsia="宋体"/>
                <w:color w:val="auto"/>
                <w:sz w:val="21"/>
                <w:szCs w:val="21"/>
                <w:highlight w:val="none"/>
              </w:rPr>
            </w:pPr>
          </w:p>
        </w:tc>
        <w:tc>
          <w:tcPr>
            <w:tcW w:w="1750" w:type="dxa"/>
            <w:vAlign w:val="center"/>
          </w:tcPr>
          <w:p w14:paraId="1A0BFD19">
            <w:pPr>
              <w:pStyle w:val="98"/>
              <w:ind w:left="-105" w:right="-105"/>
              <w:rPr>
                <w:rFonts w:eastAsia="宋体"/>
                <w:color w:val="auto"/>
                <w:sz w:val="21"/>
                <w:szCs w:val="21"/>
                <w:highlight w:val="none"/>
              </w:rPr>
            </w:pPr>
            <w:r>
              <w:rPr>
                <w:rFonts w:hint="eastAsia" w:ascii="宋体" w:hAnsi="宋体" w:eastAsia="宋体" w:cs="宋体"/>
                <w:color w:val="auto"/>
                <w:sz w:val="21"/>
                <w:szCs w:val="21"/>
                <w:highlight w:val="none"/>
              </w:rPr>
              <w:t>甲苯</w:t>
            </w:r>
          </w:p>
        </w:tc>
        <w:tc>
          <w:tcPr>
            <w:tcW w:w="1049" w:type="dxa"/>
            <w:vAlign w:val="center"/>
          </w:tcPr>
          <w:p w14:paraId="32F31945">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4F5D658C">
            <w:pPr>
              <w:pStyle w:val="98"/>
              <w:ind w:left="-105" w:right="-105"/>
              <w:rPr>
                <w:rFonts w:eastAsia="宋体"/>
                <w:color w:val="auto"/>
                <w:sz w:val="21"/>
                <w:szCs w:val="21"/>
                <w:highlight w:val="none"/>
              </w:rPr>
            </w:pPr>
            <w:r>
              <w:rPr>
                <w:rFonts w:eastAsia="宋体"/>
                <w:color w:val="auto"/>
                <w:sz w:val="21"/>
                <w:szCs w:val="21"/>
                <w:highlight w:val="none"/>
              </w:rPr>
              <w:t>≤140</w:t>
            </w:r>
          </w:p>
        </w:tc>
        <w:tc>
          <w:tcPr>
            <w:tcW w:w="1050" w:type="dxa"/>
            <w:vAlign w:val="center"/>
          </w:tcPr>
          <w:p w14:paraId="5E819A69">
            <w:pPr>
              <w:pStyle w:val="98"/>
              <w:ind w:left="-105" w:right="-105"/>
              <w:rPr>
                <w:rFonts w:eastAsia="宋体"/>
                <w:color w:val="auto"/>
                <w:sz w:val="21"/>
                <w:szCs w:val="21"/>
                <w:highlight w:val="none"/>
              </w:rPr>
            </w:pPr>
            <w:r>
              <w:rPr>
                <w:rFonts w:eastAsia="宋体"/>
                <w:color w:val="auto"/>
                <w:sz w:val="21"/>
                <w:szCs w:val="21"/>
                <w:highlight w:val="none"/>
              </w:rPr>
              <w:t>≤700</w:t>
            </w:r>
          </w:p>
        </w:tc>
        <w:tc>
          <w:tcPr>
            <w:tcW w:w="1665" w:type="dxa"/>
            <w:vAlign w:val="center"/>
          </w:tcPr>
          <w:p w14:paraId="31F1575F">
            <w:pPr>
              <w:pStyle w:val="98"/>
              <w:ind w:left="-105" w:right="-105"/>
              <w:rPr>
                <w:rFonts w:eastAsia="宋体"/>
                <w:color w:val="auto"/>
                <w:sz w:val="21"/>
                <w:szCs w:val="21"/>
                <w:highlight w:val="none"/>
              </w:rPr>
            </w:pPr>
            <w:r>
              <w:rPr>
                <w:rFonts w:eastAsia="宋体"/>
                <w:color w:val="auto"/>
                <w:sz w:val="21"/>
                <w:szCs w:val="21"/>
                <w:highlight w:val="none"/>
              </w:rPr>
              <w:t>≤1400</w:t>
            </w:r>
          </w:p>
        </w:tc>
        <w:tc>
          <w:tcPr>
            <w:tcW w:w="1332" w:type="dxa"/>
            <w:vAlign w:val="center"/>
          </w:tcPr>
          <w:p w14:paraId="3F131DF2">
            <w:pPr>
              <w:pStyle w:val="98"/>
              <w:ind w:left="-105" w:right="-105"/>
              <w:rPr>
                <w:rFonts w:eastAsia="宋体"/>
                <w:color w:val="auto"/>
                <w:sz w:val="21"/>
                <w:szCs w:val="21"/>
                <w:highlight w:val="none"/>
              </w:rPr>
            </w:pPr>
            <w:r>
              <w:rPr>
                <w:rFonts w:eastAsia="宋体"/>
                <w:color w:val="auto"/>
                <w:sz w:val="21"/>
                <w:szCs w:val="21"/>
                <w:highlight w:val="none"/>
              </w:rPr>
              <w:t>＞1400</w:t>
            </w:r>
          </w:p>
        </w:tc>
      </w:tr>
      <w:tr w14:paraId="4A105A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8CFFD5A">
            <w:pPr>
              <w:pStyle w:val="98"/>
              <w:numPr>
                <w:ilvl w:val="0"/>
                <w:numId w:val="12"/>
              </w:numPr>
              <w:ind w:left="-105" w:right="-105" w:firstLine="0"/>
              <w:rPr>
                <w:rFonts w:eastAsia="宋体"/>
                <w:color w:val="auto"/>
                <w:sz w:val="21"/>
                <w:szCs w:val="21"/>
                <w:highlight w:val="none"/>
              </w:rPr>
            </w:pPr>
          </w:p>
        </w:tc>
        <w:tc>
          <w:tcPr>
            <w:tcW w:w="1750" w:type="dxa"/>
            <w:vAlign w:val="center"/>
          </w:tcPr>
          <w:p w14:paraId="38126D79">
            <w:pPr>
              <w:pStyle w:val="98"/>
              <w:ind w:left="-105" w:right="-105"/>
              <w:rPr>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三氯乙烷</w:t>
            </w:r>
          </w:p>
        </w:tc>
        <w:tc>
          <w:tcPr>
            <w:tcW w:w="1049" w:type="dxa"/>
            <w:vAlign w:val="center"/>
          </w:tcPr>
          <w:p w14:paraId="0C43ADD1">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4699BE21">
            <w:pPr>
              <w:pStyle w:val="98"/>
              <w:ind w:left="-105" w:right="-105"/>
              <w:rPr>
                <w:rFonts w:eastAsia="宋体"/>
                <w:color w:val="auto"/>
                <w:sz w:val="21"/>
                <w:szCs w:val="21"/>
                <w:highlight w:val="none"/>
              </w:rPr>
            </w:pPr>
            <w:r>
              <w:rPr>
                <w:rFonts w:eastAsia="宋体"/>
                <w:color w:val="auto"/>
                <w:sz w:val="21"/>
                <w:szCs w:val="21"/>
                <w:highlight w:val="none"/>
              </w:rPr>
              <w:t>≤0.5</w:t>
            </w:r>
          </w:p>
        </w:tc>
        <w:tc>
          <w:tcPr>
            <w:tcW w:w="1050" w:type="dxa"/>
            <w:vAlign w:val="center"/>
          </w:tcPr>
          <w:p w14:paraId="5BD48DA9">
            <w:pPr>
              <w:pStyle w:val="98"/>
              <w:ind w:left="-105" w:right="-105"/>
              <w:rPr>
                <w:rFonts w:eastAsia="宋体"/>
                <w:color w:val="auto"/>
                <w:sz w:val="21"/>
                <w:szCs w:val="21"/>
                <w:highlight w:val="none"/>
              </w:rPr>
            </w:pPr>
            <w:r>
              <w:rPr>
                <w:rFonts w:eastAsia="宋体"/>
                <w:color w:val="auto"/>
                <w:sz w:val="21"/>
                <w:szCs w:val="21"/>
                <w:highlight w:val="none"/>
              </w:rPr>
              <w:t>≤5.0</w:t>
            </w:r>
          </w:p>
        </w:tc>
        <w:tc>
          <w:tcPr>
            <w:tcW w:w="1665" w:type="dxa"/>
            <w:vAlign w:val="center"/>
          </w:tcPr>
          <w:p w14:paraId="30FC957F">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7F115D73">
            <w:pPr>
              <w:pStyle w:val="98"/>
              <w:ind w:left="-105" w:right="-105"/>
              <w:rPr>
                <w:rFonts w:eastAsia="宋体"/>
                <w:color w:val="auto"/>
                <w:sz w:val="21"/>
                <w:szCs w:val="21"/>
                <w:highlight w:val="none"/>
              </w:rPr>
            </w:pPr>
            <w:r>
              <w:rPr>
                <w:rFonts w:eastAsia="宋体"/>
                <w:color w:val="auto"/>
                <w:sz w:val="21"/>
                <w:szCs w:val="21"/>
                <w:highlight w:val="none"/>
              </w:rPr>
              <w:t>＞60.0</w:t>
            </w:r>
          </w:p>
        </w:tc>
      </w:tr>
      <w:tr w14:paraId="40AB5A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17EB98A">
            <w:pPr>
              <w:pStyle w:val="98"/>
              <w:numPr>
                <w:ilvl w:val="0"/>
                <w:numId w:val="12"/>
              </w:numPr>
              <w:ind w:left="-105" w:right="-105" w:firstLine="0"/>
              <w:rPr>
                <w:rFonts w:eastAsia="宋体"/>
                <w:color w:val="auto"/>
                <w:sz w:val="21"/>
                <w:szCs w:val="21"/>
                <w:highlight w:val="none"/>
              </w:rPr>
            </w:pPr>
          </w:p>
        </w:tc>
        <w:tc>
          <w:tcPr>
            <w:tcW w:w="1750" w:type="dxa"/>
            <w:vAlign w:val="center"/>
          </w:tcPr>
          <w:p w14:paraId="6ED010BB">
            <w:pPr>
              <w:pStyle w:val="98"/>
              <w:ind w:left="-105" w:right="-105"/>
              <w:rPr>
                <w:color w:val="auto"/>
                <w:sz w:val="21"/>
                <w:szCs w:val="21"/>
                <w:highlight w:val="none"/>
              </w:rPr>
            </w:pPr>
            <w:r>
              <w:rPr>
                <w:rFonts w:hint="eastAsia" w:ascii="宋体" w:hAnsi="宋体" w:eastAsia="宋体" w:cs="宋体"/>
                <w:color w:val="auto"/>
                <w:sz w:val="21"/>
                <w:szCs w:val="21"/>
                <w:highlight w:val="none"/>
              </w:rPr>
              <w:t>四氯乙烯</w:t>
            </w:r>
          </w:p>
        </w:tc>
        <w:tc>
          <w:tcPr>
            <w:tcW w:w="1049" w:type="dxa"/>
            <w:vAlign w:val="center"/>
          </w:tcPr>
          <w:p w14:paraId="581BEFDB">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6F572EB3">
            <w:pPr>
              <w:pStyle w:val="98"/>
              <w:ind w:left="-105" w:right="-105"/>
              <w:rPr>
                <w:rFonts w:eastAsia="宋体"/>
                <w:color w:val="auto"/>
                <w:sz w:val="21"/>
                <w:szCs w:val="21"/>
                <w:highlight w:val="none"/>
              </w:rPr>
            </w:pPr>
            <w:r>
              <w:rPr>
                <w:rFonts w:eastAsia="宋体"/>
                <w:color w:val="auto"/>
                <w:sz w:val="21"/>
                <w:szCs w:val="21"/>
                <w:highlight w:val="none"/>
              </w:rPr>
              <w:t>≤4.0</w:t>
            </w:r>
          </w:p>
        </w:tc>
        <w:tc>
          <w:tcPr>
            <w:tcW w:w="1050" w:type="dxa"/>
            <w:vAlign w:val="center"/>
          </w:tcPr>
          <w:p w14:paraId="70719584">
            <w:pPr>
              <w:pStyle w:val="98"/>
              <w:ind w:left="-105" w:right="-105"/>
              <w:rPr>
                <w:rFonts w:eastAsia="宋体"/>
                <w:color w:val="auto"/>
                <w:sz w:val="21"/>
                <w:szCs w:val="21"/>
                <w:highlight w:val="none"/>
              </w:rPr>
            </w:pPr>
            <w:r>
              <w:rPr>
                <w:rFonts w:eastAsia="宋体"/>
                <w:color w:val="auto"/>
                <w:sz w:val="21"/>
                <w:szCs w:val="21"/>
                <w:highlight w:val="none"/>
              </w:rPr>
              <w:t>≤40.0</w:t>
            </w:r>
          </w:p>
        </w:tc>
        <w:tc>
          <w:tcPr>
            <w:tcW w:w="1665" w:type="dxa"/>
            <w:vAlign w:val="center"/>
          </w:tcPr>
          <w:p w14:paraId="78B20EBB">
            <w:pPr>
              <w:pStyle w:val="98"/>
              <w:ind w:left="-105" w:right="-105"/>
              <w:rPr>
                <w:rFonts w:eastAsia="宋体"/>
                <w:color w:val="auto"/>
                <w:sz w:val="21"/>
                <w:szCs w:val="21"/>
                <w:highlight w:val="none"/>
              </w:rPr>
            </w:pPr>
            <w:r>
              <w:rPr>
                <w:rFonts w:eastAsia="宋体"/>
                <w:color w:val="auto"/>
                <w:sz w:val="21"/>
                <w:szCs w:val="21"/>
                <w:highlight w:val="none"/>
              </w:rPr>
              <w:t>≤300</w:t>
            </w:r>
          </w:p>
        </w:tc>
        <w:tc>
          <w:tcPr>
            <w:tcW w:w="1332" w:type="dxa"/>
            <w:vAlign w:val="center"/>
          </w:tcPr>
          <w:p w14:paraId="1C40305E">
            <w:pPr>
              <w:pStyle w:val="98"/>
              <w:ind w:left="-105" w:right="-105"/>
              <w:rPr>
                <w:rFonts w:eastAsia="宋体"/>
                <w:color w:val="auto"/>
                <w:sz w:val="21"/>
                <w:szCs w:val="21"/>
                <w:highlight w:val="none"/>
              </w:rPr>
            </w:pPr>
            <w:r>
              <w:rPr>
                <w:rFonts w:eastAsia="宋体"/>
                <w:color w:val="auto"/>
                <w:sz w:val="21"/>
                <w:szCs w:val="21"/>
                <w:highlight w:val="none"/>
              </w:rPr>
              <w:t>＞300</w:t>
            </w:r>
          </w:p>
        </w:tc>
      </w:tr>
      <w:tr w14:paraId="61B59C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32E8335">
            <w:pPr>
              <w:pStyle w:val="98"/>
              <w:numPr>
                <w:ilvl w:val="0"/>
                <w:numId w:val="12"/>
              </w:numPr>
              <w:ind w:left="-105" w:right="-105" w:firstLine="0"/>
              <w:rPr>
                <w:rFonts w:eastAsia="宋体"/>
                <w:color w:val="auto"/>
                <w:sz w:val="21"/>
                <w:szCs w:val="21"/>
                <w:highlight w:val="none"/>
              </w:rPr>
            </w:pPr>
          </w:p>
        </w:tc>
        <w:tc>
          <w:tcPr>
            <w:tcW w:w="1750" w:type="dxa"/>
            <w:vAlign w:val="center"/>
          </w:tcPr>
          <w:p w14:paraId="4DABA2F2">
            <w:pPr>
              <w:pStyle w:val="98"/>
              <w:ind w:left="-105" w:right="-105"/>
              <w:rPr>
                <w:color w:val="auto"/>
                <w:sz w:val="21"/>
                <w:szCs w:val="21"/>
                <w:highlight w:val="none"/>
              </w:rPr>
            </w:pPr>
            <w:r>
              <w:rPr>
                <w:rFonts w:hint="eastAsia" w:ascii="宋体" w:hAnsi="宋体" w:eastAsia="宋体" w:cs="宋体"/>
                <w:color w:val="auto"/>
                <w:sz w:val="21"/>
                <w:szCs w:val="21"/>
                <w:highlight w:val="none"/>
              </w:rPr>
              <w:t>氯苯</w:t>
            </w:r>
          </w:p>
        </w:tc>
        <w:tc>
          <w:tcPr>
            <w:tcW w:w="1049" w:type="dxa"/>
            <w:vAlign w:val="center"/>
          </w:tcPr>
          <w:p w14:paraId="7A24540E">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9C06F46">
            <w:pPr>
              <w:pStyle w:val="98"/>
              <w:ind w:left="-105" w:right="-105"/>
              <w:rPr>
                <w:rFonts w:eastAsia="宋体"/>
                <w:color w:val="auto"/>
                <w:sz w:val="21"/>
                <w:szCs w:val="21"/>
                <w:highlight w:val="none"/>
              </w:rPr>
            </w:pPr>
            <w:r>
              <w:rPr>
                <w:rFonts w:eastAsia="宋体"/>
                <w:color w:val="auto"/>
                <w:sz w:val="21"/>
                <w:szCs w:val="21"/>
                <w:highlight w:val="none"/>
              </w:rPr>
              <w:t>≤60.0</w:t>
            </w:r>
          </w:p>
        </w:tc>
        <w:tc>
          <w:tcPr>
            <w:tcW w:w="1050" w:type="dxa"/>
            <w:vAlign w:val="center"/>
          </w:tcPr>
          <w:p w14:paraId="7075B184">
            <w:pPr>
              <w:pStyle w:val="98"/>
              <w:ind w:left="-105" w:right="-105"/>
              <w:rPr>
                <w:rFonts w:eastAsia="宋体"/>
                <w:color w:val="auto"/>
                <w:sz w:val="21"/>
                <w:szCs w:val="21"/>
                <w:highlight w:val="none"/>
              </w:rPr>
            </w:pPr>
            <w:r>
              <w:rPr>
                <w:rFonts w:eastAsia="宋体"/>
                <w:color w:val="auto"/>
                <w:sz w:val="21"/>
                <w:szCs w:val="21"/>
                <w:highlight w:val="none"/>
              </w:rPr>
              <w:t>≤300</w:t>
            </w:r>
          </w:p>
        </w:tc>
        <w:tc>
          <w:tcPr>
            <w:tcW w:w="1665" w:type="dxa"/>
            <w:vAlign w:val="center"/>
          </w:tcPr>
          <w:p w14:paraId="58372E56">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1C28090D">
            <w:pPr>
              <w:pStyle w:val="98"/>
              <w:ind w:left="-105" w:right="-105"/>
              <w:rPr>
                <w:rFonts w:eastAsia="宋体"/>
                <w:color w:val="auto"/>
                <w:sz w:val="21"/>
                <w:szCs w:val="21"/>
                <w:highlight w:val="none"/>
              </w:rPr>
            </w:pPr>
            <w:r>
              <w:rPr>
                <w:rFonts w:eastAsia="宋体"/>
                <w:color w:val="auto"/>
                <w:sz w:val="21"/>
                <w:szCs w:val="21"/>
                <w:highlight w:val="none"/>
              </w:rPr>
              <w:t>＞600</w:t>
            </w:r>
          </w:p>
        </w:tc>
      </w:tr>
      <w:tr w14:paraId="093385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489E859">
            <w:pPr>
              <w:pStyle w:val="98"/>
              <w:numPr>
                <w:ilvl w:val="0"/>
                <w:numId w:val="12"/>
              </w:numPr>
              <w:ind w:left="-105" w:right="-105" w:firstLine="0"/>
              <w:rPr>
                <w:rFonts w:eastAsia="宋体"/>
                <w:color w:val="auto"/>
                <w:sz w:val="21"/>
                <w:szCs w:val="21"/>
                <w:highlight w:val="none"/>
              </w:rPr>
            </w:pPr>
          </w:p>
        </w:tc>
        <w:tc>
          <w:tcPr>
            <w:tcW w:w="1750" w:type="dxa"/>
            <w:vAlign w:val="center"/>
          </w:tcPr>
          <w:p w14:paraId="539A3C38">
            <w:pPr>
              <w:pStyle w:val="98"/>
              <w:ind w:left="-105" w:right="-105"/>
              <w:rPr>
                <w:color w:val="auto"/>
                <w:sz w:val="21"/>
                <w:szCs w:val="21"/>
                <w:highlight w:val="none"/>
              </w:rPr>
            </w:pPr>
            <w:r>
              <w:rPr>
                <w:rFonts w:hint="eastAsia" w:ascii="宋体" w:hAnsi="宋体" w:eastAsia="宋体" w:cs="宋体"/>
                <w:color w:val="auto"/>
                <w:sz w:val="21"/>
                <w:szCs w:val="21"/>
                <w:highlight w:val="none"/>
              </w:rPr>
              <w:t>乙苯</w:t>
            </w:r>
          </w:p>
        </w:tc>
        <w:tc>
          <w:tcPr>
            <w:tcW w:w="1049" w:type="dxa"/>
            <w:vAlign w:val="center"/>
          </w:tcPr>
          <w:p w14:paraId="10D602CB">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02D646F">
            <w:pPr>
              <w:pStyle w:val="98"/>
              <w:ind w:left="-105" w:right="-105"/>
              <w:rPr>
                <w:rFonts w:eastAsia="宋体"/>
                <w:color w:val="auto"/>
                <w:sz w:val="21"/>
                <w:szCs w:val="21"/>
                <w:highlight w:val="none"/>
              </w:rPr>
            </w:pPr>
            <w:r>
              <w:rPr>
                <w:rFonts w:eastAsia="宋体"/>
                <w:color w:val="auto"/>
                <w:sz w:val="21"/>
                <w:szCs w:val="21"/>
                <w:highlight w:val="none"/>
              </w:rPr>
              <w:t>≤30.0</w:t>
            </w:r>
          </w:p>
        </w:tc>
        <w:tc>
          <w:tcPr>
            <w:tcW w:w="1050" w:type="dxa"/>
            <w:vAlign w:val="center"/>
          </w:tcPr>
          <w:p w14:paraId="330E48F8">
            <w:pPr>
              <w:pStyle w:val="98"/>
              <w:ind w:left="-105" w:right="-105"/>
              <w:rPr>
                <w:rFonts w:eastAsia="宋体"/>
                <w:color w:val="auto"/>
                <w:sz w:val="21"/>
                <w:szCs w:val="21"/>
                <w:highlight w:val="none"/>
              </w:rPr>
            </w:pPr>
            <w:r>
              <w:rPr>
                <w:rFonts w:eastAsia="宋体"/>
                <w:color w:val="auto"/>
                <w:sz w:val="21"/>
                <w:szCs w:val="21"/>
                <w:highlight w:val="none"/>
              </w:rPr>
              <w:t>≤300</w:t>
            </w:r>
          </w:p>
        </w:tc>
        <w:tc>
          <w:tcPr>
            <w:tcW w:w="1665" w:type="dxa"/>
            <w:vAlign w:val="center"/>
          </w:tcPr>
          <w:p w14:paraId="46666672">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3E90A61E">
            <w:pPr>
              <w:pStyle w:val="98"/>
              <w:ind w:left="-105" w:right="-105"/>
              <w:rPr>
                <w:rFonts w:eastAsia="宋体"/>
                <w:color w:val="auto"/>
                <w:sz w:val="21"/>
                <w:szCs w:val="21"/>
                <w:highlight w:val="none"/>
              </w:rPr>
            </w:pPr>
            <w:r>
              <w:rPr>
                <w:rFonts w:eastAsia="宋体"/>
                <w:color w:val="auto"/>
                <w:sz w:val="21"/>
                <w:szCs w:val="21"/>
                <w:highlight w:val="none"/>
              </w:rPr>
              <w:t>＞600</w:t>
            </w:r>
          </w:p>
        </w:tc>
      </w:tr>
      <w:tr w14:paraId="358A4E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66F7C5F2">
            <w:pPr>
              <w:pStyle w:val="98"/>
              <w:numPr>
                <w:ilvl w:val="0"/>
                <w:numId w:val="12"/>
              </w:numPr>
              <w:ind w:left="-105" w:right="-105" w:firstLine="0"/>
              <w:rPr>
                <w:rFonts w:eastAsia="宋体"/>
                <w:color w:val="auto"/>
                <w:sz w:val="21"/>
                <w:szCs w:val="21"/>
                <w:highlight w:val="none"/>
              </w:rPr>
            </w:pPr>
          </w:p>
        </w:tc>
        <w:tc>
          <w:tcPr>
            <w:tcW w:w="1750" w:type="dxa"/>
            <w:vAlign w:val="center"/>
          </w:tcPr>
          <w:p w14:paraId="7435E41A">
            <w:pPr>
              <w:pStyle w:val="98"/>
              <w:ind w:left="-105" w:right="-105"/>
              <w:rPr>
                <w:color w:val="auto"/>
                <w:sz w:val="21"/>
                <w:szCs w:val="21"/>
                <w:highlight w:val="none"/>
              </w:rPr>
            </w:pPr>
            <w:r>
              <w:rPr>
                <w:rFonts w:hint="eastAsia" w:ascii="宋体" w:hAnsi="宋体" w:eastAsia="宋体" w:cs="宋体"/>
                <w:color w:val="auto"/>
                <w:sz w:val="21"/>
                <w:szCs w:val="21"/>
                <w:highlight w:val="none"/>
              </w:rPr>
              <w:t>二甲苯</w:t>
            </w:r>
          </w:p>
        </w:tc>
        <w:tc>
          <w:tcPr>
            <w:tcW w:w="1049" w:type="dxa"/>
            <w:vAlign w:val="center"/>
          </w:tcPr>
          <w:p w14:paraId="41732900">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6816EA23">
            <w:pPr>
              <w:pStyle w:val="98"/>
              <w:ind w:left="-105" w:right="-105"/>
              <w:rPr>
                <w:rFonts w:eastAsia="宋体"/>
                <w:color w:val="auto"/>
                <w:sz w:val="21"/>
                <w:szCs w:val="21"/>
                <w:highlight w:val="none"/>
              </w:rPr>
            </w:pPr>
            <w:r>
              <w:rPr>
                <w:rFonts w:eastAsia="宋体"/>
                <w:color w:val="auto"/>
                <w:sz w:val="21"/>
                <w:szCs w:val="21"/>
                <w:highlight w:val="none"/>
              </w:rPr>
              <w:t>≤100</w:t>
            </w:r>
          </w:p>
        </w:tc>
        <w:tc>
          <w:tcPr>
            <w:tcW w:w="1050" w:type="dxa"/>
            <w:vAlign w:val="center"/>
          </w:tcPr>
          <w:p w14:paraId="0F15EFE7">
            <w:pPr>
              <w:pStyle w:val="98"/>
              <w:ind w:left="-105" w:right="-105"/>
              <w:rPr>
                <w:rFonts w:eastAsia="宋体"/>
                <w:color w:val="auto"/>
                <w:sz w:val="21"/>
                <w:szCs w:val="21"/>
                <w:highlight w:val="none"/>
              </w:rPr>
            </w:pPr>
            <w:r>
              <w:rPr>
                <w:rFonts w:eastAsia="宋体"/>
                <w:color w:val="auto"/>
                <w:sz w:val="21"/>
                <w:szCs w:val="21"/>
                <w:highlight w:val="none"/>
              </w:rPr>
              <w:t>≤500</w:t>
            </w:r>
          </w:p>
        </w:tc>
        <w:tc>
          <w:tcPr>
            <w:tcW w:w="1665" w:type="dxa"/>
            <w:vAlign w:val="center"/>
          </w:tcPr>
          <w:p w14:paraId="3582C45C">
            <w:pPr>
              <w:pStyle w:val="98"/>
              <w:ind w:left="-105" w:right="-105"/>
              <w:rPr>
                <w:rFonts w:eastAsia="宋体"/>
                <w:color w:val="auto"/>
                <w:sz w:val="21"/>
                <w:szCs w:val="21"/>
                <w:highlight w:val="none"/>
              </w:rPr>
            </w:pPr>
            <w:r>
              <w:rPr>
                <w:rFonts w:eastAsia="宋体"/>
                <w:color w:val="auto"/>
                <w:sz w:val="21"/>
                <w:szCs w:val="21"/>
                <w:highlight w:val="none"/>
              </w:rPr>
              <w:t>≤1000</w:t>
            </w:r>
          </w:p>
        </w:tc>
        <w:tc>
          <w:tcPr>
            <w:tcW w:w="1332" w:type="dxa"/>
            <w:vAlign w:val="center"/>
          </w:tcPr>
          <w:p w14:paraId="62C6C775">
            <w:pPr>
              <w:pStyle w:val="98"/>
              <w:ind w:left="-105" w:right="-105"/>
              <w:rPr>
                <w:rFonts w:eastAsia="宋体"/>
                <w:b/>
                <w:bCs/>
                <w:color w:val="auto"/>
                <w:sz w:val="21"/>
                <w:szCs w:val="21"/>
                <w:highlight w:val="none"/>
              </w:rPr>
            </w:pPr>
            <w:r>
              <w:rPr>
                <w:rFonts w:eastAsia="宋体"/>
                <w:color w:val="auto"/>
                <w:sz w:val="21"/>
                <w:szCs w:val="21"/>
                <w:highlight w:val="none"/>
              </w:rPr>
              <w:t>＞1000</w:t>
            </w:r>
          </w:p>
        </w:tc>
      </w:tr>
      <w:tr w14:paraId="3787F7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84449D4">
            <w:pPr>
              <w:pStyle w:val="98"/>
              <w:numPr>
                <w:ilvl w:val="0"/>
                <w:numId w:val="12"/>
              </w:numPr>
              <w:ind w:left="-105" w:right="-105" w:firstLine="0"/>
              <w:rPr>
                <w:rFonts w:eastAsia="宋体"/>
                <w:color w:val="auto"/>
                <w:sz w:val="21"/>
                <w:szCs w:val="21"/>
                <w:highlight w:val="none"/>
              </w:rPr>
            </w:pPr>
          </w:p>
        </w:tc>
        <w:tc>
          <w:tcPr>
            <w:tcW w:w="1750" w:type="dxa"/>
            <w:vAlign w:val="center"/>
          </w:tcPr>
          <w:p w14:paraId="420A1FF3">
            <w:pPr>
              <w:pStyle w:val="98"/>
              <w:ind w:left="-105" w:right="-105"/>
              <w:rPr>
                <w:color w:val="auto"/>
                <w:sz w:val="21"/>
                <w:szCs w:val="21"/>
                <w:highlight w:val="none"/>
              </w:rPr>
            </w:pPr>
            <w:r>
              <w:rPr>
                <w:rFonts w:hint="eastAsia" w:ascii="宋体" w:hAnsi="宋体" w:eastAsia="宋体" w:cs="宋体"/>
                <w:color w:val="auto"/>
                <w:sz w:val="21"/>
                <w:szCs w:val="21"/>
                <w:highlight w:val="none"/>
              </w:rPr>
              <w:t>苯乙烯</w:t>
            </w:r>
          </w:p>
        </w:tc>
        <w:tc>
          <w:tcPr>
            <w:tcW w:w="1049" w:type="dxa"/>
            <w:vAlign w:val="center"/>
          </w:tcPr>
          <w:p w14:paraId="26AAD145">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7A13FFAA">
            <w:pPr>
              <w:pStyle w:val="98"/>
              <w:ind w:left="-105" w:right="-105"/>
              <w:rPr>
                <w:rFonts w:eastAsia="宋体"/>
                <w:color w:val="auto"/>
                <w:sz w:val="21"/>
                <w:szCs w:val="21"/>
                <w:highlight w:val="none"/>
              </w:rPr>
            </w:pPr>
            <w:r>
              <w:rPr>
                <w:rFonts w:eastAsia="宋体"/>
                <w:color w:val="auto"/>
                <w:sz w:val="21"/>
                <w:szCs w:val="21"/>
                <w:highlight w:val="none"/>
              </w:rPr>
              <w:t>≤2.0</w:t>
            </w:r>
          </w:p>
        </w:tc>
        <w:tc>
          <w:tcPr>
            <w:tcW w:w="1050" w:type="dxa"/>
            <w:vAlign w:val="center"/>
          </w:tcPr>
          <w:p w14:paraId="1F775766">
            <w:pPr>
              <w:pStyle w:val="98"/>
              <w:ind w:left="-105" w:right="-105"/>
              <w:rPr>
                <w:rFonts w:eastAsia="宋体"/>
                <w:color w:val="auto"/>
                <w:sz w:val="21"/>
                <w:szCs w:val="21"/>
                <w:highlight w:val="none"/>
              </w:rPr>
            </w:pPr>
            <w:r>
              <w:rPr>
                <w:rFonts w:eastAsia="宋体"/>
                <w:color w:val="auto"/>
                <w:sz w:val="21"/>
                <w:szCs w:val="21"/>
                <w:highlight w:val="none"/>
              </w:rPr>
              <w:t>≤20.0</w:t>
            </w:r>
          </w:p>
        </w:tc>
        <w:tc>
          <w:tcPr>
            <w:tcW w:w="1665" w:type="dxa"/>
            <w:vAlign w:val="center"/>
          </w:tcPr>
          <w:p w14:paraId="1976DD03">
            <w:pPr>
              <w:pStyle w:val="98"/>
              <w:ind w:left="-105" w:right="-105"/>
              <w:rPr>
                <w:rFonts w:eastAsia="宋体"/>
                <w:color w:val="auto"/>
                <w:sz w:val="21"/>
                <w:szCs w:val="21"/>
                <w:highlight w:val="none"/>
              </w:rPr>
            </w:pPr>
            <w:r>
              <w:rPr>
                <w:rFonts w:eastAsia="宋体"/>
                <w:color w:val="auto"/>
                <w:sz w:val="21"/>
                <w:szCs w:val="21"/>
                <w:highlight w:val="none"/>
              </w:rPr>
              <w:t>≤40.0</w:t>
            </w:r>
          </w:p>
        </w:tc>
        <w:tc>
          <w:tcPr>
            <w:tcW w:w="1332" w:type="dxa"/>
            <w:vAlign w:val="center"/>
          </w:tcPr>
          <w:p w14:paraId="18414911">
            <w:pPr>
              <w:pStyle w:val="98"/>
              <w:ind w:left="-105" w:right="-105"/>
              <w:rPr>
                <w:rFonts w:eastAsia="宋体"/>
                <w:color w:val="auto"/>
                <w:sz w:val="21"/>
                <w:szCs w:val="21"/>
                <w:highlight w:val="none"/>
              </w:rPr>
            </w:pPr>
            <w:r>
              <w:rPr>
                <w:rFonts w:eastAsia="宋体"/>
                <w:color w:val="auto"/>
                <w:sz w:val="21"/>
                <w:szCs w:val="21"/>
                <w:highlight w:val="none"/>
              </w:rPr>
              <w:t>＞40.0</w:t>
            </w:r>
          </w:p>
        </w:tc>
      </w:tr>
      <w:tr w14:paraId="39582E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A97A700">
            <w:pPr>
              <w:pStyle w:val="98"/>
              <w:numPr>
                <w:ilvl w:val="0"/>
                <w:numId w:val="12"/>
              </w:numPr>
              <w:ind w:left="-105" w:right="-105" w:firstLine="0"/>
              <w:rPr>
                <w:rFonts w:eastAsia="宋体"/>
                <w:color w:val="auto"/>
                <w:sz w:val="21"/>
                <w:szCs w:val="21"/>
                <w:highlight w:val="none"/>
              </w:rPr>
            </w:pPr>
          </w:p>
        </w:tc>
        <w:tc>
          <w:tcPr>
            <w:tcW w:w="1750" w:type="dxa"/>
            <w:vAlign w:val="center"/>
          </w:tcPr>
          <w:p w14:paraId="01D9FB17">
            <w:pPr>
              <w:pStyle w:val="98"/>
              <w:ind w:left="-105" w:right="-105"/>
              <w:rPr>
                <w:color w:val="auto"/>
                <w:sz w:val="21"/>
                <w:szCs w:val="21"/>
                <w:highlight w:val="none"/>
              </w:rPr>
            </w:pPr>
            <w:r>
              <w:rPr>
                <w:rFonts w:hint="eastAsia" w:ascii="宋体" w:hAnsi="宋体" w:eastAsia="宋体" w:cs="宋体"/>
                <w:color w:val="auto"/>
                <w:sz w:val="21"/>
                <w:szCs w:val="21"/>
                <w:highlight w:val="none"/>
              </w:rPr>
              <w:t>对二氯苯</w:t>
            </w:r>
          </w:p>
        </w:tc>
        <w:tc>
          <w:tcPr>
            <w:tcW w:w="1049" w:type="dxa"/>
            <w:vAlign w:val="center"/>
          </w:tcPr>
          <w:p w14:paraId="10482B0B">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1B56CE8E">
            <w:pPr>
              <w:pStyle w:val="98"/>
              <w:ind w:left="-105" w:right="-105"/>
              <w:rPr>
                <w:rFonts w:eastAsia="宋体"/>
                <w:color w:val="auto"/>
                <w:sz w:val="21"/>
                <w:szCs w:val="21"/>
                <w:highlight w:val="none"/>
              </w:rPr>
            </w:pPr>
            <w:r>
              <w:rPr>
                <w:rFonts w:eastAsia="宋体"/>
                <w:color w:val="auto"/>
                <w:sz w:val="21"/>
                <w:szCs w:val="21"/>
                <w:highlight w:val="none"/>
              </w:rPr>
              <w:t>≤30.0</w:t>
            </w:r>
          </w:p>
        </w:tc>
        <w:tc>
          <w:tcPr>
            <w:tcW w:w="1050" w:type="dxa"/>
            <w:vAlign w:val="center"/>
          </w:tcPr>
          <w:p w14:paraId="61ED24F3">
            <w:pPr>
              <w:pStyle w:val="98"/>
              <w:ind w:left="-105" w:right="-105"/>
              <w:rPr>
                <w:rFonts w:eastAsia="宋体"/>
                <w:color w:val="auto"/>
                <w:sz w:val="21"/>
                <w:szCs w:val="21"/>
                <w:highlight w:val="none"/>
              </w:rPr>
            </w:pPr>
            <w:r>
              <w:rPr>
                <w:rFonts w:eastAsia="宋体"/>
                <w:color w:val="auto"/>
                <w:sz w:val="21"/>
                <w:szCs w:val="21"/>
                <w:highlight w:val="none"/>
              </w:rPr>
              <w:t>≤300</w:t>
            </w:r>
          </w:p>
        </w:tc>
        <w:tc>
          <w:tcPr>
            <w:tcW w:w="1665" w:type="dxa"/>
            <w:vAlign w:val="center"/>
          </w:tcPr>
          <w:p w14:paraId="5F5B0D93">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1A4D6D60">
            <w:pPr>
              <w:pStyle w:val="98"/>
              <w:ind w:left="-105" w:right="-105"/>
              <w:rPr>
                <w:rFonts w:eastAsia="宋体"/>
                <w:b/>
                <w:bCs/>
                <w:color w:val="auto"/>
                <w:sz w:val="21"/>
                <w:szCs w:val="21"/>
                <w:highlight w:val="none"/>
              </w:rPr>
            </w:pPr>
            <w:r>
              <w:rPr>
                <w:rFonts w:eastAsia="宋体"/>
                <w:color w:val="auto"/>
                <w:sz w:val="21"/>
                <w:szCs w:val="21"/>
                <w:highlight w:val="none"/>
              </w:rPr>
              <w:t>＞600</w:t>
            </w:r>
          </w:p>
        </w:tc>
      </w:tr>
      <w:tr w14:paraId="597831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F157A5E">
            <w:pPr>
              <w:pStyle w:val="98"/>
              <w:numPr>
                <w:ilvl w:val="0"/>
                <w:numId w:val="12"/>
              </w:numPr>
              <w:ind w:left="-105" w:right="-105" w:firstLine="0"/>
              <w:rPr>
                <w:rFonts w:eastAsia="宋体"/>
                <w:color w:val="auto"/>
                <w:sz w:val="21"/>
                <w:szCs w:val="21"/>
                <w:highlight w:val="none"/>
              </w:rPr>
            </w:pPr>
          </w:p>
        </w:tc>
        <w:tc>
          <w:tcPr>
            <w:tcW w:w="1750" w:type="dxa"/>
            <w:vAlign w:val="center"/>
          </w:tcPr>
          <w:p w14:paraId="07133AED">
            <w:pPr>
              <w:pStyle w:val="98"/>
              <w:ind w:left="-105" w:right="-105"/>
              <w:rPr>
                <w:color w:val="auto"/>
                <w:sz w:val="21"/>
                <w:szCs w:val="21"/>
                <w:highlight w:val="none"/>
              </w:rPr>
            </w:pPr>
            <w:r>
              <w:rPr>
                <w:rFonts w:hint="eastAsia" w:ascii="宋体" w:hAnsi="宋体" w:eastAsia="宋体" w:cs="宋体"/>
                <w:color w:val="auto"/>
                <w:sz w:val="21"/>
                <w:szCs w:val="21"/>
                <w:highlight w:val="none"/>
              </w:rPr>
              <w:t>邻二氯苯</w:t>
            </w:r>
          </w:p>
        </w:tc>
        <w:tc>
          <w:tcPr>
            <w:tcW w:w="1049" w:type="dxa"/>
            <w:vAlign w:val="center"/>
          </w:tcPr>
          <w:p w14:paraId="05D75B07">
            <w:pPr>
              <w:pStyle w:val="98"/>
              <w:ind w:left="-105" w:right="-105"/>
              <w:rPr>
                <w:rFonts w:eastAsia="宋体"/>
                <w:color w:val="auto"/>
                <w:sz w:val="21"/>
                <w:szCs w:val="21"/>
                <w:highlight w:val="none"/>
              </w:rPr>
            </w:pPr>
            <w:r>
              <w:rPr>
                <w:rFonts w:eastAsia="宋体"/>
                <w:color w:val="auto"/>
                <w:sz w:val="21"/>
                <w:szCs w:val="21"/>
                <w:highlight w:val="none"/>
              </w:rPr>
              <w:t>≤0.5</w:t>
            </w:r>
          </w:p>
        </w:tc>
        <w:tc>
          <w:tcPr>
            <w:tcW w:w="1049" w:type="dxa"/>
            <w:vAlign w:val="center"/>
          </w:tcPr>
          <w:p w14:paraId="59E074BD">
            <w:pPr>
              <w:pStyle w:val="98"/>
              <w:ind w:left="-105" w:right="-105"/>
              <w:rPr>
                <w:rFonts w:eastAsia="宋体"/>
                <w:color w:val="auto"/>
                <w:sz w:val="21"/>
                <w:szCs w:val="21"/>
                <w:highlight w:val="none"/>
              </w:rPr>
            </w:pPr>
            <w:r>
              <w:rPr>
                <w:rFonts w:eastAsia="宋体"/>
                <w:color w:val="auto"/>
                <w:sz w:val="21"/>
                <w:szCs w:val="21"/>
                <w:highlight w:val="none"/>
              </w:rPr>
              <w:t>≤200</w:t>
            </w:r>
          </w:p>
        </w:tc>
        <w:tc>
          <w:tcPr>
            <w:tcW w:w="1050" w:type="dxa"/>
            <w:vAlign w:val="center"/>
          </w:tcPr>
          <w:p w14:paraId="03EBB116">
            <w:pPr>
              <w:pStyle w:val="98"/>
              <w:ind w:left="-105" w:right="-105"/>
              <w:rPr>
                <w:rFonts w:eastAsia="宋体"/>
                <w:color w:val="auto"/>
                <w:sz w:val="21"/>
                <w:szCs w:val="21"/>
                <w:highlight w:val="none"/>
              </w:rPr>
            </w:pPr>
            <w:r>
              <w:rPr>
                <w:rFonts w:eastAsia="宋体"/>
                <w:color w:val="auto"/>
                <w:sz w:val="21"/>
                <w:szCs w:val="21"/>
                <w:highlight w:val="none"/>
              </w:rPr>
              <w:t>≤1000</w:t>
            </w:r>
          </w:p>
        </w:tc>
        <w:tc>
          <w:tcPr>
            <w:tcW w:w="1665" w:type="dxa"/>
            <w:vAlign w:val="center"/>
          </w:tcPr>
          <w:p w14:paraId="70732A26">
            <w:pPr>
              <w:pStyle w:val="98"/>
              <w:ind w:left="-105" w:right="-105"/>
              <w:rPr>
                <w:rFonts w:eastAsia="宋体"/>
                <w:color w:val="auto"/>
                <w:sz w:val="21"/>
                <w:szCs w:val="21"/>
                <w:highlight w:val="none"/>
              </w:rPr>
            </w:pPr>
            <w:r>
              <w:rPr>
                <w:rFonts w:eastAsia="宋体"/>
                <w:color w:val="auto"/>
                <w:sz w:val="21"/>
                <w:szCs w:val="21"/>
                <w:highlight w:val="none"/>
              </w:rPr>
              <w:t>≤2000</w:t>
            </w:r>
          </w:p>
        </w:tc>
        <w:tc>
          <w:tcPr>
            <w:tcW w:w="1332" w:type="dxa"/>
            <w:vAlign w:val="center"/>
          </w:tcPr>
          <w:p w14:paraId="3C402A15">
            <w:pPr>
              <w:pStyle w:val="98"/>
              <w:ind w:left="-105" w:right="-105"/>
              <w:rPr>
                <w:rFonts w:eastAsia="宋体"/>
                <w:color w:val="auto"/>
                <w:sz w:val="21"/>
                <w:szCs w:val="21"/>
                <w:highlight w:val="none"/>
              </w:rPr>
            </w:pPr>
            <w:r>
              <w:rPr>
                <w:rFonts w:eastAsia="宋体"/>
                <w:color w:val="auto"/>
                <w:sz w:val="21"/>
                <w:szCs w:val="21"/>
                <w:highlight w:val="none"/>
              </w:rPr>
              <w:t>＞2000</w:t>
            </w:r>
          </w:p>
        </w:tc>
      </w:tr>
      <w:tr w14:paraId="00CAFC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652171A">
            <w:pPr>
              <w:pStyle w:val="98"/>
              <w:numPr>
                <w:ilvl w:val="0"/>
                <w:numId w:val="12"/>
              </w:numPr>
              <w:ind w:left="-105" w:right="-105" w:firstLine="0"/>
              <w:rPr>
                <w:rFonts w:eastAsia="宋体"/>
                <w:color w:val="auto"/>
                <w:sz w:val="21"/>
                <w:szCs w:val="21"/>
                <w:highlight w:val="none"/>
              </w:rPr>
            </w:pPr>
          </w:p>
        </w:tc>
        <w:tc>
          <w:tcPr>
            <w:tcW w:w="1750" w:type="dxa"/>
            <w:vAlign w:val="center"/>
          </w:tcPr>
          <w:p w14:paraId="01C4F0D3">
            <w:pPr>
              <w:pStyle w:val="98"/>
              <w:ind w:left="-105" w:right="-105"/>
              <w:rPr>
                <w:color w:val="auto"/>
                <w:sz w:val="21"/>
                <w:szCs w:val="21"/>
                <w:highlight w:val="none"/>
              </w:rPr>
            </w:pPr>
            <w:r>
              <w:rPr>
                <w:rFonts w:hint="eastAsia" w:ascii="宋体" w:hAnsi="宋体" w:eastAsia="宋体" w:cs="宋体"/>
                <w:color w:val="auto"/>
                <w:sz w:val="21"/>
                <w:szCs w:val="21"/>
                <w:highlight w:val="none"/>
              </w:rPr>
              <w:t>萘</w:t>
            </w:r>
          </w:p>
        </w:tc>
        <w:tc>
          <w:tcPr>
            <w:tcW w:w="1049" w:type="dxa"/>
            <w:vAlign w:val="center"/>
          </w:tcPr>
          <w:p w14:paraId="4DE4D4AD">
            <w:pPr>
              <w:pStyle w:val="98"/>
              <w:ind w:left="-105" w:right="-105"/>
              <w:rPr>
                <w:rFonts w:eastAsia="宋体"/>
                <w:color w:val="auto"/>
                <w:sz w:val="21"/>
                <w:szCs w:val="21"/>
                <w:highlight w:val="none"/>
              </w:rPr>
            </w:pPr>
            <w:r>
              <w:rPr>
                <w:rFonts w:eastAsia="宋体"/>
                <w:color w:val="auto"/>
                <w:sz w:val="21"/>
                <w:szCs w:val="21"/>
                <w:highlight w:val="none"/>
              </w:rPr>
              <w:t>≤1</w:t>
            </w:r>
          </w:p>
        </w:tc>
        <w:tc>
          <w:tcPr>
            <w:tcW w:w="1049" w:type="dxa"/>
            <w:vAlign w:val="center"/>
          </w:tcPr>
          <w:p w14:paraId="2F62D5CE">
            <w:pPr>
              <w:pStyle w:val="98"/>
              <w:ind w:left="-105" w:right="-105"/>
              <w:rPr>
                <w:rFonts w:eastAsia="宋体"/>
                <w:color w:val="auto"/>
                <w:sz w:val="21"/>
                <w:szCs w:val="21"/>
                <w:highlight w:val="none"/>
              </w:rPr>
            </w:pPr>
            <w:r>
              <w:rPr>
                <w:rFonts w:eastAsia="宋体"/>
                <w:color w:val="auto"/>
                <w:sz w:val="21"/>
                <w:szCs w:val="21"/>
                <w:highlight w:val="none"/>
              </w:rPr>
              <w:t>≤10</w:t>
            </w:r>
          </w:p>
        </w:tc>
        <w:tc>
          <w:tcPr>
            <w:tcW w:w="1050" w:type="dxa"/>
            <w:vAlign w:val="center"/>
          </w:tcPr>
          <w:p w14:paraId="48E890E2">
            <w:pPr>
              <w:pStyle w:val="98"/>
              <w:ind w:left="-105" w:right="-105"/>
              <w:rPr>
                <w:rFonts w:eastAsia="宋体"/>
                <w:color w:val="auto"/>
                <w:sz w:val="21"/>
                <w:szCs w:val="21"/>
                <w:highlight w:val="none"/>
              </w:rPr>
            </w:pPr>
            <w:r>
              <w:rPr>
                <w:rFonts w:eastAsia="宋体"/>
                <w:color w:val="auto"/>
                <w:sz w:val="21"/>
                <w:szCs w:val="21"/>
                <w:highlight w:val="none"/>
              </w:rPr>
              <w:t>≤100</w:t>
            </w:r>
          </w:p>
        </w:tc>
        <w:tc>
          <w:tcPr>
            <w:tcW w:w="1665" w:type="dxa"/>
            <w:vAlign w:val="center"/>
          </w:tcPr>
          <w:p w14:paraId="20047B36">
            <w:pPr>
              <w:pStyle w:val="98"/>
              <w:ind w:left="-105" w:right="-105"/>
              <w:rPr>
                <w:rFonts w:eastAsia="宋体"/>
                <w:color w:val="auto"/>
                <w:sz w:val="21"/>
                <w:szCs w:val="21"/>
                <w:highlight w:val="none"/>
              </w:rPr>
            </w:pPr>
            <w:r>
              <w:rPr>
                <w:rFonts w:eastAsia="宋体"/>
                <w:color w:val="auto"/>
                <w:sz w:val="21"/>
                <w:szCs w:val="21"/>
                <w:highlight w:val="none"/>
              </w:rPr>
              <w:t>≤600</w:t>
            </w:r>
          </w:p>
        </w:tc>
        <w:tc>
          <w:tcPr>
            <w:tcW w:w="1332" w:type="dxa"/>
            <w:vAlign w:val="center"/>
          </w:tcPr>
          <w:p w14:paraId="06DE7B22">
            <w:pPr>
              <w:pStyle w:val="98"/>
              <w:ind w:left="-105" w:right="-105"/>
              <w:rPr>
                <w:rFonts w:eastAsia="宋体"/>
                <w:color w:val="auto"/>
                <w:sz w:val="21"/>
                <w:szCs w:val="21"/>
                <w:highlight w:val="none"/>
              </w:rPr>
            </w:pPr>
            <w:r>
              <w:rPr>
                <w:rFonts w:eastAsia="宋体"/>
                <w:color w:val="auto"/>
                <w:sz w:val="21"/>
                <w:szCs w:val="21"/>
                <w:highlight w:val="none"/>
              </w:rPr>
              <w:t>＞600</w:t>
            </w:r>
          </w:p>
        </w:tc>
      </w:tr>
      <w:tr w14:paraId="1648A7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6E8EBAA">
            <w:pPr>
              <w:pStyle w:val="98"/>
              <w:numPr>
                <w:ilvl w:val="0"/>
                <w:numId w:val="12"/>
              </w:numPr>
              <w:ind w:left="-105" w:right="-105" w:firstLine="0"/>
              <w:rPr>
                <w:rFonts w:eastAsia="宋体"/>
                <w:color w:val="auto"/>
                <w:sz w:val="21"/>
                <w:szCs w:val="21"/>
                <w:highlight w:val="none"/>
              </w:rPr>
            </w:pPr>
          </w:p>
        </w:tc>
        <w:tc>
          <w:tcPr>
            <w:tcW w:w="1750" w:type="dxa"/>
            <w:vAlign w:val="center"/>
          </w:tcPr>
          <w:p w14:paraId="4C01E632">
            <w:pPr>
              <w:pStyle w:val="98"/>
              <w:ind w:left="-105" w:right="-105"/>
              <w:rPr>
                <w:color w:val="auto"/>
                <w:sz w:val="21"/>
                <w:szCs w:val="21"/>
                <w:highlight w:val="none"/>
              </w:rPr>
            </w:pPr>
            <w:r>
              <w:rPr>
                <w:rFonts w:hint="eastAsia" w:ascii="宋体" w:hAnsi="宋体" w:eastAsia="宋体" w:cs="宋体"/>
                <w:color w:val="auto"/>
                <w:sz w:val="21"/>
                <w:szCs w:val="21"/>
                <w:highlight w:val="none"/>
              </w:rPr>
              <w:t>苯并</w:t>
            </w:r>
            <w:r>
              <w:rPr>
                <w:color w:val="auto"/>
                <w:sz w:val="21"/>
                <w:szCs w:val="21"/>
                <w:highlight w:val="none"/>
              </w:rPr>
              <w:t>(b)</w:t>
            </w:r>
            <w:r>
              <w:rPr>
                <w:rFonts w:hint="eastAsia" w:ascii="宋体" w:hAnsi="宋体" w:eastAsia="宋体" w:cs="宋体"/>
                <w:color w:val="auto"/>
                <w:sz w:val="21"/>
                <w:szCs w:val="21"/>
                <w:highlight w:val="none"/>
              </w:rPr>
              <w:t>荧蒽</w:t>
            </w:r>
          </w:p>
        </w:tc>
        <w:tc>
          <w:tcPr>
            <w:tcW w:w="1049" w:type="dxa"/>
            <w:vAlign w:val="center"/>
          </w:tcPr>
          <w:p w14:paraId="5CF3412B">
            <w:pPr>
              <w:pStyle w:val="98"/>
              <w:ind w:left="-105" w:right="-105"/>
              <w:rPr>
                <w:rFonts w:eastAsia="宋体"/>
                <w:color w:val="auto"/>
                <w:sz w:val="21"/>
                <w:szCs w:val="21"/>
                <w:highlight w:val="none"/>
              </w:rPr>
            </w:pPr>
            <w:r>
              <w:rPr>
                <w:rFonts w:eastAsia="宋体"/>
                <w:color w:val="auto"/>
                <w:sz w:val="21"/>
                <w:szCs w:val="21"/>
                <w:highlight w:val="none"/>
              </w:rPr>
              <w:t>≤0.1</w:t>
            </w:r>
          </w:p>
        </w:tc>
        <w:tc>
          <w:tcPr>
            <w:tcW w:w="1049" w:type="dxa"/>
            <w:vAlign w:val="center"/>
          </w:tcPr>
          <w:p w14:paraId="126F1528">
            <w:pPr>
              <w:pStyle w:val="98"/>
              <w:ind w:left="-105" w:right="-105"/>
              <w:rPr>
                <w:rFonts w:eastAsia="宋体"/>
                <w:color w:val="auto"/>
                <w:sz w:val="21"/>
                <w:szCs w:val="21"/>
                <w:highlight w:val="none"/>
              </w:rPr>
            </w:pPr>
            <w:r>
              <w:rPr>
                <w:rFonts w:eastAsia="宋体"/>
                <w:color w:val="auto"/>
                <w:sz w:val="21"/>
                <w:szCs w:val="21"/>
                <w:highlight w:val="none"/>
              </w:rPr>
              <w:t>≤0.4</w:t>
            </w:r>
          </w:p>
        </w:tc>
        <w:tc>
          <w:tcPr>
            <w:tcW w:w="1050" w:type="dxa"/>
            <w:vAlign w:val="center"/>
          </w:tcPr>
          <w:p w14:paraId="5A920A81">
            <w:pPr>
              <w:pStyle w:val="98"/>
              <w:ind w:left="-105" w:right="-105"/>
              <w:rPr>
                <w:rFonts w:eastAsia="宋体"/>
                <w:color w:val="auto"/>
                <w:sz w:val="21"/>
                <w:szCs w:val="21"/>
                <w:highlight w:val="none"/>
              </w:rPr>
            </w:pPr>
            <w:r>
              <w:rPr>
                <w:rFonts w:eastAsia="宋体"/>
                <w:color w:val="auto"/>
                <w:sz w:val="21"/>
                <w:szCs w:val="21"/>
                <w:highlight w:val="none"/>
              </w:rPr>
              <w:t>≤4.0</w:t>
            </w:r>
          </w:p>
        </w:tc>
        <w:tc>
          <w:tcPr>
            <w:tcW w:w="1665" w:type="dxa"/>
            <w:vAlign w:val="center"/>
          </w:tcPr>
          <w:p w14:paraId="0E6534AF">
            <w:pPr>
              <w:pStyle w:val="98"/>
              <w:ind w:left="-105" w:right="-105"/>
              <w:rPr>
                <w:rFonts w:eastAsia="宋体"/>
                <w:color w:val="auto"/>
                <w:sz w:val="21"/>
                <w:szCs w:val="21"/>
                <w:highlight w:val="none"/>
              </w:rPr>
            </w:pPr>
            <w:r>
              <w:rPr>
                <w:rFonts w:eastAsia="宋体"/>
                <w:color w:val="auto"/>
                <w:sz w:val="21"/>
                <w:szCs w:val="21"/>
                <w:highlight w:val="none"/>
              </w:rPr>
              <w:t>≤8.0</w:t>
            </w:r>
          </w:p>
        </w:tc>
        <w:tc>
          <w:tcPr>
            <w:tcW w:w="1332" w:type="dxa"/>
            <w:vAlign w:val="center"/>
          </w:tcPr>
          <w:p w14:paraId="77A2D76E">
            <w:pPr>
              <w:pStyle w:val="98"/>
              <w:ind w:left="-105" w:right="-105"/>
              <w:rPr>
                <w:rFonts w:eastAsia="宋体"/>
                <w:color w:val="auto"/>
                <w:sz w:val="21"/>
                <w:szCs w:val="21"/>
                <w:highlight w:val="none"/>
              </w:rPr>
            </w:pPr>
            <w:r>
              <w:rPr>
                <w:rFonts w:eastAsia="宋体"/>
                <w:color w:val="auto"/>
                <w:sz w:val="21"/>
                <w:szCs w:val="21"/>
                <w:highlight w:val="none"/>
              </w:rPr>
              <w:t>＞8.0</w:t>
            </w:r>
          </w:p>
        </w:tc>
      </w:tr>
      <w:tr w14:paraId="37835D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6783E28">
            <w:pPr>
              <w:pStyle w:val="98"/>
              <w:numPr>
                <w:ilvl w:val="0"/>
                <w:numId w:val="12"/>
              </w:numPr>
              <w:ind w:left="-105" w:right="-105" w:firstLine="0"/>
              <w:rPr>
                <w:rFonts w:eastAsia="宋体"/>
                <w:color w:val="auto"/>
                <w:sz w:val="21"/>
                <w:szCs w:val="21"/>
                <w:highlight w:val="none"/>
              </w:rPr>
            </w:pPr>
          </w:p>
        </w:tc>
        <w:tc>
          <w:tcPr>
            <w:tcW w:w="1750" w:type="dxa"/>
            <w:vAlign w:val="center"/>
          </w:tcPr>
          <w:p w14:paraId="2E87F462">
            <w:pPr>
              <w:pStyle w:val="98"/>
              <w:ind w:left="-105" w:right="-105"/>
              <w:rPr>
                <w:color w:val="auto"/>
                <w:sz w:val="21"/>
                <w:szCs w:val="21"/>
                <w:highlight w:val="none"/>
              </w:rPr>
            </w:pPr>
            <w:r>
              <w:rPr>
                <w:rFonts w:hint="eastAsia" w:ascii="宋体" w:hAnsi="宋体" w:eastAsia="宋体" w:cs="宋体"/>
                <w:color w:val="auto"/>
                <w:sz w:val="21"/>
                <w:szCs w:val="21"/>
                <w:highlight w:val="none"/>
              </w:rPr>
              <w:t>苯并</w:t>
            </w:r>
            <w:r>
              <w:rPr>
                <w:color w:val="auto"/>
                <w:sz w:val="21"/>
                <w:szCs w:val="21"/>
                <w:highlight w:val="none"/>
              </w:rPr>
              <w:t>(a)</w:t>
            </w:r>
            <w:r>
              <w:rPr>
                <w:rFonts w:hint="eastAsia" w:ascii="宋体" w:hAnsi="宋体" w:eastAsia="宋体" w:cs="宋体"/>
                <w:color w:val="auto"/>
                <w:sz w:val="21"/>
                <w:szCs w:val="21"/>
                <w:highlight w:val="none"/>
              </w:rPr>
              <w:t>芘</w:t>
            </w:r>
          </w:p>
        </w:tc>
        <w:tc>
          <w:tcPr>
            <w:tcW w:w="1049" w:type="dxa"/>
            <w:vAlign w:val="center"/>
          </w:tcPr>
          <w:p w14:paraId="6B28C7D3">
            <w:pPr>
              <w:pStyle w:val="98"/>
              <w:ind w:left="-105" w:right="-105"/>
              <w:rPr>
                <w:rFonts w:eastAsia="宋体"/>
                <w:color w:val="auto"/>
                <w:sz w:val="21"/>
                <w:szCs w:val="21"/>
                <w:highlight w:val="none"/>
              </w:rPr>
            </w:pPr>
            <w:r>
              <w:rPr>
                <w:rFonts w:eastAsia="宋体"/>
                <w:color w:val="auto"/>
                <w:sz w:val="21"/>
                <w:szCs w:val="21"/>
                <w:highlight w:val="none"/>
              </w:rPr>
              <w:t>≤0.002</w:t>
            </w:r>
          </w:p>
        </w:tc>
        <w:tc>
          <w:tcPr>
            <w:tcW w:w="1049" w:type="dxa"/>
            <w:vAlign w:val="center"/>
          </w:tcPr>
          <w:p w14:paraId="1EDE3B2D">
            <w:pPr>
              <w:pStyle w:val="98"/>
              <w:ind w:left="-105" w:right="-105"/>
              <w:rPr>
                <w:rFonts w:eastAsia="宋体"/>
                <w:color w:val="auto"/>
                <w:sz w:val="21"/>
                <w:szCs w:val="21"/>
                <w:highlight w:val="none"/>
              </w:rPr>
            </w:pPr>
            <w:r>
              <w:rPr>
                <w:rFonts w:eastAsia="宋体"/>
                <w:color w:val="auto"/>
                <w:sz w:val="21"/>
                <w:szCs w:val="21"/>
                <w:highlight w:val="none"/>
              </w:rPr>
              <w:t>≤0.002</w:t>
            </w:r>
          </w:p>
        </w:tc>
        <w:tc>
          <w:tcPr>
            <w:tcW w:w="1050" w:type="dxa"/>
            <w:vAlign w:val="center"/>
          </w:tcPr>
          <w:p w14:paraId="0F426596">
            <w:pPr>
              <w:pStyle w:val="98"/>
              <w:ind w:left="-105" w:right="-105"/>
              <w:rPr>
                <w:rFonts w:eastAsia="宋体"/>
                <w:color w:val="auto"/>
                <w:sz w:val="21"/>
                <w:szCs w:val="21"/>
                <w:highlight w:val="none"/>
              </w:rPr>
            </w:pPr>
            <w:r>
              <w:rPr>
                <w:rFonts w:eastAsia="宋体"/>
                <w:color w:val="auto"/>
                <w:sz w:val="21"/>
                <w:szCs w:val="21"/>
                <w:highlight w:val="none"/>
              </w:rPr>
              <w:t>≤0.01</w:t>
            </w:r>
          </w:p>
        </w:tc>
        <w:tc>
          <w:tcPr>
            <w:tcW w:w="1665" w:type="dxa"/>
            <w:vAlign w:val="center"/>
          </w:tcPr>
          <w:p w14:paraId="147F9D98">
            <w:pPr>
              <w:pStyle w:val="98"/>
              <w:ind w:left="-105" w:right="-105"/>
              <w:rPr>
                <w:rFonts w:eastAsia="宋体"/>
                <w:color w:val="auto"/>
                <w:sz w:val="21"/>
                <w:szCs w:val="21"/>
                <w:highlight w:val="none"/>
              </w:rPr>
            </w:pPr>
            <w:r>
              <w:rPr>
                <w:rFonts w:eastAsia="宋体"/>
                <w:color w:val="auto"/>
                <w:sz w:val="21"/>
                <w:szCs w:val="21"/>
                <w:highlight w:val="none"/>
              </w:rPr>
              <w:t>≤0.50</w:t>
            </w:r>
          </w:p>
        </w:tc>
        <w:tc>
          <w:tcPr>
            <w:tcW w:w="1332" w:type="dxa"/>
            <w:vAlign w:val="center"/>
          </w:tcPr>
          <w:p w14:paraId="019E11B6">
            <w:pPr>
              <w:pStyle w:val="98"/>
              <w:ind w:left="-105" w:right="-105"/>
              <w:rPr>
                <w:rFonts w:eastAsia="宋体"/>
                <w:color w:val="auto"/>
                <w:sz w:val="21"/>
                <w:szCs w:val="21"/>
                <w:highlight w:val="none"/>
              </w:rPr>
            </w:pPr>
            <w:r>
              <w:rPr>
                <w:rFonts w:eastAsia="宋体"/>
                <w:color w:val="auto"/>
                <w:sz w:val="21"/>
                <w:szCs w:val="21"/>
                <w:highlight w:val="none"/>
              </w:rPr>
              <w:t>＞0.50</w:t>
            </w:r>
          </w:p>
        </w:tc>
      </w:tr>
      <w:tr w14:paraId="25943F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ADE4BD6">
            <w:pPr>
              <w:pStyle w:val="98"/>
              <w:numPr>
                <w:ilvl w:val="0"/>
                <w:numId w:val="12"/>
              </w:numPr>
              <w:ind w:left="-105" w:right="-105" w:firstLine="0"/>
              <w:rPr>
                <w:rFonts w:eastAsia="宋体"/>
                <w:color w:val="auto"/>
                <w:sz w:val="21"/>
                <w:szCs w:val="21"/>
                <w:highlight w:val="none"/>
              </w:rPr>
            </w:pPr>
          </w:p>
        </w:tc>
        <w:tc>
          <w:tcPr>
            <w:tcW w:w="1750" w:type="dxa"/>
            <w:vAlign w:val="center"/>
          </w:tcPr>
          <w:p w14:paraId="6A401C96">
            <w:pPr>
              <w:pStyle w:val="98"/>
              <w:ind w:left="-105" w:right="-105"/>
              <w:rPr>
                <w:color w:val="auto"/>
                <w:sz w:val="21"/>
                <w:szCs w:val="21"/>
                <w:highlight w:val="none"/>
              </w:rPr>
            </w:pPr>
            <w:r>
              <w:rPr>
                <w:color w:val="auto"/>
                <w:sz w:val="21"/>
                <w:szCs w:val="21"/>
                <w:highlight w:val="none"/>
              </w:rPr>
              <w:t>K</w:t>
            </w:r>
            <w:r>
              <w:rPr>
                <w:color w:val="auto"/>
                <w:sz w:val="21"/>
                <w:szCs w:val="21"/>
                <w:highlight w:val="none"/>
                <w:vertAlign w:val="superscript"/>
              </w:rPr>
              <w:t>+</w:t>
            </w:r>
          </w:p>
        </w:tc>
        <w:tc>
          <w:tcPr>
            <w:tcW w:w="1049" w:type="dxa"/>
            <w:vAlign w:val="center"/>
          </w:tcPr>
          <w:p w14:paraId="09A6F20C">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462FF6D8">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493B0411">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48ADFCF5">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4A5B2EF2">
            <w:pPr>
              <w:pStyle w:val="98"/>
              <w:ind w:left="-105" w:right="-105"/>
              <w:rPr>
                <w:rFonts w:eastAsia="宋体"/>
                <w:color w:val="auto"/>
                <w:sz w:val="21"/>
                <w:szCs w:val="21"/>
                <w:highlight w:val="none"/>
              </w:rPr>
            </w:pPr>
            <w:r>
              <w:rPr>
                <w:rFonts w:eastAsia="宋体"/>
                <w:color w:val="auto"/>
                <w:sz w:val="21"/>
                <w:szCs w:val="21"/>
                <w:highlight w:val="none"/>
              </w:rPr>
              <w:t>/</w:t>
            </w:r>
          </w:p>
        </w:tc>
      </w:tr>
      <w:tr w14:paraId="2B29B1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40E18C9B">
            <w:pPr>
              <w:pStyle w:val="98"/>
              <w:numPr>
                <w:ilvl w:val="0"/>
                <w:numId w:val="12"/>
              </w:numPr>
              <w:ind w:left="-105" w:right="-105" w:firstLine="0"/>
              <w:rPr>
                <w:rFonts w:eastAsia="宋体"/>
                <w:color w:val="auto"/>
                <w:sz w:val="21"/>
                <w:szCs w:val="21"/>
                <w:highlight w:val="none"/>
              </w:rPr>
            </w:pPr>
          </w:p>
        </w:tc>
        <w:tc>
          <w:tcPr>
            <w:tcW w:w="1750" w:type="dxa"/>
            <w:vAlign w:val="center"/>
          </w:tcPr>
          <w:p w14:paraId="70FEDCFF">
            <w:pPr>
              <w:pStyle w:val="98"/>
              <w:ind w:left="-105" w:right="-105"/>
              <w:rPr>
                <w:color w:val="auto"/>
                <w:sz w:val="21"/>
                <w:szCs w:val="21"/>
                <w:highlight w:val="none"/>
              </w:rPr>
            </w:pPr>
            <w:r>
              <w:rPr>
                <w:color w:val="auto"/>
                <w:sz w:val="21"/>
                <w:szCs w:val="21"/>
                <w:highlight w:val="none"/>
              </w:rPr>
              <w:t>Ca</w:t>
            </w:r>
            <w:r>
              <w:rPr>
                <w:color w:val="auto"/>
                <w:sz w:val="21"/>
                <w:szCs w:val="21"/>
                <w:highlight w:val="none"/>
                <w:vertAlign w:val="superscript"/>
              </w:rPr>
              <w:t>2+</w:t>
            </w:r>
          </w:p>
        </w:tc>
        <w:tc>
          <w:tcPr>
            <w:tcW w:w="1049" w:type="dxa"/>
            <w:vAlign w:val="center"/>
          </w:tcPr>
          <w:p w14:paraId="26C7CC32">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7A4EA798">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4B51F0D1">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5E96721F">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6285FD7F">
            <w:pPr>
              <w:pStyle w:val="98"/>
              <w:ind w:left="-105" w:right="-105"/>
              <w:rPr>
                <w:rFonts w:eastAsia="宋体"/>
                <w:color w:val="auto"/>
                <w:sz w:val="21"/>
                <w:szCs w:val="21"/>
                <w:highlight w:val="none"/>
              </w:rPr>
            </w:pPr>
            <w:r>
              <w:rPr>
                <w:rFonts w:eastAsia="宋体"/>
                <w:color w:val="auto"/>
                <w:sz w:val="21"/>
                <w:szCs w:val="21"/>
                <w:highlight w:val="none"/>
              </w:rPr>
              <w:t>/</w:t>
            </w:r>
          </w:p>
        </w:tc>
      </w:tr>
      <w:tr w14:paraId="2B3D81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E4D10B0">
            <w:pPr>
              <w:pStyle w:val="98"/>
              <w:numPr>
                <w:ilvl w:val="0"/>
                <w:numId w:val="12"/>
              </w:numPr>
              <w:ind w:left="-105" w:right="-105" w:firstLine="0"/>
              <w:rPr>
                <w:rFonts w:eastAsia="宋体"/>
                <w:color w:val="auto"/>
                <w:sz w:val="21"/>
                <w:szCs w:val="21"/>
                <w:highlight w:val="none"/>
              </w:rPr>
            </w:pPr>
          </w:p>
        </w:tc>
        <w:tc>
          <w:tcPr>
            <w:tcW w:w="1750" w:type="dxa"/>
            <w:vAlign w:val="center"/>
          </w:tcPr>
          <w:p w14:paraId="437A7E5D">
            <w:pPr>
              <w:pStyle w:val="98"/>
              <w:ind w:left="-105" w:right="-105"/>
              <w:rPr>
                <w:color w:val="auto"/>
                <w:sz w:val="21"/>
                <w:szCs w:val="21"/>
                <w:highlight w:val="none"/>
              </w:rPr>
            </w:pPr>
            <w:r>
              <w:rPr>
                <w:color w:val="auto"/>
                <w:sz w:val="21"/>
                <w:szCs w:val="21"/>
                <w:highlight w:val="none"/>
              </w:rPr>
              <w:t>Mg</w:t>
            </w:r>
            <w:r>
              <w:rPr>
                <w:color w:val="auto"/>
                <w:sz w:val="21"/>
                <w:szCs w:val="21"/>
                <w:highlight w:val="none"/>
                <w:vertAlign w:val="superscript"/>
              </w:rPr>
              <w:t>2+</w:t>
            </w:r>
          </w:p>
        </w:tc>
        <w:tc>
          <w:tcPr>
            <w:tcW w:w="1049" w:type="dxa"/>
            <w:vAlign w:val="center"/>
          </w:tcPr>
          <w:p w14:paraId="4478B075">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748C7853">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46B0D703">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7718DD7">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6DD2460A">
            <w:pPr>
              <w:pStyle w:val="98"/>
              <w:ind w:left="-105" w:right="-105"/>
              <w:rPr>
                <w:rFonts w:eastAsia="宋体"/>
                <w:color w:val="auto"/>
                <w:sz w:val="21"/>
                <w:szCs w:val="21"/>
                <w:highlight w:val="none"/>
              </w:rPr>
            </w:pPr>
            <w:r>
              <w:rPr>
                <w:rFonts w:eastAsia="宋体"/>
                <w:color w:val="auto"/>
                <w:sz w:val="21"/>
                <w:szCs w:val="21"/>
                <w:highlight w:val="none"/>
              </w:rPr>
              <w:t>/</w:t>
            </w:r>
          </w:p>
        </w:tc>
      </w:tr>
      <w:tr w14:paraId="39D95B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B4D97DB">
            <w:pPr>
              <w:pStyle w:val="98"/>
              <w:numPr>
                <w:ilvl w:val="0"/>
                <w:numId w:val="12"/>
              </w:numPr>
              <w:ind w:left="-105" w:right="-105" w:firstLine="0"/>
              <w:rPr>
                <w:rFonts w:eastAsia="宋体"/>
                <w:color w:val="auto"/>
                <w:sz w:val="21"/>
                <w:szCs w:val="21"/>
                <w:highlight w:val="none"/>
              </w:rPr>
            </w:pPr>
          </w:p>
        </w:tc>
        <w:tc>
          <w:tcPr>
            <w:tcW w:w="1750" w:type="dxa"/>
            <w:vAlign w:val="center"/>
          </w:tcPr>
          <w:p w14:paraId="6F1C81E8">
            <w:pPr>
              <w:pStyle w:val="98"/>
              <w:ind w:left="-105" w:right="-105"/>
              <w:rPr>
                <w:color w:val="auto"/>
                <w:sz w:val="21"/>
                <w:szCs w:val="21"/>
                <w:highlight w:val="none"/>
              </w:rPr>
            </w:pPr>
            <w:r>
              <w:rPr>
                <w:color w:val="auto"/>
                <w:sz w:val="21"/>
                <w:szCs w:val="21"/>
                <w:highlight w:val="none"/>
              </w:rPr>
              <w:t>CO</w:t>
            </w:r>
            <w:r>
              <w:rPr>
                <w:color w:val="auto"/>
                <w:sz w:val="21"/>
                <w:szCs w:val="21"/>
                <w:highlight w:val="none"/>
                <w:vertAlign w:val="subscript"/>
              </w:rPr>
              <w:t>3</w:t>
            </w:r>
            <w:r>
              <w:rPr>
                <w:color w:val="auto"/>
                <w:sz w:val="21"/>
                <w:szCs w:val="21"/>
                <w:highlight w:val="none"/>
                <w:vertAlign w:val="superscript"/>
              </w:rPr>
              <w:t>2-</w:t>
            </w:r>
          </w:p>
        </w:tc>
        <w:tc>
          <w:tcPr>
            <w:tcW w:w="1049" w:type="dxa"/>
            <w:vAlign w:val="center"/>
          </w:tcPr>
          <w:p w14:paraId="5956419B">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64C4726F">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77C323DB">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0F6BA43F">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3A26E4C5">
            <w:pPr>
              <w:pStyle w:val="98"/>
              <w:ind w:left="-105" w:right="-105"/>
              <w:rPr>
                <w:rFonts w:eastAsia="宋体"/>
                <w:color w:val="auto"/>
                <w:sz w:val="21"/>
                <w:szCs w:val="21"/>
                <w:highlight w:val="none"/>
              </w:rPr>
            </w:pPr>
            <w:r>
              <w:rPr>
                <w:rFonts w:eastAsia="宋体"/>
                <w:color w:val="auto"/>
                <w:sz w:val="21"/>
                <w:szCs w:val="21"/>
                <w:highlight w:val="none"/>
              </w:rPr>
              <w:t>/</w:t>
            </w:r>
          </w:p>
        </w:tc>
      </w:tr>
      <w:tr w14:paraId="7ED032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55239E7F">
            <w:pPr>
              <w:pStyle w:val="98"/>
              <w:numPr>
                <w:ilvl w:val="0"/>
                <w:numId w:val="12"/>
              </w:numPr>
              <w:ind w:left="-105" w:right="-105" w:firstLine="0"/>
              <w:rPr>
                <w:rFonts w:eastAsia="宋体"/>
                <w:color w:val="auto"/>
                <w:sz w:val="21"/>
                <w:szCs w:val="21"/>
                <w:highlight w:val="none"/>
              </w:rPr>
            </w:pPr>
          </w:p>
        </w:tc>
        <w:tc>
          <w:tcPr>
            <w:tcW w:w="1750" w:type="dxa"/>
            <w:vAlign w:val="center"/>
          </w:tcPr>
          <w:p w14:paraId="0750309A">
            <w:pPr>
              <w:pStyle w:val="98"/>
              <w:ind w:left="-105" w:right="-105"/>
              <w:rPr>
                <w:color w:val="auto"/>
                <w:sz w:val="21"/>
                <w:szCs w:val="21"/>
                <w:highlight w:val="none"/>
              </w:rPr>
            </w:pPr>
            <w:r>
              <w:rPr>
                <w:color w:val="auto"/>
                <w:sz w:val="21"/>
                <w:szCs w:val="21"/>
                <w:highlight w:val="none"/>
              </w:rPr>
              <w:t>HCO</w:t>
            </w:r>
            <w:r>
              <w:rPr>
                <w:color w:val="auto"/>
                <w:sz w:val="21"/>
                <w:szCs w:val="21"/>
                <w:highlight w:val="none"/>
                <w:vertAlign w:val="subscript"/>
              </w:rPr>
              <w:t>3</w:t>
            </w:r>
            <w:r>
              <w:rPr>
                <w:color w:val="auto"/>
                <w:sz w:val="21"/>
                <w:szCs w:val="21"/>
                <w:highlight w:val="none"/>
                <w:vertAlign w:val="superscript"/>
              </w:rPr>
              <w:t>-</w:t>
            </w:r>
          </w:p>
        </w:tc>
        <w:tc>
          <w:tcPr>
            <w:tcW w:w="1049" w:type="dxa"/>
            <w:vAlign w:val="center"/>
          </w:tcPr>
          <w:p w14:paraId="58C2506E">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18375CDE">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306233DD">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81E1DE0">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1E51FA95">
            <w:pPr>
              <w:pStyle w:val="98"/>
              <w:ind w:left="-105" w:right="-105"/>
              <w:rPr>
                <w:rFonts w:eastAsia="宋体"/>
                <w:color w:val="auto"/>
                <w:sz w:val="21"/>
                <w:szCs w:val="21"/>
                <w:highlight w:val="none"/>
              </w:rPr>
            </w:pPr>
            <w:r>
              <w:rPr>
                <w:rFonts w:eastAsia="宋体"/>
                <w:color w:val="auto"/>
                <w:sz w:val="21"/>
                <w:szCs w:val="21"/>
                <w:highlight w:val="none"/>
              </w:rPr>
              <w:t>/</w:t>
            </w:r>
          </w:p>
        </w:tc>
      </w:tr>
      <w:tr w14:paraId="0C8CBE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193C6A5">
            <w:pPr>
              <w:pStyle w:val="98"/>
              <w:numPr>
                <w:ilvl w:val="0"/>
                <w:numId w:val="12"/>
              </w:numPr>
              <w:ind w:left="-105" w:right="-105" w:firstLine="0"/>
              <w:rPr>
                <w:rFonts w:eastAsia="宋体"/>
                <w:color w:val="auto"/>
                <w:sz w:val="21"/>
                <w:szCs w:val="21"/>
                <w:highlight w:val="none"/>
              </w:rPr>
            </w:pPr>
          </w:p>
        </w:tc>
        <w:tc>
          <w:tcPr>
            <w:tcW w:w="1750" w:type="dxa"/>
            <w:vAlign w:val="center"/>
          </w:tcPr>
          <w:p w14:paraId="47325A1D">
            <w:pPr>
              <w:pStyle w:val="98"/>
              <w:ind w:left="-105" w:right="-105"/>
              <w:rPr>
                <w:color w:val="auto"/>
                <w:sz w:val="21"/>
                <w:szCs w:val="21"/>
                <w:highlight w:val="none"/>
              </w:rPr>
            </w:pPr>
            <w:r>
              <w:rPr>
                <w:rFonts w:hint="eastAsia" w:ascii="宋体" w:hAnsi="宋体" w:eastAsia="宋体" w:cs="宋体"/>
                <w:color w:val="auto"/>
                <w:sz w:val="21"/>
                <w:szCs w:val="21"/>
                <w:highlight w:val="none"/>
              </w:rPr>
              <w:t>石油类</w:t>
            </w:r>
          </w:p>
        </w:tc>
        <w:tc>
          <w:tcPr>
            <w:tcW w:w="1049" w:type="dxa"/>
            <w:vAlign w:val="center"/>
          </w:tcPr>
          <w:p w14:paraId="63B54508">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6C8F3825">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790CED3E">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4F0C9FE7">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0ACE9773">
            <w:pPr>
              <w:pStyle w:val="98"/>
              <w:ind w:left="-105" w:right="-105"/>
              <w:rPr>
                <w:rFonts w:eastAsia="宋体"/>
                <w:color w:val="auto"/>
                <w:sz w:val="21"/>
                <w:szCs w:val="21"/>
                <w:highlight w:val="none"/>
              </w:rPr>
            </w:pPr>
            <w:r>
              <w:rPr>
                <w:rFonts w:eastAsia="宋体"/>
                <w:color w:val="auto"/>
                <w:sz w:val="21"/>
                <w:szCs w:val="21"/>
                <w:highlight w:val="none"/>
              </w:rPr>
              <w:t>/</w:t>
            </w:r>
          </w:p>
        </w:tc>
      </w:tr>
      <w:tr w14:paraId="374746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BB01D76">
            <w:pPr>
              <w:pStyle w:val="98"/>
              <w:numPr>
                <w:ilvl w:val="0"/>
                <w:numId w:val="12"/>
              </w:numPr>
              <w:ind w:left="-105" w:right="-105" w:firstLine="0"/>
              <w:rPr>
                <w:rFonts w:eastAsia="宋体"/>
                <w:color w:val="auto"/>
                <w:sz w:val="21"/>
                <w:szCs w:val="21"/>
                <w:highlight w:val="none"/>
              </w:rPr>
            </w:pPr>
          </w:p>
        </w:tc>
        <w:tc>
          <w:tcPr>
            <w:tcW w:w="1750" w:type="dxa"/>
            <w:vAlign w:val="center"/>
          </w:tcPr>
          <w:p w14:paraId="1415F875">
            <w:pPr>
              <w:pStyle w:val="98"/>
              <w:ind w:left="-105" w:right="-105"/>
              <w:rPr>
                <w:color w:val="auto"/>
                <w:sz w:val="21"/>
                <w:szCs w:val="21"/>
                <w:highlight w:val="none"/>
              </w:rPr>
            </w:pPr>
            <w:r>
              <w:rPr>
                <w:rFonts w:hint="eastAsia" w:ascii="宋体" w:hAnsi="宋体" w:eastAsia="宋体" w:cs="宋体"/>
                <w:color w:val="auto"/>
                <w:sz w:val="21"/>
                <w:szCs w:val="21"/>
                <w:highlight w:val="none"/>
              </w:rPr>
              <w:t>总铬</w:t>
            </w:r>
          </w:p>
        </w:tc>
        <w:tc>
          <w:tcPr>
            <w:tcW w:w="1049" w:type="dxa"/>
            <w:vAlign w:val="center"/>
          </w:tcPr>
          <w:p w14:paraId="69C2AC77">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7558A04D">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69D05E6C">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54B26473">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71007B26">
            <w:pPr>
              <w:pStyle w:val="98"/>
              <w:ind w:left="-105" w:right="-105"/>
              <w:rPr>
                <w:rFonts w:eastAsia="宋体"/>
                <w:color w:val="auto"/>
                <w:sz w:val="21"/>
                <w:szCs w:val="21"/>
                <w:highlight w:val="none"/>
              </w:rPr>
            </w:pPr>
            <w:r>
              <w:rPr>
                <w:rFonts w:eastAsia="宋体"/>
                <w:color w:val="auto"/>
                <w:sz w:val="21"/>
                <w:szCs w:val="21"/>
                <w:highlight w:val="none"/>
              </w:rPr>
              <w:t>/</w:t>
            </w:r>
          </w:p>
        </w:tc>
      </w:tr>
      <w:tr w14:paraId="3BEC4A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68C4B9E">
            <w:pPr>
              <w:pStyle w:val="98"/>
              <w:numPr>
                <w:ilvl w:val="0"/>
                <w:numId w:val="12"/>
              </w:numPr>
              <w:ind w:left="-105" w:right="-105" w:firstLine="0"/>
              <w:rPr>
                <w:rFonts w:eastAsia="宋体"/>
                <w:color w:val="auto"/>
                <w:sz w:val="21"/>
                <w:szCs w:val="21"/>
                <w:highlight w:val="none"/>
              </w:rPr>
            </w:pPr>
          </w:p>
        </w:tc>
        <w:tc>
          <w:tcPr>
            <w:tcW w:w="1750" w:type="dxa"/>
            <w:vAlign w:val="center"/>
          </w:tcPr>
          <w:p w14:paraId="4A91188C">
            <w:pPr>
              <w:pStyle w:val="98"/>
              <w:ind w:left="-105" w:right="-105"/>
              <w:rPr>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二氯乙烷</w:t>
            </w:r>
          </w:p>
        </w:tc>
        <w:tc>
          <w:tcPr>
            <w:tcW w:w="1049" w:type="dxa"/>
            <w:vAlign w:val="center"/>
          </w:tcPr>
          <w:p w14:paraId="2D094EE0">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54157660">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1D615625">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1E46A54A">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556D574F">
            <w:pPr>
              <w:pStyle w:val="98"/>
              <w:ind w:left="-105" w:right="-105"/>
              <w:rPr>
                <w:rFonts w:eastAsia="宋体"/>
                <w:color w:val="auto"/>
                <w:sz w:val="21"/>
                <w:szCs w:val="21"/>
                <w:highlight w:val="none"/>
              </w:rPr>
            </w:pPr>
            <w:r>
              <w:rPr>
                <w:rFonts w:eastAsia="宋体"/>
                <w:color w:val="auto"/>
                <w:sz w:val="21"/>
                <w:szCs w:val="21"/>
                <w:highlight w:val="none"/>
              </w:rPr>
              <w:t>/</w:t>
            </w:r>
          </w:p>
        </w:tc>
      </w:tr>
      <w:tr w14:paraId="3A3A94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38815E4E">
            <w:pPr>
              <w:pStyle w:val="98"/>
              <w:numPr>
                <w:ilvl w:val="0"/>
                <w:numId w:val="12"/>
              </w:numPr>
              <w:ind w:left="-105" w:right="-105" w:firstLine="0"/>
              <w:rPr>
                <w:rFonts w:eastAsia="宋体"/>
                <w:color w:val="auto"/>
                <w:sz w:val="21"/>
                <w:szCs w:val="21"/>
                <w:highlight w:val="none"/>
              </w:rPr>
            </w:pPr>
          </w:p>
        </w:tc>
        <w:tc>
          <w:tcPr>
            <w:tcW w:w="1750" w:type="dxa"/>
            <w:vAlign w:val="center"/>
          </w:tcPr>
          <w:p w14:paraId="2BDAE03B">
            <w:pPr>
              <w:pStyle w:val="98"/>
              <w:ind w:left="-105" w:right="-105"/>
              <w:rPr>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四氯乙烷</w:t>
            </w:r>
          </w:p>
        </w:tc>
        <w:tc>
          <w:tcPr>
            <w:tcW w:w="1049" w:type="dxa"/>
            <w:vAlign w:val="center"/>
          </w:tcPr>
          <w:p w14:paraId="2CC4A82F">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021AF85F">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43A42354">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1D130D2">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73EA33B0">
            <w:pPr>
              <w:pStyle w:val="98"/>
              <w:ind w:left="-105" w:right="-105"/>
              <w:rPr>
                <w:rFonts w:eastAsia="宋体"/>
                <w:color w:val="auto"/>
                <w:sz w:val="21"/>
                <w:szCs w:val="21"/>
                <w:highlight w:val="none"/>
              </w:rPr>
            </w:pPr>
            <w:r>
              <w:rPr>
                <w:rFonts w:eastAsia="宋体"/>
                <w:color w:val="auto"/>
                <w:sz w:val="21"/>
                <w:szCs w:val="21"/>
                <w:highlight w:val="none"/>
              </w:rPr>
              <w:t>/</w:t>
            </w:r>
          </w:p>
        </w:tc>
      </w:tr>
      <w:tr w14:paraId="1CBEEC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BCF9E6D">
            <w:pPr>
              <w:pStyle w:val="98"/>
              <w:numPr>
                <w:ilvl w:val="0"/>
                <w:numId w:val="12"/>
              </w:numPr>
              <w:ind w:left="-105" w:right="-105" w:firstLine="0"/>
              <w:rPr>
                <w:rFonts w:eastAsia="宋体"/>
                <w:color w:val="auto"/>
                <w:sz w:val="21"/>
                <w:szCs w:val="21"/>
                <w:highlight w:val="none"/>
              </w:rPr>
            </w:pPr>
          </w:p>
        </w:tc>
        <w:tc>
          <w:tcPr>
            <w:tcW w:w="1750" w:type="dxa"/>
            <w:vAlign w:val="center"/>
          </w:tcPr>
          <w:p w14:paraId="745D52E1">
            <w:pPr>
              <w:pStyle w:val="98"/>
              <w:ind w:left="-105" w:right="-105"/>
              <w:rPr>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四氯乙烷</w:t>
            </w:r>
          </w:p>
        </w:tc>
        <w:tc>
          <w:tcPr>
            <w:tcW w:w="1049" w:type="dxa"/>
            <w:vAlign w:val="center"/>
          </w:tcPr>
          <w:p w14:paraId="4BDB3E49">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0974D2CA">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3907601D">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15643465">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343EEB5D">
            <w:pPr>
              <w:pStyle w:val="98"/>
              <w:ind w:left="-105" w:right="-105"/>
              <w:rPr>
                <w:rFonts w:eastAsia="宋体"/>
                <w:color w:val="auto"/>
                <w:sz w:val="21"/>
                <w:szCs w:val="21"/>
                <w:highlight w:val="none"/>
              </w:rPr>
            </w:pPr>
            <w:r>
              <w:rPr>
                <w:rFonts w:eastAsia="宋体"/>
                <w:color w:val="auto"/>
                <w:sz w:val="21"/>
                <w:szCs w:val="21"/>
                <w:highlight w:val="none"/>
              </w:rPr>
              <w:t>/</w:t>
            </w:r>
          </w:p>
        </w:tc>
      </w:tr>
      <w:tr w14:paraId="4B1886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488326D">
            <w:pPr>
              <w:pStyle w:val="98"/>
              <w:numPr>
                <w:ilvl w:val="0"/>
                <w:numId w:val="12"/>
              </w:numPr>
              <w:ind w:left="-105" w:right="-105" w:firstLine="0"/>
              <w:rPr>
                <w:rFonts w:eastAsia="宋体"/>
                <w:color w:val="auto"/>
                <w:sz w:val="21"/>
                <w:szCs w:val="21"/>
                <w:highlight w:val="none"/>
              </w:rPr>
            </w:pPr>
          </w:p>
        </w:tc>
        <w:tc>
          <w:tcPr>
            <w:tcW w:w="1750" w:type="dxa"/>
            <w:vAlign w:val="center"/>
          </w:tcPr>
          <w:p w14:paraId="06D00CF7">
            <w:pPr>
              <w:pStyle w:val="98"/>
              <w:ind w:left="-105" w:right="-105"/>
              <w:rPr>
                <w:color w:val="auto"/>
                <w:sz w:val="21"/>
                <w:szCs w:val="21"/>
                <w:highlight w:val="none"/>
              </w:rPr>
            </w:pP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w:t>
            </w:r>
            <w:r>
              <w:rPr>
                <w:color w:val="auto"/>
                <w:sz w:val="21"/>
                <w:szCs w:val="21"/>
                <w:highlight w:val="none"/>
              </w:rPr>
              <w:t>3-</w:t>
            </w:r>
            <w:r>
              <w:rPr>
                <w:rFonts w:hint="eastAsia" w:ascii="宋体" w:hAnsi="宋体" w:eastAsia="宋体" w:cs="宋体"/>
                <w:color w:val="auto"/>
                <w:sz w:val="21"/>
                <w:szCs w:val="21"/>
                <w:highlight w:val="none"/>
              </w:rPr>
              <w:t>三氯丙烷</w:t>
            </w:r>
          </w:p>
        </w:tc>
        <w:tc>
          <w:tcPr>
            <w:tcW w:w="1049" w:type="dxa"/>
            <w:vAlign w:val="center"/>
          </w:tcPr>
          <w:p w14:paraId="2CC74719">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1335943E">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084EA87E">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C4930F9">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5E72D24F">
            <w:pPr>
              <w:pStyle w:val="98"/>
              <w:ind w:left="-105" w:right="-105"/>
              <w:rPr>
                <w:rFonts w:eastAsia="宋体"/>
                <w:color w:val="auto"/>
                <w:sz w:val="21"/>
                <w:szCs w:val="21"/>
                <w:highlight w:val="none"/>
              </w:rPr>
            </w:pPr>
            <w:r>
              <w:rPr>
                <w:rFonts w:eastAsia="宋体"/>
                <w:color w:val="auto"/>
                <w:sz w:val="21"/>
                <w:szCs w:val="21"/>
                <w:highlight w:val="none"/>
              </w:rPr>
              <w:t>/</w:t>
            </w:r>
          </w:p>
        </w:tc>
      </w:tr>
      <w:tr w14:paraId="19F786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7A410715">
            <w:pPr>
              <w:pStyle w:val="98"/>
              <w:numPr>
                <w:ilvl w:val="0"/>
                <w:numId w:val="12"/>
              </w:numPr>
              <w:ind w:left="-105" w:right="-105" w:firstLine="0"/>
              <w:rPr>
                <w:rFonts w:eastAsia="宋体"/>
                <w:color w:val="auto"/>
                <w:sz w:val="21"/>
                <w:szCs w:val="21"/>
                <w:highlight w:val="none"/>
              </w:rPr>
            </w:pPr>
          </w:p>
        </w:tc>
        <w:tc>
          <w:tcPr>
            <w:tcW w:w="1750" w:type="dxa"/>
            <w:vAlign w:val="center"/>
          </w:tcPr>
          <w:p w14:paraId="1ADCD07E">
            <w:pPr>
              <w:pStyle w:val="98"/>
              <w:ind w:left="-105" w:right="-105"/>
              <w:rPr>
                <w:color w:val="auto"/>
                <w:sz w:val="21"/>
                <w:szCs w:val="21"/>
                <w:highlight w:val="none"/>
              </w:rPr>
            </w:pPr>
            <w:r>
              <w:rPr>
                <w:rFonts w:hint="eastAsia" w:ascii="宋体" w:hAnsi="宋体" w:eastAsia="宋体" w:cs="宋体"/>
                <w:color w:val="auto"/>
                <w:sz w:val="21"/>
                <w:szCs w:val="21"/>
                <w:highlight w:val="none"/>
              </w:rPr>
              <w:t>氯甲烷</w:t>
            </w:r>
          </w:p>
        </w:tc>
        <w:tc>
          <w:tcPr>
            <w:tcW w:w="1049" w:type="dxa"/>
            <w:vAlign w:val="center"/>
          </w:tcPr>
          <w:p w14:paraId="75223432">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6CCFA632">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0AE77769">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2AEFE093">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77BCD1E9">
            <w:pPr>
              <w:pStyle w:val="98"/>
              <w:ind w:left="-105" w:right="-105"/>
              <w:rPr>
                <w:rFonts w:eastAsia="宋体"/>
                <w:color w:val="auto"/>
                <w:sz w:val="21"/>
                <w:szCs w:val="21"/>
                <w:highlight w:val="none"/>
              </w:rPr>
            </w:pPr>
            <w:r>
              <w:rPr>
                <w:rFonts w:eastAsia="宋体"/>
                <w:color w:val="auto"/>
                <w:sz w:val="21"/>
                <w:szCs w:val="21"/>
                <w:highlight w:val="none"/>
              </w:rPr>
              <w:t>/</w:t>
            </w:r>
          </w:p>
        </w:tc>
      </w:tr>
      <w:tr w14:paraId="53FD50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698AA83">
            <w:pPr>
              <w:pStyle w:val="98"/>
              <w:numPr>
                <w:ilvl w:val="0"/>
                <w:numId w:val="12"/>
              </w:numPr>
              <w:ind w:left="-105" w:right="-105" w:firstLine="0"/>
              <w:rPr>
                <w:rFonts w:eastAsia="宋体"/>
                <w:color w:val="auto"/>
                <w:sz w:val="21"/>
                <w:szCs w:val="21"/>
                <w:highlight w:val="none"/>
              </w:rPr>
            </w:pPr>
          </w:p>
        </w:tc>
        <w:tc>
          <w:tcPr>
            <w:tcW w:w="1750" w:type="dxa"/>
            <w:vAlign w:val="center"/>
          </w:tcPr>
          <w:p w14:paraId="00ABA125">
            <w:pPr>
              <w:pStyle w:val="98"/>
              <w:ind w:left="-105" w:right="-105"/>
              <w:rPr>
                <w:color w:val="auto"/>
                <w:sz w:val="21"/>
                <w:szCs w:val="21"/>
                <w:highlight w:val="none"/>
              </w:rPr>
            </w:pPr>
            <w:r>
              <w:rPr>
                <w:color w:val="auto"/>
                <w:sz w:val="21"/>
                <w:szCs w:val="21"/>
                <w:highlight w:val="none"/>
              </w:rPr>
              <w:t>2-</w:t>
            </w:r>
            <w:r>
              <w:rPr>
                <w:rFonts w:hint="eastAsia" w:ascii="宋体" w:hAnsi="宋体" w:eastAsia="宋体" w:cs="宋体"/>
                <w:color w:val="auto"/>
                <w:sz w:val="21"/>
                <w:szCs w:val="21"/>
                <w:highlight w:val="none"/>
              </w:rPr>
              <w:t>氯酚</w:t>
            </w:r>
          </w:p>
        </w:tc>
        <w:tc>
          <w:tcPr>
            <w:tcW w:w="1049" w:type="dxa"/>
            <w:vAlign w:val="center"/>
          </w:tcPr>
          <w:p w14:paraId="49963A66">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0600AFFD">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1F4177D5">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411E0F78">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0C18AB17">
            <w:pPr>
              <w:pStyle w:val="98"/>
              <w:ind w:left="-105" w:right="-105"/>
              <w:rPr>
                <w:rFonts w:eastAsia="宋体"/>
                <w:color w:val="auto"/>
                <w:sz w:val="21"/>
                <w:szCs w:val="21"/>
                <w:highlight w:val="none"/>
              </w:rPr>
            </w:pPr>
            <w:r>
              <w:rPr>
                <w:rFonts w:eastAsia="宋体"/>
                <w:color w:val="auto"/>
                <w:sz w:val="21"/>
                <w:szCs w:val="21"/>
                <w:highlight w:val="none"/>
              </w:rPr>
              <w:t>/</w:t>
            </w:r>
          </w:p>
        </w:tc>
      </w:tr>
      <w:tr w14:paraId="0F587A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88977E4">
            <w:pPr>
              <w:pStyle w:val="98"/>
              <w:numPr>
                <w:ilvl w:val="0"/>
                <w:numId w:val="12"/>
              </w:numPr>
              <w:ind w:left="-105" w:right="-105" w:firstLine="0"/>
              <w:rPr>
                <w:rFonts w:eastAsia="宋体"/>
                <w:color w:val="auto"/>
                <w:sz w:val="21"/>
                <w:szCs w:val="21"/>
                <w:highlight w:val="none"/>
              </w:rPr>
            </w:pPr>
          </w:p>
        </w:tc>
        <w:tc>
          <w:tcPr>
            <w:tcW w:w="1750" w:type="dxa"/>
            <w:vAlign w:val="center"/>
          </w:tcPr>
          <w:p w14:paraId="7DD306EE">
            <w:pPr>
              <w:pStyle w:val="98"/>
              <w:ind w:left="-105" w:right="-105"/>
              <w:rPr>
                <w:color w:val="auto"/>
                <w:sz w:val="21"/>
                <w:szCs w:val="21"/>
                <w:highlight w:val="none"/>
              </w:rPr>
            </w:pPr>
            <w:r>
              <w:rPr>
                <w:rFonts w:hint="eastAsia" w:ascii="宋体" w:hAnsi="宋体" w:eastAsia="宋体" w:cs="宋体"/>
                <w:color w:val="auto"/>
                <w:sz w:val="21"/>
                <w:szCs w:val="21"/>
                <w:highlight w:val="none"/>
              </w:rPr>
              <w:t>硝基苯</w:t>
            </w:r>
          </w:p>
        </w:tc>
        <w:tc>
          <w:tcPr>
            <w:tcW w:w="1049" w:type="dxa"/>
            <w:vAlign w:val="center"/>
          </w:tcPr>
          <w:p w14:paraId="461B3E81">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1E91D962">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22CE162F">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36899E6B">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519E08F4">
            <w:pPr>
              <w:pStyle w:val="98"/>
              <w:ind w:left="-105" w:right="-105"/>
              <w:rPr>
                <w:rFonts w:eastAsia="宋体"/>
                <w:color w:val="auto"/>
                <w:sz w:val="21"/>
                <w:szCs w:val="21"/>
                <w:highlight w:val="none"/>
              </w:rPr>
            </w:pPr>
            <w:r>
              <w:rPr>
                <w:rFonts w:eastAsia="宋体"/>
                <w:color w:val="auto"/>
                <w:sz w:val="21"/>
                <w:szCs w:val="21"/>
                <w:highlight w:val="none"/>
              </w:rPr>
              <w:t>/</w:t>
            </w:r>
          </w:p>
        </w:tc>
      </w:tr>
      <w:tr w14:paraId="116EFC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D189D5D">
            <w:pPr>
              <w:pStyle w:val="98"/>
              <w:numPr>
                <w:ilvl w:val="0"/>
                <w:numId w:val="12"/>
              </w:numPr>
              <w:ind w:left="-105" w:right="-105" w:firstLine="0"/>
              <w:rPr>
                <w:rFonts w:eastAsia="宋体"/>
                <w:color w:val="auto"/>
                <w:sz w:val="21"/>
                <w:szCs w:val="21"/>
                <w:highlight w:val="none"/>
              </w:rPr>
            </w:pPr>
          </w:p>
        </w:tc>
        <w:tc>
          <w:tcPr>
            <w:tcW w:w="1750" w:type="dxa"/>
            <w:vAlign w:val="center"/>
          </w:tcPr>
          <w:p w14:paraId="1E5985EB">
            <w:pPr>
              <w:pStyle w:val="98"/>
              <w:ind w:left="-105" w:right="-105"/>
              <w:rPr>
                <w:color w:val="auto"/>
                <w:sz w:val="21"/>
                <w:szCs w:val="21"/>
                <w:highlight w:val="none"/>
              </w:rPr>
            </w:pPr>
            <w:r>
              <w:rPr>
                <w:rFonts w:hint="eastAsia" w:ascii="宋体" w:hAnsi="宋体" w:eastAsia="宋体" w:cs="宋体"/>
                <w:color w:val="auto"/>
                <w:sz w:val="21"/>
                <w:szCs w:val="21"/>
                <w:highlight w:val="none"/>
              </w:rPr>
              <w:t>苯胺</w:t>
            </w:r>
          </w:p>
        </w:tc>
        <w:tc>
          <w:tcPr>
            <w:tcW w:w="1049" w:type="dxa"/>
            <w:vAlign w:val="center"/>
          </w:tcPr>
          <w:p w14:paraId="638523B8">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4779F6FE">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550CC477">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447AFB16">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1DD75E7F">
            <w:pPr>
              <w:pStyle w:val="98"/>
              <w:ind w:left="-105" w:right="-105"/>
              <w:rPr>
                <w:rFonts w:eastAsia="宋体"/>
                <w:color w:val="auto"/>
                <w:sz w:val="21"/>
                <w:szCs w:val="21"/>
                <w:highlight w:val="none"/>
              </w:rPr>
            </w:pPr>
            <w:r>
              <w:rPr>
                <w:rFonts w:eastAsia="宋体"/>
                <w:color w:val="auto"/>
                <w:sz w:val="21"/>
                <w:szCs w:val="21"/>
                <w:highlight w:val="none"/>
              </w:rPr>
              <w:t>/</w:t>
            </w:r>
          </w:p>
        </w:tc>
      </w:tr>
      <w:tr w14:paraId="771F3D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25635741">
            <w:pPr>
              <w:pStyle w:val="98"/>
              <w:numPr>
                <w:ilvl w:val="0"/>
                <w:numId w:val="12"/>
              </w:numPr>
              <w:ind w:left="-105" w:right="-105" w:firstLine="0"/>
              <w:rPr>
                <w:rFonts w:eastAsia="宋体"/>
                <w:color w:val="auto"/>
                <w:sz w:val="21"/>
                <w:szCs w:val="21"/>
                <w:highlight w:val="none"/>
              </w:rPr>
            </w:pPr>
          </w:p>
        </w:tc>
        <w:tc>
          <w:tcPr>
            <w:tcW w:w="1750" w:type="dxa"/>
            <w:vAlign w:val="center"/>
          </w:tcPr>
          <w:p w14:paraId="00B8BBD4">
            <w:pPr>
              <w:pStyle w:val="98"/>
              <w:ind w:left="-105" w:right="-105"/>
              <w:rPr>
                <w:color w:val="auto"/>
                <w:sz w:val="21"/>
                <w:szCs w:val="21"/>
                <w:highlight w:val="none"/>
              </w:rPr>
            </w:pPr>
            <w:r>
              <w:rPr>
                <w:rFonts w:hint="eastAsia" w:ascii="宋体" w:hAnsi="宋体" w:eastAsia="宋体" w:cs="宋体"/>
                <w:color w:val="auto"/>
                <w:sz w:val="21"/>
                <w:szCs w:val="21"/>
                <w:highlight w:val="none"/>
              </w:rPr>
              <w:t>苯并</w:t>
            </w:r>
            <w:r>
              <w:rPr>
                <w:color w:val="auto"/>
                <w:sz w:val="21"/>
                <w:szCs w:val="21"/>
                <w:highlight w:val="none"/>
              </w:rPr>
              <w:t>(a)</w:t>
            </w:r>
            <w:r>
              <w:rPr>
                <w:rFonts w:hint="eastAsia" w:ascii="宋体" w:hAnsi="宋体" w:eastAsia="宋体" w:cs="宋体"/>
                <w:color w:val="auto"/>
                <w:sz w:val="21"/>
                <w:szCs w:val="21"/>
                <w:highlight w:val="none"/>
              </w:rPr>
              <w:t>蒽</w:t>
            </w:r>
          </w:p>
        </w:tc>
        <w:tc>
          <w:tcPr>
            <w:tcW w:w="1049" w:type="dxa"/>
            <w:vAlign w:val="center"/>
          </w:tcPr>
          <w:p w14:paraId="70C68072">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5290503D">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47439AC6">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710F3B9C">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74B48282">
            <w:pPr>
              <w:pStyle w:val="98"/>
              <w:ind w:left="-105" w:right="-105"/>
              <w:rPr>
                <w:rFonts w:eastAsia="宋体"/>
                <w:color w:val="auto"/>
                <w:sz w:val="21"/>
                <w:szCs w:val="21"/>
                <w:highlight w:val="none"/>
              </w:rPr>
            </w:pPr>
            <w:r>
              <w:rPr>
                <w:rFonts w:eastAsia="宋体"/>
                <w:color w:val="auto"/>
                <w:sz w:val="21"/>
                <w:szCs w:val="21"/>
                <w:highlight w:val="none"/>
              </w:rPr>
              <w:t>/</w:t>
            </w:r>
          </w:p>
        </w:tc>
      </w:tr>
      <w:tr w14:paraId="5ED03D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4868991F">
            <w:pPr>
              <w:pStyle w:val="98"/>
              <w:numPr>
                <w:ilvl w:val="0"/>
                <w:numId w:val="12"/>
              </w:numPr>
              <w:ind w:left="-105" w:right="-105" w:firstLine="0"/>
              <w:rPr>
                <w:rFonts w:eastAsia="宋体"/>
                <w:color w:val="auto"/>
                <w:sz w:val="21"/>
                <w:szCs w:val="21"/>
                <w:highlight w:val="none"/>
              </w:rPr>
            </w:pPr>
          </w:p>
        </w:tc>
        <w:tc>
          <w:tcPr>
            <w:tcW w:w="1750" w:type="dxa"/>
            <w:vAlign w:val="center"/>
          </w:tcPr>
          <w:p w14:paraId="00801BF8">
            <w:pPr>
              <w:pStyle w:val="98"/>
              <w:ind w:left="-105" w:right="-105"/>
              <w:rPr>
                <w:color w:val="auto"/>
                <w:sz w:val="21"/>
                <w:szCs w:val="21"/>
                <w:highlight w:val="none"/>
              </w:rPr>
            </w:pPr>
            <w:r>
              <w:rPr>
                <w:rFonts w:hint="eastAsia" w:ascii="宋体" w:hAnsi="宋体" w:eastAsia="宋体" w:cs="宋体"/>
                <w:color w:val="auto"/>
                <w:sz w:val="21"/>
                <w:szCs w:val="21"/>
                <w:highlight w:val="none"/>
              </w:rPr>
              <w:t>䓛</w:t>
            </w:r>
          </w:p>
        </w:tc>
        <w:tc>
          <w:tcPr>
            <w:tcW w:w="1049" w:type="dxa"/>
            <w:vAlign w:val="center"/>
          </w:tcPr>
          <w:p w14:paraId="55DFBC2B">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00958133">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037FD8DD">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2A670F0">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3FC5BFF4">
            <w:pPr>
              <w:pStyle w:val="98"/>
              <w:ind w:left="-105" w:right="-105"/>
              <w:rPr>
                <w:rFonts w:eastAsia="宋体"/>
                <w:color w:val="auto"/>
                <w:sz w:val="21"/>
                <w:szCs w:val="21"/>
                <w:highlight w:val="none"/>
              </w:rPr>
            </w:pPr>
            <w:r>
              <w:rPr>
                <w:rFonts w:eastAsia="宋体"/>
                <w:color w:val="auto"/>
                <w:sz w:val="21"/>
                <w:szCs w:val="21"/>
                <w:highlight w:val="none"/>
              </w:rPr>
              <w:t>/</w:t>
            </w:r>
          </w:p>
        </w:tc>
      </w:tr>
      <w:tr w14:paraId="13E0C8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4C2E7D0">
            <w:pPr>
              <w:pStyle w:val="98"/>
              <w:numPr>
                <w:ilvl w:val="0"/>
                <w:numId w:val="12"/>
              </w:numPr>
              <w:ind w:left="-105" w:right="-105" w:firstLine="0"/>
              <w:rPr>
                <w:rFonts w:eastAsia="宋体"/>
                <w:color w:val="auto"/>
                <w:sz w:val="21"/>
                <w:szCs w:val="21"/>
                <w:highlight w:val="none"/>
              </w:rPr>
            </w:pPr>
          </w:p>
        </w:tc>
        <w:tc>
          <w:tcPr>
            <w:tcW w:w="1750" w:type="dxa"/>
            <w:vAlign w:val="center"/>
          </w:tcPr>
          <w:p w14:paraId="61370778">
            <w:pPr>
              <w:pStyle w:val="98"/>
              <w:ind w:left="-105" w:right="-105"/>
              <w:rPr>
                <w:color w:val="auto"/>
                <w:sz w:val="21"/>
                <w:szCs w:val="21"/>
                <w:highlight w:val="none"/>
              </w:rPr>
            </w:pPr>
            <w:r>
              <w:rPr>
                <w:rFonts w:hint="eastAsia" w:ascii="宋体" w:hAnsi="宋体" w:eastAsia="宋体" w:cs="宋体"/>
                <w:color w:val="auto"/>
                <w:sz w:val="21"/>
                <w:szCs w:val="21"/>
                <w:highlight w:val="none"/>
              </w:rPr>
              <w:t>苯并</w:t>
            </w:r>
            <w:r>
              <w:rPr>
                <w:color w:val="auto"/>
                <w:sz w:val="21"/>
                <w:szCs w:val="21"/>
                <w:highlight w:val="none"/>
              </w:rPr>
              <w:t>(k)</w:t>
            </w:r>
            <w:r>
              <w:rPr>
                <w:rFonts w:hint="eastAsia" w:ascii="宋体" w:hAnsi="宋体" w:eastAsia="宋体" w:cs="宋体"/>
                <w:color w:val="auto"/>
                <w:sz w:val="21"/>
                <w:szCs w:val="21"/>
                <w:highlight w:val="none"/>
              </w:rPr>
              <w:t>荧蒽</w:t>
            </w:r>
          </w:p>
        </w:tc>
        <w:tc>
          <w:tcPr>
            <w:tcW w:w="1049" w:type="dxa"/>
            <w:vAlign w:val="center"/>
          </w:tcPr>
          <w:p w14:paraId="68525F9D">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24CCED65">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247C5BEB">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4F36DEE9">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37F7F21F">
            <w:pPr>
              <w:pStyle w:val="98"/>
              <w:ind w:left="-105" w:right="-105"/>
              <w:rPr>
                <w:rFonts w:eastAsia="宋体"/>
                <w:color w:val="auto"/>
                <w:sz w:val="21"/>
                <w:szCs w:val="21"/>
                <w:highlight w:val="none"/>
              </w:rPr>
            </w:pPr>
            <w:r>
              <w:rPr>
                <w:rFonts w:eastAsia="宋体"/>
                <w:color w:val="auto"/>
                <w:sz w:val="21"/>
                <w:szCs w:val="21"/>
                <w:highlight w:val="none"/>
              </w:rPr>
              <w:t>/</w:t>
            </w:r>
          </w:p>
        </w:tc>
      </w:tr>
      <w:tr w14:paraId="28A94B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0385BCFD">
            <w:pPr>
              <w:pStyle w:val="98"/>
              <w:numPr>
                <w:ilvl w:val="0"/>
                <w:numId w:val="12"/>
              </w:numPr>
              <w:ind w:left="-105" w:right="-105" w:firstLine="0"/>
              <w:rPr>
                <w:rFonts w:eastAsia="宋体"/>
                <w:color w:val="auto"/>
                <w:sz w:val="21"/>
                <w:szCs w:val="21"/>
                <w:highlight w:val="none"/>
              </w:rPr>
            </w:pPr>
          </w:p>
        </w:tc>
        <w:tc>
          <w:tcPr>
            <w:tcW w:w="1750" w:type="dxa"/>
            <w:vAlign w:val="center"/>
          </w:tcPr>
          <w:p w14:paraId="4C1F4F49">
            <w:pPr>
              <w:pStyle w:val="98"/>
              <w:ind w:left="-105" w:right="-105"/>
              <w:rPr>
                <w:color w:val="auto"/>
                <w:sz w:val="21"/>
                <w:szCs w:val="21"/>
                <w:highlight w:val="none"/>
              </w:rPr>
            </w:pPr>
            <w:r>
              <w:rPr>
                <w:rFonts w:hint="eastAsia" w:ascii="宋体" w:hAnsi="宋体" w:eastAsia="宋体" w:cs="宋体"/>
                <w:color w:val="auto"/>
                <w:sz w:val="21"/>
                <w:szCs w:val="21"/>
                <w:highlight w:val="none"/>
              </w:rPr>
              <w:t>茚并</w:t>
            </w:r>
            <w:r>
              <w:rPr>
                <w:color w:val="auto"/>
                <w:sz w:val="21"/>
                <w:szCs w:val="21"/>
                <w:highlight w:val="none"/>
              </w:rPr>
              <w:t>(1</w:t>
            </w:r>
            <w:r>
              <w:rPr>
                <w:rFonts w:hint="eastAsia" w:ascii="宋体" w:hAnsi="宋体" w:eastAsia="宋体" w:cs="宋体"/>
                <w:color w:val="auto"/>
                <w:sz w:val="21"/>
                <w:szCs w:val="21"/>
                <w:highlight w:val="none"/>
              </w:rPr>
              <w:t>，</w:t>
            </w:r>
            <w:r>
              <w:rPr>
                <w:color w:val="auto"/>
                <w:sz w:val="21"/>
                <w:szCs w:val="21"/>
                <w:highlight w:val="none"/>
              </w:rPr>
              <w:t>2</w:t>
            </w:r>
            <w:r>
              <w:rPr>
                <w:rFonts w:hint="eastAsia" w:ascii="宋体" w:hAnsi="宋体" w:eastAsia="宋体" w:cs="宋体"/>
                <w:color w:val="auto"/>
                <w:sz w:val="21"/>
                <w:szCs w:val="21"/>
                <w:highlight w:val="none"/>
              </w:rPr>
              <w:t>，</w:t>
            </w:r>
            <w:r>
              <w:rPr>
                <w:color w:val="auto"/>
                <w:sz w:val="21"/>
                <w:szCs w:val="21"/>
                <w:highlight w:val="none"/>
              </w:rPr>
              <w:t>3-c</w:t>
            </w:r>
            <w:r>
              <w:rPr>
                <w:rFonts w:hint="eastAsia" w:ascii="宋体" w:hAnsi="宋体" w:eastAsia="宋体" w:cs="宋体"/>
                <w:color w:val="auto"/>
                <w:sz w:val="21"/>
                <w:szCs w:val="21"/>
                <w:highlight w:val="none"/>
              </w:rPr>
              <w:t>，</w:t>
            </w:r>
            <w:r>
              <w:rPr>
                <w:color w:val="auto"/>
                <w:sz w:val="21"/>
                <w:szCs w:val="21"/>
                <w:highlight w:val="none"/>
              </w:rPr>
              <w:t>d)</w:t>
            </w:r>
            <w:r>
              <w:rPr>
                <w:rFonts w:hint="eastAsia" w:ascii="宋体" w:hAnsi="宋体" w:eastAsia="宋体" w:cs="宋体"/>
                <w:color w:val="auto"/>
                <w:sz w:val="21"/>
                <w:szCs w:val="21"/>
                <w:highlight w:val="none"/>
              </w:rPr>
              <w:t>芘</w:t>
            </w:r>
          </w:p>
        </w:tc>
        <w:tc>
          <w:tcPr>
            <w:tcW w:w="1049" w:type="dxa"/>
            <w:vAlign w:val="center"/>
          </w:tcPr>
          <w:p w14:paraId="767E841D">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603A9753">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27414974">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624DD328">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336ED8FE">
            <w:pPr>
              <w:pStyle w:val="98"/>
              <w:ind w:left="-105" w:right="-105"/>
              <w:rPr>
                <w:rFonts w:eastAsia="宋体"/>
                <w:color w:val="auto"/>
                <w:sz w:val="21"/>
                <w:szCs w:val="21"/>
                <w:highlight w:val="none"/>
              </w:rPr>
            </w:pPr>
            <w:r>
              <w:rPr>
                <w:rFonts w:eastAsia="宋体"/>
                <w:color w:val="auto"/>
                <w:sz w:val="21"/>
                <w:szCs w:val="21"/>
                <w:highlight w:val="none"/>
              </w:rPr>
              <w:t>/</w:t>
            </w:r>
          </w:p>
        </w:tc>
      </w:tr>
      <w:tr w14:paraId="5DFC60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825" w:type="dxa"/>
            <w:vAlign w:val="center"/>
          </w:tcPr>
          <w:p w14:paraId="1055164F">
            <w:pPr>
              <w:pStyle w:val="98"/>
              <w:numPr>
                <w:ilvl w:val="0"/>
                <w:numId w:val="12"/>
              </w:numPr>
              <w:ind w:left="-105" w:right="-105" w:firstLine="0"/>
              <w:rPr>
                <w:rFonts w:eastAsia="宋体"/>
                <w:color w:val="auto"/>
                <w:sz w:val="21"/>
                <w:szCs w:val="21"/>
                <w:highlight w:val="none"/>
              </w:rPr>
            </w:pPr>
          </w:p>
        </w:tc>
        <w:tc>
          <w:tcPr>
            <w:tcW w:w="1750" w:type="dxa"/>
            <w:vAlign w:val="center"/>
          </w:tcPr>
          <w:p w14:paraId="02383800">
            <w:pPr>
              <w:pStyle w:val="98"/>
              <w:ind w:left="-105" w:right="-105"/>
              <w:rPr>
                <w:color w:val="auto"/>
                <w:sz w:val="21"/>
                <w:szCs w:val="21"/>
                <w:highlight w:val="none"/>
              </w:rPr>
            </w:pPr>
            <w:r>
              <w:rPr>
                <w:rFonts w:hint="eastAsia" w:ascii="宋体" w:hAnsi="宋体" w:eastAsia="宋体" w:cs="宋体"/>
                <w:color w:val="auto"/>
                <w:sz w:val="21"/>
                <w:szCs w:val="21"/>
                <w:highlight w:val="none"/>
              </w:rPr>
              <w:t>二苯并</w:t>
            </w:r>
            <w:r>
              <w:rPr>
                <w:color w:val="auto"/>
                <w:sz w:val="21"/>
                <w:szCs w:val="21"/>
                <w:highlight w:val="none"/>
              </w:rPr>
              <w:t>(a</w:t>
            </w:r>
            <w:r>
              <w:rPr>
                <w:rFonts w:hint="eastAsia" w:ascii="宋体" w:hAnsi="宋体" w:eastAsia="宋体" w:cs="宋体"/>
                <w:color w:val="auto"/>
                <w:sz w:val="21"/>
                <w:szCs w:val="21"/>
                <w:highlight w:val="none"/>
              </w:rPr>
              <w:t>，</w:t>
            </w:r>
            <w:r>
              <w:rPr>
                <w:color w:val="auto"/>
                <w:sz w:val="21"/>
                <w:szCs w:val="21"/>
                <w:highlight w:val="none"/>
              </w:rPr>
              <w:t>h)</w:t>
            </w:r>
            <w:r>
              <w:rPr>
                <w:rFonts w:hint="eastAsia" w:ascii="宋体" w:hAnsi="宋体" w:eastAsia="宋体" w:cs="宋体"/>
                <w:color w:val="auto"/>
                <w:sz w:val="21"/>
                <w:szCs w:val="21"/>
                <w:highlight w:val="none"/>
              </w:rPr>
              <w:t>蒽</w:t>
            </w:r>
          </w:p>
        </w:tc>
        <w:tc>
          <w:tcPr>
            <w:tcW w:w="1049" w:type="dxa"/>
            <w:vAlign w:val="center"/>
          </w:tcPr>
          <w:p w14:paraId="38537108">
            <w:pPr>
              <w:pStyle w:val="98"/>
              <w:ind w:left="-105" w:right="-105"/>
              <w:rPr>
                <w:rFonts w:eastAsia="宋体"/>
                <w:color w:val="auto"/>
                <w:sz w:val="21"/>
                <w:szCs w:val="21"/>
                <w:highlight w:val="none"/>
              </w:rPr>
            </w:pPr>
            <w:r>
              <w:rPr>
                <w:rFonts w:eastAsia="宋体"/>
                <w:color w:val="auto"/>
                <w:sz w:val="21"/>
                <w:szCs w:val="21"/>
                <w:highlight w:val="none"/>
              </w:rPr>
              <w:t>/</w:t>
            </w:r>
          </w:p>
        </w:tc>
        <w:tc>
          <w:tcPr>
            <w:tcW w:w="1049" w:type="dxa"/>
            <w:vAlign w:val="center"/>
          </w:tcPr>
          <w:p w14:paraId="7F86B48F">
            <w:pPr>
              <w:pStyle w:val="98"/>
              <w:ind w:left="-105" w:right="-105"/>
              <w:rPr>
                <w:rFonts w:eastAsia="宋体"/>
                <w:color w:val="auto"/>
                <w:sz w:val="21"/>
                <w:szCs w:val="21"/>
                <w:highlight w:val="none"/>
              </w:rPr>
            </w:pPr>
            <w:r>
              <w:rPr>
                <w:rFonts w:eastAsia="宋体"/>
                <w:color w:val="auto"/>
                <w:sz w:val="21"/>
                <w:szCs w:val="21"/>
                <w:highlight w:val="none"/>
              </w:rPr>
              <w:t>/</w:t>
            </w:r>
          </w:p>
        </w:tc>
        <w:tc>
          <w:tcPr>
            <w:tcW w:w="1050" w:type="dxa"/>
            <w:vAlign w:val="center"/>
          </w:tcPr>
          <w:p w14:paraId="6A9A47CE">
            <w:pPr>
              <w:pStyle w:val="98"/>
              <w:ind w:left="-105" w:right="-105"/>
              <w:rPr>
                <w:rFonts w:eastAsia="宋体"/>
                <w:color w:val="auto"/>
                <w:sz w:val="21"/>
                <w:szCs w:val="21"/>
                <w:highlight w:val="none"/>
              </w:rPr>
            </w:pPr>
            <w:r>
              <w:rPr>
                <w:rFonts w:eastAsia="宋体"/>
                <w:color w:val="auto"/>
                <w:sz w:val="21"/>
                <w:szCs w:val="21"/>
                <w:highlight w:val="none"/>
              </w:rPr>
              <w:t>/</w:t>
            </w:r>
          </w:p>
        </w:tc>
        <w:tc>
          <w:tcPr>
            <w:tcW w:w="1665" w:type="dxa"/>
            <w:vAlign w:val="center"/>
          </w:tcPr>
          <w:p w14:paraId="25E4F0CB">
            <w:pPr>
              <w:pStyle w:val="98"/>
              <w:ind w:left="-105" w:right="-105"/>
              <w:rPr>
                <w:rFonts w:eastAsia="宋体"/>
                <w:color w:val="auto"/>
                <w:sz w:val="21"/>
                <w:szCs w:val="21"/>
                <w:highlight w:val="none"/>
              </w:rPr>
            </w:pPr>
            <w:r>
              <w:rPr>
                <w:rFonts w:eastAsia="宋体"/>
                <w:color w:val="auto"/>
                <w:sz w:val="21"/>
                <w:szCs w:val="21"/>
                <w:highlight w:val="none"/>
              </w:rPr>
              <w:t>/</w:t>
            </w:r>
          </w:p>
        </w:tc>
        <w:tc>
          <w:tcPr>
            <w:tcW w:w="1332" w:type="dxa"/>
            <w:vAlign w:val="center"/>
          </w:tcPr>
          <w:p w14:paraId="5F532213">
            <w:pPr>
              <w:pStyle w:val="98"/>
              <w:ind w:left="-105" w:right="-105"/>
              <w:rPr>
                <w:rFonts w:eastAsia="宋体"/>
                <w:color w:val="auto"/>
                <w:sz w:val="21"/>
                <w:szCs w:val="21"/>
                <w:highlight w:val="none"/>
              </w:rPr>
            </w:pPr>
            <w:r>
              <w:rPr>
                <w:rFonts w:eastAsia="宋体"/>
                <w:color w:val="auto"/>
                <w:sz w:val="21"/>
                <w:szCs w:val="21"/>
                <w:highlight w:val="none"/>
              </w:rPr>
              <w:t>/</w:t>
            </w:r>
          </w:p>
        </w:tc>
      </w:tr>
      <w:bookmarkEnd w:id="130"/>
    </w:tbl>
    <w:p w14:paraId="1939BC3D">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（4）环境噪声</w:t>
      </w:r>
    </w:p>
    <w:p w14:paraId="3F960C5B">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s="Times New Roman"/>
          <w:color w:val="auto"/>
          <w:highlight w:val="none"/>
        </w:rPr>
        <w:t>根据《无锡市区声环境功能区划分调整方案》（锡政办发[2018]157号），建设项目所在地为3类声环境功能区，执行《声环境质量标准》(GB3096-2008)中的3类标准</w:t>
      </w:r>
      <w:r>
        <w:rPr>
          <w:rFonts w:hint="eastAsia" w:ascii="Times New Roman" w:hAnsi="Times New Roman" w:cs="Times New Roman"/>
          <w:color w:val="auto"/>
          <w:highlight w:val="none"/>
        </w:rPr>
        <w:t>；</w:t>
      </w:r>
      <w:r>
        <w:rPr>
          <w:rFonts w:hint="eastAsia" w:ascii="Times New Roman" w:hAnsi="Times New Roman" w:cs="Times New Roman"/>
          <w:color w:val="auto"/>
          <w:highlight w:val="none"/>
        </w:rPr>
        <w:t>敏感目标处执行</w:t>
      </w:r>
      <w:r>
        <w:rPr>
          <w:rFonts w:ascii="Times New Roman" w:hAnsi="Times New Roman" w:cs="Times New Roman"/>
          <w:color w:val="auto"/>
          <w:highlight w:val="none"/>
        </w:rPr>
        <w:t>《声环境质量标准》(GB3096-2008)中的</w:t>
      </w:r>
      <w:r>
        <w:rPr>
          <w:rFonts w:hint="eastAsia" w:ascii="Times New Roman" w:hAnsi="Times New Roman" w:cs="Times New Roman"/>
          <w:color w:val="auto"/>
          <w:highlight w:val="none"/>
        </w:rPr>
        <w:t>2</w:t>
      </w:r>
      <w:r>
        <w:rPr>
          <w:rFonts w:ascii="Times New Roman" w:hAnsi="Times New Roman" w:cs="Times New Roman"/>
          <w:color w:val="auto"/>
          <w:highlight w:val="none"/>
        </w:rPr>
        <w:t>类标准</w:t>
      </w:r>
      <w:r>
        <w:rPr>
          <w:rFonts w:ascii="Times New Roman" w:hAnsi="Times New Roman" w:cs="Times New Roman"/>
          <w:color w:val="auto"/>
          <w:highlight w:val="none"/>
        </w:rPr>
        <w:t>。</w:t>
      </w:r>
      <w:r>
        <w:rPr>
          <w:rFonts w:ascii="Times New Roman" w:hAnsi="Times New Roman"/>
          <w:color w:val="auto"/>
          <w:highlight w:val="none"/>
        </w:rPr>
        <w:t>具体标准见</w:t>
      </w:r>
      <w:r>
        <w:rPr>
          <w:rFonts w:ascii="Times New Roman" w:hAnsi="Times New Roman"/>
          <w:color w:val="auto"/>
          <w:highlight w:val="none"/>
        </w:rPr>
        <w:fldChar w:fldCharType="begin"/>
      </w:r>
      <w:r>
        <w:rPr>
          <w:rFonts w:ascii="Times New Roman" w:hAnsi="Times New Roman"/>
          <w:color w:val="auto"/>
          <w:highlight w:val="none"/>
        </w:rPr>
        <w:instrText xml:space="preserve"> REF _Ref17727032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表2.3</w:t>
      </w:r>
      <w:r>
        <w:rPr>
          <w:rFonts w:ascii="Times New Roman" w:hAnsi="Times New Roman"/>
          <w:color w:val="auto"/>
          <w:szCs w:val="22"/>
          <w:highlight w:val="none"/>
        </w:rPr>
        <w:noBreakHyphen/>
      </w:r>
      <w:r>
        <w:rPr>
          <w:rFonts w:ascii="Times New Roman" w:hAnsi="Times New Roman"/>
          <w:color w:val="auto"/>
          <w:szCs w:val="22"/>
          <w:highlight w:val="none"/>
        </w:rPr>
        <w:t>6</w:t>
      </w:r>
      <w:r>
        <w:rPr>
          <w:rFonts w:ascii="Times New Roman" w:hAnsi="Times New Roman"/>
          <w:color w:val="auto"/>
          <w:highlight w:val="none"/>
        </w:rPr>
        <w:fldChar w:fldCharType="end"/>
      </w:r>
      <w:r>
        <w:rPr>
          <w:rFonts w:ascii="Times New Roman" w:hAnsi="Times New Roman"/>
          <w:color w:val="auto"/>
          <w:highlight w:val="none"/>
        </w:rPr>
        <w:t>。</w:t>
      </w:r>
    </w:p>
    <w:p w14:paraId="14C77807">
      <w:pPr>
        <w:pStyle w:val="15"/>
        <w:spacing w:line="360" w:lineRule="auto"/>
        <w:ind w:left="-105" w:right="-105" w:firstLine="482"/>
        <w:rPr>
          <w:rFonts w:eastAsia="宋体" w:cs="Times New Roman"/>
          <w:color w:val="auto"/>
          <w:sz w:val="24"/>
          <w:szCs w:val="24"/>
          <w:highlight w:val="none"/>
        </w:rPr>
      </w:pPr>
      <w:bookmarkStart w:id="131" w:name="_Ref17727032"/>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w:t>
      </w:r>
      <w:r>
        <w:rPr>
          <w:rFonts w:eastAsia="宋体" w:cs="Times New Roman"/>
          <w:color w:val="auto"/>
          <w:sz w:val="24"/>
          <w:szCs w:val="18"/>
          <w:highlight w:val="none"/>
        </w:rPr>
        <w:fldChar w:fldCharType="end"/>
      </w:r>
      <w:bookmarkEnd w:id="131"/>
      <w:r>
        <w:rPr>
          <w:rFonts w:eastAsia="宋体" w:cs="Times New Roman"/>
          <w:color w:val="auto"/>
          <w:sz w:val="24"/>
          <w:szCs w:val="22"/>
          <w:highlight w:val="none"/>
        </w:rPr>
        <w:t>声环境质量标准</w:t>
      </w:r>
      <w:r>
        <w:rPr>
          <w:rFonts w:eastAsia="宋体" w:cs="Times New Roman"/>
          <w:color w:val="auto"/>
          <w:sz w:val="24"/>
          <w:szCs w:val="22"/>
          <w:highlight w:val="none"/>
        </w:rPr>
        <w:tab/>
      </w:r>
      <w:r>
        <w:rPr>
          <w:rFonts w:eastAsia="宋体" w:cs="Times New Roman"/>
          <w:color w:val="auto"/>
          <w:sz w:val="24"/>
          <w:szCs w:val="22"/>
          <w:highlight w:val="none"/>
        </w:rPr>
        <w:t>单位：LeqdB（A）</w:t>
      </w:r>
    </w:p>
    <w:tbl>
      <w:tblPr>
        <w:tblStyle w:val="45"/>
        <w:tblW w:w="90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034"/>
        <w:gridCol w:w="3022"/>
        <w:gridCol w:w="3020"/>
      </w:tblGrid>
      <w:tr w14:paraId="076FFE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3034" w:type="dxa"/>
            <w:vMerge w:val="restart"/>
            <w:tcBorders>
              <w:tl2br w:val="nil"/>
              <w:tr2bl w:val="nil"/>
            </w:tcBorders>
            <w:vAlign w:val="center"/>
          </w:tcPr>
          <w:p w14:paraId="565CFB52">
            <w:pPr>
              <w:pStyle w:val="98"/>
              <w:ind w:left="-105" w:right="-105" w:firstLine="422"/>
              <w:rPr>
                <w:rFonts w:eastAsia="宋体"/>
                <w:b/>
                <w:color w:val="auto"/>
                <w:sz w:val="21"/>
                <w:szCs w:val="21"/>
                <w:highlight w:val="none"/>
              </w:rPr>
            </w:pPr>
            <w:r>
              <w:rPr>
                <w:rFonts w:eastAsia="宋体"/>
                <w:b/>
                <w:color w:val="auto"/>
                <w:sz w:val="21"/>
                <w:szCs w:val="21"/>
                <w:highlight w:val="none"/>
              </w:rPr>
              <w:t>声环境功能区类别</w:t>
            </w:r>
          </w:p>
        </w:tc>
        <w:tc>
          <w:tcPr>
            <w:tcW w:w="6042" w:type="dxa"/>
            <w:gridSpan w:val="2"/>
            <w:tcBorders>
              <w:tl2br w:val="nil"/>
              <w:tr2bl w:val="nil"/>
            </w:tcBorders>
            <w:vAlign w:val="center"/>
          </w:tcPr>
          <w:p w14:paraId="5708D6BD">
            <w:pPr>
              <w:pStyle w:val="98"/>
              <w:ind w:left="-105" w:right="-105" w:firstLine="422"/>
              <w:rPr>
                <w:rFonts w:eastAsia="宋体"/>
                <w:b/>
                <w:bCs/>
                <w:color w:val="auto"/>
                <w:sz w:val="21"/>
                <w:szCs w:val="21"/>
                <w:highlight w:val="none"/>
              </w:rPr>
            </w:pPr>
            <w:r>
              <w:rPr>
                <w:rFonts w:eastAsia="宋体"/>
                <w:b/>
                <w:bCs/>
                <w:color w:val="auto"/>
                <w:sz w:val="21"/>
                <w:szCs w:val="21"/>
                <w:highlight w:val="none"/>
              </w:rPr>
              <w:t>时段</w:t>
            </w:r>
          </w:p>
        </w:tc>
      </w:tr>
      <w:tr w14:paraId="55A41B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3034" w:type="dxa"/>
            <w:vMerge w:val="continue"/>
            <w:tcBorders>
              <w:tl2br w:val="nil"/>
              <w:tr2bl w:val="nil"/>
            </w:tcBorders>
            <w:vAlign w:val="center"/>
          </w:tcPr>
          <w:p w14:paraId="2D7EA4B1">
            <w:pPr>
              <w:ind w:left="-105" w:right="-105" w:firstLine="420"/>
              <w:jc w:val="center"/>
              <w:rPr>
                <w:rFonts w:ascii="Times New Roman" w:hAnsi="Times New Roman"/>
                <w:color w:val="auto"/>
                <w:sz w:val="21"/>
                <w:szCs w:val="21"/>
                <w:highlight w:val="none"/>
              </w:rPr>
            </w:pPr>
          </w:p>
        </w:tc>
        <w:tc>
          <w:tcPr>
            <w:tcW w:w="3022" w:type="dxa"/>
            <w:tcBorders>
              <w:tl2br w:val="nil"/>
              <w:tr2bl w:val="nil"/>
            </w:tcBorders>
            <w:vAlign w:val="center"/>
          </w:tcPr>
          <w:p w14:paraId="5D67FFF1">
            <w:pPr>
              <w:pStyle w:val="98"/>
              <w:ind w:left="-105" w:right="-105" w:firstLine="422"/>
              <w:rPr>
                <w:rFonts w:eastAsia="宋体"/>
                <w:b/>
                <w:bCs/>
                <w:color w:val="auto"/>
                <w:sz w:val="21"/>
                <w:szCs w:val="21"/>
                <w:highlight w:val="none"/>
              </w:rPr>
            </w:pPr>
            <w:r>
              <w:rPr>
                <w:rFonts w:eastAsia="宋体"/>
                <w:b/>
                <w:bCs/>
                <w:color w:val="auto"/>
                <w:sz w:val="21"/>
                <w:szCs w:val="21"/>
                <w:highlight w:val="none"/>
              </w:rPr>
              <w:t>昼间（6:00~22:00）</w:t>
            </w:r>
          </w:p>
        </w:tc>
        <w:tc>
          <w:tcPr>
            <w:tcW w:w="3020" w:type="dxa"/>
            <w:tcBorders>
              <w:tl2br w:val="nil"/>
              <w:tr2bl w:val="nil"/>
            </w:tcBorders>
            <w:vAlign w:val="center"/>
          </w:tcPr>
          <w:p w14:paraId="13849C25">
            <w:pPr>
              <w:pStyle w:val="98"/>
              <w:ind w:left="-105" w:right="-105" w:firstLine="422"/>
              <w:rPr>
                <w:rFonts w:eastAsia="宋体"/>
                <w:b/>
                <w:bCs/>
                <w:color w:val="auto"/>
                <w:sz w:val="21"/>
                <w:szCs w:val="21"/>
                <w:highlight w:val="none"/>
              </w:rPr>
            </w:pPr>
            <w:r>
              <w:rPr>
                <w:rFonts w:eastAsia="宋体"/>
                <w:b/>
                <w:bCs/>
                <w:color w:val="auto"/>
                <w:sz w:val="21"/>
                <w:szCs w:val="21"/>
                <w:highlight w:val="none"/>
              </w:rPr>
              <w:t>夜间（22:00~6:00）</w:t>
            </w:r>
          </w:p>
        </w:tc>
      </w:tr>
      <w:tr w14:paraId="6C1E82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3034" w:type="dxa"/>
            <w:tcBorders>
              <w:tl2br w:val="nil"/>
              <w:tr2bl w:val="nil"/>
            </w:tcBorders>
            <w:vAlign w:val="center"/>
          </w:tcPr>
          <w:p w14:paraId="48E5009F">
            <w:pPr>
              <w:pStyle w:val="98"/>
              <w:ind w:left="-105" w:right="-105" w:firstLine="420"/>
              <w:rPr>
                <w:rFonts w:eastAsia="宋体"/>
                <w:color w:val="auto"/>
                <w:sz w:val="21"/>
                <w:szCs w:val="21"/>
                <w:highlight w:val="none"/>
                <w:lang w:val="en-US"/>
              </w:rPr>
            </w:pPr>
            <w:r>
              <w:rPr>
                <w:rFonts w:hint="eastAsia" w:eastAsia="宋体"/>
                <w:color w:val="auto"/>
                <w:sz w:val="21"/>
                <w:szCs w:val="21"/>
                <w:highlight w:val="none"/>
                <w:lang w:val="en-US"/>
              </w:rPr>
              <w:t>2类</w:t>
            </w:r>
          </w:p>
        </w:tc>
        <w:tc>
          <w:tcPr>
            <w:tcW w:w="3022" w:type="dxa"/>
            <w:tcBorders>
              <w:tl2br w:val="nil"/>
              <w:tr2bl w:val="nil"/>
            </w:tcBorders>
            <w:vAlign w:val="center"/>
          </w:tcPr>
          <w:p w14:paraId="70B8953A">
            <w:pPr>
              <w:pStyle w:val="98"/>
              <w:ind w:left="-105" w:right="-105" w:firstLine="420"/>
              <w:rPr>
                <w:rFonts w:eastAsia="宋体"/>
                <w:color w:val="auto"/>
                <w:sz w:val="21"/>
                <w:szCs w:val="21"/>
                <w:highlight w:val="none"/>
                <w:lang w:val="en-US"/>
              </w:rPr>
            </w:pPr>
            <w:r>
              <w:rPr>
                <w:rFonts w:hint="eastAsia" w:eastAsia="宋体"/>
                <w:color w:val="auto"/>
                <w:sz w:val="21"/>
                <w:szCs w:val="21"/>
                <w:highlight w:val="none"/>
                <w:lang w:val="en-US"/>
              </w:rPr>
              <w:t>60</w:t>
            </w:r>
          </w:p>
        </w:tc>
        <w:tc>
          <w:tcPr>
            <w:tcW w:w="3020" w:type="dxa"/>
            <w:tcBorders>
              <w:tl2br w:val="nil"/>
              <w:tr2bl w:val="nil"/>
            </w:tcBorders>
            <w:vAlign w:val="center"/>
          </w:tcPr>
          <w:p w14:paraId="3C799B0A">
            <w:pPr>
              <w:pStyle w:val="98"/>
              <w:ind w:left="-105" w:right="-105" w:firstLine="420"/>
              <w:rPr>
                <w:rFonts w:eastAsia="宋体"/>
                <w:color w:val="auto"/>
                <w:sz w:val="21"/>
                <w:szCs w:val="21"/>
                <w:highlight w:val="none"/>
                <w:lang w:val="en-US"/>
              </w:rPr>
            </w:pPr>
            <w:r>
              <w:rPr>
                <w:rFonts w:hint="eastAsia" w:eastAsia="宋体"/>
                <w:color w:val="auto"/>
                <w:sz w:val="21"/>
                <w:szCs w:val="21"/>
                <w:highlight w:val="none"/>
                <w:lang w:val="en-US"/>
              </w:rPr>
              <w:t>50</w:t>
            </w:r>
          </w:p>
        </w:tc>
      </w:tr>
      <w:tr w14:paraId="008FFE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3034" w:type="dxa"/>
            <w:tcBorders>
              <w:tl2br w:val="nil"/>
              <w:tr2bl w:val="nil"/>
            </w:tcBorders>
            <w:vAlign w:val="center"/>
          </w:tcPr>
          <w:p w14:paraId="712E2688">
            <w:pPr>
              <w:pStyle w:val="98"/>
              <w:ind w:left="-105" w:right="-105" w:firstLine="420"/>
              <w:rPr>
                <w:rFonts w:eastAsia="宋体"/>
                <w:color w:val="auto"/>
                <w:sz w:val="21"/>
                <w:szCs w:val="21"/>
                <w:highlight w:val="none"/>
              </w:rPr>
            </w:pPr>
            <w:r>
              <w:rPr>
                <w:rFonts w:eastAsia="宋体"/>
                <w:color w:val="auto"/>
                <w:sz w:val="21"/>
                <w:szCs w:val="21"/>
                <w:highlight w:val="none"/>
              </w:rPr>
              <w:t>3类</w:t>
            </w:r>
          </w:p>
        </w:tc>
        <w:tc>
          <w:tcPr>
            <w:tcW w:w="3022" w:type="dxa"/>
            <w:tcBorders>
              <w:tl2br w:val="nil"/>
              <w:tr2bl w:val="nil"/>
            </w:tcBorders>
            <w:vAlign w:val="center"/>
          </w:tcPr>
          <w:p w14:paraId="6F51E63D">
            <w:pPr>
              <w:pStyle w:val="98"/>
              <w:ind w:left="-105" w:right="-105" w:firstLine="420"/>
              <w:rPr>
                <w:rFonts w:eastAsia="宋体"/>
                <w:color w:val="auto"/>
                <w:sz w:val="21"/>
                <w:szCs w:val="21"/>
                <w:highlight w:val="none"/>
              </w:rPr>
            </w:pPr>
            <w:r>
              <w:rPr>
                <w:rFonts w:eastAsia="宋体"/>
                <w:color w:val="auto"/>
                <w:sz w:val="21"/>
                <w:szCs w:val="21"/>
                <w:highlight w:val="none"/>
              </w:rPr>
              <w:t>65</w:t>
            </w:r>
          </w:p>
        </w:tc>
        <w:tc>
          <w:tcPr>
            <w:tcW w:w="3020" w:type="dxa"/>
            <w:tcBorders>
              <w:tl2br w:val="nil"/>
              <w:tr2bl w:val="nil"/>
            </w:tcBorders>
            <w:vAlign w:val="center"/>
          </w:tcPr>
          <w:p w14:paraId="2E874AF3">
            <w:pPr>
              <w:pStyle w:val="98"/>
              <w:ind w:left="-105" w:right="-105" w:firstLine="420"/>
              <w:rPr>
                <w:rFonts w:eastAsia="宋体"/>
                <w:color w:val="auto"/>
                <w:sz w:val="21"/>
                <w:szCs w:val="21"/>
                <w:highlight w:val="none"/>
              </w:rPr>
            </w:pPr>
            <w:r>
              <w:rPr>
                <w:rFonts w:eastAsia="宋体"/>
                <w:color w:val="auto"/>
                <w:sz w:val="21"/>
                <w:szCs w:val="21"/>
                <w:highlight w:val="none"/>
              </w:rPr>
              <w:t>55</w:t>
            </w:r>
          </w:p>
        </w:tc>
      </w:tr>
    </w:tbl>
    <w:p w14:paraId="27383A77">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（5）土壤环境</w:t>
      </w:r>
    </w:p>
    <w:p w14:paraId="0EED7B77">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s="Times New Roman"/>
          <w:color w:val="auto"/>
          <w:highlight w:val="none"/>
        </w:rPr>
        <w:t>本项目所在地为工业用地，土壤质量按《土壤环境质量建设用地土壤污染风险管控标准》（GB36600-2018）中的表1、表2中第二类用地标准进行评价</w:t>
      </w:r>
      <w:r>
        <w:rPr>
          <w:rFonts w:ascii="Times New Roman" w:hAnsi="Times New Roman"/>
          <w:color w:val="auto"/>
          <w:highlight w:val="none"/>
        </w:rPr>
        <w:t>，具体限值见</w:t>
      </w:r>
      <w:r>
        <w:rPr>
          <w:rFonts w:ascii="Times New Roman" w:hAnsi="Times New Roman"/>
          <w:color w:val="auto"/>
          <w:highlight w:val="none"/>
        </w:rPr>
        <w:fldChar w:fldCharType="begin"/>
      </w:r>
      <w:r>
        <w:rPr>
          <w:rFonts w:ascii="Times New Roman" w:hAnsi="Times New Roman"/>
          <w:color w:val="auto"/>
          <w:highlight w:val="none"/>
        </w:rPr>
        <w:instrText xml:space="preserve"> REF _Ref17794528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表2.3</w:t>
      </w:r>
      <w:r>
        <w:rPr>
          <w:rFonts w:ascii="Times New Roman" w:hAnsi="Times New Roman"/>
          <w:color w:val="auto"/>
          <w:szCs w:val="22"/>
          <w:highlight w:val="none"/>
        </w:rPr>
        <w:noBreakHyphen/>
      </w:r>
      <w:r>
        <w:rPr>
          <w:rFonts w:ascii="Times New Roman" w:hAnsi="Times New Roman"/>
          <w:color w:val="auto"/>
          <w:szCs w:val="22"/>
          <w:highlight w:val="none"/>
        </w:rPr>
        <w:t>7</w:t>
      </w:r>
      <w:r>
        <w:rPr>
          <w:rFonts w:ascii="Times New Roman" w:hAnsi="Times New Roman"/>
          <w:color w:val="auto"/>
          <w:highlight w:val="none"/>
        </w:rPr>
        <w:fldChar w:fldCharType="end"/>
      </w:r>
      <w:r>
        <w:rPr>
          <w:rFonts w:ascii="Times New Roman" w:hAnsi="Times New Roman"/>
          <w:color w:val="auto"/>
          <w:highlight w:val="none"/>
        </w:rPr>
        <w:t>。</w:t>
      </w:r>
    </w:p>
    <w:p w14:paraId="215883BA">
      <w:pPr>
        <w:pStyle w:val="15"/>
        <w:spacing w:line="360" w:lineRule="auto"/>
        <w:ind w:left="-105" w:right="-105" w:firstLine="482"/>
        <w:rPr>
          <w:rFonts w:eastAsia="宋体" w:cs="Times New Roman"/>
          <w:color w:val="auto"/>
          <w:sz w:val="24"/>
          <w:szCs w:val="24"/>
          <w:highlight w:val="none"/>
        </w:rPr>
      </w:pPr>
      <w:bookmarkStart w:id="132" w:name="_Ref17794528"/>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w:t>
      </w:r>
      <w:r>
        <w:rPr>
          <w:rFonts w:eastAsia="宋体" w:cs="Times New Roman"/>
          <w:color w:val="auto"/>
          <w:sz w:val="24"/>
          <w:szCs w:val="18"/>
          <w:highlight w:val="none"/>
        </w:rPr>
        <w:fldChar w:fldCharType="end"/>
      </w:r>
      <w:bookmarkEnd w:id="132"/>
      <w:r>
        <w:rPr>
          <w:rFonts w:eastAsia="宋体" w:cs="Times New Roman"/>
          <w:color w:val="auto"/>
          <w:sz w:val="24"/>
          <w:szCs w:val="24"/>
          <w:highlight w:val="none"/>
        </w:rPr>
        <w:t>建设用地土壤污染风险筛选值和管制值</w:t>
      </w:r>
      <w:r>
        <w:rPr>
          <w:rFonts w:eastAsia="宋体" w:cs="Times New Roman"/>
          <w:color w:val="auto"/>
          <w:sz w:val="24"/>
          <w:szCs w:val="24"/>
          <w:highlight w:val="none"/>
        </w:rPr>
        <w:tab/>
      </w:r>
      <w:r>
        <w:rPr>
          <w:rFonts w:eastAsia="宋体" w:cs="Times New Roman"/>
          <w:color w:val="auto"/>
          <w:sz w:val="24"/>
          <w:szCs w:val="24"/>
          <w:highlight w:val="none"/>
        </w:rPr>
        <w:t>单位：mg/kg</w:t>
      </w:r>
    </w:p>
    <w:tbl>
      <w:tblPr>
        <w:tblStyle w:val="45"/>
        <w:tblW w:w="90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933"/>
        <w:gridCol w:w="1323"/>
        <w:gridCol w:w="1283"/>
        <w:gridCol w:w="1292"/>
        <w:gridCol w:w="1285"/>
        <w:gridCol w:w="1289"/>
      </w:tblGrid>
      <w:tr w14:paraId="6BFB0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restart"/>
            <w:tcBorders>
              <w:tl2br w:val="nil"/>
              <w:tr2bl w:val="nil"/>
            </w:tcBorders>
            <w:vAlign w:val="center"/>
          </w:tcPr>
          <w:p w14:paraId="1151F406">
            <w:pPr>
              <w:pStyle w:val="98"/>
              <w:ind w:left="-105" w:right="-105"/>
              <w:rPr>
                <w:rFonts w:eastAsia="宋体"/>
                <w:b/>
                <w:bCs/>
                <w:color w:val="auto"/>
                <w:sz w:val="21"/>
                <w:szCs w:val="21"/>
                <w:highlight w:val="none"/>
              </w:rPr>
            </w:pPr>
            <w:r>
              <w:rPr>
                <w:rFonts w:eastAsia="宋体"/>
                <w:b/>
                <w:bCs/>
                <w:color w:val="auto"/>
                <w:sz w:val="21"/>
                <w:szCs w:val="21"/>
                <w:highlight w:val="none"/>
              </w:rPr>
              <w:t>序号</w:t>
            </w:r>
          </w:p>
        </w:tc>
        <w:tc>
          <w:tcPr>
            <w:tcW w:w="1933" w:type="dxa"/>
            <w:vMerge w:val="restart"/>
            <w:tcBorders>
              <w:tl2br w:val="nil"/>
              <w:tr2bl w:val="nil"/>
            </w:tcBorders>
            <w:vAlign w:val="center"/>
          </w:tcPr>
          <w:p w14:paraId="7774EAA4">
            <w:pPr>
              <w:pStyle w:val="98"/>
              <w:ind w:left="-105" w:right="-105"/>
              <w:rPr>
                <w:rFonts w:eastAsia="宋体"/>
                <w:b/>
                <w:bCs/>
                <w:color w:val="auto"/>
                <w:sz w:val="21"/>
                <w:szCs w:val="21"/>
                <w:highlight w:val="none"/>
              </w:rPr>
            </w:pPr>
            <w:r>
              <w:rPr>
                <w:rFonts w:eastAsia="宋体"/>
                <w:b/>
                <w:bCs/>
                <w:color w:val="auto"/>
                <w:sz w:val="21"/>
                <w:szCs w:val="21"/>
                <w:highlight w:val="none"/>
              </w:rPr>
              <w:t>污染物项目</w:t>
            </w:r>
          </w:p>
        </w:tc>
        <w:tc>
          <w:tcPr>
            <w:tcW w:w="1323" w:type="dxa"/>
            <w:vMerge w:val="restart"/>
            <w:tcBorders>
              <w:tl2br w:val="nil"/>
              <w:tr2bl w:val="nil"/>
            </w:tcBorders>
            <w:vAlign w:val="center"/>
          </w:tcPr>
          <w:p w14:paraId="0B9FCFE3">
            <w:pPr>
              <w:pStyle w:val="98"/>
              <w:ind w:left="-105" w:right="-105"/>
              <w:rPr>
                <w:rFonts w:eastAsia="宋体"/>
                <w:b/>
                <w:bCs/>
                <w:color w:val="auto"/>
                <w:sz w:val="21"/>
                <w:szCs w:val="21"/>
                <w:highlight w:val="none"/>
              </w:rPr>
            </w:pPr>
            <w:r>
              <w:rPr>
                <w:rFonts w:eastAsia="宋体"/>
                <w:b/>
                <w:bCs/>
                <w:color w:val="auto"/>
                <w:sz w:val="21"/>
                <w:szCs w:val="21"/>
                <w:highlight w:val="none"/>
              </w:rPr>
              <w:t>CAS 编号</w:t>
            </w:r>
          </w:p>
        </w:tc>
        <w:tc>
          <w:tcPr>
            <w:tcW w:w="2575" w:type="dxa"/>
            <w:gridSpan w:val="2"/>
            <w:tcBorders>
              <w:tl2br w:val="nil"/>
              <w:tr2bl w:val="nil"/>
            </w:tcBorders>
            <w:vAlign w:val="center"/>
          </w:tcPr>
          <w:p w14:paraId="3D0D2D3C">
            <w:pPr>
              <w:pStyle w:val="98"/>
              <w:ind w:left="-105" w:right="-105"/>
              <w:rPr>
                <w:rFonts w:eastAsia="宋体"/>
                <w:b/>
                <w:bCs/>
                <w:color w:val="auto"/>
                <w:sz w:val="21"/>
                <w:szCs w:val="21"/>
                <w:highlight w:val="none"/>
              </w:rPr>
            </w:pPr>
            <w:r>
              <w:rPr>
                <w:rFonts w:eastAsia="宋体"/>
                <w:b/>
                <w:bCs/>
                <w:color w:val="auto"/>
                <w:sz w:val="21"/>
                <w:szCs w:val="21"/>
                <w:highlight w:val="none"/>
              </w:rPr>
              <w:t>筛选值</w:t>
            </w:r>
          </w:p>
        </w:tc>
        <w:tc>
          <w:tcPr>
            <w:tcW w:w="2574" w:type="dxa"/>
            <w:gridSpan w:val="2"/>
            <w:tcBorders>
              <w:tl2br w:val="nil"/>
              <w:tr2bl w:val="nil"/>
            </w:tcBorders>
            <w:vAlign w:val="center"/>
          </w:tcPr>
          <w:p w14:paraId="5A7C847C">
            <w:pPr>
              <w:pStyle w:val="98"/>
              <w:ind w:left="-105" w:right="-105"/>
              <w:rPr>
                <w:rFonts w:eastAsia="宋体"/>
                <w:b/>
                <w:bCs/>
                <w:color w:val="auto"/>
                <w:sz w:val="21"/>
                <w:szCs w:val="21"/>
                <w:highlight w:val="none"/>
              </w:rPr>
            </w:pPr>
            <w:r>
              <w:rPr>
                <w:rFonts w:eastAsia="宋体"/>
                <w:b/>
                <w:bCs/>
                <w:color w:val="auto"/>
                <w:sz w:val="21"/>
                <w:szCs w:val="21"/>
                <w:highlight w:val="none"/>
              </w:rPr>
              <w:t>管制值</w:t>
            </w:r>
          </w:p>
        </w:tc>
      </w:tr>
      <w:tr w14:paraId="70EDE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tcBorders>
              <w:tl2br w:val="nil"/>
              <w:tr2bl w:val="nil"/>
            </w:tcBorders>
            <w:vAlign w:val="center"/>
          </w:tcPr>
          <w:p w14:paraId="74016A34">
            <w:pPr>
              <w:ind w:left="-105" w:right="-105"/>
              <w:jc w:val="center"/>
              <w:rPr>
                <w:rFonts w:ascii="Times New Roman" w:hAnsi="Times New Roman"/>
                <w:b/>
                <w:bCs/>
                <w:color w:val="auto"/>
                <w:sz w:val="21"/>
                <w:szCs w:val="21"/>
                <w:highlight w:val="none"/>
              </w:rPr>
            </w:pPr>
          </w:p>
        </w:tc>
        <w:tc>
          <w:tcPr>
            <w:tcW w:w="1933" w:type="dxa"/>
            <w:vMerge w:val="continue"/>
            <w:tcBorders>
              <w:tl2br w:val="nil"/>
              <w:tr2bl w:val="nil"/>
            </w:tcBorders>
            <w:vAlign w:val="center"/>
          </w:tcPr>
          <w:p w14:paraId="072C2DBE">
            <w:pPr>
              <w:ind w:left="-105" w:right="-105"/>
              <w:jc w:val="center"/>
              <w:rPr>
                <w:rFonts w:ascii="Times New Roman" w:hAnsi="Times New Roman"/>
                <w:b/>
                <w:bCs/>
                <w:color w:val="auto"/>
                <w:sz w:val="21"/>
                <w:szCs w:val="21"/>
                <w:highlight w:val="none"/>
              </w:rPr>
            </w:pPr>
          </w:p>
        </w:tc>
        <w:tc>
          <w:tcPr>
            <w:tcW w:w="1323" w:type="dxa"/>
            <w:vMerge w:val="continue"/>
            <w:tcBorders>
              <w:tl2br w:val="nil"/>
              <w:tr2bl w:val="nil"/>
            </w:tcBorders>
            <w:vAlign w:val="center"/>
          </w:tcPr>
          <w:p w14:paraId="078ADD19">
            <w:pPr>
              <w:ind w:left="-105" w:right="-105"/>
              <w:jc w:val="center"/>
              <w:rPr>
                <w:rFonts w:ascii="Times New Roman" w:hAnsi="Times New Roman"/>
                <w:b/>
                <w:bCs/>
                <w:color w:val="auto"/>
                <w:sz w:val="21"/>
                <w:szCs w:val="21"/>
                <w:highlight w:val="none"/>
              </w:rPr>
            </w:pPr>
          </w:p>
        </w:tc>
        <w:tc>
          <w:tcPr>
            <w:tcW w:w="1283" w:type="dxa"/>
            <w:tcBorders>
              <w:tl2br w:val="nil"/>
              <w:tr2bl w:val="nil"/>
            </w:tcBorders>
            <w:vAlign w:val="center"/>
          </w:tcPr>
          <w:p w14:paraId="0EAFCC17">
            <w:pPr>
              <w:pStyle w:val="98"/>
              <w:ind w:left="-105" w:right="-105"/>
              <w:rPr>
                <w:rFonts w:eastAsia="宋体"/>
                <w:b/>
                <w:bCs/>
                <w:color w:val="auto"/>
                <w:sz w:val="21"/>
                <w:szCs w:val="21"/>
                <w:highlight w:val="none"/>
              </w:rPr>
            </w:pPr>
            <w:r>
              <w:rPr>
                <w:rFonts w:eastAsia="宋体"/>
                <w:b/>
                <w:bCs/>
                <w:color w:val="auto"/>
                <w:sz w:val="21"/>
                <w:szCs w:val="21"/>
                <w:highlight w:val="none"/>
              </w:rPr>
              <w:t>第一类用地</w:t>
            </w:r>
          </w:p>
        </w:tc>
        <w:tc>
          <w:tcPr>
            <w:tcW w:w="1292" w:type="dxa"/>
            <w:tcBorders>
              <w:tl2br w:val="nil"/>
              <w:tr2bl w:val="nil"/>
            </w:tcBorders>
            <w:vAlign w:val="center"/>
          </w:tcPr>
          <w:p w14:paraId="4993C35B">
            <w:pPr>
              <w:pStyle w:val="98"/>
              <w:ind w:left="-105" w:right="-105"/>
              <w:rPr>
                <w:rFonts w:eastAsia="宋体"/>
                <w:b/>
                <w:bCs/>
                <w:color w:val="auto"/>
                <w:sz w:val="21"/>
                <w:szCs w:val="21"/>
                <w:highlight w:val="none"/>
              </w:rPr>
            </w:pPr>
            <w:r>
              <w:rPr>
                <w:rFonts w:eastAsia="宋体"/>
                <w:b/>
                <w:bCs/>
                <w:color w:val="auto"/>
                <w:sz w:val="21"/>
                <w:szCs w:val="21"/>
                <w:highlight w:val="none"/>
              </w:rPr>
              <w:t>第二类用地</w:t>
            </w:r>
          </w:p>
        </w:tc>
        <w:tc>
          <w:tcPr>
            <w:tcW w:w="1285" w:type="dxa"/>
            <w:tcBorders>
              <w:tl2br w:val="nil"/>
              <w:tr2bl w:val="nil"/>
            </w:tcBorders>
            <w:vAlign w:val="center"/>
          </w:tcPr>
          <w:p w14:paraId="54CD8712">
            <w:pPr>
              <w:pStyle w:val="98"/>
              <w:ind w:left="-105" w:right="-105"/>
              <w:rPr>
                <w:rFonts w:eastAsia="宋体"/>
                <w:b/>
                <w:bCs/>
                <w:color w:val="auto"/>
                <w:sz w:val="21"/>
                <w:szCs w:val="21"/>
                <w:highlight w:val="none"/>
              </w:rPr>
            </w:pPr>
            <w:r>
              <w:rPr>
                <w:rFonts w:eastAsia="宋体"/>
                <w:b/>
                <w:bCs/>
                <w:color w:val="auto"/>
                <w:sz w:val="21"/>
                <w:szCs w:val="21"/>
                <w:highlight w:val="none"/>
              </w:rPr>
              <w:t>第一类用地</w:t>
            </w:r>
          </w:p>
        </w:tc>
        <w:tc>
          <w:tcPr>
            <w:tcW w:w="1289" w:type="dxa"/>
            <w:tcBorders>
              <w:tl2br w:val="nil"/>
              <w:tr2bl w:val="nil"/>
            </w:tcBorders>
            <w:vAlign w:val="center"/>
          </w:tcPr>
          <w:p w14:paraId="76C3A138">
            <w:pPr>
              <w:pStyle w:val="98"/>
              <w:ind w:left="-105" w:right="-105"/>
              <w:rPr>
                <w:rFonts w:eastAsia="宋体"/>
                <w:b/>
                <w:bCs/>
                <w:color w:val="auto"/>
                <w:sz w:val="21"/>
                <w:szCs w:val="21"/>
                <w:highlight w:val="none"/>
              </w:rPr>
            </w:pPr>
            <w:r>
              <w:rPr>
                <w:rFonts w:eastAsia="宋体"/>
                <w:b/>
                <w:bCs/>
                <w:color w:val="auto"/>
                <w:sz w:val="21"/>
                <w:szCs w:val="21"/>
                <w:highlight w:val="none"/>
              </w:rPr>
              <w:t>第二类用地</w:t>
            </w:r>
          </w:p>
        </w:tc>
      </w:tr>
      <w:tr w14:paraId="4F1D7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5" w:type="dxa"/>
            <w:gridSpan w:val="7"/>
            <w:tcBorders>
              <w:tl2br w:val="nil"/>
              <w:tr2bl w:val="nil"/>
            </w:tcBorders>
            <w:vAlign w:val="center"/>
          </w:tcPr>
          <w:p w14:paraId="572D796B">
            <w:pPr>
              <w:pStyle w:val="98"/>
              <w:ind w:left="-105" w:right="-105"/>
              <w:rPr>
                <w:rFonts w:eastAsia="宋体"/>
                <w:b/>
                <w:bCs/>
                <w:color w:val="auto"/>
                <w:sz w:val="21"/>
                <w:szCs w:val="21"/>
                <w:highlight w:val="none"/>
              </w:rPr>
            </w:pPr>
            <w:r>
              <w:rPr>
                <w:rFonts w:eastAsia="宋体"/>
                <w:b/>
                <w:bCs/>
                <w:color w:val="auto"/>
                <w:sz w:val="21"/>
                <w:szCs w:val="21"/>
                <w:highlight w:val="none"/>
              </w:rPr>
              <w:t>重金属和无机物</w:t>
            </w:r>
          </w:p>
        </w:tc>
      </w:tr>
      <w:tr w14:paraId="3B2AA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AF8FEB8">
            <w:pPr>
              <w:pStyle w:val="98"/>
              <w:ind w:left="-105" w:right="-105"/>
              <w:rPr>
                <w:rFonts w:eastAsia="宋体"/>
                <w:color w:val="auto"/>
                <w:sz w:val="21"/>
                <w:szCs w:val="21"/>
                <w:highlight w:val="none"/>
              </w:rPr>
            </w:pPr>
            <w:r>
              <w:rPr>
                <w:rFonts w:eastAsia="宋体"/>
                <w:color w:val="auto"/>
                <w:sz w:val="21"/>
                <w:szCs w:val="21"/>
                <w:highlight w:val="none"/>
              </w:rPr>
              <w:t>1</w:t>
            </w:r>
          </w:p>
        </w:tc>
        <w:tc>
          <w:tcPr>
            <w:tcW w:w="1933" w:type="dxa"/>
            <w:tcBorders>
              <w:tl2br w:val="nil"/>
              <w:tr2bl w:val="nil"/>
            </w:tcBorders>
            <w:vAlign w:val="center"/>
          </w:tcPr>
          <w:p w14:paraId="3C68DE9B">
            <w:pPr>
              <w:pStyle w:val="98"/>
              <w:ind w:left="-105" w:right="-105"/>
              <w:rPr>
                <w:rFonts w:eastAsia="宋体"/>
                <w:color w:val="auto"/>
                <w:sz w:val="21"/>
                <w:szCs w:val="21"/>
                <w:highlight w:val="none"/>
              </w:rPr>
            </w:pPr>
            <w:r>
              <w:rPr>
                <w:rFonts w:eastAsia="宋体"/>
                <w:color w:val="auto"/>
                <w:sz w:val="21"/>
                <w:szCs w:val="21"/>
                <w:highlight w:val="none"/>
              </w:rPr>
              <w:t>砷</w:t>
            </w:r>
          </w:p>
        </w:tc>
        <w:tc>
          <w:tcPr>
            <w:tcW w:w="1323" w:type="dxa"/>
            <w:tcBorders>
              <w:tl2br w:val="nil"/>
              <w:tr2bl w:val="nil"/>
            </w:tcBorders>
            <w:vAlign w:val="center"/>
          </w:tcPr>
          <w:p w14:paraId="00CA5B6A">
            <w:pPr>
              <w:pStyle w:val="98"/>
              <w:ind w:left="-105" w:right="-105"/>
              <w:rPr>
                <w:rFonts w:eastAsia="宋体"/>
                <w:color w:val="auto"/>
                <w:sz w:val="21"/>
                <w:szCs w:val="21"/>
                <w:highlight w:val="none"/>
              </w:rPr>
            </w:pPr>
            <w:r>
              <w:rPr>
                <w:rFonts w:eastAsia="宋体"/>
                <w:color w:val="auto"/>
                <w:sz w:val="21"/>
                <w:szCs w:val="21"/>
                <w:highlight w:val="none"/>
              </w:rPr>
              <w:t>7440-38-2</w:t>
            </w:r>
          </w:p>
        </w:tc>
        <w:tc>
          <w:tcPr>
            <w:tcW w:w="1283" w:type="dxa"/>
            <w:tcBorders>
              <w:tl2br w:val="nil"/>
              <w:tr2bl w:val="nil"/>
            </w:tcBorders>
            <w:vAlign w:val="center"/>
          </w:tcPr>
          <w:p w14:paraId="7FBE260C">
            <w:pPr>
              <w:pStyle w:val="98"/>
              <w:ind w:left="-105" w:right="-105"/>
              <w:rPr>
                <w:rFonts w:eastAsia="宋体"/>
                <w:color w:val="auto"/>
                <w:sz w:val="21"/>
                <w:szCs w:val="21"/>
                <w:highlight w:val="none"/>
              </w:rPr>
            </w:pPr>
            <w:r>
              <w:rPr>
                <w:rFonts w:eastAsia="宋体"/>
                <w:color w:val="auto"/>
                <w:sz w:val="21"/>
                <w:szCs w:val="21"/>
                <w:highlight w:val="none"/>
              </w:rPr>
              <w:t>20</w:t>
            </w:r>
            <w:r>
              <w:rPr>
                <w:rFonts w:hint="eastAsia" w:eastAsia="宋体" w:cs="宋体"/>
                <w:color w:val="auto"/>
                <w:position w:val="11"/>
                <w:sz w:val="21"/>
                <w:szCs w:val="21"/>
                <w:highlight w:val="none"/>
              </w:rPr>
              <w:t>①</w:t>
            </w:r>
          </w:p>
        </w:tc>
        <w:tc>
          <w:tcPr>
            <w:tcW w:w="1292" w:type="dxa"/>
            <w:tcBorders>
              <w:tl2br w:val="nil"/>
              <w:tr2bl w:val="nil"/>
            </w:tcBorders>
            <w:vAlign w:val="center"/>
          </w:tcPr>
          <w:p w14:paraId="44AF7B33">
            <w:pPr>
              <w:pStyle w:val="98"/>
              <w:ind w:left="-105" w:right="-105"/>
              <w:rPr>
                <w:rFonts w:eastAsia="宋体"/>
                <w:color w:val="auto"/>
                <w:sz w:val="21"/>
                <w:szCs w:val="21"/>
                <w:highlight w:val="none"/>
              </w:rPr>
            </w:pPr>
            <w:r>
              <w:rPr>
                <w:rFonts w:eastAsia="宋体"/>
                <w:color w:val="auto"/>
                <w:sz w:val="21"/>
                <w:szCs w:val="21"/>
                <w:highlight w:val="none"/>
              </w:rPr>
              <w:t>60</w:t>
            </w:r>
            <w:r>
              <w:rPr>
                <w:rFonts w:hint="eastAsia" w:eastAsia="宋体" w:cs="宋体"/>
                <w:color w:val="auto"/>
                <w:position w:val="11"/>
                <w:sz w:val="21"/>
                <w:szCs w:val="21"/>
                <w:highlight w:val="none"/>
              </w:rPr>
              <w:t>①</w:t>
            </w:r>
          </w:p>
        </w:tc>
        <w:tc>
          <w:tcPr>
            <w:tcW w:w="1285" w:type="dxa"/>
            <w:tcBorders>
              <w:tl2br w:val="nil"/>
              <w:tr2bl w:val="nil"/>
            </w:tcBorders>
            <w:vAlign w:val="center"/>
          </w:tcPr>
          <w:p w14:paraId="0D10BD52">
            <w:pPr>
              <w:pStyle w:val="98"/>
              <w:ind w:left="-105" w:right="-105"/>
              <w:rPr>
                <w:rFonts w:eastAsia="宋体"/>
                <w:color w:val="auto"/>
                <w:sz w:val="21"/>
                <w:szCs w:val="21"/>
                <w:highlight w:val="none"/>
              </w:rPr>
            </w:pPr>
            <w:r>
              <w:rPr>
                <w:rFonts w:eastAsia="宋体"/>
                <w:color w:val="auto"/>
                <w:sz w:val="21"/>
                <w:szCs w:val="21"/>
                <w:highlight w:val="none"/>
              </w:rPr>
              <w:t>120</w:t>
            </w:r>
          </w:p>
        </w:tc>
        <w:tc>
          <w:tcPr>
            <w:tcW w:w="1289" w:type="dxa"/>
            <w:tcBorders>
              <w:tl2br w:val="nil"/>
              <w:tr2bl w:val="nil"/>
            </w:tcBorders>
            <w:vAlign w:val="center"/>
          </w:tcPr>
          <w:p w14:paraId="5C3D2AB5">
            <w:pPr>
              <w:pStyle w:val="98"/>
              <w:ind w:left="-105" w:right="-105"/>
              <w:rPr>
                <w:rFonts w:eastAsia="宋体"/>
                <w:color w:val="auto"/>
                <w:sz w:val="21"/>
                <w:szCs w:val="21"/>
                <w:highlight w:val="none"/>
              </w:rPr>
            </w:pPr>
            <w:r>
              <w:rPr>
                <w:rFonts w:eastAsia="宋体"/>
                <w:color w:val="auto"/>
                <w:sz w:val="21"/>
                <w:szCs w:val="21"/>
                <w:highlight w:val="none"/>
              </w:rPr>
              <w:t>140</w:t>
            </w:r>
          </w:p>
        </w:tc>
      </w:tr>
      <w:tr w14:paraId="7DEA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1E5C5AA">
            <w:pPr>
              <w:pStyle w:val="98"/>
              <w:ind w:left="-105" w:right="-105"/>
              <w:rPr>
                <w:rFonts w:eastAsia="宋体"/>
                <w:color w:val="auto"/>
                <w:sz w:val="21"/>
                <w:szCs w:val="21"/>
                <w:highlight w:val="none"/>
              </w:rPr>
            </w:pPr>
            <w:r>
              <w:rPr>
                <w:rFonts w:eastAsia="宋体"/>
                <w:color w:val="auto"/>
                <w:sz w:val="21"/>
                <w:szCs w:val="21"/>
                <w:highlight w:val="none"/>
              </w:rPr>
              <w:t>2</w:t>
            </w:r>
          </w:p>
        </w:tc>
        <w:tc>
          <w:tcPr>
            <w:tcW w:w="1933" w:type="dxa"/>
            <w:tcBorders>
              <w:tl2br w:val="nil"/>
              <w:tr2bl w:val="nil"/>
            </w:tcBorders>
            <w:vAlign w:val="center"/>
          </w:tcPr>
          <w:p w14:paraId="674D5B7E">
            <w:pPr>
              <w:pStyle w:val="98"/>
              <w:ind w:left="-105" w:right="-105"/>
              <w:rPr>
                <w:rFonts w:eastAsia="宋体"/>
                <w:color w:val="auto"/>
                <w:sz w:val="21"/>
                <w:szCs w:val="21"/>
                <w:highlight w:val="none"/>
              </w:rPr>
            </w:pPr>
            <w:r>
              <w:rPr>
                <w:rFonts w:eastAsia="宋体"/>
                <w:color w:val="auto"/>
                <w:sz w:val="21"/>
                <w:szCs w:val="21"/>
                <w:highlight w:val="none"/>
              </w:rPr>
              <w:t>镉</w:t>
            </w:r>
          </w:p>
        </w:tc>
        <w:tc>
          <w:tcPr>
            <w:tcW w:w="1323" w:type="dxa"/>
            <w:tcBorders>
              <w:tl2br w:val="nil"/>
              <w:tr2bl w:val="nil"/>
            </w:tcBorders>
            <w:vAlign w:val="center"/>
          </w:tcPr>
          <w:p w14:paraId="3DB16117">
            <w:pPr>
              <w:pStyle w:val="98"/>
              <w:ind w:left="-105" w:right="-105"/>
              <w:rPr>
                <w:rFonts w:eastAsia="宋体"/>
                <w:color w:val="auto"/>
                <w:sz w:val="21"/>
                <w:szCs w:val="21"/>
                <w:highlight w:val="none"/>
              </w:rPr>
            </w:pPr>
            <w:r>
              <w:rPr>
                <w:rFonts w:eastAsia="宋体"/>
                <w:color w:val="auto"/>
                <w:sz w:val="21"/>
                <w:szCs w:val="21"/>
                <w:highlight w:val="none"/>
              </w:rPr>
              <w:t>7440-43-9</w:t>
            </w:r>
          </w:p>
        </w:tc>
        <w:tc>
          <w:tcPr>
            <w:tcW w:w="1283" w:type="dxa"/>
            <w:tcBorders>
              <w:tl2br w:val="nil"/>
              <w:tr2bl w:val="nil"/>
            </w:tcBorders>
            <w:vAlign w:val="center"/>
          </w:tcPr>
          <w:p w14:paraId="47F34664">
            <w:pPr>
              <w:pStyle w:val="98"/>
              <w:ind w:left="-105" w:right="-105"/>
              <w:rPr>
                <w:rFonts w:eastAsia="宋体"/>
                <w:color w:val="auto"/>
                <w:sz w:val="21"/>
                <w:szCs w:val="21"/>
                <w:highlight w:val="none"/>
              </w:rPr>
            </w:pPr>
            <w:r>
              <w:rPr>
                <w:rFonts w:eastAsia="宋体"/>
                <w:color w:val="auto"/>
                <w:sz w:val="21"/>
                <w:szCs w:val="21"/>
                <w:highlight w:val="none"/>
              </w:rPr>
              <w:t>20</w:t>
            </w:r>
          </w:p>
        </w:tc>
        <w:tc>
          <w:tcPr>
            <w:tcW w:w="1292" w:type="dxa"/>
            <w:tcBorders>
              <w:tl2br w:val="nil"/>
              <w:tr2bl w:val="nil"/>
            </w:tcBorders>
            <w:vAlign w:val="center"/>
          </w:tcPr>
          <w:p w14:paraId="37763988">
            <w:pPr>
              <w:pStyle w:val="98"/>
              <w:ind w:left="-105" w:right="-105"/>
              <w:rPr>
                <w:rFonts w:eastAsia="宋体"/>
                <w:color w:val="auto"/>
                <w:sz w:val="21"/>
                <w:szCs w:val="21"/>
                <w:highlight w:val="none"/>
              </w:rPr>
            </w:pPr>
            <w:r>
              <w:rPr>
                <w:rFonts w:eastAsia="宋体"/>
                <w:color w:val="auto"/>
                <w:sz w:val="21"/>
                <w:szCs w:val="21"/>
                <w:highlight w:val="none"/>
              </w:rPr>
              <w:t>65</w:t>
            </w:r>
          </w:p>
        </w:tc>
        <w:tc>
          <w:tcPr>
            <w:tcW w:w="1285" w:type="dxa"/>
            <w:tcBorders>
              <w:tl2br w:val="nil"/>
              <w:tr2bl w:val="nil"/>
            </w:tcBorders>
            <w:vAlign w:val="center"/>
          </w:tcPr>
          <w:p w14:paraId="377E3EAF">
            <w:pPr>
              <w:pStyle w:val="98"/>
              <w:ind w:left="-105" w:right="-105"/>
              <w:rPr>
                <w:rFonts w:eastAsia="宋体"/>
                <w:color w:val="auto"/>
                <w:sz w:val="21"/>
                <w:szCs w:val="21"/>
                <w:highlight w:val="none"/>
              </w:rPr>
            </w:pPr>
            <w:r>
              <w:rPr>
                <w:rFonts w:eastAsia="宋体"/>
                <w:color w:val="auto"/>
                <w:sz w:val="21"/>
                <w:szCs w:val="21"/>
                <w:highlight w:val="none"/>
              </w:rPr>
              <w:t>47</w:t>
            </w:r>
          </w:p>
        </w:tc>
        <w:tc>
          <w:tcPr>
            <w:tcW w:w="1289" w:type="dxa"/>
            <w:tcBorders>
              <w:tl2br w:val="nil"/>
              <w:tr2bl w:val="nil"/>
            </w:tcBorders>
            <w:vAlign w:val="center"/>
          </w:tcPr>
          <w:p w14:paraId="4DB41BAE">
            <w:pPr>
              <w:pStyle w:val="98"/>
              <w:ind w:left="-105" w:right="-105"/>
              <w:rPr>
                <w:rFonts w:eastAsia="宋体"/>
                <w:color w:val="auto"/>
                <w:sz w:val="21"/>
                <w:szCs w:val="21"/>
                <w:highlight w:val="none"/>
              </w:rPr>
            </w:pPr>
            <w:r>
              <w:rPr>
                <w:rFonts w:eastAsia="宋体"/>
                <w:color w:val="auto"/>
                <w:sz w:val="21"/>
                <w:szCs w:val="21"/>
                <w:highlight w:val="none"/>
              </w:rPr>
              <w:t>172</w:t>
            </w:r>
          </w:p>
        </w:tc>
      </w:tr>
      <w:tr w14:paraId="0A6C2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F98044A">
            <w:pPr>
              <w:pStyle w:val="98"/>
              <w:ind w:left="-105" w:right="-105"/>
              <w:rPr>
                <w:rFonts w:eastAsia="宋体"/>
                <w:color w:val="auto"/>
                <w:sz w:val="21"/>
                <w:szCs w:val="21"/>
                <w:highlight w:val="none"/>
              </w:rPr>
            </w:pPr>
            <w:r>
              <w:rPr>
                <w:rFonts w:eastAsia="宋体"/>
                <w:color w:val="auto"/>
                <w:sz w:val="21"/>
                <w:szCs w:val="21"/>
                <w:highlight w:val="none"/>
              </w:rPr>
              <w:t>3</w:t>
            </w:r>
          </w:p>
        </w:tc>
        <w:tc>
          <w:tcPr>
            <w:tcW w:w="1933" w:type="dxa"/>
            <w:tcBorders>
              <w:tl2br w:val="nil"/>
              <w:tr2bl w:val="nil"/>
            </w:tcBorders>
            <w:vAlign w:val="center"/>
          </w:tcPr>
          <w:p w14:paraId="76D87308">
            <w:pPr>
              <w:pStyle w:val="98"/>
              <w:ind w:left="-105" w:right="-105"/>
              <w:rPr>
                <w:rFonts w:eastAsia="宋体"/>
                <w:color w:val="auto"/>
                <w:sz w:val="21"/>
                <w:szCs w:val="21"/>
                <w:highlight w:val="none"/>
              </w:rPr>
            </w:pPr>
            <w:r>
              <w:rPr>
                <w:rFonts w:eastAsia="宋体"/>
                <w:color w:val="auto"/>
                <w:sz w:val="21"/>
                <w:szCs w:val="21"/>
                <w:highlight w:val="none"/>
              </w:rPr>
              <w:t>铬（六价）</w:t>
            </w:r>
          </w:p>
        </w:tc>
        <w:tc>
          <w:tcPr>
            <w:tcW w:w="1323" w:type="dxa"/>
            <w:tcBorders>
              <w:tl2br w:val="nil"/>
              <w:tr2bl w:val="nil"/>
            </w:tcBorders>
            <w:vAlign w:val="center"/>
          </w:tcPr>
          <w:p w14:paraId="02379A93">
            <w:pPr>
              <w:pStyle w:val="98"/>
              <w:ind w:left="-105" w:right="-105"/>
              <w:rPr>
                <w:rFonts w:eastAsia="宋体"/>
                <w:color w:val="auto"/>
                <w:sz w:val="21"/>
                <w:szCs w:val="21"/>
                <w:highlight w:val="none"/>
              </w:rPr>
            </w:pPr>
            <w:r>
              <w:rPr>
                <w:rFonts w:eastAsia="宋体"/>
                <w:color w:val="auto"/>
                <w:sz w:val="21"/>
                <w:szCs w:val="21"/>
                <w:highlight w:val="none"/>
              </w:rPr>
              <w:t>18540-29-9</w:t>
            </w:r>
          </w:p>
        </w:tc>
        <w:tc>
          <w:tcPr>
            <w:tcW w:w="1283" w:type="dxa"/>
            <w:tcBorders>
              <w:tl2br w:val="nil"/>
              <w:tr2bl w:val="nil"/>
            </w:tcBorders>
            <w:vAlign w:val="center"/>
          </w:tcPr>
          <w:p w14:paraId="61837657">
            <w:pPr>
              <w:pStyle w:val="98"/>
              <w:ind w:left="-105" w:right="-105"/>
              <w:rPr>
                <w:rFonts w:eastAsia="宋体"/>
                <w:color w:val="auto"/>
                <w:sz w:val="21"/>
                <w:szCs w:val="21"/>
                <w:highlight w:val="none"/>
              </w:rPr>
            </w:pPr>
            <w:r>
              <w:rPr>
                <w:rFonts w:eastAsia="宋体"/>
                <w:color w:val="auto"/>
                <w:sz w:val="21"/>
                <w:szCs w:val="21"/>
                <w:highlight w:val="none"/>
              </w:rPr>
              <w:t>3.0</w:t>
            </w:r>
          </w:p>
        </w:tc>
        <w:tc>
          <w:tcPr>
            <w:tcW w:w="1292" w:type="dxa"/>
            <w:tcBorders>
              <w:tl2br w:val="nil"/>
              <w:tr2bl w:val="nil"/>
            </w:tcBorders>
            <w:vAlign w:val="center"/>
          </w:tcPr>
          <w:p w14:paraId="70AA39FF">
            <w:pPr>
              <w:pStyle w:val="98"/>
              <w:ind w:left="-105" w:right="-105"/>
              <w:rPr>
                <w:rFonts w:eastAsia="宋体"/>
                <w:color w:val="auto"/>
                <w:sz w:val="21"/>
                <w:szCs w:val="21"/>
                <w:highlight w:val="none"/>
              </w:rPr>
            </w:pPr>
            <w:r>
              <w:rPr>
                <w:rFonts w:eastAsia="宋体"/>
                <w:color w:val="auto"/>
                <w:sz w:val="21"/>
                <w:szCs w:val="21"/>
                <w:highlight w:val="none"/>
              </w:rPr>
              <w:t>5.7</w:t>
            </w:r>
          </w:p>
        </w:tc>
        <w:tc>
          <w:tcPr>
            <w:tcW w:w="1285" w:type="dxa"/>
            <w:tcBorders>
              <w:tl2br w:val="nil"/>
              <w:tr2bl w:val="nil"/>
            </w:tcBorders>
            <w:vAlign w:val="center"/>
          </w:tcPr>
          <w:p w14:paraId="3BB7B4AF">
            <w:pPr>
              <w:pStyle w:val="98"/>
              <w:ind w:left="-105" w:right="-105"/>
              <w:rPr>
                <w:rFonts w:eastAsia="宋体"/>
                <w:color w:val="auto"/>
                <w:sz w:val="21"/>
                <w:szCs w:val="21"/>
                <w:highlight w:val="none"/>
              </w:rPr>
            </w:pPr>
            <w:r>
              <w:rPr>
                <w:rFonts w:eastAsia="宋体"/>
                <w:color w:val="auto"/>
                <w:sz w:val="21"/>
                <w:szCs w:val="21"/>
                <w:highlight w:val="none"/>
              </w:rPr>
              <w:t>30</w:t>
            </w:r>
          </w:p>
        </w:tc>
        <w:tc>
          <w:tcPr>
            <w:tcW w:w="1289" w:type="dxa"/>
            <w:tcBorders>
              <w:tl2br w:val="nil"/>
              <w:tr2bl w:val="nil"/>
            </w:tcBorders>
            <w:vAlign w:val="center"/>
          </w:tcPr>
          <w:p w14:paraId="39328ECF">
            <w:pPr>
              <w:pStyle w:val="98"/>
              <w:ind w:left="-105" w:right="-105"/>
              <w:rPr>
                <w:rFonts w:eastAsia="宋体"/>
                <w:color w:val="auto"/>
                <w:sz w:val="21"/>
                <w:szCs w:val="21"/>
                <w:highlight w:val="none"/>
              </w:rPr>
            </w:pPr>
            <w:r>
              <w:rPr>
                <w:rFonts w:eastAsia="宋体"/>
                <w:color w:val="auto"/>
                <w:sz w:val="21"/>
                <w:szCs w:val="21"/>
                <w:highlight w:val="none"/>
              </w:rPr>
              <w:t>78</w:t>
            </w:r>
          </w:p>
        </w:tc>
      </w:tr>
      <w:tr w14:paraId="5F02E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D139EC8">
            <w:pPr>
              <w:pStyle w:val="98"/>
              <w:ind w:left="-105" w:right="-105"/>
              <w:rPr>
                <w:rFonts w:eastAsia="宋体"/>
                <w:color w:val="auto"/>
                <w:sz w:val="21"/>
                <w:szCs w:val="21"/>
                <w:highlight w:val="none"/>
              </w:rPr>
            </w:pPr>
            <w:r>
              <w:rPr>
                <w:rFonts w:eastAsia="宋体"/>
                <w:color w:val="auto"/>
                <w:sz w:val="21"/>
                <w:szCs w:val="21"/>
                <w:highlight w:val="none"/>
              </w:rPr>
              <w:t>4</w:t>
            </w:r>
          </w:p>
        </w:tc>
        <w:tc>
          <w:tcPr>
            <w:tcW w:w="1933" w:type="dxa"/>
            <w:tcBorders>
              <w:tl2br w:val="nil"/>
              <w:tr2bl w:val="nil"/>
            </w:tcBorders>
            <w:vAlign w:val="center"/>
          </w:tcPr>
          <w:p w14:paraId="6746B4DC">
            <w:pPr>
              <w:pStyle w:val="98"/>
              <w:ind w:left="-105" w:right="-105"/>
              <w:rPr>
                <w:rFonts w:eastAsia="宋体"/>
                <w:color w:val="auto"/>
                <w:sz w:val="21"/>
                <w:szCs w:val="21"/>
                <w:highlight w:val="none"/>
              </w:rPr>
            </w:pPr>
            <w:r>
              <w:rPr>
                <w:rFonts w:eastAsia="宋体"/>
                <w:color w:val="auto"/>
                <w:sz w:val="21"/>
                <w:szCs w:val="21"/>
                <w:highlight w:val="none"/>
              </w:rPr>
              <w:t>铜</w:t>
            </w:r>
          </w:p>
        </w:tc>
        <w:tc>
          <w:tcPr>
            <w:tcW w:w="1323" w:type="dxa"/>
            <w:tcBorders>
              <w:tl2br w:val="nil"/>
              <w:tr2bl w:val="nil"/>
            </w:tcBorders>
            <w:vAlign w:val="center"/>
          </w:tcPr>
          <w:p w14:paraId="7BE0FC02">
            <w:pPr>
              <w:pStyle w:val="98"/>
              <w:ind w:left="-105" w:right="-105"/>
              <w:rPr>
                <w:rFonts w:eastAsia="宋体"/>
                <w:color w:val="auto"/>
                <w:sz w:val="21"/>
                <w:szCs w:val="21"/>
                <w:highlight w:val="none"/>
              </w:rPr>
            </w:pPr>
            <w:r>
              <w:rPr>
                <w:rFonts w:eastAsia="宋体"/>
                <w:color w:val="auto"/>
                <w:sz w:val="21"/>
                <w:szCs w:val="21"/>
                <w:highlight w:val="none"/>
              </w:rPr>
              <w:t>7440-50-8</w:t>
            </w:r>
          </w:p>
        </w:tc>
        <w:tc>
          <w:tcPr>
            <w:tcW w:w="1283" w:type="dxa"/>
            <w:tcBorders>
              <w:tl2br w:val="nil"/>
              <w:tr2bl w:val="nil"/>
            </w:tcBorders>
            <w:vAlign w:val="center"/>
          </w:tcPr>
          <w:p w14:paraId="5BD1236F">
            <w:pPr>
              <w:pStyle w:val="98"/>
              <w:ind w:left="-105" w:right="-105"/>
              <w:rPr>
                <w:rFonts w:eastAsia="宋体"/>
                <w:color w:val="auto"/>
                <w:sz w:val="21"/>
                <w:szCs w:val="21"/>
                <w:highlight w:val="none"/>
              </w:rPr>
            </w:pPr>
            <w:r>
              <w:rPr>
                <w:rFonts w:eastAsia="宋体"/>
                <w:color w:val="auto"/>
                <w:sz w:val="21"/>
                <w:szCs w:val="21"/>
                <w:highlight w:val="none"/>
              </w:rPr>
              <w:t>2000</w:t>
            </w:r>
          </w:p>
        </w:tc>
        <w:tc>
          <w:tcPr>
            <w:tcW w:w="1292" w:type="dxa"/>
            <w:tcBorders>
              <w:tl2br w:val="nil"/>
              <w:tr2bl w:val="nil"/>
            </w:tcBorders>
            <w:vAlign w:val="center"/>
          </w:tcPr>
          <w:p w14:paraId="621694AA">
            <w:pPr>
              <w:pStyle w:val="98"/>
              <w:ind w:left="-105" w:right="-105"/>
              <w:rPr>
                <w:rFonts w:eastAsia="宋体"/>
                <w:color w:val="auto"/>
                <w:sz w:val="21"/>
                <w:szCs w:val="21"/>
                <w:highlight w:val="none"/>
              </w:rPr>
            </w:pPr>
            <w:r>
              <w:rPr>
                <w:rFonts w:eastAsia="宋体"/>
                <w:color w:val="auto"/>
                <w:sz w:val="21"/>
                <w:szCs w:val="21"/>
                <w:highlight w:val="none"/>
              </w:rPr>
              <w:t>18000</w:t>
            </w:r>
          </w:p>
        </w:tc>
        <w:tc>
          <w:tcPr>
            <w:tcW w:w="1285" w:type="dxa"/>
            <w:tcBorders>
              <w:tl2br w:val="nil"/>
              <w:tr2bl w:val="nil"/>
            </w:tcBorders>
            <w:vAlign w:val="center"/>
          </w:tcPr>
          <w:p w14:paraId="4E2FCDDE">
            <w:pPr>
              <w:pStyle w:val="98"/>
              <w:ind w:left="-105" w:right="-105"/>
              <w:rPr>
                <w:rFonts w:eastAsia="宋体"/>
                <w:color w:val="auto"/>
                <w:sz w:val="21"/>
                <w:szCs w:val="21"/>
                <w:highlight w:val="none"/>
              </w:rPr>
            </w:pPr>
            <w:r>
              <w:rPr>
                <w:rFonts w:eastAsia="宋体"/>
                <w:color w:val="auto"/>
                <w:sz w:val="21"/>
                <w:szCs w:val="21"/>
                <w:highlight w:val="none"/>
              </w:rPr>
              <w:t>8000</w:t>
            </w:r>
          </w:p>
        </w:tc>
        <w:tc>
          <w:tcPr>
            <w:tcW w:w="1289" w:type="dxa"/>
            <w:tcBorders>
              <w:tl2br w:val="nil"/>
              <w:tr2bl w:val="nil"/>
            </w:tcBorders>
            <w:vAlign w:val="center"/>
          </w:tcPr>
          <w:p w14:paraId="3FC09A3E">
            <w:pPr>
              <w:pStyle w:val="98"/>
              <w:ind w:left="-105" w:right="-105"/>
              <w:rPr>
                <w:rFonts w:eastAsia="宋体"/>
                <w:color w:val="auto"/>
                <w:sz w:val="21"/>
                <w:szCs w:val="21"/>
                <w:highlight w:val="none"/>
              </w:rPr>
            </w:pPr>
            <w:r>
              <w:rPr>
                <w:rFonts w:eastAsia="宋体"/>
                <w:color w:val="auto"/>
                <w:sz w:val="21"/>
                <w:szCs w:val="21"/>
                <w:highlight w:val="none"/>
              </w:rPr>
              <w:t>36000</w:t>
            </w:r>
          </w:p>
        </w:tc>
      </w:tr>
      <w:tr w14:paraId="3481C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0780F62D">
            <w:pPr>
              <w:pStyle w:val="98"/>
              <w:ind w:left="-105" w:right="-105"/>
              <w:rPr>
                <w:rFonts w:eastAsia="宋体"/>
                <w:color w:val="auto"/>
                <w:sz w:val="21"/>
                <w:szCs w:val="21"/>
                <w:highlight w:val="none"/>
              </w:rPr>
            </w:pPr>
            <w:r>
              <w:rPr>
                <w:rFonts w:eastAsia="宋体"/>
                <w:color w:val="auto"/>
                <w:sz w:val="21"/>
                <w:szCs w:val="21"/>
                <w:highlight w:val="none"/>
              </w:rPr>
              <w:t>5</w:t>
            </w:r>
          </w:p>
        </w:tc>
        <w:tc>
          <w:tcPr>
            <w:tcW w:w="1933" w:type="dxa"/>
            <w:tcBorders>
              <w:tl2br w:val="nil"/>
              <w:tr2bl w:val="nil"/>
            </w:tcBorders>
            <w:vAlign w:val="center"/>
          </w:tcPr>
          <w:p w14:paraId="67AEDDE4">
            <w:pPr>
              <w:pStyle w:val="98"/>
              <w:ind w:left="-105" w:right="-105"/>
              <w:rPr>
                <w:rFonts w:eastAsia="宋体"/>
                <w:color w:val="auto"/>
                <w:sz w:val="21"/>
                <w:szCs w:val="21"/>
                <w:highlight w:val="none"/>
              </w:rPr>
            </w:pPr>
            <w:r>
              <w:rPr>
                <w:rFonts w:eastAsia="宋体"/>
                <w:color w:val="auto"/>
                <w:sz w:val="21"/>
                <w:szCs w:val="21"/>
                <w:highlight w:val="none"/>
              </w:rPr>
              <w:t>铅</w:t>
            </w:r>
          </w:p>
        </w:tc>
        <w:tc>
          <w:tcPr>
            <w:tcW w:w="1323" w:type="dxa"/>
            <w:tcBorders>
              <w:tl2br w:val="nil"/>
              <w:tr2bl w:val="nil"/>
            </w:tcBorders>
            <w:vAlign w:val="center"/>
          </w:tcPr>
          <w:p w14:paraId="5BAC8184">
            <w:pPr>
              <w:pStyle w:val="98"/>
              <w:ind w:left="-105" w:right="-105"/>
              <w:rPr>
                <w:rFonts w:eastAsia="宋体"/>
                <w:color w:val="auto"/>
                <w:sz w:val="21"/>
                <w:szCs w:val="21"/>
                <w:highlight w:val="none"/>
              </w:rPr>
            </w:pPr>
            <w:r>
              <w:rPr>
                <w:rFonts w:eastAsia="宋体"/>
                <w:color w:val="auto"/>
                <w:sz w:val="21"/>
                <w:szCs w:val="21"/>
                <w:highlight w:val="none"/>
              </w:rPr>
              <w:t>7439-92-1</w:t>
            </w:r>
          </w:p>
        </w:tc>
        <w:tc>
          <w:tcPr>
            <w:tcW w:w="1283" w:type="dxa"/>
            <w:tcBorders>
              <w:tl2br w:val="nil"/>
              <w:tr2bl w:val="nil"/>
            </w:tcBorders>
            <w:vAlign w:val="center"/>
          </w:tcPr>
          <w:p w14:paraId="50D55139">
            <w:pPr>
              <w:pStyle w:val="98"/>
              <w:ind w:left="-105" w:right="-105"/>
              <w:rPr>
                <w:rFonts w:eastAsia="宋体"/>
                <w:color w:val="auto"/>
                <w:sz w:val="21"/>
                <w:szCs w:val="21"/>
                <w:highlight w:val="none"/>
              </w:rPr>
            </w:pPr>
            <w:r>
              <w:rPr>
                <w:rFonts w:eastAsia="宋体"/>
                <w:color w:val="auto"/>
                <w:sz w:val="21"/>
                <w:szCs w:val="21"/>
                <w:highlight w:val="none"/>
              </w:rPr>
              <w:t>400</w:t>
            </w:r>
          </w:p>
        </w:tc>
        <w:tc>
          <w:tcPr>
            <w:tcW w:w="1292" w:type="dxa"/>
            <w:tcBorders>
              <w:tl2br w:val="nil"/>
              <w:tr2bl w:val="nil"/>
            </w:tcBorders>
            <w:vAlign w:val="center"/>
          </w:tcPr>
          <w:p w14:paraId="10474EC2">
            <w:pPr>
              <w:pStyle w:val="98"/>
              <w:ind w:left="-105" w:right="-105"/>
              <w:rPr>
                <w:rFonts w:eastAsia="宋体"/>
                <w:color w:val="auto"/>
                <w:sz w:val="21"/>
                <w:szCs w:val="21"/>
                <w:highlight w:val="none"/>
              </w:rPr>
            </w:pPr>
            <w:r>
              <w:rPr>
                <w:rFonts w:eastAsia="宋体"/>
                <w:color w:val="auto"/>
                <w:sz w:val="21"/>
                <w:szCs w:val="21"/>
                <w:highlight w:val="none"/>
              </w:rPr>
              <w:t>800</w:t>
            </w:r>
          </w:p>
        </w:tc>
        <w:tc>
          <w:tcPr>
            <w:tcW w:w="1285" w:type="dxa"/>
            <w:tcBorders>
              <w:tl2br w:val="nil"/>
              <w:tr2bl w:val="nil"/>
            </w:tcBorders>
            <w:vAlign w:val="center"/>
          </w:tcPr>
          <w:p w14:paraId="53826F76">
            <w:pPr>
              <w:pStyle w:val="98"/>
              <w:ind w:left="-105" w:right="-105"/>
              <w:rPr>
                <w:rFonts w:eastAsia="宋体"/>
                <w:color w:val="auto"/>
                <w:sz w:val="21"/>
                <w:szCs w:val="21"/>
                <w:highlight w:val="none"/>
              </w:rPr>
            </w:pPr>
            <w:r>
              <w:rPr>
                <w:rFonts w:eastAsia="宋体"/>
                <w:color w:val="auto"/>
                <w:sz w:val="21"/>
                <w:szCs w:val="21"/>
                <w:highlight w:val="none"/>
              </w:rPr>
              <w:t>800</w:t>
            </w:r>
          </w:p>
        </w:tc>
        <w:tc>
          <w:tcPr>
            <w:tcW w:w="1289" w:type="dxa"/>
            <w:tcBorders>
              <w:tl2br w:val="nil"/>
              <w:tr2bl w:val="nil"/>
            </w:tcBorders>
            <w:vAlign w:val="center"/>
          </w:tcPr>
          <w:p w14:paraId="3335A27F">
            <w:pPr>
              <w:pStyle w:val="98"/>
              <w:ind w:left="-105" w:right="-105"/>
              <w:rPr>
                <w:rFonts w:eastAsia="宋体"/>
                <w:color w:val="auto"/>
                <w:sz w:val="21"/>
                <w:szCs w:val="21"/>
                <w:highlight w:val="none"/>
              </w:rPr>
            </w:pPr>
            <w:r>
              <w:rPr>
                <w:rFonts w:eastAsia="宋体"/>
                <w:color w:val="auto"/>
                <w:sz w:val="21"/>
                <w:szCs w:val="21"/>
                <w:highlight w:val="none"/>
              </w:rPr>
              <w:t>2500</w:t>
            </w:r>
          </w:p>
        </w:tc>
      </w:tr>
      <w:tr w14:paraId="0292D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CC41285">
            <w:pPr>
              <w:pStyle w:val="98"/>
              <w:ind w:left="-105" w:right="-105"/>
              <w:rPr>
                <w:rFonts w:eastAsia="宋体"/>
                <w:color w:val="auto"/>
                <w:sz w:val="21"/>
                <w:szCs w:val="21"/>
                <w:highlight w:val="none"/>
              </w:rPr>
            </w:pPr>
            <w:r>
              <w:rPr>
                <w:rFonts w:eastAsia="宋体"/>
                <w:color w:val="auto"/>
                <w:sz w:val="21"/>
                <w:szCs w:val="21"/>
                <w:highlight w:val="none"/>
              </w:rPr>
              <w:t>6</w:t>
            </w:r>
          </w:p>
        </w:tc>
        <w:tc>
          <w:tcPr>
            <w:tcW w:w="1933" w:type="dxa"/>
            <w:tcBorders>
              <w:tl2br w:val="nil"/>
              <w:tr2bl w:val="nil"/>
            </w:tcBorders>
            <w:vAlign w:val="center"/>
          </w:tcPr>
          <w:p w14:paraId="3F70C411">
            <w:pPr>
              <w:pStyle w:val="98"/>
              <w:ind w:left="-105" w:right="-105"/>
              <w:rPr>
                <w:rFonts w:eastAsia="宋体"/>
                <w:color w:val="auto"/>
                <w:sz w:val="21"/>
                <w:szCs w:val="21"/>
                <w:highlight w:val="none"/>
              </w:rPr>
            </w:pPr>
            <w:r>
              <w:rPr>
                <w:rFonts w:eastAsia="宋体"/>
                <w:color w:val="auto"/>
                <w:sz w:val="21"/>
                <w:szCs w:val="21"/>
                <w:highlight w:val="none"/>
              </w:rPr>
              <w:t>汞</w:t>
            </w:r>
          </w:p>
        </w:tc>
        <w:tc>
          <w:tcPr>
            <w:tcW w:w="1323" w:type="dxa"/>
            <w:tcBorders>
              <w:tl2br w:val="nil"/>
              <w:tr2bl w:val="nil"/>
            </w:tcBorders>
            <w:vAlign w:val="center"/>
          </w:tcPr>
          <w:p w14:paraId="02A93F04">
            <w:pPr>
              <w:pStyle w:val="98"/>
              <w:ind w:left="-105" w:right="-105"/>
              <w:rPr>
                <w:rFonts w:eastAsia="宋体"/>
                <w:color w:val="auto"/>
                <w:sz w:val="21"/>
                <w:szCs w:val="21"/>
                <w:highlight w:val="none"/>
              </w:rPr>
            </w:pPr>
            <w:r>
              <w:rPr>
                <w:rFonts w:eastAsia="宋体"/>
                <w:color w:val="auto"/>
                <w:sz w:val="21"/>
                <w:szCs w:val="21"/>
                <w:highlight w:val="none"/>
              </w:rPr>
              <w:t>7439-97-6</w:t>
            </w:r>
          </w:p>
        </w:tc>
        <w:tc>
          <w:tcPr>
            <w:tcW w:w="1283" w:type="dxa"/>
            <w:tcBorders>
              <w:tl2br w:val="nil"/>
              <w:tr2bl w:val="nil"/>
            </w:tcBorders>
            <w:vAlign w:val="center"/>
          </w:tcPr>
          <w:p w14:paraId="6C71F139">
            <w:pPr>
              <w:pStyle w:val="98"/>
              <w:ind w:left="-105" w:right="-105"/>
              <w:rPr>
                <w:rFonts w:eastAsia="宋体"/>
                <w:color w:val="auto"/>
                <w:sz w:val="21"/>
                <w:szCs w:val="21"/>
                <w:highlight w:val="none"/>
              </w:rPr>
            </w:pPr>
            <w:r>
              <w:rPr>
                <w:rFonts w:eastAsia="宋体"/>
                <w:color w:val="auto"/>
                <w:sz w:val="21"/>
                <w:szCs w:val="21"/>
                <w:highlight w:val="none"/>
              </w:rPr>
              <w:t>8</w:t>
            </w:r>
          </w:p>
        </w:tc>
        <w:tc>
          <w:tcPr>
            <w:tcW w:w="1292" w:type="dxa"/>
            <w:tcBorders>
              <w:tl2br w:val="nil"/>
              <w:tr2bl w:val="nil"/>
            </w:tcBorders>
            <w:vAlign w:val="center"/>
          </w:tcPr>
          <w:p w14:paraId="0EF5A6C1">
            <w:pPr>
              <w:pStyle w:val="98"/>
              <w:ind w:left="-105" w:right="-105"/>
              <w:rPr>
                <w:rFonts w:eastAsia="宋体"/>
                <w:color w:val="auto"/>
                <w:sz w:val="21"/>
                <w:szCs w:val="21"/>
                <w:highlight w:val="none"/>
              </w:rPr>
            </w:pPr>
            <w:r>
              <w:rPr>
                <w:rFonts w:eastAsia="宋体"/>
                <w:color w:val="auto"/>
                <w:sz w:val="21"/>
                <w:szCs w:val="21"/>
                <w:highlight w:val="none"/>
              </w:rPr>
              <w:t>38</w:t>
            </w:r>
          </w:p>
        </w:tc>
        <w:tc>
          <w:tcPr>
            <w:tcW w:w="1285" w:type="dxa"/>
            <w:tcBorders>
              <w:tl2br w:val="nil"/>
              <w:tr2bl w:val="nil"/>
            </w:tcBorders>
            <w:vAlign w:val="center"/>
          </w:tcPr>
          <w:p w14:paraId="006F347E">
            <w:pPr>
              <w:pStyle w:val="98"/>
              <w:ind w:left="-105" w:right="-105"/>
              <w:rPr>
                <w:rFonts w:eastAsia="宋体"/>
                <w:color w:val="auto"/>
                <w:sz w:val="21"/>
                <w:szCs w:val="21"/>
                <w:highlight w:val="none"/>
              </w:rPr>
            </w:pPr>
            <w:r>
              <w:rPr>
                <w:rFonts w:eastAsia="宋体"/>
                <w:color w:val="auto"/>
                <w:sz w:val="21"/>
                <w:szCs w:val="21"/>
                <w:highlight w:val="none"/>
              </w:rPr>
              <w:t>33</w:t>
            </w:r>
          </w:p>
        </w:tc>
        <w:tc>
          <w:tcPr>
            <w:tcW w:w="1289" w:type="dxa"/>
            <w:tcBorders>
              <w:tl2br w:val="nil"/>
              <w:tr2bl w:val="nil"/>
            </w:tcBorders>
            <w:vAlign w:val="center"/>
          </w:tcPr>
          <w:p w14:paraId="1E1C0885">
            <w:pPr>
              <w:pStyle w:val="98"/>
              <w:ind w:left="-105" w:right="-105"/>
              <w:rPr>
                <w:rFonts w:eastAsia="宋体"/>
                <w:color w:val="auto"/>
                <w:sz w:val="21"/>
                <w:szCs w:val="21"/>
                <w:highlight w:val="none"/>
              </w:rPr>
            </w:pPr>
            <w:r>
              <w:rPr>
                <w:rFonts w:eastAsia="宋体"/>
                <w:color w:val="auto"/>
                <w:sz w:val="21"/>
                <w:szCs w:val="21"/>
                <w:highlight w:val="none"/>
              </w:rPr>
              <w:t>82</w:t>
            </w:r>
          </w:p>
        </w:tc>
      </w:tr>
      <w:tr w14:paraId="0D721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046BE61">
            <w:pPr>
              <w:pStyle w:val="98"/>
              <w:ind w:left="-105" w:right="-105"/>
              <w:rPr>
                <w:rFonts w:eastAsia="宋体"/>
                <w:color w:val="auto"/>
                <w:sz w:val="21"/>
                <w:szCs w:val="21"/>
                <w:highlight w:val="none"/>
              </w:rPr>
            </w:pPr>
            <w:r>
              <w:rPr>
                <w:rFonts w:eastAsia="宋体"/>
                <w:color w:val="auto"/>
                <w:sz w:val="21"/>
                <w:szCs w:val="21"/>
                <w:highlight w:val="none"/>
              </w:rPr>
              <w:t>7</w:t>
            </w:r>
          </w:p>
        </w:tc>
        <w:tc>
          <w:tcPr>
            <w:tcW w:w="1933" w:type="dxa"/>
            <w:tcBorders>
              <w:tl2br w:val="nil"/>
              <w:tr2bl w:val="nil"/>
            </w:tcBorders>
            <w:vAlign w:val="center"/>
          </w:tcPr>
          <w:p w14:paraId="295070A6">
            <w:pPr>
              <w:pStyle w:val="98"/>
              <w:ind w:left="-105" w:right="-105"/>
              <w:rPr>
                <w:rFonts w:eastAsia="宋体"/>
                <w:color w:val="auto"/>
                <w:sz w:val="21"/>
                <w:szCs w:val="21"/>
                <w:highlight w:val="none"/>
              </w:rPr>
            </w:pPr>
            <w:r>
              <w:rPr>
                <w:rFonts w:eastAsia="宋体"/>
                <w:color w:val="auto"/>
                <w:sz w:val="21"/>
                <w:szCs w:val="21"/>
                <w:highlight w:val="none"/>
              </w:rPr>
              <w:t>镍</w:t>
            </w:r>
          </w:p>
        </w:tc>
        <w:tc>
          <w:tcPr>
            <w:tcW w:w="1323" w:type="dxa"/>
            <w:tcBorders>
              <w:tl2br w:val="nil"/>
              <w:tr2bl w:val="nil"/>
            </w:tcBorders>
            <w:vAlign w:val="center"/>
          </w:tcPr>
          <w:p w14:paraId="774EDCEB">
            <w:pPr>
              <w:pStyle w:val="98"/>
              <w:ind w:left="-105" w:right="-105"/>
              <w:rPr>
                <w:rFonts w:eastAsia="宋体"/>
                <w:color w:val="auto"/>
                <w:sz w:val="21"/>
                <w:szCs w:val="21"/>
                <w:highlight w:val="none"/>
              </w:rPr>
            </w:pPr>
            <w:r>
              <w:rPr>
                <w:rFonts w:eastAsia="宋体"/>
                <w:color w:val="auto"/>
                <w:sz w:val="21"/>
                <w:szCs w:val="21"/>
                <w:highlight w:val="none"/>
              </w:rPr>
              <w:t>7440-02-0</w:t>
            </w:r>
          </w:p>
        </w:tc>
        <w:tc>
          <w:tcPr>
            <w:tcW w:w="1283" w:type="dxa"/>
            <w:tcBorders>
              <w:tl2br w:val="nil"/>
              <w:tr2bl w:val="nil"/>
            </w:tcBorders>
            <w:vAlign w:val="center"/>
          </w:tcPr>
          <w:p w14:paraId="3333B2CF">
            <w:pPr>
              <w:pStyle w:val="98"/>
              <w:ind w:left="-105" w:right="-105"/>
              <w:rPr>
                <w:rFonts w:eastAsia="宋体"/>
                <w:color w:val="auto"/>
                <w:sz w:val="21"/>
                <w:szCs w:val="21"/>
                <w:highlight w:val="none"/>
              </w:rPr>
            </w:pPr>
            <w:r>
              <w:rPr>
                <w:rFonts w:eastAsia="宋体"/>
                <w:color w:val="auto"/>
                <w:sz w:val="21"/>
                <w:szCs w:val="21"/>
                <w:highlight w:val="none"/>
              </w:rPr>
              <w:t>150</w:t>
            </w:r>
          </w:p>
        </w:tc>
        <w:tc>
          <w:tcPr>
            <w:tcW w:w="1292" w:type="dxa"/>
            <w:tcBorders>
              <w:tl2br w:val="nil"/>
              <w:tr2bl w:val="nil"/>
            </w:tcBorders>
            <w:vAlign w:val="center"/>
          </w:tcPr>
          <w:p w14:paraId="02FEE6C3">
            <w:pPr>
              <w:pStyle w:val="98"/>
              <w:ind w:left="-105" w:right="-105"/>
              <w:rPr>
                <w:rFonts w:eastAsia="宋体"/>
                <w:color w:val="auto"/>
                <w:sz w:val="21"/>
                <w:szCs w:val="21"/>
                <w:highlight w:val="none"/>
              </w:rPr>
            </w:pPr>
            <w:r>
              <w:rPr>
                <w:rFonts w:eastAsia="宋体"/>
                <w:color w:val="auto"/>
                <w:sz w:val="21"/>
                <w:szCs w:val="21"/>
                <w:highlight w:val="none"/>
              </w:rPr>
              <w:t>900</w:t>
            </w:r>
          </w:p>
        </w:tc>
        <w:tc>
          <w:tcPr>
            <w:tcW w:w="1285" w:type="dxa"/>
            <w:tcBorders>
              <w:tl2br w:val="nil"/>
              <w:tr2bl w:val="nil"/>
            </w:tcBorders>
            <w:vAlign w:val="center"/>
          </w:tcPr>
          <w:p w14:paraId="4F861E0E">
            <w:pPr>
              <w:pStyle w:val="98"/>
              <w:ind w:left="-105" w:right="-105"/>
              <w:rPr>
                <w:rFonts w:eastAsia="宋体"/>
                <w:color w:val="auto"/>
                <w:sz w:val="21"/>
                <w:szCs w:val="21"/>
                <w:highlight w:val="none"/>
              </w:rPr>
            </w:pPr>
            <w:r>
              <w:rPr>
                <w:rFonts w:eastAsia="宋体"/>
                <w:color w:val="auto"/>
                <w:sz w:val="21"/>
                <w:szCs w:val="21"/>
                <w:highlight w:val="none"/>
              </w:rPr>
              <w:t>600</w:t>
            </w:r>
          </w:p>
        </w:tc>
        <w:tc>
          <w:tcPr>
            <w:tcW w:w="1289" w:type="dxa"/>
            <w:tcBorders>
              <w:tl2br w:val="nil"/>
              <w:tr2bl w:val="nil"/>
            </w:tcBorders>
            <w:vAlign w:val="center"/>
          </w:tcPr>
          <w:p w14:paraId="7A06A740">
            <w:pPr>
              <w:pStyle w:val="98"/>
              <w:ind w:left="-105" w:right="-105"/>
              <w:rPr>
                <w:rFonts w:eastAsia="宋体"/>
                <w:color w:val="auto"/>
                <w:sz w:val="21"/>
                <w:szCs w:val="21"/>
                <w:highlight w:val="none"/>
              </w:rPr>
            </w:pPr>
            <w:r>
              <w:rPr>
                <w:rFonts w:eastAsia="宋体"/>
                <w:color w:val="auto"/>
                <w:sz w:val="21"/>
                <w:szCs w:val="21"/>
                <w:highlight w:val="none"/>
              </w:rPr>
              <w:t>2000</w:t>
            </w:r>
          </w:p>
        </w:tc>
      </w:tr>
      <w:tr w14:paraId="628CA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5" w:type="dxa"/>
            <w:gridSpan w:val="7"/>
            <w:tcBorders>
              <w:tl2br w:val="nil"/>
              <w:tr2bl w:val="nil"/>
            </w:tcBorders>
            <w:vAlign w:val="center"/>
          </w:tcPr>
          <w:p w14:paraId="745760FC">
            <w:pPr>
              <w:pStyle w:val="98"/>
              <w:ind w:left="-105" w:right="-105"/>
              <w:rPr>
                <w:rFonts w:eastAsia="宋体"/>
                <w:b/>
                <w:bCs/>
                <w:color w:val="auto"/>
                <w:sz w:val="21"/>
                <w:szCs w:val="21"/>
                <w:highlight w:val="none"/>
              </w:rPr>
            </w:pPr>
            <w:r>
              <w:rPr>
                <w:rFonts w:eastAsia="宋体"/>
                <w:b/>
                <w:bCs/>
                <w:color w:val="auto"/>
                <w:sz w:val="21"/>
                <w:szCs w:val="21"/>
                <w:highlight w:val="none"/>
              </w:rPr>
              <w:t>挥发性有机物</w:t>
            </w:r>
          </w:p>
        </w:tc>
      </w:tr>
      <w:tr w14:paraId="11FB7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DEC7076">
            <w:pPr>
              <w:pStyle w:val="98"/>
              <w:ind w:left="-105" w:right="-105"/>
              <w:rPr>
                <w:rFonts w:eastAsia="宋体"/>
                <w:color w:val="auto"/>
                <w:sz w:val="21"/>
                <w:szCs w:val="21"/>
                <w:highlight w:val="none"/>
              </w:rPr>
            </w:pPr>
            <w:r>
              <w:rPr>
                <w:rFonts w:eastAsia="宋体"/>
                <w:color w:val="auto"/>
                <w:sz w:val="21"/>
                <w:szCs w:val="21"/>
                <w:highlight w:val="none"/>
              </w:rPr>
              <w:t>8</w:t>
            </w:r>
          </w:p>
        </w:tc>
        <w:tc>
          <w:tcPr>
            <w:tcW w:w="1933" w:type="dxa"/>
            <w:tcBorders>
              <w:tl2br w:val="nil"/>
              <w:tr2bl w:val="nil"/>
            </w:tcBorders>
            <w:vAlign w:val="center"/>
          </w:tcPr>
          <w:p w14:paraId="7E5075EB">
            <w:pPr>
              <w:pStyle w:val="98"/>
              <w:ind w:left="-105" w:right="-105"/>
              <w:rPr>
                <w:rFonts w:eastAsia="宋体"/>
                <w:color w:val="auto"/>
                <w:sz w:val="21"/>
                <w:szCs w:val="21"/>
                <w:highlight w:val="none"/>
              </w:rPr>
            </w:pPr>
            <w:r>
              <w:rPr>
                <w:rFonts w:eastAsia="宋体"/>
                <w:color w:val="auto"/>
                <w:sz w:val="21"/>
                <w:szCs w:val="21"/>
                <w:highlight w:val="none"/>
              </w:rPr>
              <w:t>四氯化碳</w:t>
            </w:r>
          </w:p>
        </w:tc>
        <w:tc>
          <w:tcPr>
            <w:tcW w:w="1323" w:type="dxa"/>
            <w:tcBorders>
              <w:tl2br w:val="nil"/>
              <w:tr2bl w:val="nil"/>
            </w:tcBorders>
            <w:vAlign w:val="center"/>
          </w:tcPr>
          <w:p w14:paraId="33EACA12">
            <w:pPr>
              <w:pStyle w:val="98"/>
              <w:ind w:left="-105" w:right="-105"/>
              <w:rPr>
                <w:rFonts w:eastAsia="宋体"/>
                <w:color w:val="auto"/>
                <w:sz w:val="21"/>
                <w:szCs w:val="21"/>
                <w:highlight w:val="none"/>
              </w:rPr>
            </w:pPr>
            <w:r>
              <w:rPr>
                <w:rFonts w:eastAsia="宋体"/>
                <w:color w:val="auto"/>
                <w:sz w:val="21"/>
                <w:szCs w:val="21"/>
                <w:highlight w:val="none"/>
              </w:rPr>
              <w:t>56-23-5</w:t>
            </w:r>
          </w:p>
        </w:tc>
        <w:tc>
          <w:tcPr>
            <w:tcW w:w="1283" w:type="dxa"/>
            <w:tcBorders>
              <w:tl2br w:val="nil"/>
              <w:tr2bl w:val="nil"/>
            </w:tcBorders>
            <w:vAlign w:val="center"/>
          </w:tcPr>
          <w:p w14:paraId="18A38DF2">
            <w:pPr>
              <w:pStyle w:val="98"/>
              <w:ind w:left="-105" w:right="-105"/>
              <w:rPr>
                <w:rFonts w:eastAsia="宋体"/>
                <w:color w:val="auto"/>
                <w:sz w:val="21"/>
                <w:szCs w:val="21"/>
                <w:highlight w:val="none"/>
              </w:rPr>
            </w:pPr>
            <w:r>
              <w:rPr>
                <w:rFonts w:eastAsia="宋体"/>
                <w:color w:val="auto"/>
                <w:sz w:val="21"/>
                <w:szCs w:val="21"/>
                <w:highlight w:val="none"/>
              </w:rPr>
              <w:t>0.9</w:t>
            </w:r>
          </w:p>
        </w:tc>
        <w:tc>
          <w:tcPr>
            <w:tcW w:w="1292" w:type="dxa"/>
            <w:tcBorders>
              <w:tl2br w:val="nil"/>
              <w:tr2bl w:val="nil"/>
            </w:tcBorders>
            <w:vAlign w:val="center"/>
          </w:tcPr>
          <w:p w14:paraId="29E15DD9">
            <w:pPr>
              <w:pStyle w:val="98"/>
              <w:ind w:left="-105" w:right="-105"/>
              <w:rPr>
                <w:rFonts w:eastAsia="宋体"/>
                <w:color w:val="auto"/>
                <w:sz w:val="21"/>
                <w:szCs w:val="21"/>
                <w:highlight w:val="none"/>
              </w:rPr>
            </w:pPr>
            <w:r>
              <w:rPr>
                <w:rFonts w:eastAsia="宋体"/>
                <w:color w:val="auto"/>
                <w:sz w:val="21"/>
                <w:szCs w:val="21"/>
                <w:highlight w:val="none"/>
              </w:rPr>
              <w:t>2.8</w:t>
            </w:r>
          </w:p>
        </w:tc>
        <w:tc>
          <w:tcPr>
            <w:tcW w:w="1285" w:type="dxa"/>
            <w:tcBorders>
              <w:tl2br w:val="nil"/>
              <w:tr2bl w:val="nil"/>
            </w:tcBorders>
            <w:vAlign w:val="center"/>
          </w:tcPr>
          <w:p w14:paraId="23494211">
            <w:pPr>
              <w:pStyle w:val="98"/>
              <w:ind w:left="-105" w:right="-105"/>
              <w:rPr>
                <w:rFonts w:eastAsia="宋体"/>
                <w:color w:val="auto"/>
                <w:sz w:val="21"/>
                <w:szCs w:val="21"/>
                <w:highlight w:val="none"/>
              </w:rPr>
            </w:pPr>
            <w:r>
              <w:rPr>
                <w:rFonts w:eastAsia="宋体"/>
                <w:color w:val="auto"/>
                <w:sz w:val="21"/>
                <w:szCs w:val="21"/>
                <w:highlight w:val="none"/>
              </w:rPr>
              <w:t>9</w:t>
            </w:r>
          </w:p>
        </w:tc>
        <w:tc>
          <w:tcPr>
            <w:tcW w:w="1289" w:type="dxa"/>
            <w:tcBorders>
              <w:tl2br w:val="nil"/>
              <w:tr2bl w:val="nil"/>
            </w:tcBorders>
            <w:vAlign w:val="center"/>
          </w:tcPr>
          <w:p w14:paraId="1A6E7C3D">
            <w:pPr>
              <w:pStyle w:val="98"/>
              <w:ind w:left="-105" w:right="-105"/>
              <w:rPr>
                <w:rFonts w:eastAsia="宋体"/>
                <w:color w:val="auto"/>
                <w:sz w:val="21"/>
                <w:szCs w:val="21"/>
                <w:highlight w:val="none"/>
              </w:rPr>
            </w:pPr>
            <w:r>
              <w:rPr>
                <w:rFonts w:eastAsia="宋体"/>
                <w:color w:val="auto"/>
                <w:sz w:val="21"/>
                <w:szCs w:val="21"/>
                <w:highlight w:val="none"/>
              </w:rPr>
              <w:t>36</w:t>
            </w:r>
          </w:p>
        </w:tc>
      </w:tr>
      <w:tr w14:paraId="21E33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645DDC99">
            <w:pPr>
              <w:pStyle w:val="98"/>
              <w:ind w:left="-105" w:right="-105"/>
              <w:rPr>
                <w:rFonts w:eastAsia="宋体"/>
                <w:color w:val="auto"/>
                <w:sz w:val="21"/>
                <w:szCs w:val="21"/>
                <w:highlight w:val="none"/>
              </w:rPr>
            </w:pPr>
            <w:r>
              <w:rPr>
                <w:rFonts w:eastAsia="宋体"/>
                <w:color w:val="auto"/>
                <w:sz w:val="21"/>
                <w:szCs w:val="21"/>
                <w:highlight w:val="none"/>
              </w:rPr>
              <w:t>9</w:t>
            </w:r>
          </w:p>
        </w:tc>
        <w:tc>
          <w:tcPr>
            <w:tcW w:w="1933" w:type="dxa"/>
            <w:tcBorders>
              <w:tl2br w:val="nil"/>
              <w:tr2bl w:val="nil"/>
            </w:tcBorders>
            <w:vAlign w:val="center"/>
          </w:tcPr>
          <w:p w14:paraId="3FF38860">
            <w:pPr>
              <w:pStyle w:val="98"/>
              <w:ind w:left="-105" w:right="-105"/>
              <w:rPr>
                <w:rFonts w:eastAsia="宋体"/>
                <w:color w:val="auto"/>
                <w:sz w:val="21"/>
                <w:szCs w:val="21"/>
                <w:highlight w:val="none"/>
              </w:rPr>
            </w:pPr>
            <w:r>
              <w:rPr>
                <w:rFonts w:eastAsia="宋体"/>
                <w:color w:val="auto"/>
                <w:sz w:val="21"/>
                <w:szCs w:val="21"/>
                <w:highlight w:val="none"/>
              </w:rPr>
              <w:t>氯仿</w:t>
            </w:r>
          </w:p>
        </w:tc>
        <w:tc>
          <w:tcPr>
            <w:tcW w:w="1323" w:type="dxa"/>
            <w:tcBorders>
              <w:tl2br w:val="nil"/>
              <w:tr2bl w:val="nil"/>
            </w:tcBorders>
            <w:vAlign w:val="center"/>
          </w:tcPr>
          <w:p w14:paraId="13E81D9C">
            <w:pPr>
              <w:pStyle w:val="98"/>
              <w:ind w:left="-105" w:right="-105"/>
              <w:rPr>
                <w:rFonts w:eastAsia="宋体"/>
                <w:color w:val="auto"/>
                <w:sz w:val="21"/>
                <w:szCs w:val="21"/>
                <w:highlight w:val="none"/>
              </w:rPr>
            </w:pPr>
            <w:r>
              <w:rPr>
                <w:rFonts w:eastAsia="宋体"/>
                <w:color w:val="auto"/>
                <w:sz w:val="21"/>
                <w:szCs w:val="21"/>
                <w:highlight w:val="none"/>
              </w:rPr>
              <w:t>67-66-3</w:t>
            </w:r>
          </w:p>
        </w:tc>
        <w:tc>
          <w:tcPr>
            <w:tcW w:w="1283" w:type="dxa"/>
            <w:tcBorders>
              <w:tl2br w:val="nil"/>
              <w:tr2bl w:val="nil"/>
            </w:tcBorders>
            <w:vAlign w:val="center"/>
          </w:tcPr>
          <w:p w14:paraId="744AE6DC">
            <w:pPr>
              <w:pStyle w:val="98"/>
              <w:ind w:left="-105" w:right="-105"/>
              <w:rPr>
                <w:rFonts w:eastAsia="宋体"/>
                <w:color w:val="auto"/>
                <w:sz w:val="21"/>
                <w:szCs w:val="21"/>
                <w:highlight w:val="none"/>
              </w:rPr>
            </w:pPr>
            <w:r>
              <w:rPr>
                <w:rFonts w:eastAsia="宋体"/>
                <w:color w:val="auto"/>
                <w:sz w:val="21"/>
                <w:szCs w:val="21"/>
                <w:highlight w:val="none"/>
              </w:rPr>
              <w:t>0.3</w:t>
            </w:r>
          </w:p>
        </w:tc>
        <w:tc>
          <w:tcPr>
            <w:tcW w:w="1292" w:type="dxa"/>
            <w:tcBorders>
              <w:tl2br w:val="nil"/>
              <w:tr2bl w:val="nil"/>
            </w:tcBorders>
            <w:vAlign w:val="center"/>
          </w:tcPr>
          <w:p w14:paraId="739262A9">
            <w:pPr>
              <w:pStyle w:val="98"/>
              <w:ind w:left="-105" w:right="-105"/>
              <w:rPr>
                <w:rFonts w:eastAsia="宋体"/>
                <w:color w:val="auto"/>
                <w:sz w:val="21"/>
                <w:szCs w:val="21"/>
                <w:highlight w:val="none"/>
              </w:rPr>
            </w:pPr>
            <w:r>
              <w:rPr>
                <w:rFonts w:eastAsia="宋体"/>
                <w:color w:val="auto"/>
                <w:sz w:val="21"/>
                <w:szCs w:val="21"/>
                <w:highlight w:val="none"/>
              </w:rPr>
              <w:t>0.9</w:t>
            </w:r>
          </w:p>
        </w:tc>
        <w:tc>
          <w:tcPr>
            <w:tcW w:w="1285" w:type="dxa"/>
            <w:tcBorders>
              <w:tl2br w:val="nil"/>
              <w:tr2bl w:val="nil"/>
            </w:tcBorders>
            <w:vAlign w:val="center"/>
          </w:tcPr>
          <w:p w14:paraId="20686308">
            <w:pPr>
              <w:pStyle w:val="98"/>
              <w:ind w:left="-105" w:right="-105"/>
              <w:rPr>
                <w:rFonts w:eastAsia="宋体"/>
                <w:color w:val="auto"/>
                <w:sz w:val="21"/>
                <w:szCs w:val="21"/>
                <w:highlight w:val="none"/>
              </w:rPr>
            </w:pPr>
            <w:r>
              <w:rPr>
                <w:rFonts w:eastAsia="宋体"/>
                <w:color w:val="auto"/>
                <w:sz w:val="21"/>
                <w:szCs w:val="21"/>
                <w:highlight w:val="none"/>
              </w:rPr>
              <w:t>5</w:t>
            </w:r>
          </w:p>
        </w:tc>
        <w:tc>
          <w:tcPr>
            <w:tcW w:w="1289" w:type="dxa"/>
            <w:tcBorders>
              <w:tl2br w:val="nil"/>
              <w:tr2bl w:val="nil"/>
            </w:tcBorders>
            <w:vAlign w:val="center"/>
          </w:tcPr>
          <w:p w14:paraId="48311A98">
            <w:pPr>
              <w:pStyle w:val="98"/>
              <w:ind w:left="-105" w:right="-105"/>
              <w:rPr>
                <w:rFonts w:eastAsia="宋体"/>
                <w:color w:val="auto"/>
                <w:sz w:val="21"/>
                <w:szCs w:val="21"/>
                <w:highlight w:val="none"/>
              </w:rPr>
            </w:pPr>
            <w:r>
              <w:rPr>
                <w:rFonts w:eastAsia="宋体"/>
                <w:color w:val="auto"/>
                <w:sz w:val="21"/>
                <w:szCs w:val="21"/>
                <w:highlight w:val="none"/>
              </w:rPr>
              <w:t>10</w:t>
            </w:r>
          </w:p>
        </w:tc>
      </w:tr>
      <w:tr w14:paraId="7D0B8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2E822546">
            <w:pPr>
              <w:pStyle w:val="98"/>
              <w:ind w:left="-105" w:right="-105"/>
              <w:rPr>
                <w:rFonts w:eastAsia="宋体"/>
                <w:color w:val="auto"/>
                <w:sz w:val="21"/>
                <w:szCs w:val="21"/>
                <w:highlight w:val="none"/>
              </w:rPr>
            </w:pPr>
            <w:r>
              <w:rPr>
                <w:rFonts w:eastAsia="宋体"/>
                <w:color w:val="auto"/>
                <w:sz w:val="21"/>
                <w:szCs w:val="21"/>
                <w:highlight w:val="none"/>
              </w:rPr>
              <w:t>10</w:t>
            </w:r>
          </w:p>
        </w:tc>
        <w:tc>
          <w:tcPr>
            <w:tcW w:w="1933" w:type="dxa"/>
            <w:tcBorders>
              <w:tl2br w:val="nil"/>
              <w:tr2bl w:val="nil"/>
            </w:tcBorders>
            <w:vAlign w:val="center"/>
          </w:tcPr>
          <w:p w14:paraId="72C381A3">
            <w:pPr>
              <w:pStyle w:val="98"/>
              <w:ind w:left="-105" w:right="-105"/>
              <w:rPr>
                <w:rFonts w:eastAsia="宋体"/>
                <w:color w:val="auto"/>
                <w:sz w:val="21"/>
                <w:szCs w:val="21"/>
                <w:highlight w:val="none"/>
              </w:rPr>
            </w:pPr>
            <w:r>
              <w:rPr>
                <w:rFonts w:eastAsia="宋体"/>
                <w:color w:val="auto"/>
                <w:sz w:val="21"/>
                <w:szCs w:val="21"/>
                <w:highlight w:val="none"/>
              </w:rPr>
              <w:t>氯甲烷</w:t>
            </w:r>
          </w:p>
        </w:tc>
        <w:tc>
          <w:tcPr>
            <w:tcW w:w="1323" w:type="dxa"/>
            <w:tcBorders>
              <w:tl2br w:val="nil"/>
              <w:tr2bl w:val="nil"/>
            </w:tcBorders>
            <w:vAlign w:val="center"/>
          </w:tcPr>
          <w:p w14:paraId="4304F880">
            <w:pPr>
              <w:pStyle w:val="98"/>
              <w:ind w:left="-105" w:right="-105"/>
              <w:rPr>
                <w:rFonts w:eastAsia="宋体"/>
                <w:color w:val="auto"/>
                <w:sz w:val="21"/>
                <w:szCs w:val="21"/>
                <w:highlight w:val="none"/>
              </w:rPr>
            </w:pPr>
            <w:r>
              <w:rPr>
                <w:rFonts w:eastAsia="宋体"/>
                <w:color w:val="auto"/>
                <w:sz w:val="21"/>
                <w:szCs w:val="21"/>
                <w:highlight w:val="none"/>
              </w:rPr>
              <w:t>74-87-3</w:t>
            </w:r>
          </w:p>
        </w:tc>
        <w:tc>
          <w:tcPr>
            <w:tcW w:w="1283" w:type="dxa"/>
            <w:tcBorders>
              <w:tl2br w:val="nil"/>
              <w:tr2bl w:val="nil"/>
            </w:tcBorders>
            <w:vAlign w:val="center"/>
          </w:tcPr>
          <w:p w14:paraId="46A0A76C">
            <w:pPr>
              <w:pStyle w:val="98"/>
              <w:ind w:left="-105" w:right="-105"/>
              <w:rPr>
                <w:rFonts w:eastAsia="宋体"/>
                <w:color w:val="auto"/>
                <w:sz w:val="21"/>
                <w:szCs w:val="21"/>
                <w:highlight w:val="none"/>
              </w:rPr>
            </w:pPr>
            <w:r>
              <w:rPr>
                <w:rFonts w:eastAsia="宋体"/>
                <w:color w:val="auto"/>
                <w:sz w:val="21"/>
                <w:szCs w:val="21"/>
                <w:highlight w:val="none"/>
              </w:rPr>
              <w:t>12</w:t>
            </w:r>
          </w:p>
        </w:tc>
        <w:tc>
          <w:tcPr>
            <w:tcW w:w="1292" w:type="dxa"/>
            <w:tcBorders>
              <w:tl2br w:val="nil"/>
              <w:tr2bl w:val="nil"/>
            </w:tcBorders>
            <w:vAlign w:val="center"/>
          </w:tcPr>
          <w:p w14:paraId="4D7485DD">
            <w:pPr>
              <w:pStyle w:val="98"/>
              <w:ind w:left="-105" w:right="-105"/>
              <w:rPr>
                <w:rFonts w:eastAsia="宋体"/>
                <w:color w:val="auto"/>
                <w:sz w:val="21"/>
                <w:szCs w:val="21"/>
                <w:highlight w:val="none"/>
              </w:rPr>
            </w:pPr>
            <w:r>
              <w:rPr>
                <w:rFonts w:eastAsia="宋体"/>
                <w:color w:val="auto"/>
                <w:sz w:val="21"/>
                <w:szCs w:val="21"/>
                <w:highlight w:val="none"/>
              </w:rPr>
              <w:t>37</w:t>
            </w:r>
          </w:p>
        </w:tc>
        <w:tc>
          <w:tcPr>
            <w:tcW w:w="1285" w:type="dxa"/>
            <w:tcBorders>
              <w:tl2br w:val="nil"/>
              <w:tr2bl w:val="nil"/>
            </w:tcBorders>
            <w:vAlign w:val="center"/>
          </w:tcPr>
          <w:p w14:paraId="47174253">
            <w:pPr>
              <w:pStyle w:val="98"/>
              <w:ind w:left="-105" w:right="-105"/>
              <w:rPr>
                <w:rFonts w:eastAsia="宋体"/>
                <w:color w:val="auto"/>
                <w:sz w:val="21"/>
                <w:szCs w:val="21"/>
                <w:highlight w:val="none"/>
              </w:rPr>
            </w:pPr>
            <w:r>
              <w:rPr>
                <w:rFonts w:eastAsia="宋体"/>
                <w:color w:val="auto"/>
                <w:sz w:val="21"/>
                <w:szCs w:val="21"/>
                <w:highlight w:val="none"/>
              </w:rPr>
              <w:t>21</w:t>
            </w:r>
          </w:p>
        </w:tc>
        <w:tc>
          <w:tcPr>
            <w:tcW w:w="1289" w:type="dxa"/>
            <w:tcBorders>
              <w:tl2br w:val="nil"/>
              <w:tr2bl w:val="nil"/>
            </w:tcBorders>
            <w:vAlign w:val="center"/>
          </w:tcPr>
          <w:p w14:paraId="17443940">
            <w:pPr>
              <w:pStyle w:val="98"/>
              <w:ind w:left="-105" w:right="-105"/>
              <w:rPr>
                <w:rFonts w:eastAsia="宋体"/>
                <w:color w:val="auto"/>
                <w:sz w:val="21"/>
                <w:szCs w:val="21"/>
                <w:highlight w:val="none"/>
              </w:rPr>
            </w:pPr>
            <w:r>
              <w:rPr>
                <w:rFonts w:eastAsia="宋体"/>
                <w:color w:val="auto"/>
                <w:sz w:val="21"/>
                <w:szCs w:val="21"/>
                <w:highlight w:val="none"/>
              </w:rPr>
              <w:t>120</w:t>
            </w:r>
          </w:p>
        </w:tc>
      </w:tr>
      <w:tr w14:paraId="0CBB8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1493BF96">
            <w:pPr>
              <w:pStyle w:val="98"/>
              <w:ind w:left="-105" w:right="-105"/>
              <w:rPr>
                <w:rFonts w:eastAsia="宋体"/>
                <w:color w:val="auto"/>
                <w:sz w:val="21"/>
                <w:szCs w:val="21"/>
                <w:highlight w:val="none"/>
              </w:rPr>
            </w:pPr>
            <w:r>
              <w:rPr>
                <w:rFonts w:eastAsia="宋体"/>
                <w:color w:val="auto"/>
                <w:sz w:val="21"/>
                <w:szCs w:val="21"/>
                <w:highlight w:val="none"/>
              </w:rPr>
              <w:t>11</w:t>
            </w:r>
          </w:p>
        </w:tc>
        <w:tc>
          <w:tcPr>
            <w:tcW w:w="1933" w:type="dxa"/>
            <w:tcBorders>
              <w:tl2br w:val="nil"/>
              <w:tr2bl w:val="nil"/>
            </w:tcBorders>
            <w:vAlign w:val="center"/>
          </w:tcPr>
          <w:p w14:paraId="686EE676">
            <w:pPr>
              <w:pStyle w:val="98"/>
              <w:ind w:left="-105" w:right="-105"/>
              <w:rPr>
                <w:rFonts w:eastAsia="宋体"/>
                <w:color w:val="auto"/>
                <w:sz w:val="21"/>
                <w:szCs w:val="21"/>
                <w:highlight w:val="none"/>
              </w:rPr>
            </w:pPr>
            <w:r>
              <w:rPr>
                <w:rFonts w:eastAsia="宋体"/>
                <w:color w:val="auto"/>
                <w:sz w:val="21"/>
                <w:szCs w:val="21"/>
                <w:highlight w:val="none"/>
              </w:rPr>
              <w:t>1，1-二氯乙烷</w:t>
            </w:r>
          </w:p>
        </w:tc>
        <w:tc>
          <w:tcPr>
            <w:tcW w:w="1323" w:type="dxa"/>
            <w:tcBorders>
              <w:tl2br w:val="nil"/>
              <w:tr2bl w:val="nil"/>
            </w:tcBorders>
            <w:vAlign w:val="center"/>
          </w:tcPr>
          <w:p w14:paraId="3927CBFC">
            <w:pPr>
              <w:pStyle w:val="98"/>
              <w:ind w:left="-105" w:right="-105"/>
              <w:rPr>
                <w:rFonts w:eastAsia="宋体"/>
                <w:color w:val="auto"/>
                <w:sz w:val="21"/>
                <w:szCs w:val="21"/>
                <w:highlight w:val="none"/>
              </w:rPr>
            </w:pPr>
            <w:r>
              <w:rPr>
                <w:rFonts w:eastAsia="宋体"/>
                <w:color w:val="auto"/>
                <w:sz w:val="21"/>
                <w:szCs w:val="21"/>
                <w:highlight w:val="none"/>
              </w:rPr>
              <w:t>75-34-3</w:t>
            </w:r>
          </w:p>
        </w:tc>
        <w:tc>
          <w:tcPr>
            <w:tcW w:w="1283" w:type="dxa"/>
            <w:tcBorders>
              <w:tl2br w:val="nil"/>
              <w:tr2bl w:val="nil"/>
            </w:tcBorders>
            <w:vAlign w:val="center"/>
          </w:tcPr>
          <w:p w14:paraId="5C9BA0FA">
            <w:pPr>
              <w:pStyle w:val="98"/>
              <w:ind w:left="-105" w:right="-105"/>
              <w:rPr>
                <w:rFonts w:eastAsia="宋体"/>
                <w:color w:val="auto"/>
                <w:sz w:val="21"/>
                <w:szCs w:val="21"/>
                <w:highlight w:val="none"/>
              </w:rPr>
            </w:pPr>
            <w:r>
              <w:rPr>
                <w:rFonts w:eastAsia="宋体"/>
                <w:color w:val="auto"/>
                <w:sz w:val="21"/>
                <w:szCs w:val="21"/>
                <w:highlight w:val="none"/>
              </w:rPr>
              <w:t>3</w:t>
            </w:r>
          </w:p>
        </w:tc>
        <w:tc>
          <w:tcPr>
            <w:tcW w:w="1292" w:type="dxa"/>
            <w:tcBorders>
              <w:tl2br w:val="nil"/>
              <w:tr2bl w:val="nil"/>
            </w:tcBorders>
            <w:vAlign w:val="center"/>
          </w:tcPr>
          <w:p w14:paraId="2C7E04B9">
            <w:pPr>
              <w:pStyle w:val="98"/>
              <w:ind w:left="-105" w:right="-105"/>
              <w:rPr>
                <w:rFonts w:eastAsia="宋体"/>
                <w:color w:val="auto"/>
                <w:sz w:val="21"/>
                <w:szCs w:val="21"/>
                <w:highlight w:val="none"/>
              </w:rPr>
            </w:pPr>
            <w:r>
              <w:rPr>
                <w:rFonts w:eastAsia="宋体"/>
                <w:color w:val="auto"/>
                <w:sz w:val="21"/>
                <w:szCs w:val="21"/>
                <w:highlight w:val="none"/>
              </w:rPr>
              <w:t>9</w:t>
            </w:r>
          </w:p>
        </w:tc>
        <w:tc>
          <w:tcPr>
            <w:tcW w:w="1285" w:type="dxa"/>
            <w:tcBorders>
              <w:tl2br w:val="nil"/>
              <w:tr2bl w:val="nil"/>
            </w:tcBorders>
            <w:vAlign w:val="center"/>
          </w:tcPr>
          <w:p w14:paraId="7EC3B2AF">
            <w:pPr>
              <w:pStyle w:val="98"/>
              <w:ind w:left="-105" w:right="-105"/>
              <w:rPr>
                <w:rFonts w:eastAsia="宋体"/>
                <w:color w:val="auto"/>
                <w:sz w:val="21"/>
                <w:szCs w:val="21"/>
                <w:highlight w:val="none"/>
              </w:rPr>
            </w:pPr>
            <w:r>
              <w:rPr>
                <w:rFonts w:eastAsia="宋体"/>
                <w:color w:val="auto"/>
                <w:sz w:val="21"/>
                <w:szCs w:val="21"/>
                <w:highlight w:val="none"/>
              </w:rPr>
              <w:t>20</w:t>
            </w:r>
          </w:p>
        </w:tc>
        <w:tc>
          <w:tcPr>
            <w:tcW w:w="1289" w:type="dxa"/>
            <w:tcBorders>
              <w:tl2br w:val="nil"/>
              <w:tr2bl w:val="nil"/>
            </w:tcBorders>
            <w:vAlign w:val="center"/>
          </w:tcPr>
          <w:p w14:paraId="25F9FF4D">
            <w:pPr>
              <w:pStyle w:val="98"/>
              <w:ind w:left="-105" w:right="-105"/>
              <w:rPr>
                <w:rFonts w:eastAsia="宋体"/>
                <w:color w:val="auto"/>
                <w:sz w:val="21"/>
                <w:szCs w:val="21"/>
                <w:highlight w:val="none"/>
              </w:rPr>
            </w:pPr>
            <w:r>
              <w:rPr>
                <w:rFonts w:eastAsia="宋体"/>
                <w:color w:val="auto"/>
                <w:sz w:val="21"/>
                <w:szCs w:val="21"/>
                <w:highlight w:val="none"/>
              </w:rPr>
              <w:t>100</w:t>
            </w:r>
          </w:p>
        </w:tc>
      </w:tr>
      <w:tr w14:paraId="648B0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DB2086F">
            <w:pPr>
              <w:pStyle w:val="98"/>
              <w:ind w:left="-105" w:right="-105"/>
              <w:rPr>
                <w:rFonts w:eastAsia="宋体"/>
                <w:color w:val="auto"/>
                <w:sz w:val="21"/>
                <w:szCs w:val="21"/>
                <w:highlight w:val="none"/>
              </w:rPr>
            </w:pPr>
            <w:r>
              <w:rPr>
                <w:rFonts w:eastAsia="宋体"/>
                <w:color w:val="auto"/>
                <w:sz w:val="21"/>
                <w:szCs w:val="21"/>
                <w:highlight w:val="none"/>
              </w:rPr>
              <w:t>12</w:t>
            </w:r>
          </w:p>
        </w:tc>
        <w:tc>
          <w:tcPr>
            <w:tcW w:w="1933" w:type="dxa"/>
            <w:tcBorders>
              <w:tl2br w:val="nil"/>
              <w:tr2bl w:val="nil"/>
            </w:tcBorders>
            <w:vAlign w:val="center"/>
          </w:tcPr>
          <w:p w14:paraId="3B3CFBC8">
            <w:pPr>
              <w:pStyle w:val="98"/>
              <w:ind w:left="-105" w:right="-105"/>
              <w:rPr>
                <w:rFonts w:eastAsia="宋体"/>
                <w:color w:val="auto"/>
                <w:sz w:val="21"/>
                <w:szCs w:val="21"/>
                <w:highlight w:val="none"/>
              </w:rPr>
            </w:pPr>
            <w:r>
              <w:rPr>
                <w:rFonts w:eastAsia="宋体"/>
                <w:color w:val="auto"/>
                <w:sz w:val="21"/>
                <w:szCs w:val="21"/>
                <w:highlight w:val="none"/>
              </w:rPr>
              <w:t>1，2-二氯乙烷</w:t>
            </w:r>
          </w:p>
        </w:tc>
        <w:tc>
          <w:tcPr>
            <w:tcW w:w="1323" w:type="dxa"/>
            <w:tcBorders>
              <w:tl2br w:val="nil"/>
              <w:tr2bl w:val="nil"/>
            </w:tcBorders>
            <w:vAlign w:val="center"/>
          </w:tcPr>
          <w:p w14:paraId="5C8F91E6">
            <w:pPr>
              <w:pStyle w:val="98"/>
              <w:ind w:left="-105" w:right="-105"/>
              <w:rPr>
                <w:rFonts w:eastAsia="宋体"/>
                <w:color w:val="auto"/>
                <w:sz w:val="21"/>
                <w:szCs w:val="21"/>
                <w:highlight w:val="none"/>
              </w:rPr>
            </w:pPr>
            <w:r>
              <w:rPr>
                <w:rFonts w:eastAsia="宋体"/>
                <w:color w:val="auto"/>
                <w:sz w:val="21"/>
                <w:szCs w:val="21"/>
                <w:highlight w:val="none"/>
              </w:rPr>
              <w:t>107-06-2</w:t>
            </w:r>
          </w:p>
        </w:tc>
        <w:tc>
          <w:tcPr>
            <w:tcW w:w="1283" w:type="dxa"/>
            <w:tcBorders>
              <w:tl2br w:val="nil"/>
              <w:tr2bl w:val="nil"/>
            </w:tcBorders>
            <w:vAlign w:val="center"/>
          </w:tcPr>
          <w:p w14:paraId="6A5F8DE7">
            <w:pPr>
              <w:pStyle w:val="98"/>
              <w:ind w:left="-105" w:right="-105"/>
              <w:rPr>
                <w:rFonts w:eastAsia="宋体"/>
                <w:color w:val="auto"/>
                <w:sz w:val="21"/>
                <w:szCs w:val="21"/>
                <w:highlight w:val="none"/>
              </w:rPr>
            </w:pPr>
            <w:r>
              <w:rPr>
                <w:rFonts w:eastAsia="宋体"/>
                <w:color w:val="auto"/>
                <w:sz w:val="21"/>
                <w:szCs w:val="21"/>
                <w:highlight w:val="none"/>
              </w:rPr>
              <w:t>0.52</w:t>
            </w:r>
          </w:p>
        </w:tc>
        <w:tc>
          <w:tcPr>
            <w:tcW w:w="1292" w:type="dxa"/>
            <w:tcBorders>
              <w:tl2br w:val="nil"/>
              <w:tr2bl w:val="nil"/>
            </w:tcBorders>
            <w:vAlign w:val="center"/>
          </w:tcPr>
          <w:p w14:paraId="4F2D593F">
            <w:pPr>
              <w:pStyle w:val="98"/>
              <w:ind w:left="-105" w:right="-105"/>
              <w:rPr>
                <w:rFonts w:eastAsia="宋体"/>
                <w:color w:val="auto"/>
                <w:sz w:val="21"/>
                <w:szCs w:val="21"/>
                <w:highlight w:val="none"/>
              </w:rPr>
            </w:pPr>
            <w:r>
              <w:rPr>
                <w:rFonts w:eastAsia="宋体"/>
                <w:color w:val="auto"/>
                <w:sz w:val="21"/>
                <w:szCs w:val="21"/>
                <w:highlight w:val="none"/>
              </w:rPr>
              <w:t>5</w:t>
            </w:r>
          </w:p>
        </w:tc>
        <w:tc>
          <w:tcPr>
            <w:tcW w:w="1285" w:type="dxa"/>
            <w:tcBorders>
              <w:tl2br w:val="nil"/>
              <w:tr2bl w:val="nil"/>
            </w:tcBorders>
            <w:vAlign w:val="center"/>
          </w:tcPr>
          <w:p w14:paraId="489CA5A5">
            <w:pPr>
              <w:pStyle w:val="98"/>
              <w:ind w:left="-105" w:right="-105"/>
              <w:rPr>
                <w:rFonts w:eastAsia="宋体"/>
                <w:color w:val="auto"/>
                <w:sz w:val="21"/>
                <w:szCs w:val="21"/>
                <w:highlight w:val="none"/>
              </w:rPr>
            </w:pPr>
            <w:r>
              <w:rPr>
                <w:rFonts w:eastAsia="宋体"/>
                <w:color w:val="auto"/>
                <w:sz w:val="21"/>
                <w:szCs w:val="21"/>
                <w:highlight w:val="none"/>
              </w:rPr>
              <w:t>6</w:t>
            </w:r>
          </w:p>
        </w:tc>
        <w:tc>
          <w:tcPr>
            <w:tcW w:w="1289" w:type="dxa"/>
            <w:tcBorders>
              <w:tl2br w:val="nil"/>
              <w:tr2bl w:val="nil"/>
            </w:tcBorders>
            <w:vAlign w:val="center"/>
          </w:tcPr>
          <w:p w14:paraId="35B15233">
            <w:pPr>
              <w:pStyle w:val="98"/>
              <w:ind w:left="-105" w:right="-105"/>
              <w:rPr>
                <w:rFonts w:eastAsia="宋体"/>
                <w:color w:val="auto"/>
                <w:sz w:val="21"/>
                <w:szCs w:val="21"/>
                <w:highlight w:val="none"/>
              </w:rPr>
            </w:pPr>
            <w:r>
              <w:rPr>
                <w:rFonts w:eastAsia="宋体"/>
                <w:color w:val="auto"/>
                <w:sz w:val="21"/>
                <w:szCs w:val="21"/>
                <w:highlight w:val="none"/>
              </w:rPr>
              <w:t>21</w:t>
            </w:r>
          </w:p>
        </w:tc>
      </w:tr>
      <w:tr w14:paraId="15447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F3EFACB">
            <w:pPr>
              <w:pStyle w:val="98"/>
              <w:ind w:left="-105" w:right="-105"/>
              <w:rPr>
                <w:rFonts w:eastAsia="宋体"/>
                <w:color w:val="auto"/>
                <w:sz w:val="21"/>
                <w:szCs w:val="21"/>
                <w:highlight w:val="none"/>
              </w:rPr>
            </w:pPr>
            <w:r>
              <w:rPr>
                <w:rFonts w:eastAsia="宋体"/>
                <w:color w:val="auto"/>
                <w:sz w:val="21"/>
                <w:szCs w:val="21"/>
                <w:highlight w:val="none"/>
              </w:rPr>
              <w:t>13</w:t>
            </w:r>
          </w:p>
        </w:tc>
        <w:tc>
          <w:tcPr>
            <w:tcW w:w="1933" w:type="dxa"/>
            <w:tcBorders>
              <w:tl2br w:val="nil"/>
              <w:tr2bl w:val="nil"/>
            </w:tcBorders>
            <w:vAlign w:val="center"/>
          </w:tcPr>
          <w:p w14:paraId="29E0AFB8">
            <w:pPr>
              <w:pStyle w:val="98"/>
              <w:ind w:left="-105" w:right="-105"/>
              <w:rPr>
                <w:rFonts w:eastAsia="宋体"/>
                <w:color w:val="auto"/>
                <w:sz w:val="21"/>
                <w:szCs w:val="21"/>
                <w:highlight w:val="none"/>
              </w:rPr>
            </w:pPr>
            <w:r>
              <w:rPr>
                <w:rFonts w:eastAsia="宋体"/>
                <w:color w:val="auto"/>
                <w:sz w:val="21"/>
                <w:szCs w:val="21"/>
                <w:highlight w:val="none"/>
              </w:rPr>
              <w:t>1,1-二氯乙烯</w:t>
            </w:r>
          </w:p>
        </w:tc>
        <w:tc>
          <w:tcPr>
            <w:tcW w:w="1323" w:type="dxa"/>
            <w:tcBorders>
              <w:tl2br w:val="nil"/>
              <w:tr2bl w:val="nil"/>
            </w:tcBorders>
            <w:vAlign w:val="center"/>
          </w:tcPr>
          <w:p w14:paraId="299973D8">
            <w:pPr>
              <w:pStyle w:val="98"/>
              <w:ind w:left="-105" w:right="-105"/>
              <w:rPr>
                <w:rFonts w:eastAsia="宋体"/>
                <w:color w:val="auto"/>
                <w:sz w:val="21"/>
                <w:szCs w:val="21"/>
                <w:highlight w:val="none"/>
              </w:rPr>
            </w:pPr>
            <w:r>
              <w:rPr>
                <w:rFonts w:eastAsia="宋体"/>
                <w:color w:val="auto"/>
                <w:sz w:val="21"/>
                <w:szCs w:val="21"/>
                <w:highlight w:val="none"/>
              </w:rPr>
              <w:t>75-35-4</w:t>
            </w:r>
          </w:p>
        </w:tc>
        <w:tc>
          <w:tcPr>
            <w:tcW w:w="1283" w:type="dxa"/>
            <w:tcBorders>
              <w:tl2br w:val="nil"/>
              <w:tr2bl w:val="nil"/>
            </w:tcBorders>
            <w:vAlign w:val="center"/>
          </w:tcPr>
          <w:p w14:paraId="091C7105">
            <w:pPr>
              <w:pStyle w:val="98"/>
              <w:ind w:left="-105" w:right="-105"/>
              <w:rPr>
                <w:rFonts w:eastAsia="宋体"/>
                <w:color w:val="auto"/>
                <w:sz w:val="21"/>
                <w:szCs w:val="21"/>
                <w:highlight w:val="none"/>
              </w:rPr>
            </w:pPr>
            <w:r>
              <w:rPr>
                <w:rFonts w:eastAsia="宋体"/>
                <w:color w:val="auto"/>
                <w:sz w:val="21"/>
                <w:szCs w:val="21"/>
                <w:highlight w:val="none"/>
              </w:rPr>
              <w:t>12</w:t>
            </w:r>
          </w:p>
        </w:tc>
        <w:tc>
          <w:tcPr>
            <w:tcW w:w="1292" w:type="dxa"/>
            <w:tcBorders>
              <w:tl2br w:val="nil"/>
              <w:tr2bl w:val="nil"/>
            </w:tcBorders>
            <w:vAlign w:val="center"/>
          </w:tcPr>
          <w:p w14:paraId="64608B3B">
            <w:pPr>
              <w:pStyle w:val="98"/>
              <w:ind w:left="-105" w:right="-105"/>
              <w:rPr>
                <w:rFonts w:eastAsia="宋体"/>
                <w:color w:val="auto"/>
                <w:sz w:val="21"/>
                <w:szCs w:val="21"/>
                <w:highlight w:val="none"/>
              </w:rPr>
            </w:pPr>
            <w:r>
              <w:rPr>
                <w:rFonts w:eastAsia="宋体"/>
                <w:color w:val="auto"/>
                <w:sz w:val="21"/>
                <w:szCs w:val="21"/>
                <w:highlight w:val="none"/>
              </w:rPr>
              <w:t>66</w:t>
            </w:r>
          </w:p>
        </w:tc>
        <w:tc>
          <w:tcPr>
            <w:tcW w:w="1285" w:type="dxa"/>
            <w:tcBorders>
              <w:tl2br w:val="nil"/>
              <w:tr2bl w:val="nil"/>
            </w:tcBorders>
            <w:vAlign w:val="center"/>
          </w:tcPr>
          <w:p w14:paraId="1D00D21C">
            <w:pPr>
              <w:pStyle w:val="98"/>
              <w:ind w:left="-105" w:right="-105"/>
              <w:rPr>
                <w:rFonts w:eastAsia="宋体"/>
                <w:color w:val="auto"/>
                <w:sz w:val="21"/>
                <w:szCs w:val="21"/>
                <w:highlight w:val="none"/>
              </w:rPr>
            </w:pPr>
            <w:r>
              <w:rPr>
                <w:rFonts w:eastAsia="宋体"/>
                <w:color w:val="auto"/>
                <w:sz w:val="21"/>
                <w:szCs w:val="21"/>
                <w:highlight w:val="none"/>
              </w:rPr>
              <w:t>40</w:t>
            </w:r>
          </w:p>
        </w:tc>
        <w:tc>
          <w:tcPr>
            <w:tcW w:w="1289" w:type="dxa"/>
            <w:tcBorders>
              <w:tl2br w:val="nil"/>
              <w:tr2bl w:val="nil"/>
            </w:tcBorders>
            <w:vAlign w:val="center"/>
          </w:tcPr>
          <w:p w14:paraId="5F80DBBD">
            <w:pPr>
              <w:pStyle w:val="98"/>
              <w:ind w:left="-105" w:right="-105"/>
              <w:rPr>
                <w:rFonts w:eastAsia="宋体"/>
                <w:color w:val="auto"/>
                <w:sz w:val="21"/>
                <w:szCs w:val="21"/>
                <w:highlight w:val="none"/>
              </w:rPr>
            </w:pPr>
            <w:r>
              <w:rPr>
                <w:rFonts w:eastAsia="宋体"/>
                <w:color w:val="auto"/>
                <w:sz w:val="21"/>
                <w:szCs w:val="21"/>
                <w:highlight w:val="none"/>
              </w:rPr>
              <w:t>200</w:t>
            </w:r>
          </w:p>
        </w:tc>
      </w:tr>
      <w:tr w14:paraId="5A0F9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236E0DA">
            <w:pPr>
              <w:pStyle w:val="98"/>
              <w:ind w:left="-105" w:right="-105"/>
              <w:rPr>
                <w:rFonts w:eastAsia="宋体"/>
                <w:color w:val="auto"/>
                <w:sz w:val="21"/>
                <w:szCs w:val="21"/>
                <w:highlight w:val="none"/>
              </w:rPr>
            </w:pPr>
            <w:r>
              <w:rPr>
                <w:rFonts w:eastAsia="宋体"/>
                <w:color w:val="auto"/>
                <w:sz w:val="21"/>
                <w:szCs w:val="21"/>
                <w:highlight w:val="none"/>
              </w:rPr>
              <w:t>14</w:t>
            </w:r>
          </w:p>
        </w:tc>
        <w:tc>
          <w:tcPr>
            <w:tcW w:w="1933" w:type="dxa"/>
            <w:tcBorders>
              <w:tl2br w:val="nil"/>
              <w:tr2bl w:val="nil"/>
            </w:tcBorders>
            <w:vAlign w:val="center"/>
          </w:tcPr>
          <w:p w14:paraId="131C28C0">
            <w:pPr>
              <w:pStyle w:val="98"/>
              <w:ind w:left="-105" w:right="-105"/>
              <w:rPr>
                <w:rFonts w:eastAsia="宋体"/>
                <w:color w:val="auto"/>
                <w:sz w:val="21"/>
                <w:szCs w:val="21"/>
                <w:highlight w:val="none"/>
              </w:rPr>
            </w:pPr>
            <w:r>
              <w:rPr>
                <w:rFonts w:eastAsia="宋体"/>
                <w:color w:val="auto"/>
                <w:sz w:val="21"/>
                <w:szCs w:val="21"/>
                <w:highlight w:val="none"/>
              </w:rPr>
              <w:t>顺-1,2-二氯乙烯</w:t>
            </w:r>
          </w:p>
        </w:tc>
        <w:tc>
          <w:tcPr>
            <w:tcW w:w="1323" w:type="dxa"/>
            <w:tcBorders>
              <w:tl2br w:val="nil"/>
              <w:tr2bl w:val="nil"/>
            </w:tcBorders>
            <w:vAlign w:val="center"/>
          </w:tcPr>
          <w:p w14:paraId="3C675938">
            <w:pPr>
              <w:pStyle w:val="98"/>
              <w:ind w:left="-105" w:right="-105"/>
              <w:rPr>
                <w:rFonts w:eastAsia="宋体"/>
                <w:color w:val="auto"/>
                <w:sz w:val="21"/>
                <w:szCs w:val="21"/>
                <w:highlight w:val="none"/>
              </w:rPr>
            </w:pPr>
            <w:r>
              <w:rPr>
                <w:rFonts w:eastAsia="宋体"/>
                <w:color w:val="auto"/>
                <w:sz w:val="21"/>
                <w:szCs w:val="21"/>
                <w:highlight w:val="none"/>
              </w:rPr>
              <w:t>156-59-2</w:t>
            </w:r>
          </w:p>
        </w:tc>
        <w:tc>
          <w:tcPr>
            <w:tcW w:w="1283" w:type="dxa"/>
            <w:tcBorders>
              <w:tl2br w:val="nil"/>
              <w:tr2bl w:val="nil"/>
            </w:tcBorders>
            <w:vAlign w:val="center"/>
          </w:tcPr>
          <w:p w14:paraId="57D12AE2">
            <w:pPr>
              <w:pStyle w:val="98"/>
              <w:ind w:left="-105" w:right="-105"/>
              <w:rPr>
                <w:rFonts w:eastAsia="宋体"/>
                <w:color w:val="auto"/>
                <w:sz w:val="21"/>
                <w:szCs w:val="21"/>
                <w:highlight w:val="none"/>
              </w:rPr>
            </w:pPr>
            <w:r>
              <w:rPr>
                <w:rFonts w:eastAsia="宋体"/>
                <w:color w:val="auto"/>
                <w:sz w:val="21"/>
                <w:szCs w:val="21"/>
                <w:highlight w:val="none"/>
              </w:rPr>
              <w:t>66</w:t>
            </w:r>
          </w:p>
        </w:tc>
        <w:tc>
          <w:tcPr>
            <w:tcW w:w="1292" w:type="dxa"/>
            <w:tcBorders>
              <w:tl2br w:val="nil"/>
              <w:tr2bl w:val="nil"/>
            </w:tcBorders>
            <w:vAlign w:val="center"/>
          </w:tcPr>
          <w:p w14:paraId="632EAA56">
            <w:pPr>
              <w:pStyle w:val="98"/>
              <w:ind w:left="-105" w:right="-105"/>
              <w:rPr>
                <w:rFonts w:eastAsia="宋体"/>
                <w:color w:val="auto"/>
                <w:sz w:val="21"/>
                <w:szCs w:val="21"/>
                <w:highlight w:val="none"/>
              </w:rPr>
            </w:pPr>
            <w:r>
              <w:rPr>
                <w:rFonts w:eastAsia="宋体"/>
                <w:color w:val="auto"/>
                <w:sz w:val="21"/>
                <w:szCs w:val="21"/>
                <w:highlight w:val="none"/>
              </w:rPr>
              <w:t>596</w:t>
            </w:r>
          </w:p>
        </w:tc>
        <w:tc>
          <w:tcPr>
            <w:tcW w:w="1285" w:type="dxa"/>
            <w:tcBorders>
              <w:tl2br w:val="nil"/>
              <w:tr2bl w:val="nil"/>
            </w:tcBorders>
            <w:vAlign w:val="center"/>
          </w:tcPr>
          <w:p w14:paraId="26EDB88F">
            <w:pPr>
              <w:pStyle w:val="98"/>
              <w:ind w:left="-105" w:right="-105"/>
              <w:rPr>
                <w:rFonts w:eastAsia="宋体"/>
                <w:color w:val="auto"/>
                <w:sz w:val="21"/>
                <w:szCs w:val="21"/>
                <w:highlight w:val="none"/>
              </w:rPr>
            </w:pPr>
            <w:r>
              <w:rPr>
                <w:rFonts w:eastAsia="宋体"/>
                <w:color w:val="auto"/>
                <w:sz w:val="21"/>
                <w:szCs w:val="21"/>
                <w:highlight w:val="none"/>
              </w:rPr>
              <w:t>200</w:t>
            </w:r>
          </w:p>
        </w:tc>
        <w:tc>
          <w:tcPr>
            <w:tcW w:w="1289" w:type="dxa"/>
            <w:tcBorders>
              <w:tl2br w:val="nil"/>
              <w:tr2bl w:val="nil"/>
            </w:tcBorders>
            <w:vAlign w:val="center"/>
          </w:tcPr>
          <w:p w14:paraId="1167AE9F">
            <w:pPr>
              <w:pStyle w:val="98"/>
              <w:ind w:left="-105" w:right="-105"/>
              <w:rPr>
                <w:rFonts w:eastAsia="宋体"/>
                <w:color w:val="auto"/>
                <w:sz w:val="21"/>
                <w:szCs w:val="21"/>
                <w:highlight w:val="none"/>
              </w:rPr>
            </w:pPr>
            <w:r>
              <w:rPr>
                <w:rFonts w:eastAsia="宋体"/>
                <w:color w:val="auto"/>
                <w:sz w:val="21"/>
                <w:szCs w:val="21"/>
                <w:highlight w:val="none"/>
              </w:rPr>
              <w:t>2000</w:t>
            </w:r>
          </w:p>
        </w:tc>
      </w:tr>
      <w:tr w14:paraId="2BCF8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35A7134">
            <w:pPr>
              <w:pStyle w:val="98"/>
              <w:ind w:left="-105" w:right="-105"/>
              <w:rPr>
                <w:rFonts w:eastAsia="宋体"/>
                <w:color w:val="auto"/>
                <w:sz w:val="21"/>
                <w:szCs w:val="21"/>
                <w:highlight w:val="none"/>
              </w:rPr>
            </w:pPr>
            <w:r>
              <w:rPr>
                <w:rFonts w:eastAsia="宋体"/>
                <w:color w:val="auto"/>
                <w:sz w:val="21"/>
                <w:szCs w:val="21"/>
                <w:highlight w:val="none"/>
              </w:rPr>
              <w:t>15</w:t>
            </w:r>
          </w:p>
        </w:tc>
        <w:tc>
          <w:tcPr>
            <w:tcW w:w="1933" w:type="dxa"/>
            <w:tcBorders>
              <w:tl2br w:val="nil"/>
              <w:tr2bl w:val="nil"/>
            </w:tcBorders>
            <w:vAlign w:val="center"/>
          </w:tcPr>
          <w:p w14:paraId="5C0CB9B5">
            <w:pPr>
              <w:pStyle w:val="98"/>
              <w:ind w:left="-105" w:right="-105"/>
              <w:rPr>
                <w:rFonts w:eastAsia="宋体"/>
                <w:color w:val="auto"/>
                <w:sz w:val="21"/>
                <w:szCs w:val="21"/>
                <w:highlight w:val="none"/>
              </w:rPr>
            </w:pPr>
            <w:r>
              <w:rPr>
                <w:rFonts w:eastAsia="宋体"/>
                <w:color w:val="auto"/>
                <w:sz w:val="21"/>
                <w:szCs w:val="21"/>
                <w:highlight w:val="none"/>
              </w:rPr>
              <w:t>反-1,2-二氯乙烯</w:t>
            </w:r>
          </w:p>
        </w:tc>
        <w:tc>
          <w:tcPr>
            <w:tcW w:w="1323" w:type="dxa"/>
            <w:tcBorders>
              <w:tl2br w:val="nil"/>
              <w:tr2bl w:val="nil"/>
            </w:tcBorders>
            <w:vAlign w:val="center"/>
          </w:tcPr>
          <w:p w14:paraId="229B5CD0">
            <w:pPr>
              <w:pStyle w:val="98"/>
              <w:ind w:left="-105" w:right="-105"/>
              <w:rPr>
                <w:rFonts w:eastAsia="宋体"/>
                <w:color w:val="auto"/>
                <w:sz w:val="21"/>
                <w:szCs w:val="21"/>
                <w:highlight w:val="none"/>
              </w:rPr>
            </w:pPr>
            <w:r>
              <w:rPr>
                <w:rFonts w:eastAsia="宋体"/>
                <w:color w:val="auto"/>
                <w:sz w:val="21"/>
                <w:szCs w:val="21"/>
                <w:highlight w:val="none"/>
              </w:rPr>
              <w:t>156-60-5</w:t>
            </w:r>
          </w:p>
        </w:tc>
        <w:tc>
          <w:tcPr>
            <w:tcW w:w="1283" w:type="dxa"/>
            <w:tcBorders>
              <w:tl2br w:val="nil"/>
              <w:tr2bl w:val="nil"/>
            </w:tcBorders>
            <w:vAlign w:val="center"/>
          </w:tcPr>
          <w:p w14:paraId="3C9C5E12">
            <w:pPr>
              <w:pStyle w:val="98"/>
              <w:ind w:left="-105" w:right="-105"/>
              <w:rPr>
                <w:rFonts w:eastAsia="宋体"/>
                <w:color w:val="auto"/>
                <w:sz w:val="21"/>
                <w:szCs w:val="21"/>
                <w:highlight w:val="none"/>
              </w:rPr>
            </w:pPr>
            <w:r>
              <w:rPr>
                <w:rFonts w:eastAsia="宋体"/>
                <w:color w:val="auto"/>
                <w:sz w:val="21"/>
                <w:szCs w:val="21"/>
                <w:highlight w:val="none"/>
              </w:rPr>
              <w:t>10</w:t>
            </w:r>
          </w:p>
        </w:tc>
        <w:tc>
          <w:tcPr>
            <w:tcW w:w="1292" w:type="dxa"/>
            <w:tcBorders>
              <w:tl2br w:val="nil"/>
              <w:tr2bl w:val="nil"/>
            </w:tcBorders>
            <w:vAlign w:val="center"/>
          </w:tcPr>
          <w:p w14:paraId="55352E07">
            <w:pPr>
              <w:pStyle w:val="98"/>
              <w:ind w:left="-105" w:right="-105"/>
              <w:rPr>
                <w:rFonts w:eastAsia="宋体"/>
                <w:color w:val="auto"/>
                <w:sz w:val="21"/>
                <w:szCs w:val="21"/>
                <w:highlight w:val="none"/>
              </w:rPr>
            </w:pPr>
            <w:r>
              <w:rPr>
                <w:rFonts w:eastAsia="宋体"/>
                <w:color w:val="auto"/>
                <w:sz w:val="21"/>
                <w:szCs w:val="21"/>
                <w:highlight w:val="none"/>
              </w:rPr>
              <w:t>54</w:t>
            </w:r>
          </w:p>
        </w:tc>
        <w:tc>
          <w:tcPr>
            <w:tcW w:w="1285" w:type="dxa"/>
            <w:tcBorders>
              <w:tl2br w:val="nil"/>
              <w:tr2bl w:val="nil"/>
            </w:tcBorders>
            <w:vAlign w:val="center"/>
          </w:tcPr>
          <w:p w14:paraId="19715135">
            <w:pPr>
              <w:pStyle w:val="98"/>
              <w:ind w:left="-105" w:right="-105"/>
              <w:rPr>
                <w:rFonts w:eastAsia="宋体"/>
                <w:color w:val="auto"/>
                <w:sz w:val="21"/>
                <w:szCs w:val="21"/>
                <w:highlight w:val="none"/>
              </w:rPr>
            </w:pPr>
            <w:r>
              <w:rPr>
                <w:rFonts w:eastAsia="宋体"/>
                <w:color w:val="auto"/>
                <w:sz w:val="21"/>
                <w:szCs w:val="21"/>
                <w:highlight w:val="none"/>
              </w:rPr>
              <w:t>31</w:t>
            </w:r>
          </w:p>
        </w:tc>
        <w:tc>
          <w:tcPr>
            <w:tcW w:w="1289" w:type="dxa"/>
            <w:tcBorders>
              <w:tl2br w:val="nil"/>
              <w:tr2bl w:val="nil"/>
            </w:tcBorders>
            <w:vAlign w:val="center"/>
          </w:tcPr>
          <w:p w14:paraId="16F74789">
            <w:pPr>
              <w:pStyle w:val="98"/>
              <w:ind w:left="-105" w:right="-105"/>
              <w:rPr>
                <w:rFonts w:eastAsia="宋体"/>
                <w:color w:val="auto"/>
                <w:sz w:val="21"/>
                <w:szCs w:val="21"/>
                <w:highlight w:val="none"/>
              </w:rPr>
            </w:pPr>
            <w:r>
              <w:rPr>
                <w:rFonts w:eastAsia="宋体"/>
                <w:color w:val="auto"/>
                <w:sz w:val="21"/>
                <w:szCs w:val="21"/>
                <w:highlight w:val="none"/>
              </w:rPr>
              <w:t>163</w:t>
            </w:r>
          </w:p>
        </w:tc>
      </w:tr>
      <w:tr w14:paraId="23CF6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396C9DF">
            <w:pPr>
              <w:pStyle w:val="98"/>
              <w:ind w:left="-105" w:right="-105"/>
              <w:rPr>
                <w:rFonts w:eastAsia="宋体"/>
                <w:color w:val="auto"/>
                <w:sz w:val="21"/>
                <w:szCs w:val="21"/>
                <w:highlight w:val="none"/>
              </w:rPr>
            </w:pPr>
            <w:r>
              <w:rPr>
                <w:rFonts w:eastAsia="宋体"/>
                <w:color w:val="auto"/>
                <w:sz w:val="21"/>
                <w:szCs w:val="21"/>
                <w:highlight w:val="none"/>
              </w:rPr>
              <w:t>16</w:t>
            </w:r>
          </w:p>
        </w:tc>
        <w:tc>
          <w:tcPr>
            <w:tcW w:w="1933" w:type="dxa"/>
            <w:tcBorders>
              <w:tl2br w:val="nil"/>
              <w:tr2bl w:val="nil"/>
            </w:tcBorders>
            <w:vAlign w:val="center"/>
          </w:tcPr>
          <w:p w14:paraId="2C3F21BB">
            <w:pPr>
              <w:pStyle w:val="98"/>
              <w:ind w:left="-105" w:right="-105"/>
              <w:rPr>
                <w:rFonts w:eastAsia="宋体"/>
                <w:color w:val="auto"/>
                <w:sz w:val="21"/>
                <w:szCs w:val="21"/>
                <w:highlight w:val="none"/>
              </w:rPr>
            </w:pPr>
            <w:r>
              <w:rPr>
                <w:rFonts w:eastAsia="宋体"/>
                <w:color w:val="auto"/>
                <w:sz w:val="21"/>
                <w:szCs w:val="21"/>
                <w:highlight w:val="none"/>
              </w:rPr>
              <w:t>二氯甲烷</w:t>
            </w:r>
          </w:p>
        </w:tc>
        <w:tc>
          <w:tcPr>
            <w:tcW w:w="1323" w:type="dxa"/>
            <w:tcBorders>
              <w:tl2br w:val="nil"/>
              <w:tr2bl w:val="nil"/>
            </w:tcBorders>
            <w:vAlign w:val="center"/>
          </w:tcPr>
          <w:p w14:paraId="034802CD">
            <w:pPr>
              <w:pStyle w:val="98"/>
              <w:ind w:left="-105" w:right="-105"/>
              <w:rPr>
                <w:rFonts w:eastAsia="宋体"/>
                <w:color w:val="auto"/>
                <w:sz w:val="21"/>
                <w:szCs w:val="21"/>
                <w:highlight w:val="none"/>
              </w:rPr>
            </w:pPr>
            <w:r>
              <w:rPr>
                <w:rFonts w:eastAsia="宋体"/>
                <w:color w:val="auto"/>
                <w:sz w:val="21"/>
                <w:szCs w:val="21"/>
                <w:highlight w:val="none"/>
              </w:rPr>
              <w:t>75-09-2</w:t>
            </w:r>
          </w:p>
        </w:tc>
        <w:tc>
          <w:tcPr>
            <w:tcW w:w="1283" w:type="dxa"/>
            <w:tcBorders>
              <w:tl2br w:val="nil"/>
              <w:tr2bl w:val="nil"/>
            </w:tcBorders>
            <w:vAlign w:val="center"/>
          </w:tcPr>
          <w:p w14:paraId="37F9B064">
            <w:pPr>
              <w:pStyle w:val="98"/>
              <w:ind w:left="-105" w:right="-105"/>
              <w:rPr>
                <w:rFonts w:eastAsia="宋体"/>
                <w:color w:val="auto"/>
                <w:sz w:val="21"/>
                <w:szCs w:val="21"/>
                <w:highlight w:val="none"/>
              </w:rPr>
            </w:pPr>
            <w:r>
              <w:rPr>
                <w:rFonts w:eastAsia="宋体"/>
                <w:color w:val="auto"/>
                <w:sz w:val="21"/>
                <w:szCs w:val="21"/>
                <w:highlight w:val="none"/>
              </w:rPr>
              <w:t>9 4</w:t>
            </w:r>
          </w:p>
        </w:tc>
        <w:tc>
          <w:tcPr>
            <w:tcW w:w="1292" w:type="dxa"/>
            <w:tcBorders>
              <w:tl2br w:val="nil"/>
              <w:tr2bl w:val="nil"/>
            </w:tcBorders>
            <w:vAlign w:val="center"/>
          </w:tcPr>
          <w:p w14:paraId="64AC7645">
            <w:pPr>
              <w:pStyle w:val="98"/>
              <w:ind w:left="-105" w:right="-105"/>
              <w:rPr>
                <w:rFonts w:eastAsia="宋体"/>
                <w:color w:val="auto"/>
                <w:sz w:val="21"/>
                <w:szCs w:val="21"/>
                <w:highlight w:val="none"/>
              </w:rPr>
            </w:pPr>
            <w:r>
              <w:rPr>
                <w:rFonts w:eastAsia="宋体"/>
                <w:color w:val="auto"/>
                <w:sz w:val="21"/>
                <w:szCs w:val="21"/>
                <w:highlight w:val="none"/>
              </w:rPr>
              <w:t>616</w:t>
            </w:r>
          </w:p>
        </w:tc>
        <w:tc>
          <w:tcPr>
            <w:tcW w:w="1285" w:type="dxa"/>
            <w:tcBorders>
              <w:tl2br w:val="nil"/>
              <w:tr2bl w:val="nil"/>
            </w:tcBorders>
            <w:vAlign w:val="center"/>
          </w:tcPr>
          <w:p w14:paraId="1CF4707E">
            <w:pPr>
              <w:pStyle w:val="98"/>
              <w:ind w:left="-105" w:right="-105"/>
              <w:rPr>
                <w:rFonts w:eastAsia="宋体"/>
                <w:color w:val="auto"/>
                <w:sz w:val="21"/>
                <w:szCs w:val="21"/>
                <w:highlight w:val="none"/>
              </w:rPr>
            </w:pPr>
            <w:r>
              <w:rPr>
                <w:rFonts w:eastAsia="宋体"/>
                <w:color w:val="auto"/>
                <w:sz w:val="21"/>
                <w:szCs w:val="21"/>
                <w:highlight w:val="none"/>
              </w:rPr>
              <w:t>300</w:t>
            </w:r>
          </w:p>
        </w:tc>
        <w:tc>
          <w:tcPr>
            <w:tcW w:w="1289" w:type="dxa"/>
            <w:tcBorders>
              <w:tl2br w:val="nil"/>
              <w:tr2bl w:val="nil"/>
            </w:tcBorders>
            <w:vAlign w:val="center"/>
          </w:tcPr>
          <w:p w14:paraId="15A38200">
            <w:pPr>
              <w:pStyle w:val="98"/>
              <w:ind w:left="-105" w:right="-105"/>
              <w:rPr>
                <w:rFonts w:eastAsia="宋体"/>
                <w:color w:val="auto"/>
                <w:sz w:val="21"/>
                <w:szCs w:val="21"/>
                <w:highlight w:val="none"/>
              </w:rPr>
            </w:pPr>
            <w:r>
              <w:rPr>
                <w:rFonts w:eastAsia="宋体"/>
                <w:color w:val="auto"/>
                <w:sz w:val="21"/>
                <w:szCs w:val="21"/>
                <w:highlight w:val="none"/>
              </w:rPr>
              <w:t>2000</w:t>
            </w:r>
          </w:p>
        </w:tc>
      </w:tr>
      <w:tr w14:paraId="26575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6F4B3CE">
            <w:pPr>
              <w:pStyle w:val="98"/>
              <w:ind w:left="-105" w:right="-105"/>
              <w:rPr>
                <w:rFonts w:eastAsia="宋体"/>
                <w:color w:val="auto"/>
                <w:sz w:val="21"/>
                <w:szCs w:val="21"/>
                <w:highlight w:val="none"/>
              </w:rPr>
            </w:pPr>
            <w:r>
              <w:rPr>
                <w:rFonts w:eastAsia="宋体"/>
                <w:color w:val="auto"/>
                <w:sz w:val="21"/>
                <w:szCs w:val="21"/>
                <w:highlight w:val="none"/>
              </w:rPr>
              <w:t>17</w:t>
            </w:r>
          </w:p>
        </w:tc>
        <w:tc>
          <w:tcPr>
            <w:tcW w:w="1933" w:type="dxa"/>
            <w:tcBorders>
              <w:tl2br w:val="nil"/>
              <w:tr2bl w:val="nil"/>
            </w:tcBorders>
            <w:vAlign w:val="center"/>
          </w:tcPr>
          <w:p w14:paraId="0E53AB55">
            <w:pPr>
              <w:pStyle w:val="98"/>
              <w:ind w:left="-105" w:right="-105"/>
              <w:rPr>
                <w:rFonts w:eastAsia="宋体"/>
                <w:color w:val="auto"/>
                <w:sz w:val="21"/>
                <w:szCs w:val="21"/>
                <w:highlight w:val="none"/>
              </w:rPr>
            </w:pPr>
            <w:r>
              <w:rPr>
                <w:rFonts w:eastAsia="宋体"/>
                <w:color w:val="auto"/>
                <w:sz w:val="21"/>
                <w:szCs w:val="21"/>
                <w:highlight w:val="none"/>
              </w:rPr>
              <w:t>1,2-二氯丙烷</w:t>
            </w:r>
          </w:p>
        </w:tc>
        <w:tc>
          <w:tcPr>
            <w:tcW w:w="1323" w:type="dxa"/>
            <w:tcBorders>
              <w:tl2br w:val="nil"/>
              <w:tr2bl w:val="nil"/>
            </w:tcBorders>
            <w:vAlign w:val="center"/>
          </w:tcPr>
          <w:p w14:paraId="637D1391">
            <w:pPr>
              <w:pStyle w:val="98"/>
              <w:ind w:left="-105" w:right="-105"/>
              <w:rPr>
                <w:rFonts w:eastAsia="宋体"/>
                <w:color w:val="auto"/>
                <w:sz w:val="21"/>
                <w:szCs w:val="21"/>
                <w:highlight w:val="none"/>
              </w:rPr>
            </w:pPr>
            <w:r>
              <w:rPr>
                <w:rFonts w:eastAsia="宋体"/>
                <w:color w:val="auto"/>
                <w:sz w:val="21"/>
                <w:szCs w:val="21"/>
                <w:highlight w:val="none"/>
              </w:rPr>
              <w:t>78-87-5</w:t>
            </w:r>
          </w:p>
        </w:tc>
        <w:tc>
          <w:tcPr>
            <w:tcW w:w="1283" w:type="dxa"/>
            <w:tcBorders>
              <w:tl2br w:val="nil"/>
              <w:tr2bl w:val="nil"/>
            </w:tcBorders>
            <w:vAlign w:val="center"/>
          </w:tcPr>
          <w:p w14:paraId="18E77899">
            <w:pPr>
              <w:pStyle w:val="98"/>
              <w:ind w:left="-105" w:right="-105"/>
              <w:rPr>
                <w:rFonts w:eastAsia="宋体"/>
                <w:color w:val="auto"/>
                <w:sz w:val="21"/>
                <w:szCs w:val="21"/>
                <w:highlight w:val="none"/>
              </w:rPr>
            </w:pPr>
            <w:r>
              <w:rPr>
                <w:rFonts w:eastAsia="宋体"/>
                <w:color w:val="auto"/>
                <w:sz w:val="21"/>
                <w:szCs w:val="21"/>
                <w:highlight w:val="none"/>
              </w:rPr>
              <w:t>1</w:t>
            </w:r>
          </w:p>
        </w:tc>
        <w:tc>
          <w:tcPr>
            <w:tcW w:w="1292" w:type="dxa"/>
            <w:tcBorders>
              <w:tl2br w:val="nil"/>
              <w:tr2bl w:val="nil"/>
            </w:tcBorders>
            <w:vAlign w:val="center"/>
          </w:tcPr>
          <w:p w14:paraId="6AB4EC79">
            <w:pPr>
              <w:pStyle w:val="98"/>
              <w:ind w:left="-105" w:right="-105"/>
              <w:rPr>
                <w:rFonts w:eastAsia="宋体"/>
                <w:color w:val="auto"/>
                <w:sz w:val="21"/>
                <w:szCs w:val="21"/>
                <w:highlight w:val="none"/>
              </w:rPr>
            </w:pPr>
            <w:r>
              <w:rPr>
                <w:rFonts w:eastAsia="宋体"/>
                <w:color w:val="auto"/>
                <w:sz w:val="21"/>
                <w:szCs w:val="21"/>
                <w:highlight w:val="none"/>
              </w:rPr>
              <w:t>5</w:t>
            </w:r>
          </w:p>
        </w:tc>
        <w:tc>
          <w:tcPr>
            <w:tcW w:w="1285" w:type="dxa"/>
            <w:tcBorders>
              <w:tl2br w:val="nil"/>
              <w:tr2bl w:val="nil"/>
            </w:tcBorders>
            <w:vAlign w:val="center"/>
          </w:tcPr>
          <w:p w14:paraId="305DAB1C">
            <w:pPr>
              <w:pStyle w:val="98"/>
              <w:ind w:left="-105" w:right="-105"/>
              <w:rPr>
                <w:rFonts w:eastAsia="宋体"/>
                <w:color w:val="auto"/>
                <w:sz w:val="21"/>
                <w:szCs w:val="21"/>
                <w:highlight w:val="none"/>
              </w:rPr>
            </w:pPr>
            <w:r>
              <w:rPr>
                <w:rFonts w:eastAsia="宋体"/>
                <w:color w:val="auto"/>
                <w:sz w:val="21"/>
                <w:szCs w:val="21"/>
                <w:highlight w:val="none"/>
              </w:rPr>
              <w:t>5</w:t>
            </w:r>
          </w:p>
        </w:tc>
        <w:tc>
          <w:tcPr>
            <w:tcW w:w="1289" w:type="dxa"/>
            <w:tcBorders>
              <w:tl2br w:val="nil"/>
              <w:tr2bl w:val="nil"/>
            </w:tcBorders>
            <w:vAlign w:val="center"/>
          </w:tcPr>
          <w:p w14:paraId="0490AEAB">
            <w:pPr>
              <w:pStyle w:val="98"/>
              <w:ind w:left="-105" w:right="-105"/>
              <w:rPr>
                <w:rFonts w:eastAsia="宋体"/>
                <w:color w:val="auto"/>
                <w:sz w:val="21"/>
                <w:szCs w:val="21"/>
                <w:highlight w:val="none"/>
              </w:rPr>
            </w:pPr>
            <w:r>
              <w:rPr>
                <w:rFonts w:eastAsia="宋体"/>
                <w:color w:val="auto"/>
                <w:sz w:val="21"/>
                <w:szCs w:val="21"/>
                <w:highlight w:val="none"/>
              </w:rPr>
              <w:t>47</w:t>
            </w:r>
          </w:p>
        </w:tc>
      </w:tr>
      <w:tr w14:paraId="5F7CA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8C5BCBA">
            <w:pPr>
              <w:pStyle w:val="98"/>
              <w:ind w:left="-105" w:right="-105"/>
              <w:rPr>
                <w:rFonts w:eastAsia="宋体"/>
                <w:color w:val="auto"/>
                <w:sz w:val="21"/>
                <w:szCs w:val="21"/>
                <w:highlight w:val="none"/>
              </w:rPr>
            </w:pPr>
            <w:r>
              <w:rPr>
                <w:rFonts w:eastAsia="宋体"/>
                <w:color w:val="auto"/>
                <w:sz w:val="21"/>
                <w:szCs w:val="21"/>
                <w:highlight w:val="none"/>
              </w:rPr>
              <w:t>18</w:t>
            </w:r>
          </w:p>
        </w:tc>
        <w:tc>
          <w:tcPr>
            <w:tcW w:w="1933" w:type="dxa"/>
            <w:tcBorders>
              <w:tl2br w:val="nil"/>
              <w:tr2bl w:val="nil"/>
            </w:tcBorders>
            <w:vAlign w:val="center"/>
          </w:tcPr>
          <w:p w14:paraId="7D9E3626">
            <w:pPr>
              <w:pStyle w:val="98"/>
              <w:ind w:left="-105" w:right="-105"/>
              <w:rPr>
                <w:rFonts w:eastAsia="宋体"/>
                <w:color w:val="auto"/>
                <w:sz w:val="21"/>
                <w:szCs w:val="21"/>
                <w:highlight w:val="none"/>
              </w:rPr>
            </w:pPr>
            <w:r>
              <w:rPr>
                <w:rFonts w:eastAsia="宋体"/>
                <w:color w:val="auto"/>
                <w:sz w:val="21"/>
                <w:szCs w:val="21"/>
                <w:highlight w:val="none"/>
              </w:rPr>
              <w:t>1,1,1,2-四氯乙烷</w:t>
            </w:r>
          </w:p>
        </w:tc>
        <w:tc>
          <w:tcPr>
            <w:tcW w:w="1323" w:type="dxa"/>
            <w:tcBorders>
              <w:tl2br w:val="nil"/>
              <w:tr2bl w:val="nil"/>
            </w:tcBorders>
            <w:vAlign w:val="center"/>
          </w:tcPr>
          <w:p w14:paraId="740886B3">
            <w:pPr>
              <w:pStyle w:val="98"/>
              <w:ind w:left="-105" w:right="-105"/>
              <w:rPr>
                <w:rFonts w:eastAsia="宋体"/>
                <w:color w:val="auto"/>
                <w:sz w:val="21"/>
                <w:szCs w:val="21"/>
                <w:highlight w:val="none"/>
              </w:rPr>
            </w:pPr>
            <w:r>
              <w:rPr>
                <w:rFonts w:eastAsia="宋体"/>
                <w:color w:val="auto"/>
                <w:sz w:val="21"/>
                <w:szCs w:val="21"/>
                <w:highlight w:val="none"/>
              </w:rPr>
              <w:t>630-20-6</w:t>
            </w:r>
          </w:p>
        </w:tc>
        <w:tc>
          <w:tcPr>
            <w:tcW w:w="1283" w:type="dxa"/>
            <w:tcBorders>
              <w:tl2br w:val="nil"/>
              <w:tr2bl w:val="nil"/>
            </w:tcBorders>
            <w:vAlign w:val="center"/>
          </w:tcPr>
          <w:p w14:paraId="140FB20C">
            <w:pPr>
              <w:pStyle w:val="98"/>
              <w:ind w:left="-105" w:right="-105"/>
              <w:rPr>
                <w:rFonts w:eastAsia="宋体"/>
                <w:color w:val="auto"/>
                <w:sz w:val="21"/>
                <w:szCs w:val="21"/>
                <w:highlight w:val="none"/>
              </w:rPr>
            </w:pPr>
            <w:r>
              <w:rPr>
                <w:rFonts w:eastAsia="宋体"/>
                <w:color w:val="auto"/>
                <w:sz w:val="21"/>
                <w:szCs w:val="21"/>
                <w:highlight w:val="none"/>
              </w:rPr>
              <w:t>2.6</w:t>
            </w:r>
          </w:p>
        </w:tc>
        <w:tc>
          <w:tcPr>
            <w:tcW w:w="1292" w:type="dxa"/>
            <w:tcBorders>
              <w:tl2br w:val="nil"/>
              <w:tr2bl w:val="nil"/>
            </w:tcBorders>
            <w:vAlign w:val="center"/>
          </w:tcPr>
          <w:p w14:paraId="73695D7C">
            <w:pPr>
              <w:pStyle w:val="98"/>
              <w:ind w:left="-105" w:right="-105"/>
              <w:rPr>
                <w:rFonts w:eastAsia="宋体"/>
                <w:color w:val="auto"/>
                <w:sz w:val="21"/>
                <w:szCs w:val="21"/>
                <w:highlight w:val="none"/>
              </w:rPr>
            </w:pPr>
            <w:r>
              <w:rPr>
                <w:rFonts w:eastAsia="宋体"/>
                <w:color w:val="auto"/>
                <w:sz w:val="21"/>
                <w:szCs w:val="21"/>
                <w:highlight w:val="none"/>
              </w:rPr>
              <w:t>10</w:t>
            </w:r>
          </w:p>
        </w:tc>
        <w:tc>
          <w:tcPr>
            <w:tcW w:w="1285" w:type="dxa"/>
            <w:tcBorders>
              <w:tl2br w:val="nil"/>
              <w:tr2bl w:val="nil"/>
            </w:tcBorders>
            <w:vAlign w:val="center"/>
          </w:tcPr>
          <w:p w14:paraId="065DB3E1">
            <w:pPr>
              <w:pStyle w:val="98"/>
              <w:ind w:left="-105" w:right="-105"/>
              <w:rPr>
                <w:rFonts w:eastAsia="宋体"/>
                <w:color w:val="auto"/>
                <w:sz w:val="21"/>
                <w:szCs w:val="21"/>
                <w:highlight w:val="none"/>
              </w:rPr>
            </w:pPr>
            <w:r>
              <w:rPr>
                <w:rFonts w:eastAsia="宋体"/>
                <w:color w:val="auto"/>
                <w:sz w:val="21"/>
                <w:szCs w:val="21"/>
                <w:highlight w:val="none"/>
              </w:rPr>
              <w:t>26</w:t>
            </w:r>
          </w:p>
        </w:tc>
        <w:tc>
          <w:tcPr>
            <w:tcW w:w="1289" w:type="dxa"/>
            <w:tcBorders>
              <w:tl2br w:val="nil"/>
              <w:tr2bl w:val="nil"/>
            </w:tcBorders>
            <w:vAlign w:val="center"/>
          </w:tcPr>
          <w:p w14:paraId="6F7E1AE6">
            <w:pPr>
              <w:pStyle w:val="98"/>
              <w:ind w:left="-105" w:right="-105"/>
              <w:rPr>
                <w:rFonts w:eastAsia="宋体"/>
                <w:color w:val="auto"/>
                <w:sz w:val="21"/>
                <w:szCs w:val="21"/>
                <w:highlight w:val="none"/>
              </w:rPr>
            </w:pPr>
            <w:r>
              <w:rPr>
                <w:rFonts w:eastAsia="宋体"/>
                <w:color w:val="auto"/>
                <w:sz w:val="21"/>
                <w:szCs w:val="21"/>
                <w:highlight w:val="none"/>
              </w:rPr>
              <w:t>100</w:t>
            </w:r>
          </w:p>
        </w:tc>
      </w:tr>
      <w:tr w14:paraId="7E548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90F5E0A">
            <w:pPr>
              <w:pStyle w:val="98"/>
              <w:ind w:left="-105" w:right="-105"/>
              <w:rPr>
                <w:rFonts w:eastAsia="宋体"/>
                <w:color w:val="auto"/>
                <w:sz w:val="21"/>
                <w:szCs w:val="21"/>
                <w:highlight w:val="none"/>
              </w:rPr>
            </w:pPr>
            <w:r>
              <w:rPr>
                <w:rFonts w:eastAsia="宋体"/>
                <w:color w:val="auto"/>
                <w:sz w:val="21"/>
                <w:szCs w:val="21"/>
                <w:highlight w:val="none"/>
              </w:rPr>
              <w:t>19</w:t>
            </w:r>
          </w:p>
        </w:tc>
        <w:tc>
          <w:tcPr>
            <w:tcW w:w="1933" w:type="dxa"/>
            <w:tcBorders>
              <w:tl2br w:val="nil"/>
              <w:tr2bl w:val="nil"/>
            </w:tcBorders>
            <w:vAlign w:val="center"/>
          </w:tcPr>
          <w:p w14:paraId="00B44845">
            <w:pPr>
              <w:pStyle w:val="98"/>
              <w:ind w:left="-105" w:right="-105"/>
              <w:rPr>
                <w:rFonts w:eastAsia="宋体"/>
                <w:color w:val="auto"/>
                <w:sz w:val="21"/>
                <w:szCs w:val="21"/>
                <w:highlight w:val="none"/>
              </w:rPr>
            </w:pPr>
            <w:r>
              <w:rPr>
                <w:rFonts w:eastAsia="宋体"/>
                <w:color w:val="auto"/>
                <w:sz w:val="21"/>
                <w:szCs w:val="21"/>
                <w:highlight w:val="none"/>
              </w:rPr>
              <w:t>1,1,2,2-四氯乙烷</w:t>
            </w:r>
          </w:p>
        </w:tc>
        <w:tc>
          <w:tcPr>
            <w:tcW w:w="1323" w:type="dxa"/>
            <w:tcBorders>
              <w:tl2br w:val="nil"/>
              <w:tr2bl w:val="nil"/>
            </w:tcBorders>
            <w:vAlign w:val="center"/>
          </w:tcPr>
          <w:p w14:paraId="6CBEFA47">
            <w:pPr>
              <w:pStyle w:val="98"/>
              <w:ind w:left="-105" w:right="-105"/>
              <w:rPr>
                <w:rFonts w:eastAsia="宋体"/>
                <w:color w:val="auto"/>
                <w:sz w:val="21"/>
                <w:szCs w:val="21"/>
                <w:highlight w:val="none"/>
              </w:rPr>
            </w:pPr>
            <w:r>
              <w:rPr>
                <w:rFonts w:eastAsia="宋体"/>
                <w:color w:val="auto"/>
                <w:sz w:val="21"/>
                <w:szCs w:val="21"/>
                <w:highlight w:val="none"/>
              </w:rPr>
              <w:t>79-34-5</w:t>
            </w:r>
          </w:p>
        </w:tc>
        <w:tc>
          <w:tcPr>
            <w:tcW w:w="1283" w:type="dxa"/>
            <w:tcBorders>
              <w:tl2br w:val="nil"/>
              <w:tr2bl w:val="nil"/>
            </w:tcBorders>
            <w:vAlign w:val="center"/>
          </w:tcPr>
          <w:p w14:paraId="1AB1E1F3">
            <w:pPr>
              <w:pStyle w:val="98"/>
              <w:ind w:left="-105" w:right="-105"/>
              <w:rPr>
                <w:rFonts w:eastAsia="宋体"/>
                <w:color w:val="auto"/>
                <w:sz w:val="21"/>
                <w:szCs w:val="21"/>
                <w:highlight w:val="none"/>
              </w:rPr>
            </w:pPr>
            <w:r>
              <w:rPr>
                <w:rFonts w:eastAsia="宋体"/>
                <w:color w:val="auto"/>
                <w:sz w:val="21"/>
                <w:szCs w:val="21"/>
                <w:highlight w:val="none"/>
              </w:rPr>
              <w:t>1.6</w:t>
            </w:r>
          </w:p>
        </w:tc>
        <w:tc>
          <w:tcPr>
            <w:tcW w:w="1292" w:type="dxa"/>
            <w:tcBorders>
              <w:tl2br w:val="nil"/>
              <w:tr2bl w:val="nil"/>
            </w:tcBorders>
            <w:vAlign w:val="center"/>
          </w:tcPr>
          <w:p w14:paraId="77659A5B">
            <w:pPr>
              <w:pStyle w:val="98"/>
              <w:ind w:left="-105" w:right="-105"/>
              <w:rPr>
                <w:rFonts w:eastAsia="宋体"/>
                <w:color w:val="auto"/>
                <w:sz w:val="21"/>
                <w:szCs w:val="21"/>
                <w:highlight w:val="none"/>
              </w:rPr>
            </w:pPr>
            <w:r>
              <w:rPr>
                <w:rFonts w:eastAsia="宋体"/>
                <w:color w:val="auto"/>
                <w:sz w:val="21"/>
                <w:szCs w:val="21"/>
                <w:highlight w:val="none"/>
              </w:rPr>
              <w:t>6.8</w:t>
            </w:r>
          </w:p>
        </w:tc>
        <w:tc>
          <w:tcPr>
            <w:tcW w:w="1285" w:type="dxa"/>
            <w:tcBorders>
              <w:tl2br w:val="nil"/>
              <w:tr2bl w:val="nil"/>
            </w:tcBorders>
            <w:vAlign w:val="center"/>
          </w:tcPr>
          <w:p w14:paraId="1634A183">
            <w:pPr>
              <w:pStyle w:val="98"/>
              <w:ind w:left="-105" w:right="-105"/>
              <w:rPr>
                <w:rFonts w:eastAsia="宋体"/>
                <w:color w:val="auto"/>
                <w:sz w:val="21"/>
                <w:szCs w:val="21"/>
                <w:highlight w:val="none"/>
              </w:rPr>
            </w:pPr>
            <w:r>
              <w:rPr>
                <w:rFonts w:eastAsia="宋体"/>
                <w:color w:val="auto"/>
                <w:sz w:val="21"/>
                <w:szCs w:val="21"/>
                <w:highlight w:val="none"/>
              </w:rPr>
              <w:t>14</w:t>
            </w:r>
          </w:p>
        </w:tc>
        <w:tc>
          <w:tcPr>
            <w:tcW w:w="1289" w:type="dxa"/>
            <w:tcBorders>
              <w:tl2br w:val="nil"/>
              <w:tr2bl w:val="nil"/>
            </w:tcBorders>
            <w:vAlign w:val="center"/>
          </w:tcPr>
          <w:p w14:paraId="66D9799E">
            <w:pPr>
              <w:pStyle w:val="98"/>
              <w:ind w:left="-105" w:right="-105"/>
              <w:rPr>
                <w:rFonts w:eastAsia="宋体"/>
                <w:color w:val="auto"/>
                <w:sz w:val="21"/>
                <w:szCs w:val="21"/>
                <w:highlight w:val="none"/>
              </w:rPr>
            </w:pPr>
            <w:r>
              <w:rPr>
                <w:rFonts w:eastAsia="宋体"/>
                <w:color w:val="auto"/>
                <w:sz w:val="21"/>
                <w:szCs w:val="21"/>
                <w:highlight w:val="none"/>
              </w:rPr>
              <w:t>50</w:t>
            </w:r>
          </w:p>
        </w:tc>
      </w:tr>
      <w:tr w14:paraId="267CB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tcBorders>
              <w:tl2br w:val="nil"/>
              <w:tr2bl w:val="nil"/>
            </w:tcBorders>
            <w:vAlign w:val="center"/>
          </w:tcPr>
          <w:p w14:paraId="6643179D">
            <w:pPr>
              <w:pStyle w:val="98"/>
              <w:ind w:left="-105" w:right="-105"/>
              <w:rPr>
                <w:rFonts w:eastAsia="宋体"/>
                <w:color w:val="auto"/>
                <w:sz w:val="21"/>
                <w:szCs w:val="21"/>
                <w:highlight w:val="none"/>
              </w:rPr>
            </w:pPr>
            <w:r>
              <w:rPr>
                <w:rFonts w:eastAsia="宋体"/>
                <w:color w:val="auto"/>
                <w:sz w:val="21"/>
                <w:szCs w:val="21"/>
                <w:highlight w:val="none"/>
              </w:rPr>
              <w:t>20</w:t>
            </w:r>
          </w:p>
        </w:tc>
        <w:tc>
          <w:tcPr>
            <w:tcW w:w="1933" w:type="dxa"/>
            <w:tcBorders>
              <w:tl2br w:val="nil"/>
              <w:tr2bl w:val="nil"/>
            </w:tcBorders>
            <w:vAlign w:val="center"/>
          </w:tcPr>
          <w:p w14:paraId="437EDDB4">
            <w:pPr>
              <w:pStyle w:val="98"/>
              <w:ind w:left="-105" w:right="-105"/>
              <w:rPr>
                <w:rFonts w:eastAsia="宋体"/>
                <w:color w:val="auto"/>
                <w:sz w:val="21"/>
                <w:szCs w:val="21"/>
                <w:highlight w:val="none"/>
              </w:rPr>
            </w:pPr>
            <w:r>
              <w:rPr>
                <w:rFonts w:eastAsia="宋体"/>
                <w:color w:val="auto"/>
                <w:sz w:val="21"/>
                <w:szCs w:val="21"/>
                <w:highlight w:val="none"/>
              </w:rPr>
              <w:t>四氯乙烯</w:t>
            </w:r>
          </w:p>
        </w:tc>
        <w:tc>
          <w:tcPr>
            <w:tcW w:w="1323" w:type="dxa"/>
            <w:tcBorders>
              <w:tl2br w:val="nil"/>
              <w:tr2bl w:val="nil"/>
            </w:tcBorders>
            <w:vAlign w:val="center"/>
          </w:tcPr>
          <w:p w14:paraId="648DC38E">
            <w:pPr>
              <w:pStyle w:val="98"/>
              <w:ind w:left="-105" w:right="-105"/>
              <w:rPr>
                <w:rFonts w:eastAsia="宋体"/>
                <w:color w:val="auto"/>
                <w:sz w:val="21"/>
                <w:szCs w:val="21"/>
                <w:highlight w:val="none"/>
              </w:rPr>
            </w:pPr>
            <w:r>
              <w:rPr>
                <w:rFonts w:eastAsia="宋体"/>
                <w:color w:val="auto"/>
                <w:sz w:val="21"/>
                <w:szCs w:val="21"/>
                <w:highlight w:val="none"/>
              </w:rPr>
              <w:t>127-18-4</w:t>
            </w:r>
          </w:p>
        </w:tc>
        <w:tc>
          <w:tcPr>
            <w:tcW w:w="1283" w:type="dxa"/>
            <w:tcBorders>
              <w:tl2br w:val="nil"/>
              <w:tr2bl w:val="nil"/>
            </w:tcBorders>
            <w:vAlign w:val="center"/>
          </w:tcPr>
          <w:p w14:paraId="0E68965E">
            <w:pPr>
              <w:pStyle w:val="98"/>
              <w:ind w:left="-105" w:right="-105"/>
              <w:rPr>
                <w:rFonts w:eastAsia="宋体"/>
                <w:color w:val="auto"/>
                <w:sz w:val="21"/>
                <w:szCs w:val="21"/>
                <w:highlight w:val="none"/>
              </w:rPr>
            </w:pPr>
            <w:r>
              <w:rPr>
                <w:rFonts w:eastAsia="宋体"/>
                <w:color w:val="auto"/>
                <w:sz w:val="21"/>
                <w:szCs w:val="21"/>
                <w:highlight w:val="none"/>
              </w:rPr>
              <w:t>11</w:t>
            </w:r>
          </w:p>
        </w:tc>
        <w:tc>
          <w:tcPr>
            <w:tcW w:w="1292" w:type="dxa"/>
            <w:tcBorders>
              <w:tl2br w:val="nil"/>
              <w:tr2bl w:val="nil"/>
            </w:tcBorders>
            <w:vAlign w:val="center"/>
          </w:tcPr>
          <w:p w14:paraId="125AA8D9">
            <w:pPr>
              <w:pStyle w:val="98"/>
              <w:ind w:left="-105" w:right="-105"/>
              <w:rPr>
                <w:rFonts w:eastAsia="宋体"/>
                <w:color w:val="auto"/>
                <w:sz w:val="21"/>
                <w:szCs w:val="21"/>
                <w:highlight w:val="none"/>
              </w:rPr>
            </w:pPr>
            <w:r>
              <w:rPr>
                <w:rFonts w:eastAsia="宋体"/>
                <w:color w:val="auto"/>
                <w:sz w:val="21"/>
                <w:szCs w:val="21"/>
                <w:highlight w:val="none"/>
              </w:rPr>
              <w:t>53</w:t>
            </w:r>
          </w:p>
        </w:tc>
        <w:tc>
          <w:tcPr>
            <w:tcW w:w="1285" w:type="dxa"/>
            <w:tcBorders>
              <w:tl2br w:val="nil"/>
              <w:tr2bl w:val="nil"/>
            </w:tcBorders>
            <w:vAlign w:val="center"/>
          </w:tcPr>
          <w:p w14:paraId="36D0B632">
            <w:pPr>
              <w:pStyle w:val="98"/>
              <w:ind w:left="-105" w:right="-105"/>
              <w:rPr>
                <w:rFonts w:eastAsia="宋体"/>
                <w:color w:val="auto"/>
                <w:sz w:val="21"/>
                <w:szCs w:val="21"/>
                <w:highlight w:val="none"/>
              </w:rPr>
            </w:pPr>
            <w:r>
              <w:rPr>
                <w:rFonts w:eastAsia="宋体"/>
                <w:color w:val="auto"/>
                <w:sz w:val="21"/>
                <w:szCs w:val="21"/>
                <w:highlight w:val="none"/>
              </w:rPr>
              <w:t>34</w:t>
            </w:r>
          </w:p>
        </w:tc>
        <w:tc>
          <w:tcPr>
            <w:tcW w:w="1289" w:type="dxa"/>
            <w:tcBorders>
              <w:tl2br w:val="nil"/>
              <w:tr2bl w:val="nil"/>
            </w:tcBorders>
            <w:vAlign w:val="center"/>
          </w:tcPr>
          <w:p w14:paraId="5A28777B">
            <w:pPr>
              <w:pStyle w:val="98"/>
              <w:ind w:left="-105" w:right="-105"/>
              <w:rPr>
                <w:rFonts w:eastAsia="宋体"/>
                <w:color w:val="auto"/>
                <w:sz w:val="21"/>
                <w:szCs w:val="21"/>
                <w:highlight w:val="none"/>
              </w:rPr>
            </w:pPr>
            <w:r>
              <w:rPr>
                <w:rFonts w:eastAsia="宋体"/>
                <w:color w:val="auto"/>
                <w:sz w:val="21"/>
                <w:szCs w:val="21"/>
                <w:highlight w:val="none"/>
              </w:rPr>
              <w:t>183</w:t>
            </w:r>
          </w:p>
        </w:tc>
      </w:tr>
      <w:tr w14:paraId="3CA54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AABAF3C">
            <w:pPr>
              <w:pStyle w:val="98"/>
              <w:ind w:left="-105" w:right="-105"/>
              <w:rPr>
                <w:rFonts w:eastAsia="宋体"/>
                <w:color w:val="auto"/>
                <w:sz w:val="21"/>
                <w:szCs w:val="21"/>
                <w:highlight w:val="none"/>
              </w:rPr>
            </w:pPr>
            <w:r>
              <w:rPr>
                <w:rFonts w:eastAsia="宋体"/>
                <w:color w:val="auto"/>
                <w:sz w:val="21"/>
                <w:szCs w:val="21"/>
                <w:highlight w:val="none"/>
              </w:rPr>
              <w:t>21</w:t>
            </w:r>
          </w:p>
        </w:tc>
        <w:tc>
          <w:tcPr>
            <w:tcW w:w="1933" w:type="dxa"/>
            <w:tcBorders>
              <w:tl2br w:val="nil"/>
              <w:tr2bl w:val="nil"/>
            </w:tcBorders>
            <w:vAlign w:val="center"/>
          </w:tcPr>
          <w:p w14:paraId="20CE21BA">
            <w:pPr>
              <w:pStyle w:val="98"/>
              <w:ind w:left="-105" w:right="-105"/>
              <w:rPr>
                <w:rFonts w:eastAsia="宋体"/>
                <w:color w:val="auto"/>
                <w:sz w:val="21"/>
                <w:szCs w:val="21"/>
                <w:highlight w:val="none"/>
              </w:rPr>
            </w:pPr>
            <w:r>
              <w:rPr>
                <w:rFonts w:eastAsia="宋体"/>
                <w:color w:val="auto"/>
                <w:sz w:val="21"/>
                <w:szCs w:val="21"/>
                <w:highlight w:val="none"/>
              </w:rPr>
              <w:t>1,1,1-三氯乙烷</w:t>
            </w:r>
          </w:p>
        </w:tc>
        <w:tc>
          <w:tcPr>
            <w:tcW w:w="1323" w:type="dxa"/>
            <w:tcBorders>
              <w:tl2br w:val="nil"/>
              <w:tr2bl w:val="nil"/>
            </w:tcBorders>
            <w:vAlign w:val="center"/>
          </w:tcPr>
          <w:p w14:paraId="7BDCF519">
            <w:pPr>
              <w:pStyle w:val="98"/>
              <w:ind w:left="-105" w:right="-105"/>
              <w:rPr>
                <w:rFonts w:eastAsia="宋体"/>
                <w:color w:val="auto"/>
                <w:sz w:val="21"/>
                <w:szCs w:val="21"/>
                <w:highlight w:val="none"/>
              </w:rPr>
            </w:pPr>
            <w:r>
              <w:rPr>
                <w:rFonts w:eastAsia="宋体"/>
                <w:color w:val="auto"/>
                <w:sz w:val="21"/>
                <w:szCs w:val="21"/>
                <w:highlight w:val="none"/>
              </w:rPr>
              <w:t>71-55-6</w:t>
            </w:r>
          </w:p>
        </w:tc>
        <w:tc>
          <w:tcPr>
            <w:tcW w:w="1283" w:type="dxa"/>
            <w:tcBorders>
              <w:tl2br w:val="nil"/>
              <w:tr2bl w:val="nil"/>
            </w:tcBorders>
            <w:vAlign w:val="center"/>
          </w:tcPr>
          <w:p w14:paraId="79C0F822">
            <w:pPr>
              <w:pStyle w:val="98"/>
              <w:ind w:left="-105" w:right="-105"/>
              <w:rPr>
                <w:rFonts w:eastAsia="宋体"/>
                <w:color w:val="auto"/>
                <w:sz w:val="21"/>
                <w:szCs w:val="21"/>
                <w:highlight w:val="none"/>
              </w:rPr>
            </w:pPr>
            <w:r>
              <w:rPr>
                <w:rFonts w:eastAsia="宋体"/>
                <w:color w:val="auto"/>
                <w:sz w:val="21"/>
                <w:szCs w:val="21"/>
                <w:highlight w:val="none"/>
              </w:rPr>
              <w:t>701</w:t>
            </w:r>
          </w:p>
        </w:tc>
        <w:tc>
          <w:tcPr>
            <w:tcW w:w="1292" w:type="dxa"/>
            <w:tcBorders>
              <w:tl2br w:val="nil"/>
              <w:tr2bl w:val="nil"/>
            </w:tcBorders>
            <w:vAlign w:val="center"/>
          </w:tcPr>
          <w:p w14:paraId="24F49169">
            <w:pPr>
              <w:pStyle w:val="98"/>
              <w:ind w:left="-105" w:right="-105"/>
              <w:rPr>
                <w:rFonts w:eastAsia="宋体"/>
                <w:color w:val="auto"/>
                <w:sz w:val="21"/>
                <w:szCs w:val="21"/>
                <w:highlight w:val="none"/>
              </w:rPr>
            </w:pPr>
            <w:r>
              <w:rPr>
                <w:rFonts w:eastAsia="宋体"/>
                <w:color w:val="auto"/>
                <w:sz w:val="21"/>
                <w:szCs w:val="21"/>
                <w:highlight w:val="none"/>
              </w:rPr>
              <w:t>840</w:t>
            </w:r>
          </w:p>
        </w:tc>
        <w:tc>
          <w:tcPr>
            <w:tcW w:w="1285" w:type="dxa"/>
            <w:tcBorders>
              <w:tl2br w:val="nil"/>
              <w:tr2bl w:val="nil"/>
            </w:tcBorders>
            <w:vAlign w:val="center"/>
          </w:tcPr>
          <w:p w14:paraId="4B600DF5">
            <w:pPr>
              <w:pStyle w:val="98"/>
              <w:ind w:left="-105" w:right="-105"/>
              <w:rPr>
                <w:rFonts w:eastAsia="宋体"/>
                <w:color w:val="auto"/>
                <w:sz w:val="21"/>
                <w:szCs w:val="21"/>
                <w:highlight w:val="none"/>
              </w:rPr>
            </w:pPr>
            <w:r>
              <w:rPr>
                <w:rFonts w:eastAsia="宋体"/>
                <w:color w:val="auto"/>
                <w:sz w:val="21"/>
                <w:szCs w:val="21"/>
                <w:highlight w:val="none"/>
              </w:rPr>
              <w:t>840</w:t>
            </w:r>
          </w:p>
        </w:tc>
        <w:tc>
          <w:tcPr>
            <w:tcW w:w="1289" w:type="dxa"/>
            <w:tcBorders>
              <w:tl2br w:val="nil"/>
              <w:tr2bl w:val="nil"/>
            </w:tcBorders>
            <w:vAlign w:val="center"/>
          </w:tcPr>
          <w:p w14:paraId="1E6B5573">
            <w:pPr>
              <w:pStyle w:val="98"/>
              <w:ind w:left="-105" w:right="-105"/>
              <w:rPr>
                <w:rFonts w:eastAsia="宋体"/>
                <w:color w:val="auto"/>
                <w:sz w:val="21"/>
                <w:szCs w:val="21"/>
                <w:highlight w:val="none"/>
              </w:rPr>
            </w:pPr>
            <w:r>
              <w:rPr>
                <w:rFonts w:eastAsia="宋体"/>
                <w:color w:val="auto"/>
                <w:sz w:val="21"/>
                <w:szCs w:val="21"/>
                <w:highlight w:val="none"/>
              </w:rPr>
              <w:t>840</w:t>
            </w:r>
          </w:p>
        </w:tc>
      </w:tr>
      <w:tr w14:paraId="42691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2C26D7E">
            <w:pPr>
              <w:pStyle w:val="98"/>
              <w:ind w:left="-105" w:right="-105"/>
              <w:rPr>
                <w:rFonts w:eastAsia="宋体"/>
                <w:color w:val="auto"/>
                <w:sz w:val="21"/>
                <w:szCs w:val="21"/>
                <w:highlight w:val="none"/>
              </w:rPr>
            </w:pPr>
            <w:r>
              <w:rPr>
                <w:rFonts w:eastAsia="宋体"/>
                <w:color w:val="auto"/>
                <w:sz w:val="21"/>
                <w:szCs w:val="21"/>
                <w:highlight w:val="none"/>
              </w:rPr>
              <w:t>22</w:t>
            </w:r>
          </w:p>
        </w:tc>
        <w:tc>
          <w:tcPr>
            <w:tcW w:w="1933" w:type="dxa"/>
            <w:tcBorders>
              <w:tl2br w:val="nil"/>
              <w:tr2bl w:val="nil"/>
            </w:tcBorders>
            <w:vAlign w:val="center"/>
          </w:tcPr>
          <w:p w14:paraId="3E5A2DC6">
            <w:pPr>
              <w:pStyle w:val="98"/>
              <w:ind w:left="-105" w:right="-105"/>
              <w:rPr>
                <w:rFonts w:eastAsia="宋体"/>
                <w:color w:val="auto"/>
                <w:sz w:val="21"/>
                <w:szCs w:val="21"/>
                <w:highlight w:val="none"/>
              </w:rPr>
            </w:pPr>
            <w:r>
              <w:rPr>
                <w:rFonts w:eastAsia="宋体"/>
                <w:color w:val="auto"/>
                <w:sz w:val="21"/>
                <w:szCs w:val="21"/>
                <w:highlight w:val="none"/>
              </w:rPr>
              <w:t>1,1,2-三氯乙烷</w:t>
            </w:r>
          </w:p>
        </w:tc>
        <w:tc>
          <w:tcPr>
            <w:tcW w:w="1323" w:type="dxa"/>
            <w:tcBorders>
              <w:tl2br w:val="nil"/>
              <w:tr2bl w:val="nil"/>
            </w:tcBorders>
            <w:vAlign w:val="center"/>
          </w:tcPr>
          <w:p w14:paraId="784CA39E">
            <w:pPr>
              <w:pStyle w:val="98"/>
              <w:ind w:left="-105" w:right="-105"/>
              <w:rPr>
                <w:rFonts w:eastAsia="宋体"/>
                <w:color w:val="auto"/>
                <w:sz w:val="21"/>
                <w:szCs w:val="21"/>
                <w:highlight w:val="none"/>
              </w:rPr>
            </w:pPr>
            <w:r>
              <w:rPr>
                <w:rFonts w:eastAsia="宋体"/>
                <w:color w:val="auto"/>
                <w:sz w:val="21"/>
                <w:szCs w:val="21"/>
                <w:highlight w:val="none"/>
              </w:rPr>
              <w:t>79-00-5</w:t>
            </w:r>
          </w:p>
        </w:tc>
        <w:tc>
          <w:tcPr>
            <w:tcW w:w="1283" w:type="dxa"/>
            <w:tcBorders>
              <w:tl2br w:val="nil"/>
              <w:tr2bl w:val="nil"/>
            </w:tcBorders>
            <w:vAlign w:val="center"/>
          </w:tcPr>
          <w:p w14:paraId="35546ABE">
            <w:pPr>
              <w:pStyle w:val="98"/>
              <w:ind w:left="-105" w:right="-105"/>
              <w:rPr>
                <w:rFonts w:eastAsia="宋体"/>
                <w:color w:val="auto"/>
                <w:sz w:val="21"/>
                <w:szCs w:val="21"/>
                <w:highlight w:val="none"/>
              </w:rPr>
            </w:pPr>
            <w:r>
              <w:rPr>
                <w:rFonts w:eastAsia="宋体"/>
                <w:color w:val="auto"/>
                <w:sz w:val="21"/>
                <w:szCs w:val="21"/>
                <w:highlight w:val="none"/>
              </w:rPr>
              <w:t>0.6</w:t>
            </w:r>
          </w:p>
        </w:tc>
        <w:tc>
          <w:tcPr>
            <w:tcW w:w="1292" w:type="dxa"/>
            <w:tcBorders>
              <w:tl2br w:val="nil"/>
              <w:tr2bl w:val="nil"/>
            </w:tcBorders>
            <w:vAlign w:val="center"/>
          </w:tcPr>
          <w:p w14:paraId="3DC3C278">
            <w:pPr>
              <w:pStyle w:val="98"/>
              <w:ind w:left="-105" w:right="-105"/>
              <w:rPr>
                <w:rFonts w:eastAsia="宋体"/>
                <w:color w:val="auto"/>
                <w:sz w:val="21"/>
                <w:szCs w:val="21"/>
                <w:highlight w:val="none"/>
              </w:rPr>
            </w:pPr>
            <w:r>
              <w:rPr>
                <w:rFonts w:eastAsia="宋体"/>
                <w:color w:val="auto"/>
                <w:sz w:val="21"/>
                <w:szCs w:val="21"/>
                <w:highlight w:val="none"/>
              </w:rPr>
              <w:t>2.8</w:t>
            </w:r>
          </w:p>
        </w:tc>
        <w:tc>
          <w:tcPr>
            <w:tcW w:w="1285" w:type="dxa"/>
            <w:tcBorders>
              <w:tl2br w:val="nil"/>
              <w:tr2bl w:val="nil"/>
            </w:tcBorders>
            <w:vAlign w:val="center"/>
          </w:tcPr>
          <w:p w14:paraId="1FBA6480">
            <w:pPr>
              <w:pStyle w:val="98"/>
              <w:ind w:left="-105" w:right="-105"/>
              <w:rPr>
                <w:rFonts w:eastAsia="宋体"/>
                <w:color w:val="auto"/>
                <w:sz w:val="21"/>
                <w:szCs w:val="21"/>
                <w:highlight w:val="none"/>
              </w:rPr>
            </w:pPr>
            <w:r>
              <w:rPr>
                <w:rFonts w:eastAsia="宋体"/>
                <w:color w:val="auto"/>
                <w:sz w:val="21"/>
                <w:szCs w:val="21"/>
                <w:highlight w:val="none"/>
              </w:rPr>
              <w:t>5</w:t>
            </w:r>
          </w:p>
        </w:tc>
        <w:tc>
          <w:tcPr>
            <w:tcW w:w="1289" w:type="dxa"/>
            <w:tcBorders>
              <w:tl2br w:val="nil"/>
              <w:tr2bl w:val="nil"/>
            </w:tcBorders>
            <w:vAlign w:val="center"/>
          </w:tcPr>
          <w:p w14:paraId="641996CF">
            <w:pPr>
              <w:pStyle w:val="98"/>
              <w:ind w:left="-105" w:right="-105"/>
              <w:rPr>
                <w:rFonts w:eastAsia="宋体"/>
                <w:color w:val="auto"/>
                <w:sz w:val="21"/>
                <w:szCs w:val="21"/>
                <w:highlight w:val="none"/>
              </w:rPr>
            </w:pPr>
            <w:r>
              <w:rPr>
                <w:rFonts w:eastAsia="宋体"/>
                <w:color w:val="auto"/>
                <w:sz w:val="21"/>
                <w:szCs w:val="21"/>
                <w:highlight w:val="none"/>
              </w:rPr>
              <w:t>15</w:t>
            </w:r>
          </w:p>
        </w:tc>
      </w:tr>
      <w:tr w14:paraId="4C5F4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CC321D5">
            <w:pPr>
              <w:pStyle w:val="98"/>
              <w:ind w:left="-105" w:right="-105"/>
              <w:rPr>
                <w:rFonts w:eastAsia="宋体"/>
                <w:color w:val="auto"/>
                <w:sz w:val="21"/>
                <w:szCs w:val="21"/>
                <w:highlight w:val="none"/>
              </w:rPr>
            </w:pPr>
            <w:r>
              <w:rPr>
                <w:rFonts w:eastAsia="宋体"/>
                <w:color w:val="auto"/>
                <w:sz w:val="21"/>
                <w:szCs w:val="21"/>
                <w:highlight w:val="none"/>
              </w:rPr>
              <w:t>23</w:t>
            </w:r>
          </w:p>
        </w:tc>
        <w:tc>
          <w:tcPr>
            <w:tcW w:w="1933" w:type="dxa"/>
            <w:tcBorders>
              <w:tl2br w:val="nil"/>
              <w:tr2bl w:val="nil"/>
            </w:tcBorders>
            <w:vAlign w:val="center"/>
          </w:tcPr>
          <w:p w14:paraId="302D419B">
            <w:pPr>
              <w:pStyle w:val="98"/>
              <w:ind w:left="-105" w:right="-105"/>
              <w:rPr>
                <w:rFonts w:eastAsia="宋体"/>
                <w:color w:val="auto"/>
                <w:sz w:val="21"/>
                <w:szCs w:val="21"/>
                <w:highlight w:val="none"/>
              </w:rPr>
            </w:pPr>
            <w:r>
              <w:rPr>
                <w:rFonts w:eastAsia="宋体"/>
                <w:color w:val="auto"/>
                <w:sz w:val="21"/>
                <w:szCs w:val="21"/>
                <w:highlight w:val="none"/>
              </w:rPr>
              <w:t>三氯乙烯</w:t>
            </w:r>
          </w:p>
        </w:tc>
        <w:tc>
          <w:tcPr>
            <w:tcW w:w="1323" w:type="dxa"/>
            <w:tcBorders>
              <w:tl2br w:val="nil"/>
              <w:tr2bl w:val="nil"/>
            </w:tcBorders>
            <w:vAlign w:val="center"/>
          </w:tcPr>
          <w:p w14:paraId="0971F6A0">
            <w:pPr>
              <w:pStyle w:val="98"/>
              <w:ind w:left="-105" w:right="-105"/>
              <w:rPr>
                <w:rFonts w:eastAsia="宋体"/>
                <w:color w:val="auto"/>
                <w:sz w:val="21"/>
                <w:szCs w:val="21"/>
                <w:highlight w:val="none"/>
              </w:rPr>
            </w:pPr>
            <w:r>
              <w:rPr>
                <w:rFonts w:eastAsia="宋体"/>
                <w:color w:val="auto"/>
                <w:sz w:val="21"/>
                <w:szCs w:val="21"/>
                <w:highlight w:val="none"/>
              </w:rPr>
              <w:t>79-01-6</w:t>
            </w:r>
          </w:p>
        </w:tc>
        <w:tc>
          <w:tcPr>
            <w:tcW w:w="1283" w:type="dxa"/>
            <w:tcBorders>
              <w:tl2br w:val="nil"/>
              <w:tr2bl w:val="nil"/>
            </w:tcBorders>
            <w:vAlign w:val="center"/>
          </w:tcPr>
          <w:p w14:paraId="078B8E6E">
            <w:pPr>
              <w:pStyle w:val="98"/>
              <w:ind w:left="-105" w:right="-105"/>
              <w:rPr>
                <w:rFonts w:eastAsia="宋体"/>
                <w:color w:val="auto"/>
                <w:sz w:val="21"/>
                <w:szCs w:val="21"/>
                <w:highlight w:val="none"/>
              </w:rPr>
            </w:pPr>
            <w:r>
              <w:rPr>
                <w:rFonts w:eastAsia="宋体"/>
                <w:color w:val="auto"/>
                <w:sz w:val="21"/>
                <w:szCs w:val="21"/>
                <w:highlight w:val="none"/>
              </w:rPr>
              <w:t>0.7</w:t>
            </w:r>
          </w:p>
        </w:tc>
        <w:tc>
          <w:tcPr>
            <w:tcW w:w="1292" w:type="dxa"/>
            <w:tcBorders>
              <w:tl2br w:val="nil"/>
              <w:tr2bl w:val="nil"/>
            </w:tcBorders>
            <w:vAlign w:val="center"/>
          </w:tcPr>
          <w:p w14:paraId="67AF8C42">
            <w:pPr>
              <w:pStyle w:val="98"/>
              <w:ind w:left="-105" w:right="-105"/>
              <w:rPr>
                <w:rFonts w:eastAsia="宋体"/>
                <w:color w:val="auto"/>
                <w:sz w:val="21"/>
                <w:szCs w:val="21"/>
                <w:highlight w:val="none"/>
              </w:rPr>
            </w:pPr>
            <w:r>
              <w:rPr>
                <w:rFonts w:eastAsia="宋体"/>
                <w:color w:val="auto"/>
                <w:sz w:val="21"/>
                <w:szCs w:val="21"/>
                <w:highlight w:val="none"/>
              </w:rPr>
              <w:t>2.8</w:t>
            </w:r>
          </w:p>
        </w:tc>
        <w:tc>
          <w:tcPr>
            <w:tcW w:w="1285" w:type="dxa"/>
            <w:tcBorders>
              <w:tl2br w:val="nil"/>
              <w:tr2bl w:val="nil"/>
            </w:tcBorders>
            <w:vAlign w:val="center"/>
          </w:tcPr>
          <w:p w14:paraId="6A81486D">
            <w:pPr>
              <w:pStyle w:val="98"/>
              <w:ind w:left="-105" w:right="-105"/>
              <w:rPr>
                <w:rFonts w:eastAsia="宋体"/>
                <w:color w:val="auto"/>
                <w:sz w:val="21"/>
                <w:szCs w:val="21"/>
                <w:highlight w:val="none"/>
              </w:rPr>
            </w:pPr>
            <w:r>
              <w:rPr>
                <w:rFonts w:eastAsia="宋体"/>
                <w:color w:val="auto"/>
                <w:sz w:val="21"/>
                <w:szCs w:val="21"/>
                <w:highlight w:val="none"/>
              </w:rPr>
              <w:t>7</w:t>
            </w:r>
          </w:p>
        </w:tc>
        <w:tc>
          <w:tcPr>
            <w:tcW w:w="1289" w:type="dxa"/>
            <w:tcBorders>
              <w:tl2br w:val="nil"/>
              <w:tr2bl w:val="nil"/>
            </w:tcBorders>
            <w:vAlign w:val="center"/>
          </w:tcPr>
          <w:p w14:paraId="5384602D">
            <w:pPr>
              <w:pStyle w:val="98"/>
              <w:ind w:left="-105" w:right="-105"/>
              <w:rPr>
                <w:rFonts w:eastAsia="宋体"/>
                <w:color w:val="auto"/>
                <w:sz w:val="21"/>
                <w:szCs w:val="21"/>
                <w:highlight w:val="none"/>
              </w:rPr>
            </w:pPr>
            <w:r>
              <w:rPr>
                <w:rFonts w:eastAsia="宋体"/>
                <w:color w:val="auto"/>
                <w:sz w:val="21"/>
                <w:szCs w:val="21"/>
                <w:highlight w:val="none"/>
              </w:rPr>
              <w:t>20</w:t>
            </w:r>
          </w:p>
        </w:tc>
      </w:tr>
      <w:tr w14:paraId="659F9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2300E5CD">
            <w:pPr>
              <w:pStyle w:val="98"/>
              <w:ind w:left="-105" w:right="-105"/>
              <w:rPr>
                <w:rFonts w:eastAsia="宋体"/>
                <w:color w:val="auto"/>
                <w:sz w:val="21"/>
                <w:szCs w:val="21"/>
                <w:highlight w:val="none"/>
              </w:rPr>
            </w:pPr>
            <w:r>
              <w:rPr>
                <w:rFonts w:eastAsia="宋体"/>
                <w:color w:val="auto"/>
                <w:sz w:val="21"/>
                <w:szCs w:val="21"/>
                <w:highlight w:val="none"/>
              </w:rPr>
              <w:t>24</w:t>
            </w:r>
          </w:p>
        </w:tc>
        <w:tc>
          <w:tcPr>
            <w:tcW w:w="1933" w:type="dxa"/>
            <w:tcBorders>
              <w:tl2br w:val="nil"/>
              <w:tr2bl w:val="nil"/>
            </w:tcBorders>
            <w:vAlign w:val="center"/>
          </w:tcPr>
          <w:p w14:paraId="42FBB547">
            <w:pPr>
              <w:pStyle w:val="98"/>
              <w:ind w:left="-105" w:right="-105"/>
              <w:rPr>
                <w:rFonts w:eastAsia="宋体"/>
                <w:color w:val="auto"/>
                <w:sz w:val="21"/>
                <w:szCs w:val="21"/>
                <w:highlight w:val="none"/>
              </w:rPr>
            </w:pPr>
            <w:r>
              <w:rPr>
                <w:rFonts w:eastAsia="宋体"/>
                <w:color w:val="auto"/>
                <w:sz w:val="21"/>
                <w:szCs w:val="21"/>
                <w:highlight w:val="none"/>
              </w:rPr>
              <w:t>1,2,3-三氯丙烷</w:t>
            </w:r>
          </w:p>
        </w:tc>
        <w:tc>
          <w:tcPr>
            <w:tcW w:w="1323" w:type="dxa"/>
            <w:tcBorders>
              <w:tl2br w:val="nil"/>
              <w:tr2bl w:val="nil"/>
            </w:tcBorders>
            <w:vAlign w:val="center"/>
          </w:tcPr>
          <w:p w14:paraId="6E7839FD">
            <w:pPr>
              <w:pStyle w:val="98"/>
              <w:ind w:left="-105" w:right="-105"/>
              <w:rPr>
                <w:rFonts w:eastAsia="宋体"/>
                <w:color w:val="auto"/>
                <w:sz w:val="21"/>
                <w:szCs w:val="21"/>
                <w:highlight w:val="none"/>
              </w:rPr>
            </w:pPr>
            <w:r>
              <w:rPr>
                <w:rFonts w:eastAsia="宋体"/>
                <w:color w:val="auto"/>
                <w:sz w:val="21"/>
                <w:szCs w:val="21"/>
                <w:highlight w:val="none"/>
              </w:rPr>
              <w:t>96-18-4</w:t>
            </w:r>
          </w:p>
        </w:tc>
        <w:tc>
          <w:tcPr>
            <w:tcW w:w="1283" w:type="dxa"/>
            <w:tcBorders>
              <w:tl2br w:val="nil"/>
              <w:tr2bl w:val="nil"/>
            </w:tcBorders>
            <w:vAlign w:val="center"/>
          </w:tcPr>
          <w:p w14:paraId="61A84E69">
            <w:pPr>
              <w:pStyle w:val="98"/>
              <w:ind w:left="-105" w:right="-105"/>
              <w:rPr>
                <w:rFonts w:eastAsia="宋体"/>
                <w:color w:val="auto"/>
                <w:sz w:val="21"/>
                <w:szCs w:val="21"/>
                <w:highlight w:val="none"/>
              </w:rPr>
            </w:pPr>
            <w:r>
              <w:rPr>
                <w:rFonts w:eastAsia="宋体"/>
                <w:color w:val="auto"/>
                <w:sz w:val="21"/>
                <w:szCs w:val="21"/>
                <w:highlight w:val="none"/>
              </w:rPr>
              <w:t>0.05</w:t>
            </w:r>
          </w:p>
        </w:tc>
        <w:tc>
          <w:tcPr>
            <w:tcW w:w="1292" w:type="dxa"/>
            <w:tcBorders>
              <w:tl2br w:val="nil"/>
              <w:tr2bl w:val="nil"/>
            </w:tcBorders>
            <w:vAlign w:val="center"/>
          </w:tcPr>
          <w:p w14:paraId="143229AD">
            <w:pPr>
              <w:pStyle w:val="98"/>
              <w:ind w:left="-105" w:right="-105"/>
              <w:rPr>
                <w:rFonts w:eastAsia="宋体"/>
                <w:color w:val="auto"/>
                <w:sz w:val="21"/>
                <w:szCs w:val="21"/>
                <w:highlight w:val="none"/>
              </w:rPr>
            </w:pPr>
            <w:r>
              <w:rPr>
                <w:rFonts w:eastAsia="宋体"/>
                <w:color w:val="auto"/>
                <w:sz w:val="21"/>
                <w:szCs w:val="21"/>
                <w:highlight w:val="none"/>
              </w:rPr>
              <w:t>0.5</w:t>
            </w:r>
          </w:p>
        </w:tc>
        <w:tc>
          <w:tcPr>
            <w:tcW w:w="1285" w:type="dxa"/>
            <w:tcBorders>
              <w:tl2br w:val="nil"/>
              <w:tr2bl w:val="nil"/>
            </w:tcBorders>
            <w:vAlign w:val="center"/>
          </w:tcPr>
          <w:p w14:paraId="1A0057FE">
            <w:pPr>
              <w:pStyle w:val="98"/>
              <w:ind w:left="-105" w:right="-105"/>
              <w:rPr>
                <w:rFonts w:eastAsia="宋体"/>
                <w:color w:val="auto"/>
                <w:sz w:val="21"/>
                <w:szCs w:val="21"/>
                <w:highlight w:val="none"/>
              </w:rPr>
            </w:pPr>
            <w:r>
              <w:rPr>
                <w:rFonts w:eastAsia="宋体"/>
                <w:color w:val="auto"/>
                <w:sz w:val="21"/>
                <w:szCs w:val="21"/>
                <w:highlight w:val="none"/>
              </w:rPr>
              <w:t>0.5</w:t>
            </w:r>
          </w:p>
        </w:tc>
        <w:tc>
          <w:tcPr>
            <w:tcW w:w="1289" w:type="dxa"/>
            <w:tcBorders>
              <w:tl2br w:val="nil"/>
              <w:tr2bl w:val="nil"/>
            </w:tcBorders>
            <w:vAlign w:val="center"/>
          </w:tcPr>
          <w:p w14:paraId="31AF8435">
            <w:pPr>
              <w:pStyle w:val="98"/>
              <w:ind w:left="-105" w:right="-105"/>
              <w:rPr>
                <w:rFonts w:eastAsia="宋体"/>
                <w:color w:val="auto"/>
                <w:sz w:val="21"/>
                <w:szCs w:val="21"/>
                <w:highlight w:val="none"/>
              </w:rPr>
            </w:pPr>
            <w:r>
              <w:rPr>
                <w:rFonts w:eastAsia="宋体"/>
                <w:color w:val="auto"/>
                <w:sz w:val="21"/>
                <w:szCs w:val="21"/>
                <w:highlight w:val="none"/>
              </w:rPr>
              <w:t>5</w:t>
            </w:r>
          </w:p>
        </w:tc>
      </w:tr>
      <w:tr w14:paraId="1035A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5037D86">
            <w:pPr>
              <w:pStyle w:val="98"/>
              <w:ind w:left="-105" w:right="-105"/>
              <w:rPr>
                <w:rFonts w:eastAsia="宋体"/>
                <w:color w:val="auto"/>
                <w:sz w:val="21"/>
                <w:szCs w:val="21"/>
                <w:highlight w:val="none"/>
              </w:rPr>
            </w:pPr>
            <w:r>
              <w:rPr>
                <w:rFonts w:eastAsia="宋体"/>
                <w:color w:val="auto"/>
                <w:sz w:val="21"/>
                <w:szCs w:val="21"/>
                <w:highlight w:val="none"/>
              </w:rPr>
              <w:t>25</w:t>
            </w:r>
          </w:p>
        </w:tc>
        <w:tc>
          <w:tcPr>
            <w:tcW w:w="1933" w:type="dxa"/>
            <w:tcBorders>
              <w:tl2br w:val="nil"/>
              <w:tr2bl w:val="nil"/>
            </w:tcBorders>
            <w:vAlign w:val="center"/>
          </w:tcPr>
          <w:p w14:paraId="0207ABD3">
            <w:pPr>
              <w:pStyle w:val="98"/>
              <w:ind w:left="-105" w:right="-105"/>
              <w:rPr>
                <w:rFonts w:eastAsia="宋体"/>
                <w:color w:val="auto"/>
                <w:sz w:val="21"/>
                <w:szCs w:val="21"/>
                <w:highlight w:val="none"/>
              </w:rPr>
            </w:pPr>
            <w:r>
              <w:rPr>
                <w:rFonts w:eastAsia="宋体"/>
                <w:color w:val="auto"/>
                <w:sz w:val="21"/>
                <w:szCs w:val="21"/>
                <w:highlight w:val="none"/>
              </w:rPr>
              <w:t>氯乙烯</w:t>
            </w:r>
          </w:p>
        </w:tc>
        <w:tc>
          <w:tcPr>
            <w:tcW w:w="1323" w:type="dxa"/>
            <w:tcBorders>
              <w:tl2br w:val="nil"/>
              <w:tr2bl w:val="nil"/>
            </w:tcBorders>
            <w:vAlign w:val="center"/>
          </w:tcPr>
          <w:p w14:paraId="5A73B20A">
            <w:pPr>
              <w:pStyle w:val="98"/>
              <w:ind w:left="-105" w:right="-105"/>
              <w:rPr>
                <w:rFonts w:eastAsia="宋体"/>
                <w:color w:val="auto"/>
                <w:sz w:val="21"/>
                <w:szCs w:val="21"/>
                <w:highlight w:val="none"/>
              </w:rPr>
            </w:pPr>
            <w:r>
              <w:rPr>
                <w:rFonts w:eastAsia="宋体"/>
                <w:color w:val="auto"/>
                <w:sz w:val="21"/>
                <w:szCs w:val="21"/>
                <w:highlight w:val="none"/>
              </w:rPr>
              <w:t>75-01-4</w:t>
            </w:r>
          </w:p>
        </w:tc>
        <w:tc>
          <w:tcPr>
            <w:tcW w:w="1283" w:type="dxa"/>
            <w:tcBorders>
              <w:tl2br w:val="nil"/>
              <w:tr2bl w:val="nil"/>
            </w:tcBorders>
            <w:vAlign w:val="center"/>
          </w:tcPr>
          <w:p w14:paraId="6CD566D6">
            <w:pPr>
              <w:pStyle w:val="98"/>
              <w:ind w:left="-105" w:right="-105"/>
              <w:rPr>
                <w:rFonts w:eastAsia="宋体"/>
                <w:color w:val="auto"/>
                <w:sz w:val="21"/>
                <w:szCs w:val="21"/>
                <w:highlight w:val="none"/>
              </w:rPr>
            </w:pPr>
            <w:r>
              <w:rPr>
                <w:rFonts w:eastAsia="宋体"/>
                <w:color w:val="auto"/>
                <w:sz w:val="21"/>
                <w:szCs w:val="21"/>
                <w:highlight w:val="none"/>
              </w:rPr>
              <w:t>0.12</w:t>
            </w:r>
          </w:p>
        </w:tc>
        <w:tc>
          <w:tcPr>
            <w:tcW w:w="1292" w:type="dxa"/>
            <w:tcBorders>
              <w:tl2br w:val="nil"/>
              <w:tr2bl w:val="nil"/>
            </w:tcBorders>
            <w:vAlign w:val="center"/>
          </w:tcPr>
          <w:p w14:paraId="2A1C7ACA">
            <w:pPr>
              <w:pStyle w:val="98"/>
              <w:ind w:left="-105" w:right="-105"/>
              <w:rPr>
                <w:rFonts w:eastAsia="宋体"/>
                <w:color w:val="auto"/>
                <w:sz w:val="21"/>
                <w:szCs w:val="21"/>
                <w:highlight w:val="none"/>
              </w:rPr>
            </w:pPr>
            <w:r>
              <w:rPr>
                <w:rFonts w:eastAsia="宋体"/>
                <w:color w:val="auto"/>
                <w:sz w:val="21"/>
                <w:szCs w:val="21"/>
                <w:highlight w:val="none"/>
              </w:rPr>
              <w:t>0.43</w:t>
            </w:r>
          </w:p>
        </w:tc>
        <w:tc>
          <w:tcPr>
            <w:tcW w:w="1285" w:type="dxa"/>
            <w:tcBorders>
              <w:tl2br w:val="nil"/>
              <w:tr2bl w:val="nil"/>
            </w:tcBorders>
            <w:vAlign w:val="center"/>
          </w:tcPr>
          <w:p w14:paraId="1706D909">
            <w:pPr>
              <w:pStyle w:val="98"/>
              <w:ind w:left="-105" w:right="-105"/>
              <w:rPr>
                <w:rFonts w:eastAsia="宋体"/>
                <w:color w:val="auto"/>
                <w:sz w:val="21"/>
                <w:szCs w:val="21"/>
                <w:highlight w:val="none"/>
              </w:rPr>
            </w:pPr>
            <w:r>
              <w:rPr>
                <w:rFonts w:eastAsia="宋体"/>
                <w:color w:val="auto"/>
                <w:sz w:val="21"/>
                <w:szCs w:val="21"/>
                <w:highlight w:val="none"/>
              </w:rPr>
              <w:t>1.2</w:t>
            </w:r>
          </w:p>
        </w:tc>
        <w:tc>
          <w:tcPr>
            <w:tcW w:w="1289" w:type="dxa"/>
            <w:tcBorders>
              <w:tl2br w:val="nil"/>
              <w:tr2bl w:val="nil"/>
            </w:tcBorders>
            <w:vAlign w:val="center"/>
          </w:tcPr>
          <w:p w14:paraId="69CB4490">
            <w:pPr>
              <w:pStyle w:val="98"/>
              <w:ind w:left="-105" w:right="-105"/>
              <w:rPr>
                <w:rFonts w:eastAsia="宋体"/>
                <w:color w:val="auto"/>
                <w:sz w:val="21"/>
                <w:szCs w:val="21"/>
                <w:highlight w:val="none"/>
              </w:rPr>
            </w:pPr>
            <w:r>
              <w:rPr>
                <w:rFonts w:eastAsia="宋体"/>
                <w:color w:val="auto"/>
                <w:sz w:val="21"/>
                <w:szCs w:val="21"/>
                <w:highlight w:val="none"/>
              </w:rPr>
              <w:t>4.3</w:t>
            </w:r>
          </w:p>
        </w:tc>
      </w:tr>
      <w:tr w14:paraId="72D75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6887C827">
            <w:pPr>
              <w:pStyle w:val="98"/>
              <w:ind w:left="-105" w:right="-105"/>
              <w:rPr>
                <w:rFonts w:eastAsia="宋体"/>
                <w:color w:val="auto"/>
                <w:sz w:val="21"/>
                <w:szCs w:val="21"/>
                <w:highlight w:val="none"/>
              </w:rPr>
            </w:pPr>
            <w:r>
              <w:rPr>
                <w:rFonts w:eastAsia="宋体"/>
                <w:color w:val="auto"/>
                <w:sz w:val="21"/>
                <w:szCs w:val="21"/>
                <w:highlight w:val="none"/>
              </w:rPr>
              <w:t>26</w:t>
            </w:r>
          </w:p>
        </w:tc>
        <w:tc>
          <w:tcPr>
            <w:tcW w:w="1933" w:type="dxa"/>
            <w:tcBorders>
              <w:tl2br w:val="nil"/>
              <w:tr2bl w:val="nil"/>
            </w:tcBorders>
            <w:vAlign w:val="center"/>
          </w:tcPr>
          <w:p w14:paraId="09EBF73C">
            <w:pPr>
              <w:pStyle w:val="98"/>
              <w:ind w:left="-105" w:right="-105"/>
              <w:rPr>
                <w:rFonts w:eastAsia="宋体"/>
                <w:color w:val="auto"/>
                <w:sz w:val="21"/>
                <w:szCs w:val="21"/>
                <w:highlight w:val="none"/>
              </w:rPr>
            </w:pPr>
            <w:r>
              <w:rPr>
                <w:rFonts w:eastAsia="宋体"/>
                <w:color w:val="auto"/>
                <w:sz w:val="21"/>
                <w:szCs w:val="21"/>
                <w:highlight w:val="none"/>
              </w:rPr>
              <w:t>苯</w:t>
            </w:r>
          </w:p>
        </w:tc>
        <w:tc>
          <w:tcPr>
            <w:tcW w:w="1323" w:type="dxa"/>
            <w:tcBorders>
              <w:tl2br w:val="nil"/>
              <w:tr2bl w:val="nil"/>
            </w:tcBorders>
            <w:vAlign w:val="center"/>
          </w:tcPr>
          <w:p w14:paraId="66402159">
            <w:pPr>
              <w:pStyle w:val="98"/>
              <w:ind w:left="-105" w:right="-105"/>
              <w:rPr>
                <w:rFonts w:eastAsia="宋体"/>
                <w:color w:val="auto"/>
                <w:sz w:val="21"/>
                <w:szCs w:val="21"/>
                <w:highlight w:val="none"/>
              </w:rPr>
            </w:pPr>
            <w:r>
              <w:rPr>
                <w:rFonts w:eastAsia="宋体"/>
                <w:color w:val="auto"/>
                <w:sz w:val="21"/>
                <w:szCs w:val="21"/>
                <w:highlight w:val="none"/>
              </w:rPr>
              <w:t>71-43-2</w:t>
            </w:r>
          </w:p>
        </w:tc>
        <w:tc>
          <w:tcPr>
            <w:tcW w:w="1283" w:type="dxa"/>
            <w:tcBorders>
              <w:tl2br w:val="nil"/>
              <w:tr2bl w:val="nil"/>
            </w:tcBorders>
            <w:vAlign w:val="center"/>
          </w:tcPr>
          <w:p w14:paraId="6EC8E412">
            <w:pPr>
              <w:pStyle w:val="98"/>
              <w:ind w:left="-105" w:right="-105"/>
              <w:rPr>
                <w:rFonts w:eastAsia="宋体"/>
                <w:color w:val="auto"/>
                <w:sz w:val="21"/>
                <w:szCs w:val="21"/>
                <w:highlight w:val="none"/>
              </w:rPr>
            </w:pPr>
            <w:r>
              <w:rPr>
                <w:rFonts w:eastAsia="宋体"/>
                <w:color w:val="auto"/>
                <w:sz w:val="21"/>
                <w:szCs w:val="21"/>
                <w:highlight w:val="none"/>
              </w:rPr>
              <w:t>1</w:t>
            </w:r>
          </w:p>
        </w:tc>
        <w:tc>
          <w:tcPr>
            <w:tcW w:w="1292" w:type="dxa"/>
            <w:tcBorders>
              <w:tl2br w:val="nil"/>
              <w:tr2bl w:val="nil"/>
            </w:tcBorders>
            <w:vAlign w:val="center"/>
          </w:tcPr>
          <w:p w14:paraId="6617786E">
            <w:pPr>
              <w:pStyle w:val="98"/>
              <w:ind w:left="-105" w:right="-105"/>
              <w:rPr>
                <w:rFonts w:eastAsia="宋体"/>
                <w:color w:val="auto"/>
                <w:sz w:val="21"/>
                <w:szCs w:val="21"/>
                <w:highlight w:val="none"/>
              </w:rPr>
            </w:pPr>
            <w:r>
              <w:rPr>
                <w:rFonts w:eastAsia="宋体"/>
                <w:color w:val="auto"/>
                <w:sz w:val="21"/>
                <w:szCs w:val="21"/>
                <w:highlight w:val="none"/>
              </w:rPr>
              <w:t>4</w:t>
            </w:r>
          </w:p>
        </w:tc>
        <w:tc>
          <w:tcPr>
            <w:tcW w:w="1285" w:type="dxa"/>
            <w:tcBorders>
              <w:tl2br w:val="nil"/>
              <w:tr2bl w:val="nil"/>
            </w:tcBorders>
            <w:vAlign w:val="center"/>
          </w:tcPr>
          <w:p w14:paraId="72472117">
            <w:pPr>
              <w:pStyle w:val="98"/>
              <w:ind w:left="-105" w:right="-105"/>
              <w:rPr>
                <w:rFonts w:eastAsia="宋体"/>
                <w:color w:val="auto"/>
                <w:sz w:val="21"/>
                <w:szCs w:val="21"/>
                <w:highlight w:val="none"/>
              </w:rPr>
            </w:pPr>
            <w:r>
              <w:rPr>
                <w:rFonts w:eastAsia="宋体"/>
                <w:color w:val="auto"/>
                <w:sz w:val="21"/>
                <w:szCs w:val="21"/>
                <w:highlight w:val="none"/>
              </w:rPr>
              <w:t>10</w:t>
            </w:r>
          </w:p>
        </w:tc>
        <w:tc>
          <w:tcPr>
            <w:tcW w:w="1289" w:type="dxa"/>
            <w:tcBorders>
              <w:tl2br w:val="nil"/>
              <w:tr2bl w:val="nil"/>
            </w:tcBorders>
            <w:vAlign w:val="center"/>
          </w:tcPr>
          <w:p w14:paraId="585C248C">
            <w:pPr>
              <w:pStyle w:val="98"/>
              <w:ind w:left="-105" w:right="-105"/>
              <w:rPr>
                <w:rFonts w:eastAsia="宋体"/>
                <w:color w:val="auto"/>
                <w:sz w:val="21"/>
                <w:szCs w:val="21"/>
                <w:highlight w:val="none"/>
              </w:rPr>
            </w:pPr>
            <w:r>
              <w:rPr>
                <w:rFonts w:eastAsia="宋体"/>
                <w:color w:val="auto"/>
                <w:sz w:val="21"/>
                <w:szCs w:val="21"/>
                <w:highlight w:val="none"/>
              </w:rPr>
              <w:t>40</w:t>
            </w:r>
          </w:p>
        </w:tc>
      </w:tr>
      <w:tr w14:paraId="46598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42E2BB8E">
            <w:pPr>
              <w:pStyle w:val="98"/>
              <w:ind w:left="-105" w:right="-105"/>
              <w:rPr>
                <w:rFonts w:eastAsia="宋体"/>
                <w:color w:val="auto"/>
                <w:sz w:val="21"/>
                <w:szCs w:val="21"/>
                <w:highlight w:val="none"/>
              </w:rPr>
            </w:pPr>
            <w:r>
              <w:rPr>
                <w:rFonts w:eastAsia="宋体"/>
                <w:color w:val="auto"/>
                <w:sz w:val="21"/>
                <w:szCs w:val="21"/>
                <w:highlight w:val="none"/>
              </w:rPr>
              <w:t>27</w:t>
            </w:r>
          </w:p>
        </w:tc>
        <w:tc>
          <w:tcPr>
            <w:tcW w:w="1933" w:type="dxa"/>
            <w:tcBorders>
              <w:tl2br w:val="nil"/>
              <w:tr2bl w:val="nil"/>
            </w:tcBorders>
            <w:vAlign w:val="center"/>
          </w:tcPr>
          <w:p w14:paraId="110C1291">
            <w:pPr>
              <w:pStyle w:val="98"/>
              <w:ind w:left="-105" w:right="-105"/>
              <w:rPr>
                <w:rFonts w:eastAsia="宋体"/>
                <w:color w:val="auto"/>
                <w:sz w:val="21"/>
                <w:szCs w:val="21"/>
                <w:highlight w:val="none"/>
              </w:rPr>
            </w:pPr>
            <w:r>
              <w:rPr>
                <w:rFonts w:eastAsia="宋体"/>
                <w:color w:val="auto"/>
                <w:sz w:val="21"/>
                <w:szCs w:val="21"/>
                <w:highlight w:val="none"/>
              </w:rPr>
              <w:t>氯苯</w:t>
            </w:r>
          </w:p>
        </w:tc>
        <w:tc>
          <w:tcPr>
            <w:tcW w:w="1323" w:type="dxa"/>
            <w:tcBorders>
              <w:tl2br w:val="nil"/>
              <w:tr2bl w:val="nil"/>
            </w:tcBorders>
            <w:vAlign w:val="center"/>
          </w:tcPr>
          <w:p w14:paraId="17D0EB97">
            <w:pPr>
              <w:pStyle w:val="98"/>
              <w:ind w:left="-105" w:right="-105"/>
              <w:rPr>
                <w:rFonts w:eastAsia="宋体"/>
                <w:color w:val="auto"/>
                <w:sz w:val="21"/>
                <w:szCs w:val="21"/>
                <w:highlight w:val="none"/>
              </w:rPr>
            </w:pPr>
            <w:r>
              <w:rPr>
                <w:rFonts w:eastAsia="宋体"/>
                <w:color w:val="auto"/>
                <w:sz w:val="21"/>
                <w:szCs w:val="21"/>
                <w:highlight w:val="none"/>
              </w:rPr>
              <w:t>108-70-7</w:t>
            </w:r>
          </w:p>
        </w:tc>
        <w:tc>
          <w:tcPr>
            <w:tcW w:w="1283" w:type="dxa"/>
            <w:tcBorders>
              <w:tl2br w:val="nil"/>
              <w:tr2bl w:val="nil"/>
            </w:tcBorders>
            <w:vAlign w:val="center"/>
          </w:tcPr>
          <w:p w14:paraId="7622A4B0">
            <w:pPr>
              <w:pStyle w:val="98"/>
              <w:ind w:left="-105" w:right="-105"/>
              <w:rPr>
                <w:rFonts w:eastAsia="宋体"/>
                <w:color w:val="auto"/>
                <w:sz w:val="21"/>
                <w:szCs w:val="21"/>
                <w:highlight w:val="none"/>
              </w:rPr>
            </w:pPr>
            <w:r>
              <w:rPr>
                <w:rFonts w:eastAsia="宋体"/>
                <w:color w:val="auto"/>
                <w:sz w:val="21"/>
                <w:szCs w:val="21"/>
                <w:highlight w:val="none"/>
              </w:rPr>
              <w:t>68</w:t>
            </w:r>
          </w:p>
        </w:tc>
        <w:tc>
          <w:tcPr>
            <w:tcW w:w="1292" w:type="dxa"/>
            <w:tcBorders>
              <w:tl2br w:val="nil"/>
              <w:tr2bl w:val="nil"/>
            </w:tcBorders>
            <w:vAlign w:val="center"/>
          </w:tcPr>
          <w:p w14:paraId="23B24AB5">
            <w:pPr>
              <w:pStyle w:val="98"/>
              <w:ind w:left="-105" w:right="-105"/>
              <w:rPr>
                <w:rFonts w:eastAsia="宋体"/>
                <w:color w:val="auto"/>
                <w:sz w:val="21"/>
                <w:szCs w:val="21"/>
                <w:highlight w:val="none"/>
              </w:rPr>
            </w:pPr>
            <w:r>
              <w:rPr>
                <w:rFonts w:eastAsia="宋体"/>
                <w:color w:val="auto"/>
                <w:sz w:val="21"/>
                <w:szCs w:val="21"/>
                <w:highlight w:val="none"/>
              </w:rPr>
              <w:t>270</w:t>
            </w:r>
          </w:p>
        </w:tc>
        <w:tc>
          <w:tcPr>
            <w:tcW w:w="1285" w:type="dxa"/>
            <w:tcBorders>
              <w:tl2br w:val="nil"/>
              <w:tr2bl w:val="nil"/>
            </w:tcBorders>
            <w:vAlign w:val="center"/>
          </w:tcPr>
          <w:p w14:paraId="7002AAE7">
            <w:pPr>
              <w:pStyle w:val="98"/>
              <w:ind w:left="-105" w:right="-105"/>
              <w:rPr>
                <w:rFonts w:eastAsia="宋体"/>
                <w:color w:val="auto"/>
                <w:sz w:val="21"/>
                <w:szCs w:val="21"/>
                <w:highlight w:val="none"/>
              </w:rPr>
            </w:pPr>
            <w:r>
              <w:rPr>
                <w:rFonts w:eastAsia="宋体"/>
                <w:color w:val="auto"/>
                <w:sz w:val="21"/>
                <w:szCs w:val="21"/>
                <w:highlight w:val="none"/>
              </w:rPr>
              <w:t>200</w:t>
            </w:r>
          </w:p>
        </w:tc>
        <w:tc>
          <w:tcPr>
            <w:tcW w:w="1289" w:type="dxa"/>
            <w:tcBorders>
              <w:tl2br w:val="nil"/>
              <w:tr2bl w:val="nil"/>
            </w:tcBorders>
            <w:vAlign w:val="center"/>
          </w:tcPr>
          <w:p w14:paraId="57E34EA4">
            <w:pPr>
              <w:pStyle w:val="98"/>
              <w:ind w:left="-105" w:right="-105"/>
              <w:rPr>
                <w:rFonts w:eastAsia="宋体"/>
                <w:color w:val="auto"/>
                <w:sz w:val="21"/>
                <w:szCs w:val="21"/>
                <w:highlight w:val="none"/>
              </w:rPr>
            </w:pPr>
            <w:r>
              <w:rPr>
                <w:rFonts w:eastAsia="宋体"/>
                <w:color w:val="auto"/>
                <w:sz w:val="21"/>
                <w:szCs w:val="21"/>
                <w:highlight w:val="none"/>
              </w:rPr>
              <w:t>1000</w:t>
            </w:r>
          </w:p>
        </w:tc>
      </w:tr>
      <w:tr w14:paraId="4BB50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0261677F">
            <w:pPr>
              <w:pStyle w:val="98"/>
              <w:ind w:left="-105" w:right="-105"/>
              <w:rPr>
                <w:rFonts w:eastAsia="宋体"/>
                <w:color w:val="auto"/>
                <w:sz w:val="21"/>
                <w:szCs w:val="21"/>
                <w:highlight w:val="none"/>
              </w:rPr>
            </w:pPr>
            <w:r>
              <w:rPr>
                <w:rFonts w:eastAsia="宋体"/>
                <w:color w:val="auto"/>
                <w:sz w:val="21"/>
                <w:szCs w:val="21"/>
                <w:highlight w:val="none"/>
              </w:rPr>
              <w:t>28</w:t>
            </w:r>
          </w:p>
        </w:tc>
        <w:tc>
          <w:tcPr>
            <w:tcW w:w="1933" w:type="dxa"/>
            <w:tcBorders>
              <w:tl2br w:val="nil"/>
              <w:tr2bl w:val="nil"/>
            </w:tcBorders>
            <w:vAlign w:val="center"/>
          </w:tcPr>
          <w:p w14:paraId="48470785">
            <w:pPr>
              <w:pStyle w:val="98"/>
              <w:ind w:left="-105" w:right="-105"/>
              <w:rPr>
                <w:rFonts w:eastAsia="宋体"/>
                <w:color w:val="auto"/>
                <w:sz w:val="21"/>
                <w:szCs w:val="21"/>
                <w:highlight w:val="none"/>
              </w:rPr>
            </w:pPr>
            <w:r>
              <w:rPr>
                <w:rFonts w:eastAsia="宋体"/>
                <w:color w:val="auto"/>
                <w:sz w:val="21"/>
                <w:szCs w:val="21"/>
                <w:highlight w:val="none"/>
              </w:rPr>
              <w:t>1,2-二氯苯</w:t>
            </w:r>
          </w:p>
        </w:tc>
        <w:tc>
          <w:tcPr>
            <w:tcW w:w="1323" w:type="dxa"/>
            <w:tcBorders>
              <w:tl2br w:val="nil"/>
              <w:tr2bl w:val="nil"/>
            </w:tcBorders>
            <w:vAlign w:val="center"/>
          </w:tcPr>
          <w:p w14:paraId="093EB175">
            <w:pPr>
              <w:pStyle w:val="98"/>
              <w:ind w:left="-105" w:right="-105"/>
              <w:rPr>
                <w:rFonts w:eastAsia="宋体"/>
                <w:color w:val="auto"/>
                <w:sz w:val="21"/>
                <w:szCs w:val="21"/>
                <w:highlight w:val="none"/>
              </w:rPr>
            </w:pPr>
            <w:r>
              <w:rPr>
                <w:rFonts w:eastAsia="宋体"/>
                <w:color w:val="auto"/>
                <w:sz w:val="21"/>
                <w:szCs w:val="21"/>
                <w:highlight w:val="none"/>
              </w:rPr>
              <w:t>95-50-1</w:t>
            </w:r>
          </w:p>
        </w:tc>
        <w:tc>
          <w:tcPr>
            <w:tcW w:w="1283" w:type="dxa"/>
            <w:tcBorders>
              <w:tl2br w:val="nil"/>
              <w:tr2bl w:val="nil"/>
            </w:tcBorders>
            <w:vAlign w:val="center"/>
          </w:tcPr>
          <w:p w14:paraId="7880853F">
            <w:pPr>
              <w:pStyle w:val="98"/>
              <w:ind w:left="-105" w:right="-105"/>
              <w:rPr>
                <w:rFonts w:eastAsia="宋体"/>
                <w:color w:val="auto"/>
                <w:sz w:val="21"/>
                <w:szCs w:val="21"/>
                <w:highlight w:val="none"/>
              </w:rPr>
            </w:pPr>
            <w:r>
              <w:rPr>
                <w:rFonts w:eastAsia="宋体"/>
                <w:color w:val="auto"/>
                <w:sz w:val="21"/>
                <w:szCs w:val="21"/>
                <w:highlight w:val="none"/>
              </w:rPr>
              <w:t>560</w:t>
            </w:r>
          </w:p>
        </w:tc>
        <w:tc>
          <w:tcPr>
            <w:tcW w:w="1292" w:type="dxa"/>
            <w:tcBorders>
              <w:tl2br w:val="nil"/>
              <w:tr2bl w:val="nil"/>
            </w:tcBorders>
            <w:vAlign w:val="center"/>
          </w:tcPr>
          <w:p w14:paraId="126B956A">
            <w:pPr>
              <w:pStyle w:val="98"/>
              <w:ind w:left="-105" w:right="-105"/>
              <w:rPr>
                <w:rFonts w:eastAsia="宋体"/>
                <w:color w:val="auto"/>
                <w:sz w:val="21"/>
                <w:szCs w:val="21"/>
                <w:highlight w:val="none"/>
              </w:rPr>
            </w:pPr>
            <w:r>
              <w:rPr>
                <w:rFonts w:eastAsia="宋体"/>
                <w:color w:val="auto"/>
                <w:sz w:val="21"/>
                <w:szCs w:val="21"/>
                <w:highlight w:val="none"/>
              </w:rPr>
              <w:t>560</w:t>
            </w:r>
          </w:p>
        </w:tc>
        <w:tc>
          <w:tcPr>
            <w:tcW w:w="1285" w:type="dxa"/>
            <w:tcBorders>
              <w:tl2br w:val="nil"/>
              <w:tr2bl w:val="nil"/>
            </w:tcBorders>
            <w:vAlign w:val="center"/>
          </w:tcPr>
          <w:p w14:paraId="7D132C51">
            <w:pPr>
              <w:pStyle w:val="98"/>
              <w:ind w:left="-105" w:right="-105"/>
              <w:rPr>
                <w:rFonts w:eastAsia="宋体"/>
                <w:color w:val="auto"/>
                <w:sz w:val="21"/>
                <w:szCs w:val="21"/>
                <w:highlight w:val="none"/>
              </w:rPr>
            </w:pPr>
            <w:r>
              <w:rPr>
                <w:rFonts w:eastAsia="宋体"/>
                <w:color w:val="auto"/>
                <w:sz w:val="21"/>
                <w:szCs w:val="21"/>
                <w:highlight w:val="none"/>
              </w:rPr>
              <w:t>560</w:t>
            </w:r>
          </w:p>
        </w:tc>
        <w:tc>
          <w:tcPr>
            <w:tcW w:w="1289" w:type="dxa"/>
            <w:tcBorders>
              <w:tl2br w:val="nil"/>
              <w:tr2bl w:val="nil"/>
            </w:tcBorders>
            <w:vAlign w:val="center"/>
          </w:tcPr>
          <w:p w14:paraId="63CD340A">
            <w:pPr>
              <w:pStyle w:val="98"/>
              <w:ind w:left="-105" w:right="-105"/>
              <w:rPr>
                <w:rFonts w:eastAsia="宋体"/>
                <w:color w:val="auto"/>
                <w:sz w:val="21"/>
                <w:szCs w:val="21"/>
                <w:highlight w:val="none"/>
              </w:rPr>
            </w:pPr>
            <w:r>
              <w:rPr>
                <w:rFonts w:eastAsia="宋体"/>
                <w:color w:val="auto"/>
                <w:sz w:val="21"/>
                <w:szCs w:val="21"/>
                <w:highlight w:val="none"/>
              </w:rPr>
              <w:t>560</w:t>
            </w:r>
          </w:p>
        </w:tc>
      </w:tr>
      <w:tr w14:paraId="1FC67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000F8B74">
            <w:pPr>
              <w:pStyle w:val="98"/>
              <w:ind w:left="-105" w:right="-105"/>
              <w:rPr>
                <w:rFonts w:eastAsia="宋体"/>
                <w:color w:val="auto"/>
                <w:sz w:val="21"/>
                <w:szCs w:val="21"/>
                <w:highlight w:val="none"/>
              </w:rPr>
            </w:pPr>
            <w:r>
              <w:rPr>
                <w:rFonts w:eastAsia="宋体"/>
                <w:color w:val="auto"/>
                <w:sz w:val="21"/>
                <w:szCs w:val="21"/>
                <w:highlight w:val="none"/>
              </w:rPr>
              <w:t>29</w:t>
            </w:r>
          </w:p>
        </w:tc>
        <w:tc>
          <w:tcPr>
            <w:tcW w:w="1933" w:type="dxa"/>
            <w:tcBorders>
              <w:tl2br w:val="nil"/>
              <w:tr2bl w:val="nil"/>
            </w:tcBorders>
            <w:vAlign w:val="center"/>
          </w:tcPr>
          <w:p w14:paraId="2F29B695">
            <w:pPr>
              <w:pStyle w:val="98"/>
              <w:ind w:left="-105" w:right="-105"/>
              <w:rPr>
                <w:rFonts w:eastAsia="宋体"/>
                <w:color w:val="auto"/>
                <w:sz w:val="21"/>
                <w:szCs w:val="21"/>
                <w:highlight w:val="none"/>
              </w:rPr>
            </w:pPr>
            <w:r>
              <w:rPr>
                <w:rFonts w:eastAsia="宋体"/>
                <w:color w:val="auto"/>
                <w:sz w:val="21"/>
                <w:szCs w:val="21"/>
                <w:highlight w:val="none"/>
              </w:rPr>
              <w:t>1,4-二氯苯</w:t>
            </w:r>
          </w:p>
        </w:tc>
        <w:tc>
          <w:tcPr>
            <w:tcW w:w="1323" w:type="dxa"/>
            <w:tcBorders>
              <w:tl2br w:val="nil"/>
              <w:tr2bl w:val="nil"/>
            </w:tcBorders>
            <w:vAlign w:val="center"/>
          </w:tcPr>
          <w:p w14:paraId="0FB69A38">
            <w:pPr>
              <w:pStyle w:val="98"/>
              <w:ind w:left="-105" w:right="-105"/>
              <w:rPr>
                <w:rFonts w:eastAsia="宋体"/>
                <w:color w:val="auto"/>
                <w:sz w:val="21"/>
                <w:szCs w:val="21"/>
                <w:highlight w:val="none"/>
              </w:rPr>
            </w:pPr>
            <w:r>
              <w:rPr>
                <w:rFonts w:eastAsia="宋体"/>
                <w:color w:val="auto"/>
                <w:sz w:val="21"/>
                <w:szCs w:val="21"/>
                <w:highlight w:val="none"/>
              </w:rPr>
              <w:t>106-46-7</w:t>
            </w:r>
          </w:p>
        </w:tc>
        <w:tc>
          <w:tcPr>
            <w:tcW w:w="1283" w:type="dxa"/>
            <w:tcBorders>
              <w:tl2br w:val="nil"/>
              <w:tr2bl w:val="nil"/>
            </w:tcBorders>
            <w:vAlign w:val="center"/>
          </w:tcPr>
          <w:p w14:paraId="304BC9CD">
            <w:pPr>
              <w:pStyle w:val="98"/>
              <w:ind w:left="-105" w:right="-105"/>
              <w:rPr>
                <w:rFonts w:eastAsia="宋体"/>
                <w:color w:val="auto"/>
                <w:sz w:val="21"/>
                <w:szCs w:val="21"/>
                <w:highlight w:val="none"/>
              </w:rPr>
            </w:pPr>
            <w:r>
              <w:rPr>
                <w:rFonts w:eastAsia="宋体"/>
                <w:color w:val="auto"/>
                <w:sz w:val="21"/>
                <w:szCs w:val="21"/>
                <w:highlight w:val="none"/>
              </w:rPr>
              <w:t>5.6</w:t>
            </w:r>
          </w:p>
        </w:tc>
        <w:tc>
          <w:tcPr>
            <w:tcW w:w="1292" w:type="dxa"/>
            <w:tcBorders>
              <w:tl2br w:val="nil"/>
              <w:tr2bl w:val="nil"/>
            </w:tcBorders>
            <w:vAlign w:val="center"/>
          </w:tcPr>
          <w:p w14:paraId="3E8B1786">
            <w:pPr>
              <w:pStyle w:val="98"/>
              <w:ind w:left="-105" w:right="-105"/>
              <w:rPr>
                <w:rFonts w:eastAsia="宋体"/>
                <w:color w:val="auto"/>
                <w:sz w:val="21"/>
                <w:szCs w:val="21"/>
                <w:highlight w:val="none"/>
              </w:rPr>
            </w:pPr>
            <w:r>
              <w:rPr>
                <w:rFonts w:eastAsia="宋体"/>
                <w:color w:val="auto"/>
                <w:sz w:val="21"/>
                <w:szCs w:val="21"/>
                <w:highlight w:val="none"/>
              </w:rPr>
              <w:t>20</w:t>
            </w:r>
          </w:p>
        </w:tc>
        <w:tc>
          <w:tcPr>
            <w:tcW w:w="1285" w:type="dxa"/>
            <w:tcBorders>
              <w:tl2br w:val="nil"/>
              <w:tr2bl w:val="nil"/>
            </w:tcBorders>
            <w:vAlign w:val="center"/>
          </w:tcPr>
          <w:p w14:paraId="1B952F33">
            <w:pPr>
              <w:pStyle w:val="98"/>
              <w:ind w:left="-105" w:right="-105"/>
              <w:rPr>
                <w:rFonts w:eastAsia="宋体"/>
                <w:color w:val="auto"/>
                <w:sz w:val="21"/>
                <w:szCs w:val="21"/>
                <w:highlight w:val="none"/>
              </w:rPr>
            </w:pPr>
            <w:r>
              <w:rPr>
                <w:rFonts w:eastAsia="宋体"/>
                <w:color w:val="auto"/>
                <w:sz w:val="21"/>
                <w:szCs w:val="21"/>
                <w:highlight w:val="none"/>
              </w:rPr>
              <w:t>56</w:t>
            </w:r>
          </w:p>
        </w:tc>
        <w:tc>
          <w:tcPr>
            <w:tcW w:w="1289" w:type="dxa"/>
            <w:tcBorders>
              <w:tl2br w:val="nil"/>
              <w:tr2bl w:val="nil"/>
            </w:tcBorders>
            <w:vAlign w:val="center"/>
          </w:tcPr>
          <w:p w14:paraId="19921B2E">
            <w:pPr>
              <w:pStyle w:val="98"/>
              <w:ind w:left="-105" w:right="-105"/>
              <w:rPr>
                <w:rFonts w:eastAsia="宋体"/>
                <w:color w:val="auto"/>
                <w:sz w:val="21"/>
                <w:szCs w:val="21"/>
                <w:highlight w:val="none"/>
              </w:rPr>
            </w:pPr>
            <w:r>
              <w:rPr>
                <w:rFonts w:eastAsia="宋体"/>
                <w:color w:val="auto"/>
                <w:sz w:val="21"/>
                <w:szCs w:val="21"/>
                <w:highlight w:val="none"/>
              </w:rPr>
              <w:t>200</w:t>
            </w:r>
          </w:p>
        </w:tc>
      </w:tr>
      <w:tr w14:paraId="01BCD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131B1D35">
            <w:pPr>
              <w:pStyle w:val="98"/>
              <w:ind w:left="-105" w:right="-105"/>
              <w:rPr>
                <w:rFonts w:eastAsia="宋体"/>
                <w:color w:val="auto"/>
                <w:sz w:val="21"/>
                <w:szCs w:val="21"/>
                <w:highlight w:val="none"/>
              </w:rPr>
            </w:pPr>
            <w:r>
              <w:rPr>
                <w:rFonts w:eastAsia="宋体"/>
                <w:color w:val="auto"/>
                <w:sz w:val="21"/>
                <w:szCs w:val="21"/>
                <w:highlight w:val="none"/>
              </w:rPr>
              <w:t>30</w:t>
            </w:r>
          </w:p>
        </w:tc>
        <w:tc>
          <w:tcPr>
            <w:tcW w:w="1933" w:type="dxa"/>
            <w:tcBorders>
              <w:tl2br w:val="nil"/>
              <w:tr2bl w:val="nil"/>
            </w:tcBorders>
            <w:vAlign w:val="center"/>
          </w:tcPr>
          <w:p w14:paraId="230CBE97">
            <w:pPr>
              <w:pStyle w:val="98"/>
              <w:ind w:left="-105" w:right="-105"/>
              <w:rPr>
                <w:rFonts w:eastAsia="宋体"/>
                <w:color w:val="auto"/>
                <w:sz w:val="21"/>
                <w:szCs w:val="21"/>
                <w:highlight w:val="none"/>
              </w:rPr>
            </w:pPr>
            <w:r>
              <w:rPr>
                <w:rFonts w:eastAsia="宋体"/>
                <w:color w:val="auto"/>
                <w:sz w:val="21"/>
                <w:szCs w:val="21"/>
                <w:highlight w:val="none"/>
              </w:rPr>
              <w:t>乙苯</w:t>
            </w:r>
          </w:p>
        </w:tc>
        <w:tc>
          <w:tcPr>
            <w:tcW w:w="1323" w:type="dxa"/>
            <w:tcBorders>
              <w:tl2br w:val="nil"/>
              <w:tr2bl w:val="nil"/>
            </w:tcBorders>
            <w:vAlign w:val="center"/>
          </w:tcPr>
          <w:p w14:paraId="46DF0711">
            <w:pPr>
              <w:pStyle w:val="98"/>
              <w:ind w:left="-105" w:right="-105"/>
              <w:rPr>
                <w:rFonts w:eastAsia="宋体"/>
                <w:color w:val="auto"/>
                <w:sz w:val="21"/>
                <w:szCs w:val="21"/>
                <w:highlight w:val="none"/>
              </w:rPr>
            </w:pPr>
            <w:r>
              <w:rPr>
                <w:rFonts w:eastAsia="宋体"/>
                <w:color w:val="auto"/>
                <w:sz w:val="21"/>
                <w:szCs w:val="21"/>
                <w:highlight w:val="none"/>
              </w:rPr>
              <w:t>100-41-4</w:t>
            </w:r>
          </w:p>
        </w:tc>
        <w:tc>
          <w:tcPr>
            <w:tcW w:w="1283" w:type="dxa"/>
            <w:tcBorders>
              <w:tl2br w:val="nil"/>
              <w:tr2bl w:val="nil"/>
            </w:tcBorders>
            <w:vAlign w:val="center"/>
          </w:tcPr>
          <w:p w14:paraId="0EC3CF3A">
            <w:pPr>
              <w:pStyle w:val="98"/>
              <w:ind w:left="-105" w:right="-105"/>
              <w:rPr>
                <w:rFonts w:eastAsia="宋体"/>
                <w:color w:val="auto"/>
                <w:sz w:val="21"/>
                <w:szCs w:val="21"/>
                <w:highlight w:val="none"/>
              </w:rPr>
            </w:pPr>
            <w:r>
              <w:rPr>
                <w:rFonts w:eastAsia="宋体"/>
                <w:color w:val="auto"/>
                <w:sz w:val="21"/>
                <w:szCs w:val="21"/>
                <w:highlight w:val="none"/>
              </w:rPr>
              <w:t>7.2</w:t>
            </w:r>
          </w:p>
        </w:tc>
        <w:tc>
          <w:tcPr>
            <w:tcW w:w="1292" w:type="dxa"/>
            <w:tcBorders>
              <w:tl2br w:val="nil"/>
              <w:tr2bl w:val="nil"/>
            </w:tcBorders>
            <w:vAlign w:val="center"/>
          </w:tcPr>
          <w:p w14:paraId="7ED6A2B4">
            <w:pPr>
              <w:pStyle w:val="98"/>
              <w:ind w:left="-105" w:right="-105"/>
              <w:rPr>
                <w:rFonts w:eastAsia="宋体"/>
                <w:color w:val="auto"/>
                <w:sz w:val="21"/>
                <w:szCs w:val="21"/>
                <w:highlight w:val="none"/>
              </w:rPr>
            </w:pPr>
            <w:r>
              <w:rPr>
                <w:rFonts w:eastAsia="宋体"/>
                <w:color w:val="auto"/>
                <w:sz w:val="21"/>
                <w:szCs w:val="21"/>
                <w:highlight w:val="none"/>
              </w:rPr>
              <w:t>28</w:t>
            </w:r>
          </w:p>
        </w:tc>
        <w:tc>
          <w:tcPr>
            <w:tcW w:w="1285" w:type="dxa"/>
            <w:tcBorders>
              <w:tl2br w:val="nil"/>
              <w:tr2bl w:val="nil"/>
            </w:tcBorders>
            <w:vAlign w:val="center"/>
          </w:tcPr>
          <w:p w14:paraId="662E55AE">
            <w:pPr>
              <w:pStyle w:val="98"/>
              <w:ind w:left="-105" w:right="-105"/>
              <w:rPr>
                <w:rFonts w:eastAsia="宋体"/>
                <w:color w:val="auto"/>
                <w:sz w:val="21"/>
                <w:szCs w:val="21"/>
                <w:highlight w:val="none"/>
              </w:rPr>
            </w:pPr>
            <w:r>
              <w:rPr>
                <w:rFonts w:eastAsia="宋体"/>
                <w:color w:val="auto"/>
                <w:sz w:val="21"/>
                <w:szCs w:val="21"/>
                <w:highlight w:val="none"/>
              </w:rPr>
              <w:t>72</w:t>
            </w:r>
          </w:p>
        </w:tc>
        <w:tc>
          <w:tcPr>
            <w:tcW w:w="1289" w:type="dxa"/>
            <w:tcBorders>
              <w:tl2br w:val="nil"/>
              <w:tr2bl w:val="nil"/>
            </w:tcBorders>
            <w:vAlign w:val="center"/>
          </w:tcPr>
          <w:p w14:paraId="59CEAF26">
            <w:pPr>
              <w:pStyle w:val="98"/>
              <w:ind w:left="-105" w:right="-105"/>
              <w:rPr>
                <w:rFonts w:eastAsia="宋体"/>
                <w:color w:val="auto"/>
                <w:sz w:val="21"/>
                <w:szCs w:val="21"/>
                <w:highlight w:val="none"/>
              </w:rPr>
            </w:pPr>
            <w:r>
              <w:rPr>
                <w:rFonts w:eastAsia="宋体"/>
                <w:color w:val="auto"/>
                <w:sz w:val="21"/>
                <w:szCs w:val="21"/>
                <w:highlight w:val="none"/>
              </w:rPr>
              <w:t>280</w:t>
            </w:r>
          </w:p>
        </w:tc>
      </w:tr>
      <w:tr w14:paraId="323D9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299A189">
            <w:pPr>
              <w:pStyle w:val="98"/>
              <w:ind w:left="-105" w:right="-105"/>
              <w:rPr>
                <w:rFonts w:eastAsia="宋体"/>
                <w:color w:val="auto"/>
                <w:sz w:val="21"/>
                <w:szCs w:val="21"/>
                <w:highlight w:val="none"/>
              </w:rPr>
            </w:pPr>
            <w:r>
              <w:rPr>
                <w:rFonts w:eastAsia="宋体"/>
                <w:color w:val="auto"/>
                <w:sz w:val="21"/>
                <w:szCs w:val="21"/>
                <w:highlight w:val="none"/>
              </w:rPr>
              <w:t>31</w:t>
            </w:r>
          </w:p>
        </w:tc>
        <w:tc>
          <w:tcPr>
            <w:tcW w:w="1933" w:type="dxa"/>
            <w:tcBorders>
              <w:tl2br w:val="nil"/>
              <w:tr2bl w:val="nil"/>
            </w:tcBorders>
            <w:vAlign w:val="center"/>
          </w:tcPr>
          <w:p w14:paraId="3BABD63B">
            <w:pPr>
              <w:pStyle w:val="98"/>
              <w:ind w:left="-105" w:right="-105"/>
              <w:rPr>
                <w:rFonts w:eastAsia="宋体"/>
                <w:color w:val="auto"/>
                <w:sz w:val="21"/>
                <w:szCs w:val="21"/>
                <w:highlight w:val="none"/>
              </w:rPr>
            </w:pPr>
            <w:r>
              <w:rPr>
                <w:rFonts w:eastAsia="宋体"/>
                <w:color w:val="auto"/>
                <w:sz w:val="21"/>
                <w:szCs w:val="21"/>
                <w:highlight w:val="none"/>
              </w:rPr>
              <w:t>苯乙烯</w:t>
            </w:r>
          </w:p>
        </w:tc>
        <w:tc>
          <w:tcPr>
            <w:tcW w:w="1323" w:type="dxa"/>
            <w:tcBorders>
              <w:tl2br w:val="nil"/>
              <w:tr2bl w:val="nil"/>
            </w:tcBorders>
            <w:vAlign w:val="center"/>
          </w:tcPr>
          <w:p w14:paraId="1A01A6B6">
            <w:pPr>
              <w:pStyle w:val="98"/>
              <w:ind w:left="-105" w:right="-105"/>
              <w:rPr>
                <w:rFonts w:eastAsia="宋体"/>
                <w:color w:val="auto"/>
                <w:sz w:val="21"/>
                <w:szCs w:val="21"/>
                <w:highlight w:val="none"/>
              </w:rPr>
            </w:pPr>
            <w:r>
              <w:rPr>
                <w:rFonts w:eastAsia="宋体"/>
                <w:color w:val="auto"/>
                <w:sz w:val="21"/>
                <w:szCs w:val="21"/>
                <w:highlight w:val="none"/>
              </w:rPr>
              <w:t>100-42-5</w:t>
            </w:r>
          </w:p>
        </w:tc>
        <w:tc>
          <w:tcPr>
            <w:tcW w:w="1283" w:type="dxa"/>
            <w:tcBorders>
              <w:tl2br w:val="nil"/>
              <w:tr2bl w:val="nil"/>
            </w:tcBorders>
            <w:vAlign w:val="center"/>
          </w:tcPr>
          <w:p w14:paraId="5E51E44D">
            <w:pPr>
              <w:pStyle w:val="98"/>
              <w:ind w:left="-105" w:right="-105"/>
              <w:rPr>
                <w:rFonts w:eastAsia="宋体"/>
                <w:color w:val="auto"/>
                <w:sz w:val="21"/>
                <w:szCs w:val="21"/>
                <w:highlight w:val="none"/>
              </w:rPr>
            </w:pPr>
            <w:r>
              <w:rPr>
                <w:rFonts w:eastAsia="宋体"/>
                <w:color w:val="auto"/>
                <w:sz w:val="21"/>
                <w:szCs w:val="21"/>
                <w:highlight w:val="none"/>
              </w:rPr>
              <w:t>1290</w:t>
            </w:r>
          </w:p>
        </w:tc>
        <w:tc>
          <w:tcPr>
            <w:tcW w:w="1292" w:type="dxa"/>
            <w:tcBorders>
              <w:tl2br w:val="nil"/>
              <w:tr2bl w:val="nil"/>
            </w:tcBorders>
            <w:vAlign w:val="center"/>
          </w:tcPr>
          <w:p w14:paraId="7996B667">
            <w:pPr>
              <w:pStyle w:val="98"/>
              <w:ind w:left="-105" w:right="-105"/>
              <w:rPr>
                <w:rFonts w:eastAsia="宋体"/>
                <w:color w:val="auto"/>
                <w:sz w:val="21"/>
                <w:szCs w:val="21"/>
                <w:highlight w:val="none"/>
              </w:rPr>
            </w:pPr>
            <w:r>
              <w:rPr>
                <w:rFonts w:eastAsia="宋体"/>
                <w:color w:val="auto"/>
                <w:sz w:val="21"/>
                <w:szCs w:val="21"/>
                <w:highlight w:val="none"/>
              </w:rPr>
              <w:t>1290</w:t>
            </w:r>
          </w:p>
        </w:tc>
        <w:tc>
          <w:tcPr>
            <w:tcW w:w="1285" w:type="dxa"/>
            <w:tcBorders>
              <w:tl2br w:val="nil"/>
              <w:tr2bl w:val="nil"/>
            </w:tcBorders>
            <w:vAlign w:val="center"/>
          </w:tcPr>
          <w:p w14:paraId="5676C9E1">
            <w:pPr>
              <w:pStyle w:val="98"/>
              <w:ind w:left="-105" w:right="-105"/>
              <w:rPr>
                <w:rFonts w:eastAsia="宋体"/>
                <w:color w:val="auto"/>
                <w:sz w:val="21"/>
                <w:szCs w:val="21"/>
                <w:highlight w:val="none"/>
              </w:rPr>
            </w:pPr>
            <w:r>
              <w:rPr>
                <w:rFonts w:eastAsia="宋体"/>
                <w:color w:val="auto"/>
                <w:sz w:val="21"/>
                <w:szCs w:val="21"/>
                <w:highlight w:val="none"/>
              </w:rPr>
              <w:t>1290</w:t>
            </w:r>
          </w:p>
        </w:tc>
        <w:tc>
          <w:tcPr>
            <w:tcW w:w="1289" w:type="dxa"/>
            <w:tcBorders>
              <w:tl2br w:val="nil"/>
              <w:tr2bl w:val="nil"/>
            </w:tcBorders>
            <w:vAlign w:val="center"/>
          </w:tcPr>
          <w:p w14:paraId="00698705">
            <w:pPr>
              <w:pStyle w:val="98"/>
              <w:ind w:left="-105" w:right="-105"/>
              <w:rPr>
                <w:rFonts w:eastAsia="宋体"/>
                <w:color w:val="auto"/>
                <w:sz w:val="21"/>
                <w:szCs w:val="21"/>
                <w:highlight w:val="none"/>
              </w:rPr>
            </w:pPr>
            <w:r>
              <w:rPr>
                <w:rFonts w:eastAsia="宋体"/>
                <w:color w:val="auto"/>
                <w:sz w:val="21"/>
                <w:szCs w:val="21"/>
                <w:highlight w:val="none"/>
              </w:rPr>
              <w:t>1290</w:t>
            </w:r>
          </w:p>
        </w:tc>
      </w:tr>
      <w:tr w14:paraId="00718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F6169D1">
            <w:pPr>
              <w:pStyle w:val="98"/>
              <w:ind w:left="-105" w:right="-105"/>
              <w:rPr>
                <w:rFonts w:eastAsia="宋体"/>
                <w:color w:val="auto"/>
                <w:sz w:val="21"/>
                <w:szCs w:val="21"/>
                <w:highlight w:val="none"/>
              </w:rPr>
            </w:pPr>
            <w:r>
              <w:rPr>
                <w:rFonts w:eastAsia="宋体"/>
                <w:color w:val="auto"/>
                <w:sz w:val="21"/>
                <w:szCs w:val="21"/>
                <w:highlight w:val="none"/>
              </w:rPr>
              <w:t>32</w:t>
            </w:r>
          </w:p>
        </w:tc>
        <w:tc>
          <w:tcPr>
            <w:tcW w:w="1933" w:type="dxa"/>
            <w:tcBorders>
              <w:tl2br w:val="nil"/>
              <w:tr2bl w:val="nil"/>
            </w:tcBorders>
            <w:vAlign w:val="center"/>
          </w:tcPr>
          <w:p w14:paraId="3F620734">
            <w:pPr>
              <w:pStyle w:val="98"/>
              <w:ind w:left="-105" w:right="-105"/>
              <w:rPr>
                <w:rFonts w:eastAsia="宋体"/>
                <w:color w:val="auto"/>
                <w:sz w:val="21"/>
                <w:szCs w:val="21"/>
                <w:highlight w:val="none"/>
              </w:rPr>
            </w:pPr>
            <w:r>
              <w:rPr>
                <w:rFonts w:eastAsia="宋体"/>
                <w:color w:val="auto"/>
                <w:sz w:val="21"/>
                <w:szCs w:val="21"/>
                <w:highlight w:val="none"/>
              </w:rPr>
              <w:t>甲苯</w:t>
            </w:r>
          </w:p>
        </w:tc>
        <w:tc>
          <w:tcPr>
            <w:tcW w:w="1323" w:type="dxa"/>
            <w:tcBorders>
              <w:tl2br w:val="nil"/>
              <w:tr2bl w:val="nil"/>
            </w:tcBorders>
            <w:vAlign w:val="center"/>
          </w:tcPr>
          <w:p w14:paraId="4E9488DC">
            <w:pPr>
              <w:pStyle w:val="98"/>
              <w:ind w:left="-105" w:right="-105"/>
              <w:rPr>
                <w:rFonts w:eastAsia="宋体"/>
                <w:color w:val="auto"/>
                <w:sz w:val="21"/>
                <w:szCs w:val="21"/>
                <w:highlight w:val="none"/>
              </w:rPr>
            </w:pPr>
            <w:r>
              <w:rPr>
                <w:rFonts w:eastAsia="宋体"/>
                <w:color w:val="auto"/>
                <w:sz w:val="21"/>
                <w:szCs w:val="21"/>
                <w:highlight w:val="none"/>
              </w:rPr>
              <w:t>108-88-3</w:t>
            </w:r>
          </w:p>
        </w:tc>
        <w:tc>
          <w:tcPr>
            <w:tcW w:w="1283" w:type="dxa"/>
            <w:tcBorders>
              <w:tl2br w:val="nil"/>
              <w:tr2bl w:val="nil"/>
            </w:tcBorders>
            <w:vAlign w:val="center"/>
          </w:tcPr>
          <w:p w14:paraId="7402053E">
            <w:pPr>
              <w:pStyle w:val="98"/>
              <w:ind w:left="-105" w:right="-105"/>
              <w:rPr>
                <w:rFonts w:eastAsia="宋体"/>
                <w:color w:val="auto"/>
                <w:sz w:val="21"/>
                <w:szCs w:val="21"/>
                <w:highlight w:val="none"/>
              </w:rPr>
            </w:pPr>
            <w:r>
              <w:rPr>
                <w:rFonts w:eastAsia="宋体"/>
                <w:color w:val="auto"/>
                <w:sz w:val="21"/>
                <w:szCs w:val="21"/>
                <w:highlight w:val="none"/>
              </w:rPr>
              <w:t>1200</w:t>
            </w:r>
          </w:p>
        </w:tc>
        <w:tc>
          <w:tcPr>
            <w:tcW w:w="1292" w:type="dxa"/>
            <w:tcBorders>
              <w:tl2br w:val="nil"/>
              <w:tr2bl w:val="nil"/>
            </w:tcBorders>
            <w:vAlign w:val="center"/>
          </w:tcPr>
          <w:p w14:paraId="57C8612C">
            <w:pPr>
              <w:pStyle w:val="98"/>
              <w:ind w:left="-105" w:right="-105"/>
              <w:rPr>
                <w:rFonts w:eastAsia="宋体"/>
                <w:color w:val="auto"/>
                <w:sz w:val="21"/>
                <w:szCs w:val="21"/>
                <w:highlight w:val="none"/>
              </w:rPr>
            </w:pPr>
            <w:r>
              <w:rPr>
                <w:rFonts w:eastAsia="宋体"/>
                <w:color w:val="auto"/>
                <w:sz w:val="21"/>
                <w:szCs w:val="21"/>
                <w:highlight w:val="none"/>
              </w:rPr>
              <w:t>1200</w:t>
            </w:r>
          </w:p>
        </w:tc>
        <w:tc>
          <w:tcPr>
            <w:tcW w:w="1285" w:type="dxa"/>
            <w:tcBorders>
              <w:tl2br w:val="nil"/>
              <w:tr2bl w:val="nil"/>
            </w:tcBorders>
            <w:vAlign w:val="center"/>
          </w:tcPr>
          <w:p w14:paraId="08B451D7">
            <w:pPr>
              <w:pStyle w:val="98"/>
              <w:ind w:left="-105" w:right="-105"/>
              <w:rPr>
                <w:rFonts w:eastAsia="宋体"/>
                <w:color w:val="auto"/>
                <w:sz w:val="21"/>
                <w:szCs w:val="21"/>
                <w:highlight w:val="none"/>
              </w:rPr>
            </w:pPr>
            <w:r>
              <w:rPr>
                <w:rFonts w:eastAsia="宋体"/>
                <w:color w:val="auto"/>
                <w:sz w:val="21"/>
                <w:szCs w:val="21"/>
                <w:highlight w:val="none"/>
              </w:rPr>
              <w:t>1200</w:t>
            </w:r>
          </w:p>
        </w:tc>
        <w:tc>
          <w:tcPr>
            <w:tcW w:w="1289" w:type="dxa"/>
            <w:tcBorders>
              <w:tl2br w:val="nil"/>
              <w:tr2bl w:val="nil"/>
            </w:tcBorders>
            <w:vAlign w:val="center"/>
          </w:tcPr>
          <w:p w14:paraId="2047E792">
            <w:pPr>
              <w:pStyle w:val="98"/>
              <w:ind w:left="-105" w:right="-105"/>
              <w:rPr>
                <w:rFonts w:eastAsia="宋体"/>
                <w:color w:val="auto"/>
                <w:sz w:val="21"/>
                <w:szCs w:val="21"/>
                <w:highlight w:val="none"/>
              </w:rPr>
            </w:pPr>
            <w:r>
              <w:rPr>
                <w:rFonts w:eastAsia="宋体"/>
                <w:color w:val="auto"/>
                <w:sz w:val="21"/>
                <w:szCs w:val="21"/>
                <w:highlight w:val="none"/>
              </w:rPr>
              <w:t>1200</w:t>
            </w:r>
          </w:p>
        </w:tc>
      </w:tr>
      <w:tr w14:paraId="51651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0AB77526">
            <w:pPr>
              <w:pStyle w:val="98"/>
              <w:ind w:left="-105" w:right="-105"/>
              <w:rPr>
                <w:rFonts w:eastAsia="宋体"/>
                <w:color w:val="auto"/>
                <w:sz w:val="21"/>
                <w:szCs w:val="21"/>
                <w:highlight w:val="none"/>
              </w:rPr>
            </w:pPr>
            <w:r>
              <w:rPr>
                <w:rFonts w:eastAsia="宋体"/>
                <w:color w:val="auto"/>
                <w:sz w:val="21"/>
                <w:szCs w:val="21"/>
                <w:highlight w:val="none"/>
              </w:rPr>
              <w:t>33</w:t>
            </w:r>
          </w:p>
        </w:tc>
        <w:tc>
          <w:tcPr>
            <w:tcW w:w="1933" w:type="dxa"/>
            <w:tcBorders>
              <w:tl2br w:val="nil"/>
              <w:tr2bl w:val="nil"/>
            </w:tcBorders>
            <w:vAlign w:val="center"/>
          </w:tcPr>
          <w:p w14:paraId="7DB150F5">
            <w:pPr>
              <w:pStyle w:val="98"/>
              <w:ind w:left="-105" w:right="-105"/>
              <w:rPr>
                <w:rFonts w:eastAsia="宋体"/>
                <w:color w:val="auto"/>
                <w:sz w:val="21"/>
                <w:szCs w:val="21"/>
                <w:highlight w:val="none"/>
              </w:rPr>
            </w:pPr>
            <w:r>
              <w:rPr>
                <w:rFonts w:eastAsia="宋体"/>
                <w:color w:val="auto"/>
                <w:sz w:val="21"/>
                <w:szCs w:val="21"/>
                <w:highlight w:val="none"/>
              </w:rPr>
              <w:t>间二甲苯+对二甲苯</w:t>
            </w:r>
          </w:p>
        </w:tc>
        <w:tc>
          <w:tcPr>
            <w:tcW w:w="1323" w:type="dxa"/>
            <w:tcBorders>
              <w:tl2br w:val="nil"/>
              <w:tr2bl w:val="nil"/>
            </w:tcBorders>
            <w:vAlign w:val="center"/>
          </w:tcPr>
          <w:p w14:paraId="37B33AD9">
            <w:pPr>
              <w:pStyle w:val="98"/>
              <w:ind w:left="-105" w:right="-105"/>
              <w:rPr>
                <w:rFonts w:eastAsia="宋体"/>
                <w:color w:val="auto"/>
                <w:sz w:val="21"/>
                <w:szCs w:val="21"/>
                <w:highlight w:val="none"/>
              </w:rPr>
            </w:pPr>
            <w:r>
              <w:rPr>
                <w:rFonts w:eastAsia="宋体"/>
                <w:color w:val="auto"/>
                <w:sz w:val="21"/>
                <w:szCs w:val="21"/>
                <w:highlight w:val="none"/>
              </w:rPr>
              <w:t>108-38-3</w:t>
            </w:r>
          </w:p>
          <w:p w14:paraId="1695B6F6">
            <w:pPr>
              <w:pStyle w:val="98"/>
              <w:ind w:left="-105" w:right="-105"/>
              <w:rPr>
                <w:rFonts w:eastAsia="宋体"/>
                <w:color w:val="auto"/>
                <w:sz w:val="21"/>
                <w:szCs w:val="21"/>
                <w:highlight w:val="none"/>
              </w:rPr>
            </w:pPr>
            <w:r>
              <w:rPr>
                <w:rFonts w:eastAsia="宋体"/>
                <w:color w:val="auto"/>
                <w:sz w:val="21"/>
                <w:szCs w:val="21"/>
                <w:highlight w:val="none"/>
              </w:rPr>
              <w:t>106-42-3</w:t>
            </w:r>
          </w:p>
        </w:tc>
        <w:tc>
          <w:tcPr>
            <w:tcW w:w="1283" w:type="dxa"/>
            <w:tcBorders>
              <w:tl2br w:val="nil"/>
              <w:tr2bl w:val="nil"/>
            </w:tcBorders>
            <w:vAlign w:val="center"/>
          </w:tcPr>
          <w:p w14:paraId="5FA67106">
            <w:pPr>
              <w:pStyle w:val="98"/>
              <w:ind w:left="-105" w:right="-105"/>
              <w:rPr>
                <w:rFonts w:eastAsia="宋体"/>
                <w:color w:val="auto"/>
                <w:sz w:val="21"/>
                <w:szCs w:val="21"/>
                <w:highlight w:val="none"/>
              </w:rPr>
            </w:pPr>
            <w:r>
              <w:rPr>
                <w:rFonts w:eastAsia="宋体"/>
                <w:color w:val="auto"/>
                <w:sz w:val="21"/>
                <w:szCs w:val="21"/>
                <w:highlight w:val="none"/>
              </w:rPr>
              <w:t>163</w:t>
            </w:r>
          </w:p>
        </w:tc>
        <w:tc>
          <w:tcPr>
            <w:tcW w:w="1292" w:type="dxa"/>
            <w:tcBorders>
              <w:tl2br w:val="nil"/>
              <w:tr2bl w:val="nil"/>
            </w:tcBorders>
            <w:vAlign w:val="center"/>
          </w:tcPr>
          <w:p w14:paraId="55A5F453">
            <w:pPr>
              <w:pStyle w:val="98"/>
              <w:ind w:left="-105" w:right="-105"/>
              <w:rPr>
                <w:rFonts w:eastAsia="宋体"/>
                <w:color w:val="auto"/>
                <w:sz w:val="21"/>
                <w:szCs w:val="21"/>
                <w:highlight w:val="none"/>
              </w:rPr>
            </w:pPr>
            <w:r>
              <w:rPr>
                <w:rFonts w:eastAsia="宋体"/>
                <w:color w:val="auto"/>
                <w:sz w:val="21"/>
                <w:szCs w:val="21"/>
                <w:highlight w:val="none"/>
              </w:rPr>
              <w:t>570</w:t>
            </w:r>
          </w:p>
        </w:tc>
        <w:tc>
          <w:tcPr>
            <w:tcW w:w="1285" w:type="dxa"/>
            <w:tcBorders>
              <w:tl2br w:val="nil"/>
              <w:tr2bl w:val="nil"/>
            </w:tcBorders>
            <w:vAlign w:val="center"/>
          </w:tcPr>
          <w:p w14:paraId="49BB79BD">
            <w:pPr>
              <w:pStyle w:val="98"/>
              <w:ind w:left="-105" w:right="-105"/>
              <w:rPr>
                <w:rFonts w:eastAsia="宋体"/>
                <w:color w:val="auto"/>
                <w:sz w:val="21"/>
                <w:szCs w:val="21"/>
                <w:highlight w:val="none"/>
              </w:rPr>
            </w:pPr>
            <w:r>
              <w:rPr>
                <w:rFonts w:eastAsia="宋体"/>
                <w:color w:val="auto"/>
                <w:sz w:val="21"/>
                <w:szCs w:val="21"/>
                <w:highlight w:val="none"/>
              </w:rPr>
              <w:t>500</w:t>
            </w:r>
          </w:p>
        </w:tc>
        <w:tc>
          <w:tcPr>
            <w:tcW w:w="1289" w:type="dxa"/>
            <w:tcBorders>
              <w:tl2br w:val="nil"/>
              <w:tr2bl w:val="nil"/>
            </w:tcBorders>
            <w:vAlign w:val="center"/>
          </w:tcPr>
          <w:p w14:paraId="68ACBD57">
            <w:pPr>
              <w:pStyle w:val="98"/>
              <w:ind w:left="-105" w:right="-105"/>
              <w:rPr>
                <w:rFonts w:eastAsia="宋体"/>
                <w:color w:val="auto"/>
                <w:sz w:val="21"/>
                <w:szCs w:val="21"/>
                <w:highlight w:val="none"/>
              </w:rPr>
            </w:pPr>
            <w:r>
              <w:rPr>
                <w:rFonts w:eastAsia="宋体"/>
                <w:color w:val="auto"/>
                <w:sz w:val="21"/>
                <w:szCs w:val="21"/>
                <w:highlight w:val="none"/>
              </w:rPr>
              <w:t>570</w:t>
            </w:r>
          </w:p>
        </w:tc>
      </w:tr>
      <w:tr w14:paraId="63C33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1E0B77E">
            <w:pPr>
              <w:pStyle w:val="98"/>
              <w:ind w:left="-105" w:right="-105"/>
              <w:rPr>
                <w:rFonts w:eastAsia="宋体"/>
                <w:color w:val="auto"/>
                <w:sz w:val="21"/>
                <w:szCs w:val="21"/>
                <w:highlight w:val="none"/>
              </w:rPr>
            </w:pPr>
            <w:r>
              <w:rPr>
                <w:rFonts w:eastAsia="宋体"/>
                <w:color w:val="auto"/>
                <w:sz w:val="21"/>
                <w:szCs w:val="21"/>
                <w:highlight w:val="none"/>
              </w:rPr>
              <w:t>34</w:t>
            </w:r>
          </w:p>
        </w:tc>
        <w:tc>
          <w:tcPr>
            <w:tcW w:w="1933" w:type="dxa"/>
            <w:tcBorders>
              <w:tl2br w:val="nil"/>
              <w:tr2bl w:val="nil"/>
            </w:tcBorders>
            <w:vAlign w:val="center"/>
          </w:tcPr>
          <w:p w14:paraId="1C5C7524">
            <w:pPr>
              <w:pStyle w:val="98"/>
              <w:ind w:left="-105" w:right="-105"/>
              <w:rPr>
                <w:rFonts w:eastAsia="宋体"/>
                <w:color w:val="auto"/>
                <w:sz w:val="21"/>
                <w:szCs w:val="21"/>
                <w:highlight w:val="none"/>
              </w:rPr>
            </w:pPr>
            <w:r>
              <w:rPr>
                <w:rFonts w:eastAsia="宋体"/>
                <w:color w:val="auto"/>
                <w:sz w:val="21"/>
                <w:szCs w:val="21"/>
                <w:highlight w:val="none"/>
              </w:rPr>
              <w:t>邻二甲苯</w:t>
            </w:r>
          </w:p>
        </w:tc>
        <w:tc>
          <w:tcPr>
            <w:tcW w:w="1323" w:type="dxa"/>
            <w:tcBorders>
              <w:tl2br w:val="nil"/>
              <w:tr2bl w:val="nil"/>
            </w:tcBorders>
            <w:vAlign w:val="center"/>
          </w:tcPr>
          <w:p w14:paraId="7D020050">
            <w:pPr>
              <w:pStyle w:val="98"/>
              <w:ind w:left="-105" w:right="-105"/>
              <w:rPr>
                <w:rFonts w:eastAsia="宋体"/>
                <w:color w:val="auto"/>
                <w:sz w:val="21"/>
                <w:szCs w:val="21"/>
                <w:highlight w:val="none"/>
              </w:rPr>
            </w:pPr>
            <w:r>
              <w:rPr>
                <w:rFonts w:eastAsia="宋体"/>
                <w:color w:val="auto"/>
                <w:sz w:val="21"/>
                <w:szCs w:val="21"/>
                <w:highlight w:val="none"/>
              </w:rPr>
              <w:t>95-47-6</w:t>
            </w:r>
          </w:p>
        </w:tc>
        <w:tc>
          <w:tcPr>
            <w:tcW w:w="1283" w:type="dxa"/>
            <w:tcBorders>
              <w:tl2br w:val="nil"/>
              <w:tr2bl w:val="nil"/>
            </w:tcBorders>
            <w:vAlign w:val="center"/>
          </w:tcPr>
          <w:p w14:paraId="42EB755A">
            <w:pPr>
              <w:pStyle w:val="98"/>
              <w:ind w:left="-105" w:right="-105"/>
              <w:rPr>
                <w:rFonts w:eastAsia="宋体"/>
                <w:color w:val="auto"/>
                <w:sz w:val="21"/>
                <w:szCs w:val="21"/>
                <w:highlight w:val="none"/>
              </w:rPr>
            </w:pPr>
            <w:r>
              <w:rPr>
                <w:rFonts w:eastAsia="宋体"/>
                <w:color w:val="auto"/>
                <w:sz w:val="21"/>
                <w:szCs w:val="21"/>
                <w:highlight w:val="none"/>
              </w:rPr>
              <w:t>222</w:t>
            </w:r>
          </w:p>
        </w:tc>
        <w:tc>
          <w:tcPr>
            <w:tcW w:w="1292" w:type="dxa"/>
            <w:tcBorders>
              <w:tl2br w:val="nil"/>
              <w:tr2bl w:val="nil"/>
            </w:tcBorders>
            <w:vAlign w:val="center"/>
          </w:tcPr>
          <w:p w14:paraId="6EF4382F">
            <w:pPr>
              <w:pStyle w:val="98"/>
              <w:ind w:left="-105" w:right="-105"/>
              <w:rPr>
                <w:rFonts w:eastAsia="宋体"/>
                <w:color w:val="auto"/>
                <w:sz w:val="21"/>
                <w:szCs w:val="21"/>
                <w:highlight w:val="none"/>
              </w:rPr>
            </w:pPr>
            <w:r>
              <w:rPr>
                <w:rFonts w:eastAsia="宋体"/>
                <w:color w:val="auto"/>
                <w:sz w:val="21"/>
                <w:szCs w:val="21"/>
                <w:highlight w:val="none"/>
              </w:rPr>
              <w:t>640</w:t>
            </w:r>
          </w:p>
        </w:tc>
        <w:tc>
          <w:tcPr>
            <w:tcW w:w="1285" w:type="dxa"/>
            <w:tcBorders>
              <w:tl2br w:val="nil"/>
              <w:tr2bl w:val="nil"/>
            </w:tcBorders>
            <w:vAlign w:val="center"/>
          </w:tcPr>
          <w:p w14:paraId="6E3C0C36">
            <w:pPr>
              <w:pStyle w:val="98"/>
              <w:ind w:left="-105" w:right="-105"/>
              <w:rPr>
                <w:rFonts w:eastAsia="宋体"/>
                <w:color w:val="auto"/>
                <w:sz w:val="21"/>
                <w:szCs w:val="21"/>
                <w:highlight w:val="none"/>
              </w:rPr>
            </w:pPr>
            <w:r>
              <w:rPr>
                <w:rFonts w:eastAsia="宋体"/>
                <w:color w:val="auto"/>
                <w:sz w:val="21"/>
                <w:szCs w:val="21"/>
                <w:highlight w:val="none"/>
              </w:rPr>
              <w:t>640</w:t>
            </w:r>
          </w:p>
        </w:tc>
        <w:tc>
          <w:tcPr>
            <w:tcW w:w="1289" w:type="dxa"/>
            <w:tcBorders>
              <w:tl2br w:val="nil"/>
              <w:tr2bl w:val="nil"/>
            </w:tcBorders>
            <w:vAlign w:val="center"/>
          </w:tcPr>
          <w:p w14:paraId="790A605C">
            <w:pPr>
              <w:pStyle w:val="98"/>
              <w:ind w:left="-105" w:right="-105"/>
              <w:rPr>
                <w:rFonts w:eastAsia="宋体"/>
                <w:color w:val="auto"/>
                <w:sz w:val="21"/>
                <w:szCs w:val="21"/>
                <w:highlight w:val="none"/>
              </w:rPr>
            </w:pPr>
            <w:r>
              <w:rPr>
                <w:rFonts w:eastAsia="宋体"/>
                <w:color w:val="auto"/>
                <w:sz w:val="21"/>
                <w:szCs w:val="21"/>
                <w:highlight w:val="none"/>
              </w:rPr>
              <w:t>640</w:t>
            </w:r>
          </w:p>
        </w:tc>
      </w:tr>
      <w:tr w14:paraId="6BC3A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5" w:type="dxa"/>
            <w:gridSpan w:val="7"/>
            <w:tcBorders>
              <w:tl2br w:val="nil"/>
              <w:tr2bl w:val="nil"/>
            </w:tcBorders>
            <w:vAlign w:val="center"/>
          </w:tcPr>
          <w:p w14:paraId="4826F358">
            <w:pPr>
              <w:pStyle w:val="98"/>
              <w:ind w:left="-105" w:right="-105"/>
              <w:rPr>
                <w:rFonts w:eastAsia="宋体"/>
                <w:b/>
                <w:bCs/>
                <w:color w:val="auto"/>
                <w:sz w:val="21"/>
                <w:szCs w:val="21"/>
                <w:highlight w:val="none"/>
              </w:rPr>
            </w:pPr>
            <w:r>
              <w:rPr>
                <w:rFonts w:eastAsia="宋体"/>
                <w:b/>
                <w:bCs/>
                <w:color w:val="auto"/>
                <w:sz w:val="21"/>
                <w:szCs w:val="21"/>
                <w:highlight w:val="none"/>
              </w:rPr>
              <w:t>半挥发性有机物</w:t>
            </w:r>
          </w:p>
        </w:tc>
      </w:tr>
      <w:tr w14:paraId="69AD1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15914CB6">
            <w:pPr>
              <w:pStyle w:val="98"/>
              <w:ind w:left="-105" w:right="-105"/>
              <w:rPr>
                <w:rFonts w:eastAsia="宋体"/>
                <w:color w:val="auto"/>
                <w:sz w:val="21"/>
                <w:szCs w:val="21"/>
                <w:highlight w:val="none"/>
              </w:rPr>
            </w:pPr>
            <w:r>
              <w:rPr>
                <w:rFonts w:eastAsia="宋体"/>
                <w:color w:val="auto"/>
                <w:sz w:val="21"/>
                <w:szCs w:val="21"/>
                <w:highlight w:val="none"/>
              </w:rPr>
              <w:t>35</w:t>
            </w:r>
          </w:p>
        </w:tc>
        <w:tc>
          <w:tcPr>
            <w:tcW w:w="1933" w:type="dxa"/>
            <w:tcBorders>
              <w:tl2br w:val="nil"/>
              <w:tr2bl w:val="nil"/>
            </w:tcBorders>
            <w:vAlign w:val="center"/>
          </w:tcPr>
          <w:p w14:paraId="4359D14F">
            <w:pPr>
              <w:pStyle w:val="98"/>
              <w:ind w:left="-105" w:right="-105"/>
              <w:rPr>
                <w:rFonts w:eastAsia="宋体"/>
                <w:color w:val="auto"/>
                <w:sz w:val="21"/>
                <w:szCs w:val="21"/>
                <w:highlight w:val="none"/>
              </w:rPr>
            </w:pPr>
            <w:r>
              <w:rPr>
                <w:rFonts w:eastAsia="宋体"/>
                <w:color w:val="auto"/>
                <w:sz w:val="21"/>
                <w:szCs w:val="21"/>
                <w:highlight w:val="none"/>
              </w:rPr>
              <w:t>硝基苯</w:t>
            </w:r>
          </w:p>
        </w:tc>
        <w:tc>
          <w:tcPr>
            <w:tcW w:w="1323" w:type="dxa"/>
            <w:tcBorders>
              <w:tl2br w:val="nil"/>
              <w:tr2bl w:val="nil"/>
            </w:tcBorders>
            <w:vAlign w:val="center"/>
          </w:tcPr>
          <w:p w14:paraId="7EC1D9A9">
            <w:pPr>
              <w:pStyle w:val="98"/>
              <w:ind w:left="-105" w:right="-105"/>
              <w:rPr>
                <w:rFonts w:eastAsia="宋体"/>
                <w:color w:val="auto"/>
                <w:sz w:val="21"/>
                <w:szCs w:val="21"/>
                <w:highlight w:val="none"/>
              </w:rPr>
            </w:pPr>
            <w:r>
              <w:rPr>
                <w:rFonts w:eastAsia="宋体"/>
                <w:color w:val="auto"/>
                <w:sz w:val="21"/>
                <w:szCs w:val="21"/>
                <w:highlight w:val="none"/>
              </w:rPr>
              <w:t>98-95-3</w:t>
            </w:r>
          </w:p>
        </w:tc>
        <w:tc>
          <w:tcPr>
            <w:tcW w:w="1283" w:type="dxa"/>
            <w:tcBorders>
              <w:tl2br w:val="nil"/>
              <w:tr2bl w:val="nil"/>
            </w:tcBorders>
            <w:vAlign w:val="center"/>
          </w:tcPr>
          <w:p w14:paraId="3AC17FF0">
            <w:pPr>
              <w:pStyle w:val="98"/>
              <w:ind w:left="-105" w:right="-105"/>
              <w:rPr>
                <w:rFonts w:eastAsia="宋体"/>
                <w:color w:val="auto"/>
                <w:sz w:val="21"/>
                <w:szCs w:val="21"/>
                <w:highlight w:val="none"/>
              </w:rPr>
            </w:pPr>
            <w:r>
              <w:rPr>
                <w:rFonts w:eastAsia="宋体"/>
                <w:color w:val="auto"/>
                <w:sz w:val="21"/>
                <w:szCs w:val="21"/>
                <w:highlight w:val="none"/>
              </w:rPr>
              <w:t>34</w:t>
            </w:r>
          </w:p>
        </w:tc>
        <w:tc>
          <w:tcPr>
            <w:tcW w:w="1292" w:type="dxa"/>
            <w:tcBorders>
              <w:tl2br w:val="nil"/>
              <w:tr2bl w:val="nil"/>
            </w:tcBorders>
            <w:vAlign w:val="center"/>
          </w:tcPr>
          <w:p w14:paraId="52687497">
            <w:pPr>
              <w:pStyle w:val="98"/>
              <w:ind w:left="-105" w:right="-105"/>
              <w:rPr>
                <w:rFonts w:eastAsia="宋体"/>
                <w:color w:val="auto"/>
                <w:sz w:val="21"/>
                <w:szCs w:val="21"/>
                <w:highlight w:val="none"/>
              </w:rPr>
            </w:pPr>
            <w:r>
              <w:rPr>
                <w:rFonts w:eastAsia="宋体"/>
                <w:color w:val="auto"/>
                <w:sz w:val="21"/>
                <w:szCs w:val="21"/>
                <w:highlight w:val="none"/>
              </w:rPr>
              <w:t>76</w:t>
            </w:r>
          </w:p>
        </w:tc>
        <w:tc>
          <w:tcPr>
            <w:tcW w:w="1285" w:type="dxa"/>
            <w:tcBorders>
              <w:tl2br w:val="nil"/>
              <w:tr2bl w:val="nil"/>
            </w:tcBorders>
            <w:vAlign w:val="center"/>
          </w:tcPr>
          <w:p w14:paraId="2353AD41">
            <w:pPr>
              <w:pStyle w:val="98"/>
              <w:ind w:left="-105" w:right="-105"/>
              <w:rPr>
                <w:rFonts w:eastAsia="宋体"/>
                <w:color w:val="auto"/>
                <w:sz w:val="21"/>
                <w:szCs w:val="21"/>
                <w:highlight w:val="none"/>
              </w:rPr>
            </w:pPr>
            <w:r>
              <w:rPr>
                <w:rFonts w:eastAsia="宋体"/>
                <w:color w:val="auto"/>
                <w:sz w:val="21"/>
                <w:szCs w:val="21"/>
                <w:highlight w:val="none"/>
              </w:rPr>
              <w:t>190</w:t>
            </w:r>
          </w:p>
        </w:tc>
        <w:tc>
          <w:tcPr>
            <w:tcW w:w="1289" w:type="dxa"/>
            <w:tcBorders>
              <w:tl2br w:val="nil"/>
              <w:tr2bl w:val="nil"/>
            </w:tcBorders>
            <w:vAlign w:val="center"/>
          </w:tcPr>
          <w:p w14:paraId="29F3F316">
            <w:pPr>
              <w:pStyle w:val="98"/>
              <w:ind w:left="-105" w:right="-105"/>
              <w:rPr>
                <w:rFonts w:eastAsia="宋体"/>
                <w:color w:val="auto"/>
                <w:sz w:val="21"/>
                <w:szCs w:val="21"/>
                <w:highlight w:val="none"/>
              </w:rPr>
            </w:pPr>
            <w:r>
              <w:rPr>
                <w:rFonts w:eastAsia="宋体"/>
                <w:color w:val="auto"/>
                <w:sz w:val="21"/>
                <w:szCs w:val="21"/>
                <w:highlight w:val="none"/>
              </w:rPr>
              <w:t>760</w:t>
            </w:r>
          </w:p>
        </w:tc>
      </w:tr>
      <w:tr w14:paraId="3C538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16F7DC9">
            <w:pPr>
              <w:pStyle w:val="98"/>
              <w:ind w:left="-105" w:right="-105"/>
              <w:rPr>
                <w:rFonts w:eastAsia="宋体"/>
                <w:color w:val="auto"/>
                <w:sz w:val="21"/>
                <w:szCs w:val="21"/>
                <w:highlight w:val="none"/>
              </w:rPr>
            </w:pPr>
            <w:r>
              <w:rPr>
                <w:rFonts w:eastAsia="宋体"/>
                <w:color w:val="auto"/>
                <w:sz w:val="21"/>
                <w:szCs w:val="21"/>
                <w:highlight w:val="none"/>
              </w:rPr>
              <w:t>36</w:t>
            </w:r>
          </w:p>
        </w:tc>
        <w:tc>
          <w:tcPr>
            <w:tcW w:w="1933" w:type="dxa"/>
            <w:tcBorders>
              <w:tl2br w:val="nil"/>
              <w:tr2bl w:val="nil"/>
            </w:tcBorders>
            <w:vAlign w:val="center"/>
          </w:tcPr>
          <w:p w14:paraId="0CE924A8">
            <w:pPr>
              <w:pStyle w:val="98"/>
              <w:ind w:left="-105" w:right="-105"/>
              <w:rPr>
                <w:rFonts w:eastAsia="宋体"/>
                <w:color w:val="auto"/>
                <w:sz w:val="21"/>
                <w:szCs w:val="21"/>
                <w:highlight w:val="none"/>
              </w:rPr>
            </w:pPr>
            <w:r>
              <w:rPr>
                <w:rFonts w:eastAsia="宋体"/>
                <w:color w:val="auto"/>
                <w:sz w:val="21"/>
                <w:szCs w:val="21"/>
                <w:highlight w:val="none"/>
              </w:rPr>
              <w:t>苯胺</w:t>
            </w:r>
          </w:p>
        </w:tc>
        <w:tc>
          <w:tcPr>
            <w:tcW w:w="1323" w:type="dxa"/>
            <w:tcBorders>
              <w:tl2br w:val="nil"/>
              <w:tr2bl w:val="nil"/>
            </w:tcBorders>
            <w:vAlign w:val="center"/>
          </w:tcPr>
          <w:p w14:paraId="2A9CBAC7">
            <w:pPr>
              <w:pStyle w:val="98"/>
              <w:ind w:left="-105" w:right="-105"/>
              <w:rPr>
                <w:rFonts w:eastAsia="宋体"/>
                <w:color w:val="auto"/>
                <w:sz w:val="21"/>
                <w:szCs w:val="21"/>
                <w:highlight w:val="none"/>
              </w:rPr>
            </w:pPr>
            <w:r>
              <w:rPr>
                <w:rFonts w:eastAsia="宋体"/>
                <w:color w:val="auto"/>
                <w:sz w:val="21"/>
                <w:szCs w:val="21"/>
                <w:highlight w:val="none"/>
              </w:rPr>
              <w:t>62-53-3</w:t>
            </w:r>
          </w:p>
        </w:tc>
        <w:tc>
          <w:tcPr>
            <w:tcW w:w="1283" w:type="dxa"/>
            <w:tcBorders>
              <w:tl2br w:val="nil"/>
              <w:tr2bl w:val="nil"/>
            </w:tcBorders>
            <w:vAlign w:val="center"/>
          </w:tcPr>
          <w:p w14:paraId="43E44341">
            <w:pPr>
              <w:pStyle w:val="98"/>
              <w:ind w:left="-105" w:right="-105"/>
              <w:rPr>
                <w:rFonts w:eastAsia="宋体"/>
                <w:color w:val="auto"/>
                <w:sz w:val="21"/>
                <w:szCs w:val="21"/>
                <w:highlight w:val="none"/>
              </w:rPr>
            </w:pPr>
            <w:r>
              <w:rPr>
                <w:rFonts w:eastAsia="宋体"/>
                <w:color w:val="auto"/>
                <w:sz w:val="21"/>
                <w:szCs w:val="21"/>
                <w:highlight w:val="none"/>
              </w:rPr>
              <w:t>92</w:t>
            </w:r>
          </w:p>
        </w:tc>
        <w:tc>
          <w:tcPr>
            <w:tcW w:w="1292" w:type="dxa"/>
            <w:tcBorders>
              <w:tl2br w:val="nil"/>
              <w:tr2bl w:val="nil"/>
            </w:tcBorders>
            <w:vAlign w:val="center"/>
          </w:tcPr>
          <w:p w14:paraId="2A33E69A">
            <w:pPr>
              <w:pStyle w:val="98"/>
              <w:ind w:left="-105" w:right="-105"/>
              <w:rPr>
                <w:rFonts w:eastAsia="宋体"/>
                <w:color w:val="auto"/>
                <w:sz w:val="21"/>
                <w:szCs w:val="21"/>
                <w:highlight w:val="none"/>
              </w:rPr>
            </w:pPr>
            <w:r>
              <w:rPr>
                <w:rFonts w:eastAsia="宋体"/>
                <w:color w:val="auto"/>
                <w:sz w:val="21"/>
                <w:szCs w:val="21"/>
                <w:highlight w:val="none"/>
              </w:rPr>
              <w:t>260</w:t>
            </w:r>
          </w:p>
        </w:tc>
        <w:tc>
          <w:tcPr>
            <w:tcW w:w="1285" w:type="dxa"/>
            <w:tcBorders>
              <w:tl2br w:val="nil"/>
              <w:tr2bl w:val="nil"/>
            </w:tcBorders>
            <w:vAlign w:val="center"/>
          </w:tcPr>
          <w:p w14:paraId="08779A25">
            <w:pPr>
              <w:pStyle w:val="98"/>
              <w:ind w:left="-105" w:right="-105"/>
              <w:rPr>
                <w:rFonts w:eastAsia="宋体"/>
                <w:color w:val="auto"/>
                <w:sz w:val="21"/>
                <w:szCs w:val="21"/>
                <w:highlight w:val="none"/>
              </w:rPr>
            </w:pPr>
            <w:r>
              <w:rPr>
                <w:rFonts w:eastAsia="宋体"/>
                <w:color w:val="auto"/>
                <w:sz w:val="21"/>
                <w:szCs w:val="21"/>
                <w:highlight w:val="none"/>
              </w:rPr>
              <w:t>211</w:t>
            </w:r>
          </w:p>
        </w:tc>
        <w:tc>
          <w:tcPr>
            <w:tcW w:w="1289" w:type="dxa"/>
            <w:tcBorders>
              <w:tl2br w:val="nil"/>
              <w:tr2bl w:val="nil"/>
            </w:tcBorders>
            <w:vAlign w:val="center"/>
          </w:tcPr>
          <w:p w14:paraId="611A30A4">
            <w:pPr>
              <w:pStyle w:val="98"/>
              <w:ind w:left="-105" w:right="-105"/>
              <w:rPr>
                <w:rFonts w:eastAsia="宋体"/>
                <w:color w:val="auto"/>
                <w:sz w:val="21"/>
                <w:szCs w:val="21"/>
                <w:highlight w:val="none"/>
              </w:rPr>
            </w:pPr>
            <w:r>
              <w:rPr>
                <w:rFonts w:eastAsia="宋体"/>
                <w:color w:val="auto"/>
                <w:sz w:val="21"/>
                <w:szCs w:val="21"/>
                <w:highlight w:val="none"/>
              </w:rPr>
              <w:t>663</w:t>
            </w:r>
          </w:p>
        </w:tc>
      </w:tr>
      <w:tr w14:paraId="47E09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6A1F92EE">
            <w:pPr>
              <w:pStyle w:val="98"/>
              <w:ind w:left="-105" w:right="-105"/>
              <w:rPr>
                <w:rFonts w:eastAsia="宋体"/>
                <w:color w:val="auto"/>
                <w:sz w:val="21"/>
                <w:szCs w:val="21"/>
                <w:highlight w:val="none"/>
              </w:rPr>
            </w:pPr>
            <w:r>
              <w:rPr>
                <w:rFonts w:eastAsia="宋体"/>
                <w:color w:val="auto"/>
                <w:sz w:val="21"/>
                <w:szCs w:val="21"/>
                <w:highlight w:val="none"/>
              </w:rPr>
              <w:t>37</w:t>
            </w:r>
          </w:p>
        </w:tc>
        <w:tc>
          <w:tcPr>
            <w:tcW w:w="1933" w:type="dxa"/>
            <w:tcBorders>
              <w:tl2br w:val="nil"/>
              <w:tr2bl w:val="nil"/>
            </w:tcBorders>
            <w:vAlign w:val="center"/>
          </w:tcPr>
          <w:p w14:paraId="73D5EEB6">
            <w:pPr>
              <w:pStyle w:val="98"/>
              <w:ind w:left="-105" w:right="-105"/>
              <w:rPr>
                <w:rFonts w:eastAsia="宋体"/>
                <w:color w:val="auto"/>
                <w:sz w:val="21"/>
                <w:szCs w:val="21"/>
                <w:highlight w:val="none"/>
              </w:rPr>
            </w:pPr>
            <w:r>
              <w:rPr>
                <w:rFonts w:eastAsia="宋体"/>
                <w:color w:val="auto"/>
                <w:sz w:val="21"/>
                <w:szCs w:val="21"/>
                <w:highlight w:val="none"/>
              </w:rPr>
              <w:t>2-氯酚</w:t>
            </w:r>
          </w:p>
        </w:tc>
        <w:tc>
          <w:tcPr>
            <w:tcW w:w="1323" w:type="dxa"/>
            <w:tcBorders>
              <w:tl2br w:val="nil"/>
              <w:tr2bl w:val="nil"/>
            </w:tcBorders>
            <w:vAlign w:val="center"/>
          </w:tcPr>
          <w:p w14:paraId="6D860485">
            <w:pPr>
              <w:pStyle w:val="98"/>
              <w:ind w:left="-105" w:right="-105"/>
              <w:rPr>
                <w:rFonts w:eastAsia="宋体"/>
                <w:color w:val="auto"/>
                <w:sz w:val="21"/>
                <w:szCs w:val="21"/>
                <w:highlight w:val="none"/>
              </w:rPr>
            </w:pPr>
            <w:r>
              <w:rPr>
                <w:rFonts w:eastAsia="宋体"/>
                <w:color w:val="auto"/>
                <w:sz w:val="21"/>
                <w:szCs w:val="21"/>
                <w:highlight w:val="none"/>
              </w:rPr>
              <w:t>95-57-8</w:t>
            </w:r>
          </w:p>
        </w:tc>
        <w:tc>
          <w:tcPr>
            <w:tcW w:w="1283" w:type="dxa"/>
            <w:tcBorders>
              <w:tl2br w:val="nil"/>
              <w:tr2bl w:val="nil"/>
            </w:tcBorders>
            <w:vAlign w:val="center"/>
          </w:tcPr>
          <w:p w14:paraId="281E87F7">
            <w:pPr>
              <w:pStyle w:val="98"/>
              <w:ind w:left="-105" w:right="-105"/>
              <w:rPr>
                <w:rFonts w:eastAsia="宋体"/>
                <w:color w:val="auto"/>
                <w:sz w:val="21"/>
                <w:szCs w:val="21"/>
                <w:highlight w:val="none"/>
              </w:rPr>
            </w:pPr>
            <w:r>
              <w:rPr>
                <w:rFonts w:eastAsia="宋体"/>
                <w:color w:val="auto"/>
                <w:sz w:val="21"/>
                <w:szCs w:val="21"/>
                <w:highlight w:val="none"/>
              </w:rPr>
              <w:t>250</w:t>
            </w:r>
          </w:p>
        </w:tc>
        <w:tc>
          <w:tcPr>
            <w:tcW w:w="1292" w:type="dxa"/>
            <w:tcBorders>
              <w:tl2br w:val="nil"/>
              <w:tr2bl w:val="nil"/>
            </w:tcBorders>
            <w:vAlign w:val="center"/>
          </w:tcPr>
          <w:p w14:paraId="2488AFFD">
            <w:pPr>
              <w:pStyle w:val="98"/>
              <w:ind w:left="-105" w:right="-105"/>
              <w:rPr>
                <w:rFonts w:eastAsia="宋体"/>
                <w:color w:val="auto"/>
                <w:sz w:val="21"/>
                <w:szCs w:val="21"/>
                <w:highlight w:val="none"/>
              </w:rPr>
            </w:pPr>
            <w:r>
              <w:rPr>
                <w:rFonts w:eastAsia="宋体"/>
                <w:color w:val="auto"/>
                <w:sz w:val="21"/>
                <w:szCs w:val="21"/>
                <w:highlight w:val="none"/>
              </w:rPr>
              <w:t>2256</w:t>
            </w:r>
          </w:p>
        </w:tc>
        <w:tc>
          <w:tcPr>
            <w:tcW w:w="1285" w:type="dxa"/>
            <w:tcBorders>
              <w:tl2br w:val="nil"/>
              <w:tr2bl w:val="nil"/>
            </w:tcBorders>
            <w:vAlign w:val="center"/>
          </w:tcPr>
          <w:p w14:paraId="5B620923">
            <w:pPr>
              <w:pStyle w:val="98"/>
              <w:ind w:left="-105" w:right="-105"/>
              <w:rPr>
                <w:rFonts w:eastAsia="宋体"/>
                <w:color w:val="auto"/>
                <w:sz w:val="21"/>
                <w:szCs w:val="21"/>
                <w:highlight w:val="none"/>
              </w:rPr>
            </w:pPr>
            <w:r>
              <w:rPr>
                <w:rFonts w:eastAsia="宋体"/>
                <w:color w:val="auto"/>
                <w:sz w:val="21"/>
                <w:szCs w:val="21"/>
                <w:highlight w:val="none"/>
              </w:rPr>
              <w:t>500</w:t>
            </w:r>
          </w:p>
        </w:tc>
        <w:tc>
          <w:tcPr>
            <w:tcW w:w="1289" w:type="dxa"/>
            <w:tcBorders>
              <w:tl2br w:val="nil"/>
              <w:tr2bl w:val="nil"/>
            </w:tcBorders>
            <w:vAlign w:val="center"/>
          </w:tcPr>
          <w:p w14:paraId="2AD9A8F4">
            <w:pPr>
              <w:pStyle w:val="98"/>
              <w:ind w:left="-105" w:right="-105"/>
              <w:rPr>
                <w:rFonts w:eastAsia="宋体"/>
                <w:color w:val="auto"/>
                <w:sz w:val="21"/>
                <w:szCs w:val="21"/>
                <w:highlight w:val="none"/>
              </w:rPr>
            </w:pPr>
            <w:r>
              <w:rPr>
                <w:rFonts w:eastAsia="宋体"/>
                <w:color w:val="auto"/>
                <w:sz w:val="21"/>
                <w:szCs w:val="21"/>
                <w:highlight w:val="none"/>
              </w:rPr>
              <w:t>4500</w:t>
            </w:r>
          </w:p>
        </w:tc>
      </w:tr>
      <w:tr w14:paraId="519CD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3A0236EE">
            <w:pPr>
              <w:pStyle w:val="98"/>
              <w:ind w:left="-105" w:right="-105"/>
              <w:rPr>
                <w:rFonts w:eastAsia="宋体"/>
                <w:color w:val="auto"/>
                <w:sz w:val="21"/>
                <w:szCs w:val="21"/>
                <w:highlight w:val="none"/>
              </w:rPr>
            </w:pPr>
            <w:r>
              <w:rPr>
                <w:rFonts w:eastAsia="宋体"/>
                <w:color w:val="auto"/>
                <w:sz w:val="21"/>
                <w:szCs w:val="21"/>
                <w:highlight w:val="none"/>
              </w:rPr>
              <w:t>38</w:t>
            </w:r>
          </w:p>
        </w:tc>
        <w:tc>
          <w:tcPr>
            <w:tcW w:w="1933" w:type="dxa"/>
            <w:tcBorders>
              <w:tl2br w:val="nil"/>
              <w:tr2bl w:val="nil"/>
            </w:tcBorders>
            <w:vAlign w:val="center"/>
          </w:tcPr>
          <w:p w14:paraId="61CE6D20">
            <w:pPr>
              <w:pStyle w:val="98"/>
              <w:ind w:left="-105" w:right="-105"/>
              <w:rPr>
                <w:rFonts w:eastAsia="宋体"/>
                <w:color w:val="auto"/>
                <w:sz w:val="21"/>
                <w:szCs w:val="21"/>
                <w:highlight w:val="none"/>
              </w:rPr>
            </w:pPr>
            <w:r>
              <w:rPr>
                <w:rFonts w:eastAsia="宋体"/>
                <w:color w:val="auto"/>
                <w:sz w:val="21"/>
                <w:szCs w:val="21"/>
                <w:highlight w:val="none"/>
              </w:rPr>
              <w:t>苯并［a］蒽</w:t>
            </w:r>
          </w:p>
        </w:tc>
        <w:tc>
          <w:tcPr>
            <w:tcW w:w="1323" w:type="dxa"/>
            <w:tcBorders>
              <w:tl2br w:val="nil"/>
              <w:tr2bl w:val="nil"/>
            </w:tcBorders>
            <w:vAlign w:val="center"/>
          </w:tcPr>
          <w:p w14:paraId="3EC56CB2">
            <w:pPr>
              <w:pStyle w:val="98"/>
              <w:ind w:left="-105" w:right="-105"/>
              <w:rPr>
                <w:rFonts w:eastAsia="宋体"/>
                <w:color w:val="auto"/>
                <w:sz w:val="21"/>
                <w:szCs w:val="21"/>
                <w:highlight w:val="none"/>
              </w:rPr>
            </w:pPr>
            <w:r>
              <w:rPr>
                <w:rFonts w:eastAsia="宋体"/>
                <w:color w:val="auto"/>
                <w:sz w:val="21"/>
                <w:szCs w:val="21"/>
                <w:highlight w:val="none"/>
              </w:rPr>
              <w:t>56-55-3</w:t>
            </w:r>
          </w:p>
        </w:tc>
        <w:tc>
          <w:tcPr>
            <w:tcW w:w="1283" w:type="dxa"/>
            <w:tcBorders>
              <w:tl2br w:val="nil"/>
              <w:tr2bl w:val="nil"/>
            </w:tcBorders>
            <w:vAlign w:val="center"/>
          </w:tcPr>
          <w:p w14:paraId="388D5B7C">
            <w:pPr>
              <w:pStyle w:val="98"/>
              <w:ind w:left="-105" w:right="-105"/>
              <w:rPr>
                <w:rFonts w:eastAsia="宋体"/>
                <w:color w:val="auto"/>
                <w:sz w:val="21"/>
                <w:szCs w:val="21"/>
                <w:highlight w:val="none"/>
              </w:rPr>
            </w:pPr>
            <w:r>
              <w:rPr>
                <w:rFonts w:eastAsia="宋体"/>
                <w:color w:val="auto"/>
                <w:sz w:val="21"/>
                <w:szCs w:val="21"/>
                <w:highlight w:val="none"/>
              </w:rPr>
              <w:t>5.5</w:t>
            </w:r>
          </w:p>
        </w:tc>
        <w:tc>
          <w:tcPr>
            <w:tcW w:w="1292" w:type="dxa"/>
            <w:tcBorders>
              <w:tl2br w:val="nil"/>
              <w:tr2bl w:val="nil"/>
            </w:tcBorders>
            <w:vAlign w:val="center"/>
          </w:tcPr>
          <w:p w14:paraId="5D272A2F">
            <w:pPr>
              <w:pStyle w:val="98"/>
              <w:ind w:left="-105" w:right="-105"/>
              <w:rPr>
                <w:rFonts w:eastAsia="宋体"/>
                <w:color w:val="auto"/>
                <w:sz w:val="21"/>
                <w:szCs w:val="21"/>
                <w:highlight w:val="none"/>
              </w:rPr>
            </w:pPr>
            <w:r>
              <w:rPr>
                <w:rFonts w:eastAsia="宋体"/>
                <w:color w:val="auto"/>
                <w:sz w:val="21"/>
                <w:szCs w:val="21"/>
                <w:highlight w:val="none"/>
              </w:rPr>
              <w:t>15</w:t>
            </w:r>
          </w:p>
        </w:tc>
        <w:tc>
          <w:tcPr>
            <w:tcW w:w="1285" w:type="dxa"/>
            <w:tcBorders>
              <w:tl2br w:val="nil"/>
              <w:tr2bl w:val="nil"/>
            </w:tcBorders>
            <w:vAlign w:val="center"/>
          </w:tcPr>
          <w:p w14:paraId="7B03D854">
            <w:pPr>
              <w:pStyle w:val="98"/>
              <w:ind w:left="-105" w:right="-105"/>
              <w:rPr>
                <w:rFonts w:eastAsia="宋体"/>
                <w:color w:val="auto"/>
                <w:sz w:val="21"/>
                <w:szCs w:val="21"/>
                <w:highlight w:val="none"/>
              </w:rPr>
            </w:pPr>
            <w:r>
              <w:rPr>
                <w:rFonts w:eastAsia="宋体"/>
                <w:color w:val="auto"/>
                <w:sz w:val="21"/>
                <w:szCs w:val="21"/>
                <w:highlight w:val="none"/>
              </w:rPr>
              <w:t>55</w:t>
            </w:r>
          </w:p>
        </w:tc>
        <w:tc>
          <w:tcPr>
            <w:tcW w:w="1289" w:type="dxa"/>
            <w:tcBorders>
              <w:tl2br w:val="nil"/>
              <w:tr2bl w:val="nil"/>
            </w:tcBorders>
            <w:vAlign w:val="center"/>
          </w:tcPr>
          <w:p w14:paraId="2D4C8E1F">
            <w:pPr>
              <w:pStyle w:val="98"/>
              <w:ind w:left="-105" w:right="-105"/>
              <w:rPr>
                <w:rFonts w:eastAsia="宋体"/>
                <w:color w:val="auto"/>
                <w:sz w:val="21"/>
                <w:szCs w:val="21"/>
                <w:highlight w:val="none"/>
              </w:rPr>
            </w:pPr>
            <w:r>
              <w:rPr>
                <w:rFonts w:eastAsia="宋体"/>
                <w:color w:val="auto"/>
                <w:sz w:val="21"/>
                <w:szCs w:val="21"/>
                <w:highlight w:val="none"/>
              </w:rPr>
              <w:t>151</w:t>
            </w:r>
          </w:p>
        </w:tc>
      </w:tr>
      <w:tr w14:paraId="64E25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38F3354">
            <w:pPr>
              <w:pStyle w:val="98"/>
              <w:ind w:left="-105" w:right="-105"/>
              <w:rPr>
                <w:rFonts w:eastAsia="宋体"/>
                <w:color w:val="auto"/>
                <w:sz w:val="21"/>
                <w:szCs w:val="21"/>
                <w:highlight w:val="none"/>
              </w:rPr>
            </w:pPr>
            <w:r>
              <w:rPr>
                <w:rFonts w:eastAsia="宋体"/>
                <w:color w:val="auto"/>
                <w:sz w:val="21"/>
                <w:szCs w:val="21"/>
                <w:highlight w:val="none"/>
              </w:rPr>
              <w:t>39</w:t>
            </w:r>
          </w:p>
        </w:tc>
        <w:tc>
          <w:tcPr>
            <w:tcW w:w="1933" w:type="dxa"/>
            <w:tcBorders>
              <w:tl2br w:val="nil"/>
              <w:tr2bl w:val="nil"/>
            </w:tcBorders>
            <w:vAlign w:val="center"/>
          </w:tcPr>
          <w:p w14:paraId="5BD29040">
            <w:pPr>
              <w:pStyle w:val="98"/>
              <w:ind w:left="-105" w:right="-105"/>
              <w:rPr>
                <w:rFonts w:eastAsia="宋体"/>
                <w:color w:val="auto"/>
                <w:sz w:val="21"/>
                <w:szCs w:val="21"/>
                <w:highlight w:val="none"/>
              </w:rPr>
            </w:pPr>
            <w:r>
              <w:rPr>
                <w:rFonts w:eastAsia="宋体"/>
                <w:color w:val="auto"/>
                <w:sz w:val="21"/>
                <w:szCs w:val="21"/>
                <w:highlight w:val="none"/>
              </w:rPr>
              <w:t>苯并［a］芘</w:t>
            </w:r>
          </w:p>
        </w:tc>
        <w:tc>
          <w:tcPr>
            <w:tcW w:w="1323" w:type="dxa"/>
            <w:tcBorders>
              <w:tl2br w:val="nil"/>
              <w:tr2bl w:val="nil"/>
            </w:tcBorders>
            <w:vAlign w:val="center"/>
          </w:tcPr>
          <w:p w14:paraId="0C9FC6B3">
            <w:pPr>
              <w:pStyle w:val="98"/>
              <w:ind w:left="-105" w:right="-105"/>
              <w:rPr>
                <w:rFonts w:eastAsia="宋体"/>
                <w:color w:val="auto"/>
                <w:sz w:val="21"/>
                <w:szCs w:val="21"/>
                <w:highlight w:val="none"/>
              </w:rPr>
            </w:pPr>
            <w:r>
              <w:rPr>
                <w:rFonts w:eastAsia="宋体"/>
                <w:color w:val="auto"/>
                <w:sz w:val="21"/>
                <w:szCs w:val="21"/>
                <w:highlight w:val="none"/>
              </w:rPr>
              <w:t>50-32-8</w:t>
            </w:r>
          </w:p>
        </w:tc>
        <w:tc>
          <w:tcPr>
            <w:tcW w:w="1283" w:type="dxa"/>
            <w:tcBorders>
              <w:tl2br w:val="nil"/>
              <w:tr2bl w:val="nil"/>
            </w:tcBorders>
            <w:vAlign w:val="center"/>
          </w:tcPr>
          <w:p w14:paraId="749DDC27">
            <w:pPr>
              <w:pStyle w:val="98"/>
              <w:ind w:left="-105" w:right="-105"/>
              <w:rPr>
                <w:rFonts w:eastAsia="宋体"/>
                <w:color w:val="auto"/>
                <w:sz w:val="21"/>
                <w:szCs w:val="21"/>
                <w:highlight w:val="none"/>
              </w:rPr>
            </w:pPr>
            <w:r>
              <w:rPr>
                <w:rFonts w:eastAsia="宋体"/>
                <w:color w:val="auto"/>
                <w:sz w:val="21"/>
                <w:szCs w:val="21"/>
                <w:highlight w:val="none"/>
              </w:rPr>
              <w:t>0.55</w:t>
            </w:r>
          </w:p>
        </w:tc>
        <w:tc>
          <w:tcPr>
            <w:tcW w:w="1292" w:type="dxa"/>
            <w:tcBorders>
              <w:tl2br w:val="nil"/>
              <w:tr2bl w:val="nil"/>
            </w:tcBorders>
            <w:vAlign w:val="center"/>
          </w:tcPr>
          <w:p w14:paraId="128B17A3">
            <w:pPr>
              <w:pStyle w:val="98"/>
              <w:ind w:left="-105" w:right="-105"/>
              <w:rPr>
                <w:rFonts w:eastAsia="宋体"/>
                <w:color w:val="auto"/>
                <w:sz w:val="21"/>
                <w:szCs w:val="21"/>
                <w:highlight w:val="none"/>
              </w:rPr>
            </w:pPr>
            <w:r>
              <w:rPr>
                <w:rFonts w:eastAsia="宋体"/>
                <w:color w:val="auto"/>
                <w:sz w:val="21"/>
                <w:szCs w:val="21"/>
                <w:highlight w:val="none"/>
              </w:rPr>
              <w:t>1.5</w:t>
            </w:r>
          </w:p>
        </w:tc>
        <w:tc>
          <w:tcPr>
            <w:tcW w:w="1285" w:type="dxa"/>
            <w:tcBorders>
              <w:tl2br w:val="nil"/>
              <w:tr2bl w:val="nil"/>
            </w:tcBorders>
            <w:vAlign w:val="center"/>
          </w:tcPr>
          <w:p w14:paraId="7F8F97D9">
            <w:pPr>
              <w:pStyle w:val="98"/>
              <w:ind w:left="-105" w:right="-105"/>
              <w:rPr>
                <w:rFonts w:eastAsia="宋体"/>
                <w:color w:val="auto"/>
                <w:sz w:val="21"/>
                <w:szCs w:val="21"/>
                <w:highlight w:val="none"/>
              </w:rPr>
            </w:pPr>
            <w:r>
              <w:rPr>
                <w:rFonts w:eastAsia="宋体"/>
                <w:color w:val="auto"/>
                <w:sz w:val="21"/>
                <w:szCs w:val="21"/>
                <w:highlight w:val="none"/>
              </w:rPr>
              <w:t>5.5</w:t>
            </w:r>
          </w:p>
        </w:tc>
        <w:tc>
          <w:tcPr>
            <w:tcW w:w="1289" w:type="dxa"/>
            <w:tcBorders>
              <w:tl2br w:val="nil"/>
              <w:tr2bl w:val="nil"/>
            </w:tcBorders>
            <w:vAlign w:val="center"/>
          </w:tcPr>
          <w:p w14:paraId="34D1507A">
            <w:pPr>
              <w:pStyle w:val="98"/>
              <w:ind w:left="-105" w:right="-105"/>
              <w:rPr>
                <w:rFonts w:eastAsia="宋体"/>
                <w:color w:val="auto"/>
                <w:sz w:val="21"/>
                <w:szCs w:val="21"/>
                <w:highlight w:val="none"/>
              </w:rPr>
            </w:pPr>
            <w:r>
              <w:rPr>
                <w:rFonts w:eastAsia="宋体"/>
                <w:color w:val="auto"/>
                <w:sz w:val="21"/>
                <w:szCs w:val="21"/>
                <w:highlight w:val="none"/>
              </w:rPr>
              <w:t>15</w:t>
            </w:r>
          </w:p>
        </w:tc>
      </w:tr>
      <w:tr w14:paraId="656DB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1B1C9CD0">
            <w:pPr>
              <w:pStyle w:val="98"/>
              <w:ind w:left="-105" w:right="-105"/>
              <w:rPr>
                <w:rFonts w:eastAsia="宋体"/>
                <w:color w:val="auto"/>
                <w:sz w:val="21"/>
                <w:szCs w:val="21"/>
                <w:highlight w:val="none"/>
              </w:rPr>
            </w:pPr>
            <w:r>
              <w:rPr>
                <w:rFonts w:eastAsia="宋体"/>
                <w:color w:val="auto"/>
                <w:sz w:val="21"/>
                <w:szCs w:val="21"/>
                <w:highlight w:val="none"/>
              </w:rPr>
              <w:t>40</w:t>
            </w:r>
          </w:p>
        </w:tc>
        <w:tc>
          <w:tcPr>
            <w:tcW w:w="1933" w:type="dxa"/>
            <w:tcBorders>
              <w:tl2br w:val="nil"/>
              <w:tr2bl w:val="nil"/>
            </w:tcBorders>
            <w:vAlign w:val="center"/>
          </w:tcPr>
          <w:p w14:paraId="12415B79">
            <w:pPr>
              <w:pStyle w:val="98"/>
              <w:ind w:left="-105" w:right="-105"/>
              <w:rPr>
                <w:rFonts w:eastAsia="宋体"/>
                <w:color w:val="auto"/>
                <w:sz w:val="21"/>
                <w:szCs w:val="21"/>
                <w:highlight w:val="none"/>
              </w:rPr>
            </w:pPr>
            <w:r>
              <w:rPr>
                <w:rFonts w:eastAsia="宋体"/>
                <w:color w:val="auto"/>
                <w:sz w:val="21"/>
                <w:szCs w:val="21"/>
                <w:highlight w:val="none"/>
              </w:rPr>
              <w:t>苯并[b]荧蒽</w:t>
            </w:r>
          </w:p>
        </w:tc>
        <w:tc>
          <w:tcPr>
            <w:tcW w:w="1323" w:type="dxa"/>
            <w:tcBorders>
              <w:tl2br w:val="nil"/>
              <w:tr2bl w:val="nil"/>
            </w:tcBorders>
            <w:vAlign w:val="center"/>
          </w:tcPr>
          <w:p w14:paraId="50F0FCB5">
            <w:pPr>
              <w:pStyle w:val="98"/>
              <w:ind w:left="-105" w:right="-105"/>
              <w:rPr>
                <w:rFonts w:eastAsia="宋体"/>
                <w:color w:val="auto"/>
                <w:sz w:val="21"/>
                <w:szCs w:val="21"/>
                <w:highlight w:val="none"/>
              </w:rPr>
            </w:pPr>
            <w:r>
              <w:rPr>
                <w:rFonts w:eastAsia="宋体"/>
                <w:color w:val="auto"/>
                <w:sz w:val="21"/>
                <w:szCs w:val="21"/>
                <w:highlight w:val="none"/>
              </w:rPr>
              <w:t>205-99-2</w:t>
            </w:r>
          </w:p>
        </w:tc>
        <w:tc>
          <w:tcPr>
            <w:tcW w:w="1283" w:type="dxa"/>
            <w:tcBorders>
              <w:tl2br w:val="nil"/>
              <w:tr2bl w:val="nil"/>
            </w:tcBorders>
            <w:vAlign w:val="center"/>
          </w:tcPr>
          <w:p w14:paraId="0366BE5D">
            <w:pPr>
              <w:pStyle w:val="98"/>
              <w:ind w:left="-105" w:right="-105"/>
              <w:rPr>
                <w:rFonts w:eastAsia="宋体"/>
                <w:color w:val="auto"/>
                <w:sz w:val="21"/>
                <w:szCs w:val="21"/>
                <w:highlight w:val="none"/>
              </w:rPr>
            </w:pPr>
            <w:r>
              <w:rPr>
                <w:rFonts w:eastAsia="宋体"/>
                <w:color w:val="auto"/>
                <w:sz w:val="21"/>
                <w:szCs w:val="21"/>
                <w:highlight w:val="none"/>
              </w:rPr>
              <w:t>5.5</w:t>
            </w:r>
          </w:p>
        </w:tc>
        <w:tc>
          <w:tcPr>
            <w:tcW w:w="1292" w:type="dxa"/>
            <w:tcBorders>
              <w:tl2br w:val="nil"/>
              <w:tr2bl w:val="nil"/>
            </w:tcBorders>
            <w:vAlign w:val="center"/>
          </w:tcPr>
          <w:p w14:paraId="6F24FE2D">
            <w:pPr>
              <w:pStyle w:val="98"/>
              <w:ind w:left="-105" w:right="-105"/>
              <w:rPr>
                <w:rFonts w:eastAsia="宋体"/>
                <w:color w:val="auto"/>
                <w:sz w:val="21"/>
                <w:szCs w:val="21"/>
                <w:highlight w:val="none"/>
              </w:rPr>
            </w:pPr>
            <w:r>
              <w:rPr>
                <w:rFonts w:eastAsia="宋体"/>
                <w:color w:val="auto"/>
                <w:sz w:val="21"/>
                <w:szCs w:val="21"/>
                <w:highlight w:val="none"/>
              </w:rPr>
              <w:t>15</w:t>
            </w:r>
          </w:p>
        </w:tc>
        <w:tc>
          <w:tcPr>
            <w:tcW w:w="1285" w:type="dxa"/>
            <w:tcBorders>
              <w:tl2br w:val="nil"/>
              <w:tr2bl w:val="nil"/>
            </w:tcBorders>
            <w:vAlign w:val="center"/>
          </w:tcPr>
          <w:p w14:paraId="551B0A78">
            <w:pPr>
              <w:pStyle w:val="98"/>
              <w:ind w:left="-105" w:right="-105"/>
              <w:rPr>
                <w:rFonts w:eastAsia="宋体"/>
                <w:color w:val="auto"/>
                <w:sz w:val="21"/>
                <w:szCs w:val="21"/>
                <w:highlight w:val="none"/>
              </w:rPr>
            </w:pPr>
            <w:r>
              <w:rPr>
                <w:rFonts w:eastAsia="宋体"/>
                <w:color w:val="auto"/>
                <w:sz w:val="21"/>
                <w:szCs w:val="21"/>
                <w:highlight w:val="none"/>
              </w:rPr>
              <w:t>55</w:t>
            </w:r>
          </w:p>
        </w:tc>
        <w:tc>
          <w:tcPr>
            <w:tcW w:w="1289" w:type="dxa"/>
            <w:tcBorders>
              <w:tl2br w:val="nil"/>
              <w:tr2bl w:val="nil"/>
            </w:tcBorders>
            <w:vAlign w:val="center"/>
          </w:tcPr>
          <w:p w14:paraId="3C352CA0">
            <w:pPr>
              <w:pStyle w:val="98"/>
              <w:ind w:left="-105" w:right="-105"/>
              <w:rPr>
                <w:rFonts w:eastAsia="宋体"/>
                <w:color w:val="auto"/>
                <w:sz w:val="21"/>
                <w:szCs w:val="21"/>
                <w:highlight w:val="none"/>
              </w:rPr>
            </w:pPr>
            <w:r>
              <w:rPr>
                <w:rFonts w:eastAsia="宋体"/>
                <w:color w:val="auto"/>
                <w:sz w:val="21"/>
                <w:szCs w:val="21"/>
                <w:highlight w:val="none"/>
              </w:rPr>
              <w:t>151</w:t>
            </w:r>
          </w:p>
        </w:tc>
      </w:tr>
      <w:tr w14:paraId="05237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7E7DC12E">
            <w:pPr>
              <w:pStyle w:val="98"/>
              <w:ind w:left="-105" w:right="-105"/>
              <w:rPr>
                <w:rFonts w:eastAsia="宋体"/>
                <w:color w:val="auto"/>
                <w:sz w:val="21"/>
                <w:szCs w:val="21"/>
                <w:highlight w:val="none"/>
              </w:rPr>
            </w:pPr>
            <w:r>
              <w:rPr>
                <w:rFonts w:eastAsia="宋体"/>
                <w:color w:val="auto"/>
                <w:sz w:val="21"/>
                <w:szCs w:val="21"/>
                <w:highlight w:val="none"/>
              </w:rPr>
              <w:t>41</w:t>
            </w:r>
          </w:p>
        </w:tc>
        <w:tc>
          <w:tcPr>
            <w:tcW w:w="1933" w:type="dxa"/>
            <w:tcBorders>
              <w:tl2br w:val="nil"/>
              <w:tr2bl w:val="nil"/>
            </w:tcBorders>
            <w:vAlign w:val="center"/>
          </w:tcPr>
          <w:p w14:paraId="7129F26B">
            <w:pPr>
              <w:pStyle w:val="98"/>
              <w:ind w:left="-105" w:right="-105"/>
              <w:rPr>
                <w:rFonts w:eastAsia="宋体"/>
                <w:color w:val="auto"/>
                <w:sz w:val="21"/>
                <w:szCs w:val="21"/>
                <w:highlight w:val="none"/>
              </w:rPr>
            </w:pPr>
            <w:r>
              <w:rPr>
                <w:rFonts w:eastAsia="宋体"/>
                <w:color w:val="auto"/>
                <w:sz w:val="21"/>
                <w:szCs w:val="21"/>
                <w:highlight w:val="none"/>
              </w:rPr>
              <w:t>苯并[k]荧蒽</w:t>
            </w:r>
          </w:p>
        </w:tc>
        <w:tc>
          <w:tcPr>
            <w:tcW w:w="1323" w:type="dxa"/>
            <w:tcBorders>
              <w:tl2br w:val="nil"/>
              <w:tr2bl w:val="nil"/>
            </w:tcBorders>
            <w:vAlign w:val="center"/>
          </w:tcPr>
          <w:p w14:paraId="715F5EC3">
            <w:pPr>
              <w:pStyle w:val="98"/>
              <w:ind w:left="-105" w:right="-105"/>
              <w:rPr>
                <w:rFonts w:eastAsia="宋体"/>
                <w:color w:val="auto"/>
                <w:sz w:val="21"/>
                <w:szCs w:val="21"/>
                <w:highlight w:val="none"/>
              </w:rPr>
            </w:pPr>
            <w:r>
              <w:rPr>
                <w:rFonts w:eastAsia="宋体"/>
                <w:color w:val="auto"/>
                <w:sz w:val="21"/>
                <w:szCs w:val="21"/>
                <w:highlight w:val="none"/>
              </w:rPr>
              <w:t>207-08-9</w:t>
            </w:r>
          </w:p>
        </w:tc>
        <w:tc>
          <w:tcPr>
            <w:tcW w:w="1283" w:type="dxa"/>
            <w:tcBorders>
              <w:tl2br w:val="nil"/>
              <w:tr2bl w:val="nil"/>
            </w:tcBorders>
            <w:vAlign w:val="center"/>
          </w:tcPr>
          <w:p w14:paraId="07E87E56">
            <w:pPr>
              <w:pStyle w:val="98"/>
              <w:ind w:left="-105" w:right="-105"/>
              <w:rPr>
                <w:rFonts w:eastAsia="宋体"/>
                <w:color w:val="auto"/>
                <w:sz w:val="21"/>
                <w:szCs w:val="21"/>
                <w:highlight w:val="none"/>
              </w:rPr>
            </w:pPr>
            <w:r>
              <w:rPr>
                <w:rFonts w:eastAsia="宋体"/>
                <w:color w:val="auto"/>
                <w:sz w:val="21"/>
                <w:szCs w:val="21"/>
                <w:highlight w:val="none"/>
              </w:rPr>
              <w:t>55</w:t>
            </w:r>
          </w:p>
        </w:tc>
        <w:tc>
          <w:tcPr>
            <w:tcW w:w="1292" w:type="dxa"/>
            <w:tcBorders>
              <w:tl2br w:val="nil"/>
              <w:tr2bl w:val="nil"/>
            </w:tcBorders>
            <w:vAlign w:val="center"/>
          </w:tcPr>
          <w:p w14:paraId="08D7DDB1">
            <w:pPr>
              <w:pStyle w:val="98"/>
              <w:ind w:left="-105" w:right="-105"/>
              <w:rPr>
                <w:rFonts w:eastAsia="宋体"/>
                <w:color w:val="auto"/>
                <w:sz w:val="21"/>
                <w:szCs w:val="21"/>
                <w:highlight w:val="none"/>
              </w:rPr>
            </w:pPr>
            <w:r>
              <w:rPr>
                <w:rFonts w:eastAsia="宋体"/>
                <w:color w:val="auto"/>
                <w:sz w:val="21"/>
                <w:szCs w:val="21"/>
                <w:highlight w:val="none"/>
              </w:rPr>
              <w:t>151</w:t>
            </w:r>
          </w:p>
        </w:tc>
        <w:tc>
          <w:tcPr>
            <w:tcW w:w="1285" w:type="dxa"/>
            <w:tcBorders>
              <w:tl2br w:val="nil"/>
              <w:tr2bl w:val="nil"/>
            </w:tcBorders>
            <w:vAlign w:val="center"/>
          </w:tcPr>
          <w:p w14:paraId="29AFA951">
            <w:pPr>
              <w:pStyle w:val="98"/>
              <w:ind w:left="-105" w:right="-105"/>
              <w:rPr>
                <w:rFonts w:eastAsia="宋体"/>
                <w:color w:val="auto"/>
                <w:sz w:val="21"/>
                <w:szCs w:val="21"/>
                <w:highlight w:val="none"/>
              </w:rPr>
            </w:pPr>
            <w:r>
              <w:rPr>
                <w:rFonts w:eastAsia="宋体"/>
                <w:color w:val="auto"/>
                <w:sz w:val="21"/>
                <w:szCs w:val="21"/>
                <w:highlight w:val="none"/>
              </w:rPr>
              <w:t>550</w:t>
            </w:r>
          </w:p>
        </w:tc>
        <w:tc>
          <w:tcPr>
            <w:tcW w:w="1289" w:type="dxa"/>
            <w:tcBorders>
              <w:tl2br w:val="nil"/>
              <w:tr2bl w:val="nil"/>
            </w:tcBorders>
            <w:vAlign w:val="center"/>
          </w:tcPr>
          <w:p w14:paraId="17141D34">
            <w:pPr>
              <w:pStyle w:val="98"/>
              <w:ind w:left="-105" w:right="-105"/>
              <w:rPr>
                <w:rFonts w:eastAsia="宋体"/>
                <w:color w:val="auto"/>
                <w:sz w:val="21"/>
                <w:szCs w:val="21"/>
                <w:highlight w:val="none"/>
              </w:rPr>
            </w:pPr>
            <w:r>
              <w:rPr>
                <w:rFonts w:eastAsia="宋体"/>
                <w:color w:val="auto"/>
                <w:sz w:val="21"/>
                <w:szCs w:val="21"/>
                <w:highlight w:val="none"/>
              </w:rPr>
              <w:t>1500</w:t>
            </w:r>
          </w:p>
        </w:tc>
      </w:tr>
      <w:tr w14:paraId="3B904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091D092F">
            <w:pPr>
              <w:pStyle w:val="98"/>
              <w:ind w:left="-105" w:right="-105"/>
              <w:rPr>
                <w:rFonts w:eastAsia="宋体"/>
                <w:color w:val="auto"/>
                <w:sz w:val="21"/>
                <w:szCs w:val="21"/>
                <w:highlight w:val="none"/>
              </w:rPr>
            </w:pPr>
            <w:r>
              <w:rPr>
                <w:rFonts w:eastAsia="宋体"/>
                <w:color w:val="auto"/>
                <w:sz w:val="21"/>
                <w:szCs w:val="21"/>
                <w:highlight w:val="none"/>
              </w:rPr>
              <w:t>42</w:t>
            </w:r>
          </w:p>
        </w:tc>
        <w:tc>
          <w:tcPr>
            <w:tcW w:w="1933" w:type="dxa"/>
            <w:tcBorders>
              <w:tl2br w:val="nil"/>
              <w:tr2bl w:val="nil"/>
            </w:tcBorders>
            <w:vAlign w:val="center"/>
          </w:tcPr>
          <w:p w14:paraId="5198C890">
            <w:pPr>
              <w:pStyle w:val="98"/>
              <w:ind w:left="-105" w:right="-105"/>
              <w:rPr>
                <w:rFonts w:eastAsia="宋体"/>
                <w:color w:val="auto"/>
                <w:sz w:val="21"/>
                <w:szCs w:val="21"/>
                <w:highlight w:val="none"/>
              </w:rPr>
            </w:pPr>
            <w:r>
              <w:rPr>
                <w:rFonts w:eastAsia="宋体"/>
                <w:color w:val="auto"/>
                <w:sz w:val="21"/>
                <w:szCs w:val="21"/>
                <w:highlight w:val="none"/>
              </w:rPr>
              <w:t>䓛</w:t>
            </w:r>
          </w:p>
        </w:tc>
        <w:tc>
          <w:tcPr>
            <w:tcW w:w="1323" w:type="dxa"/>
            <w:tcBorders>
              <w:tl2br w:val="nil"/>
              <w:tr2bl w:val="nil"/>
            </w:tcBorders>
            <w:vAlign w:val="center"/>
          </w:tcPr>
          <w:p w14:paraId="70C00257">
            <w:pPr>
              <w:pStyle w:val="98"/>
              <w:ind w:left="-105" w:right="-105"/>
              <w:rPr>
                <w:rFonts w:eastAsia="宋体"/>
                <w:color w:val="auto"/>
                <w:sz w:val="21"/>
                <w:szCs w:val="21"/>
                <w:highlight w:val="none"/>
              </w:rPr>
            </w:pPr>
            <w:r>
              <w:rPr>
                <w:rFonts w:eastAsia="宋体"/>
                <w:color w:val="auto"/>
                <w:sz w:val="21"/>
                <w:szCs w:val="21"/>
                <w:highlight w:val="none"/>
              </w:rPr>
              <w:t>218-01-9</w:t>
            </w:r>
          </w:p>
        </w:tc>
        <w:tc>
          <w:tcPr>
            <w:tcW w:w="1283" w:type="dxa"/>
            <w:tcBorders>
              <w:tl2br w:val="nil"/>
              <w:tr2bl w:val="nil"/>
            </w:tcBorders>
            <w:vAlign w:val="center"/>
          </w:tcPr>
          <w:p w14:paraId="402A2060">
            <w:pPr>
              <w:pStyle w:val="98"/>
              <w:ind w:left="-105" w:right="-105"/>
              <w:rPr>
                <w:rFonts w:eastAsia="宋体"/>
                <w:color w:val="auto"/>
                <w:sz w:val="21"/>
                <w:szCs w:val="21"/>
                <w:highlight w:val="none"/>
              </w:rPr>
            </w:pPr>
            <w:r>
              <w:rPr>
                <w:rFonts w:eastAsia="宋体"/>
                <w:color w:val="auto"/>
                <w:sz w:val="21"/>
                <w:szCs w:val="21"/>
                <w:highlight w:val="none"/>
              </w:rPr>
              <w:t>490</w:t>
            </w:r>
          </w:p>
        </w:tc>
        <w:tc>
          <w:tcPr>
            <w:tcW w:w="1292" w:type="dxa"/>
            <w:tcBorders>
              <w:tl2br w:val="nil"/>
              <w:tr2bl w:val="nil"/>
            </w:tcBorders>
            <w:vAlign w:val="center"/>
          </w:tcPr>
          <w:p w14:paraId="4D0E412D">
            <w:pPr>
              <w:pStyle w:val="98"/>
              <w:ind w:left="-105" w:right="-105"/>
              <w:rPr>
                <w:rFonts w:eastAsia="宋体"/>
                <w:color w:val="auto"/>
                <w:sz w:val="21"/>
                <w:szCs w:val="21"/>
                <w:highlight w:val="none"/>
              </w:rPr>
            </w:pPr>
            <w:r>
              <w:rPr>
                <w:rFonts w:eastAsia="宋体"/>
                <w:color w:val="auto"/>
                <w:sz w:val="21"/>
                <w:szCs w:val="21"/>
                <w:highlight w:val="none"/>
              </w:rPr>
              <w:t>1293</w:t>
            </w:r>
          </w:p>
        </w:tc>
        <w:tc>
          <w:tcPr>
            <w:tcW w:w="1285" w:type="dxa"/>
            <w:tcBorders>
              <w:tl2br w:val="nil"/>
              <w:tr2bl w:val="nil"/>
            </w:tcBorders>
            <w:vAlign w:val="center"/>
          </w:tcPr>
          <w:p w14:paraId="3DC312D7">
            <w:pPr>
              <w:pStyle w:val="98"/>
              <w:ind w:left="-105" w:right="-105"/>
              <w:rPr>
                <w:rFonts w:eastAsia="宋体"/>
                <w:color w:val="auto"/>
                <w:sz w:val="21"/>
                <w:szCs w:val="21"/>
                <w:highlight w:val="none"/>
              </w:rPr>
            </w:pPr>
            <w:r>
              <w:rPr>
                <w:rFonts w:eastAsia="宋体"/>
                <w:color w:val="auto"/>
                <w:sz w:val="21"/>
                <w:szCs w:val="21"/>
                <w:highlight w:val="none"/>
              </w:rPr>
              <w:t>4900</w:t>
            </w:r>
          </w:p>
        </w:tc>
        <w:tc>
          <w:tcPr>
            <w:tcW w:w="1289" w:type="dxa"/>
            <w:tcBorders>
              <w:tl2br w:val="nil"/>
              <w:tr2bl w:val="nil"/>
            </w:tcBorders>
            <w:vAlign w:val="center"/>
          </w:tcPr>
          <w:p w14:paraId="2D770D5D">
            <w:pPr>
              <w:pStyle w:val="98"/>
              <w:ind w:left="-105" w:right="-105"/>
              <w:rPr>
                <w:rFonts w:eastAsia="宋体"/>
                <w:color w:val="auto"/>
                <w:sz w:val="21"/>
                <w:szCs w:val="21"/>
                <w:highlight w:val="none"/>
              </w:rPr>
            </w:pPr>
            <w:r>
              <w:rPr>
                <w:rFonts w:eastAsia="宋体"/>
                <w:color w:val="auto"/>
                <w:sz w:val="21"/>
                <w:szCs w:val="21"/>
                <w:highlight w:val="none"/>
              </w:rPr>
              <w:t>12900</w:t>
            </w:r>
          </w:p>
        </w:tc>
      </w:tr>
      <w:tr w14:paraId="6903F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2919C2AE">
            <w:pPr>
              <w:pStyle w:val="98"/>
              <w:ind w:left="-105" w:right="-105"/>
              <w:rPr>
                <w:rFonts w:eastAsia="宋体"/>
                <w:color w:val="auto"/>
                <w:sz w:val="21"/>
                <w:szCs w:val="21"/>
                <w:highlight w:val="none"/>
              </w:rPr>
            </w:pPr>
            <w:r>
              <w:rPr>
                <w:rFonts w:eastAsia="宋体"/>
                <w:color w:val="auto"/>
                <w:sz w:val="21"/>
                <w:szCs w:val="21"/>
                <w:highlight w:val="none"/>
              </w:rPr>
              <w:t>43</w:t>
            </w:r>
          </w:p>
        </w:tc>
        <w:tc>
          <w:tcPr>
            <w:tcW w:w="1933" w:type="dxa"/>
            <w:tcBorders>
              <w:tl2br w:val="nil"/>
              <w:tr2bl w:val="nil"/>
            </w:tcBorders>
            <w:vAlign w:val="center"/>
          </w:tcPr>
          <w:p w14:paraId="516175F5">
            <w:pPr>
              <w:pStyle w:val="98"/>
              <w:ind w:left="-105" w:right="-105"/>
              <w:rPr>
                <w:rFonts w:eastAsia="宋体"/>
                <w:color w:val="auto"/>
                <w:sz w:val="21"/>
                <w:szCs w:val="21"/>
                <w:highlight w:val="none"/>
              </w:rPr>
            </w:pPr>
            <w:r>
              <w:rPr>
                <w:rFonts w:eastAsia="宋体"/>
                <w:color w:val="auto"/>
                <w:sz w:val="21"/>
                <w:szCs w:val="21"/>
                <w:highlight w:val="none"/>
              </w:rPr>
              <w:t>二苯并[a,h]蒽</w:t>
            </w:r>
          </w:p>
        </w:tc>
        <w:tc>
          <w:tcPr>
            <w:tcW w:w="1323" w:type="dxa"/>
            <w:tcBorders>
              <w:tl2br w:val="nil"/>
              <w:tr2bl w:val="nil"/>
            </w:tcBorders>
            <w:vAlign w:val="center"/>
          </w:tcPr>
          <w:p w14:paraId="13014529">
            <w:pPr>
              <w:pStyle w:val="98"/>
              <w:ind w:left="-105" w:right="-105"/>
              <w:rPr>
                <w:rFonts w:eastAsia="宋体"/>
                <w:color w:val="auto"/>
                <w:sz w:val="21"/>
                <w:szCs w:val="21"/>
                <w:highlight w:val="none"/>
              </w:rPr>
            </w:pPr>
            <w:r>
              <w:rPr>
                <w:rFonts w:eastAsia="宋体"/>
                <w:color w:val="auto"/>
                <w:sz w:val="21"/>
                <w:szCs w:val="21"/>
                <w:highlight w:val="none"/>
              </w:rPr>
              <w:t>53-70-3</w:t>
            </w:r>
          </w:p>
        </w:tc>
        <w:tc>
          <w:tcPr>
            <w:tcW w:w="1283" w:type="dxa"/>
            <w:tcBorders>
              <w:tl2br w:val="nil"/>
              <w:tr2bl w:val="nil"/>
            </w:tcBorders>
            <w:vAlign w:val="center"/>
          </w:tcPr>
          <w:p w14:paraId="59EA2B15">
            <w:pPr>
              <w:pStyle w:val="98"/>
              <w:ind w:left="-105" w:right="-105"/>
              <w:rPr>
                <w:rFonts w:eastAsia="宋体"/>
                <w:color w:val="auto"/>
                <w:sz w:val="21"/>
                <w:szCs w:val="21"/>
                <w:highlight w:val="none"/>
              </w:rPr>
            </w:pPr>
            <w:r>
              <w:rPr>
                <w:rFonts w:eastAsia="宋体"/>
                <w:color w:val="auto"/>
                <w:sz w:val="21"/>
                <w:szCs w:val="21"/>
                <w:highlight w:val="none"/>
              </w:rPr>
              <w:t>0.55</w:t>
            </w:r>
          </w:p>
        </w:tc>
        <w:tc>
          <w:tcPr>
            <w:tcW w:w="1292" w:type="dxa"/>
            <w:tcBorders>
              <w:tl2br w:val="nil"/>
              <w:tr2bl w:val="nil"/>
            </w:tcBorders>
            <w:vAlign w:val="center"/>
          </w:tcPr>
          <w:p w14:paraId="3382FAEE">
            <w:pPr>
              <w:pStyle w:val="98"/>
              <w:ind w:left="-105" w:right="-105"/>
              <w:rPr>
                <w:rFonts w:eastAsia="宋体"/>
                <w:color w:val="auto"/>
                <w:sz w:val="21"/>
                <w:szCs w:val="21"/>
                <w:highlight w:val="none"/>
              </w:rPr>
            </w:pPr>
            <w:r>
              <w:rPr>
                <w:rFonts w:eastAsia="宋体"/>
                <w:color w:val="auto"/>
                <w:sz w:val="21"/>
                <w:szCs w:val="21"/>
                <w:highlight w:val="none"/>
              </w:rPr>
              <w:t>1.5</w:t>
            </w:r>
          </w:p>
        </w:tc>
        <w:tc>
          <w:tcPr>
            <w:tcW w:w="1285" w:type="dxa"/>
            <w:tcBorders>
              <w:tl2br w:val="nil"/>
              <w:tr2bl w:val="nil"/>
            </w:tcBorders>
            <w:vAlign w:val="center"/>
          </w:tcPr>
          <w:p w14:paraId="08FC4CAC">
            <w:pPr>
              <w:pStyle w:val="98"/>
              <w:ind w:left="-105" w:right="-105"/>
              <w:rPr>
                <w:rFonts w:eastAsia="宋体"/>
                <w:color w:val="auto"/>
                <w:sz w:val="21"/>
                <w:szCs w:val="21"/>
                <w:highlight w:val="none"/>
              </w:rPr>
            </w:pPr>
            <w:r>
              <w:rPr>
                <w:rFonts w:eastAsia="宋体"/>
                <w:color w:val="auto"/>
                <w:sz w:val="21"/>
                <w:szCs w:val="21"/>
                <w:highlight w:val="none"/>
              </w:rPr>
              <w:t>5.5</w:t>
            </w:r>
          </w:p>
        </w:tc>
        <w:tc>
          <w:tcPr>
            <w:tcW w:w="1289" w:type="dxa"/>
            <w:tcBorders>
              <w:tl2br w:val="nil"/>
              <w:tr2bl w:val="nil"/>
            </w:tcBorders>
            <w:vAlign w:val="center"/>
          </w:tcPr>
          <w:p w14:paraId="6B77195A">
            <w:pPr>
              <w:pStyle w:val="98"/>
              <w:ind w:left="-105" w:right="-105"/>
              <w:rPr>
                <w:rFonts w:eastAsia="宋体"/>
                <w:color w:val="auto"/>
                <w:sz w:val="21"/>
                <w:szCs w:val="21"/>
                <w:highlight w:val="none"/>
              </w:rPr>
            </w:pPr>
            <w:r>
              <w:rPr>
                <w:rFonts w:eastAsia="宋体"/>
                <w:color w:val="auto"/>
                <w:sz w:val="21"/>
                <w:szCs w:val="21"/>
                <w:highlight w:val="none"/>
              </w:rPr>
              <w:t>15</w:t>
            </w:r>
          </w:p>
        </w:tc>
      </w:tr>
      <w:tr w14:paraId="7D299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68D32CD">
            <w:pPr>
              <w:pStyle w:val="98"/>
              <w:ind w:left="-105" w:right="-105"/>
              <w:rPr>
                <w:rFonts w:eastAsia="宋体"/>
                <w:color w:val="auto"/>
                <w:sz w:val="21"/>
                <w:szCs w:val="21"/>
                <w:highlight w:val="none"/>
              </w:rPr>
            </w:pPr>
            <w:r>
              <w:rPr>
                <w:rFonts w:eastAsia="宋体"/>
                <w:color w:val="auto"/>
                <w:sz w:val="21"/>
                <w:szCs w:val="21"/>
                <w:highlight w:val="none"/>
              </w:rPr>
              <w:t>44</w:t>
            </w:r>
          </w:p>
        </w:tc>
        <w:tc>
          <w:tcPr>
            <w:tcW w:w="1933" w:type="dxa"/>
            <w:tcBorders>
              <w:tl2br w:val="nil"/>
              <w:tr2bl w:val="nil"/>
            </w:tcBorders>
            <w:vAlign w:val="center"/>
          </w:tcPr>
          <w:p w14:paraId="1A88C879">
            <w:pPr>
              <w:pStyle w:val="98"/>
              <w:ind w:left="-105" w:right="-105"/>
              <w:rPr>
                <w:rFonts w:eastAsia="宋体"/>
                <w:color w:val="auto"/>
                <w:sz w:val="21"/>
                <w:szCs w:val="21"/>
                <w:highlight w:val="none"/>
              </w:rPr>
            </w:pPr>
            <w:r>
              <w:rPr>
                <w:rFonts w:eastAsia="宋体"/>
                <w:color w:val="auto"/>
                <w:sz w:val="21"/>
                <w:szCs w:val="21"/>
                <w:highlight w:val="none"/>
              </w:rPr>
              <w:t>茚并(1,2,3-cd)芘</w:t>
            </w:r>
          </w:p>
        </w:tc>
        <w:tc>
          <w:tcPr>
            <w:tcW w:w="1323" w:type="dxa"/>
            <w:tcBorders>
              <w:tl2br w:val="nil"/>
              <w:tr2bl w:val="nil"/>
            </w:tcBorders>
            <w:vAlign w:val="center"/>
          </w:tcPr>
          <w:p w14:paraId="0A48BC74">
            <w:pPr>
              <w:pStyle w:val="98"/>
              <w:ind w:left="-105" w:right="-105"/>
              <w:rPr>
                <w:rFonts w:eastAsia="宋体"/>
                <w:color w:val="auto"/>
                <w:sz w:val="21"/>
                <w:szCs w:val="21"/>
                <w:highlight w:val="none"/>
              </w:rPr>
            </w:pPr>
            <w:r>
              <w:rPr>
                <w:rFonts w:eastAsia="宋体"/>
                <w:color w:val="auto"/>
                <w:sz w:val="21"/>
                <w:szCs w:val="21"/>
                <w:highlight w:val="none"/>
              </w:rPr>
              <w:t>193-39-5</w:t>
            </w:r>
          </w:p>
        </w:tc>
        <w:tc>
          <w:tcPr>
            <w:tcW w:w="1283" w:type="dxa"/>
            <w:tcBorders>
              <w:tl2br w:val="nil"/>
              <w:tr2bl w:val="nil"/>
            </w:tcBorders>
            <w:vAlign w:val="center"/>
          </w:tcPr>
          <w:p w14:paraId="42DC2F7C">
            <w:pPr>
              <w:pStyle w:val="98"/>
              <w:ind w:left="-105" w:right="-105"/>
              <w:rPr>
                <w:rFonts w:eastAsia="宋体"/>
                <w:color w:val="auto"/>
                <w:sz w:val="21"/>
                <w:szCs w:val="21"/>
                <w:highlight w:val="none"/>
              </w:rPr>
            </w:pPr>
            <w:r>
              <w:rPr>
                <w:rFonts w:eastAsia="宋体"/>
                <w:color w:val="auto"/>
                <w:sz w:val="21"/>
                <w:szCs w:val="21"/>
                <w:highlight w:val="none"/>
              </w:rPr>
              <w:t>5.5</w:t>
            </w:r>
          </w:p>
        </w:tc>
        <w:tc>
          <w:tcPr>
            <w:tcW w:w="1292" w:type="dxa"/>
            <w:tcBorders>
              <w:tl2br w:val="nil"/>
              <w:tr2bl w:val="nil"/>
            </w:tcBorders>
            <w:vAlign w:val="center"/>
          </w:tcPr>
          <w:p w14:paraId="578E1C2C">
            <w:pPr>
              <w:pStyle w:val="98"/>
              <w:ind w:left="-105" w:right="-105"/>
              <w:rPr>
                <w:rFonts w:eastAsia="宋体"/>
                <w:color w:val="auto"/>
                <w:sz w:val="21"/>
                <w:szCs w:val="21"/>
                <w:highlight w:val="none"/>
              </w:rPr>
            </w:pPr>
            <w:r>
              <w:rPr>
                <w:rFonts w:eastAsia="宋体"/>
                <w:color w:val="auto"/>
                <w:sz w:val="21"/>
                <w:szCs w:val="21"/>
                <w:highlight w:val="none"/>
              </w:rPr>
              <w:t>15</w:t>
            </w:r>
          </w:p>
        </w:tc>
        <w:tc>
          <w:tcPr>
            <w:tcW w:w="1285" w:type="dxa"/>
            <w:tcBorders>
              <w:tl2br w:val="nil"/>
              <w:tr2bl w:val="nil"/>
            </w:tcBorders>
            <w:vAlign w:val="center"/>
          </w:tcPr>
          <w:p w14:paraId="380F1E88">
            <w:pPr>
              <w:pStyle w:val="98"/>
              <w:ind w:left="-105" w:right="-105"/>
              <w:rPr>
                <w:rFonts w:eastAsia="宋体"/>
                <w:color w:val="auto"/>
                <w:sz w:val="21"/>
                <w:szCs w:val="21"/>
                <w:highlight w:val="none"/>
              </w:rPr>
            </w:pPr>
            <w:r>
              <w:rPr>
                <w:rFonts w:eastAsia="宋体"/>
                <w:color w:val="auto"/>
                <w:sz w:val="21"/>
                <w:szCs w:val="21"/>
                <w:highlight w:val="none"/>
              </w:rPr>
              <w:t>55</w:t>
            </w:r>
          </w:p>
        </w:tc>
        <w:tc>
          <w:tcPr>
            <w:tcW w:w="1289" w:type="dxa"/>
            <w:tcBorders>
              <w:tl2br w:val="nil"/>
              <w:tr2bl w:val="nil"/>
            </w:tcBorders>
            <w:vAlign w:val="center"/>
          </w:tcPr>
          <w:p w14:paraId="28759840">
            <w:pPr>
              <w:pStyle w:val="98"/>
              <w:ind w:left="-105" w:right="-105"/>
              <w:rPr>
                <w:rFonts w:eastAsia="宋体"/>
                <w:color w:val="auto"/>
                <w:sz w:val="21"/>
                <w:szCs w:val="21"/>
                <w:highlight w:val="none"/>
              </w:rPr>
            </w:pPr>
            <w:r>
              <w:rPr>
                <w:rFonts w:eastAsia="宋体"/>
                <w:color w:val="auto"/>
                <w:sz w:val="21"/>
                <w:szCs w:val="21"/>
                <w:highlight w:val="none"/>
              </w:rPr>
              <w:t>151</w:t>
            </w:r>
          </w:p>
        </w:tc>
      </w:tr>
      <w:tr w14:paraId="1B3D2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1BBB328C">
            <w:pPr>
              <w:pStyle w:val="98"/>
              <w:ind w:left="-105" w:right="-105"/>
              <w:rPr>
                <w:rFonts w:eastAsia="宋体"/>
                <w:color w:val="auto"/>
                <w:sz w:val="21"/>
                <w:szCs w:val="21"/>
                <w:highlight w:val="none"/>
              </w:rPr>
            </w:pPr>
            <w:r>
              <w:rPr>
                <w:rFonts w:eastAsia="宋体"/>
                <w:color w:val="auto"/>
                <w:sz w:val="21"/>
                <w:szCs w:val="21"/>
                <w:highlight w:val="none"/>
              </w:rPr>
              <w:t>45</w:t>
            </w:r>
          </w:p>
        </w:tc>
        <w:tc>
          <w:tcPr>
            <w:tcW w:w="1933" w:type="dxa"/>
            <w:tcBorders>
              <w:tl2br w:val="nil"/>
              <w:tr2bl w:val="nil"/>
            </w:tcBorders>
            <w:vAlign w:val="center"/>
          </w:tcPr>
          <w:p w14:paraId="0A45EB36">
            <w:pPr>
              <w:pStyle w:val="98"/>
              <w:ind w:left="-105" w:right="-105"/>
              <w:rPr>
                <w:rFonts w:eastAsia="宋体"/>
                <w:color w:val="auto"/>
                <w:sz w:val="21"/>
                <w:szCs w:val="21"/>
                <w:highlight w:val="none"/>
              </w:rPr>
            </w:pPr>
            <w:r>
              <w:rPr>
                <w:rFonts w:eastAsia="宋体"/>
                <w:color w:val="auto"/>
                <w:sz w:val="21"/>
                <w:szCs w:val="21"/>
                <w:highlight w:val="none"/>
              </w:rPr>
              <w:t>萘</w:t>
            </w:r>
          </w:p>
        </w:tc>
        <w:tc>
          <w:tcPr>
            <w:tcW w:w="1323" w:type="dxa"/>
            <w:tcBorders>
              <w:tl2br w:val="nil"/>
              <w:tr2bl w:val="nil"/>
            </w:tcBorders>
            <w:vAlign w:val="center"/>
          </w:tcPr>
          <w:p w14:paraId="5F78CCDF">
            <w:pPr>
              <w:pStyle w:val="98"/>
              <w:ind w:left="-105" w:right="-105"/>
              <w:rPr>
                <w:rFonts w:eastAsia="宋体"/>
                <w:color w:val="auto"/>
                <w:sz w:val="21"/>
                <w:szCs w:val="21"/>
                <w:highlight w:val="none"/>
              </w:rPr>
            </w:pPr>
            <w:r>
              <w:rPr>
                <w:rFonts w:eastAsia="宋体"/>
                <w:color w:val="auto"/>
                <w:sz w:val="21"/>
                <w:szCs w:val="21"/>
                <w:highlight w:val="none"/>
              </w:rPr>
              <w:t>91-20-3</w:t>
            </w:r>
          </w:p>
        </w:tc>
        <w:tc>
          <w:tcPr>
            <w:tcW w:w="1283" w:type="dxa"/>
            <w:tcBorders>
              <w:tl2br w:val="nil"/>
              <w:tr2bl w:val="nil"/>
            </w:tcBorders>
            <w:vAlign w:val="center"/>
          </w:tcPr>
          <w:p w14:paraId="2D1DE73E">
            <w:pPr>
              <w:pStyle w:val="98"/>
              <w:ind w:left="-105" w:right="-105"/>
              <w:rPr>
                <w:rFonts w:eastAsia="宋体"/>
                <w:color w:val="auto"/>
                <w:sz w:val="21"/>
                <w:szCs w:val="21"/>
                <w:highlight w:val="none"/>
              </w:rPr>
            </w:pPr>
            <w:r>
              <w:rPr>
                <w:rFonts w:eastAsia="宋体"/>
                <w:color w:val="auto"/>
                <w:sz w:val="21"/>
                <w:szCs w:val="21"/>
                <w:highlight w:val="none"/>
              </w:rPr>
              <w:t>25</w:t>
            </w:r>
          </w:p>
        </w:tc>
        <w:tc>
          <w:tcPr>
            <w:tcW w:w="1292" w:type="dxa"/>
            <w:tcBorders>
              <w:tl2br w:val="nil"/>
              <w:tr2bl w:val="nil"/>
            </w:tcBorders>
            <w:vAlign w:val="center"/>
          </w:tcPr>
          <w:p w14:paraId="712D4180">
            <w:pPr>
              <w:pStyle w:val="98"/>
              <w:ind w:left="-105" w:right="-105"/>
              <w:rPr>
                <w:rFonts w:eastAsia="宋体"/>
                <w:color w:val="auto"/>
                <w:sz w:val="21"/>
                <w:szCs w:val="21"/>
                <w:highlight w:val="none"/>
              </w:rPr>
            </w:pPr>
            <w:r>
              <w:rPr>
                <w:rFonts w:eastAsia="宋体"/>
                <w:color w:val="auto"/>
                <w:sz w:val="21"/>
                <w:szCs w:val="21"/>
                <w:highlight w:val="none"/>
              </w:rPr>
              <w:t>70</w:t>
            </w:r>
          </w:p>
        </w:tc>
        <w:tc>
          <w:tcPr>
            <w:tcW w:w="1285" w:type="dxa"/>
            <w:tcBorders>
              <w:tl2br w:val="nil"/>
              <w:tr2bl w:val="nil"/>
            </w:tcBorders>
            <w:vAlign w:val="center"/>
          </w:tcPr>
          <w:p w14:paraId="275128C3">
            <w:pPr>
              <w:pStyle w:val="98"/>
              <w:ind w:left="-105" w:right="-105"/>
              <w:rPr>
                <w:rFonts w:eastAsia="宋体"/>
                <w:color w:val="auto"/>
                <w:sz w:val="21"/>
                <w:szCs w:val="21"/>
                <w:highlight w:val="none"/>
              </w:rPr>
            </w:pPr>
            <w:r>
              <w:rPr>
                <w:rFonts w:eastAsia="宋体"/>
                <w:color w:val="auto"/>
                <w:sz w:val="21"/>
                <w:szCs w:val="21"/>
                <w:highlight w:val="none"/>
              </w:rPr>
              <w:t>255</w:t>
            </w:r>
          </w:p>
        </w:tc>
        <w:tc>
          <w:tcPr>
            <w:tcW w:w="1289" w:type="dxa"/>
            <w:tcBorders>
              <w:tl2br w:val="nil"/>
              <w:tr2bl w:val="nil"/>
            </w:tcBorders>
            <w:vAlign w:val="center"/>
          </w:tcPr>
          <w:p w14:paraId="4FF51E79">
            <w:pPr>
              <w:pStyle w:val="98"/>
              <w:ind w:left="-105" w:right="-105"/>
              <w:rPr>
                <w:rFonts w:eastAsia="宋体"/>
                <w:color w:val="auto"/>
                <w:sz w:val="21"/>
                <w:szCs w:val="21"/>
                <w:highlight w:val="none"/>
              </w:rPr>
            </w:pPr>
            <w:r>
              <w:rPr>
                <w:rFonts w:eastAsia="宋体"/>
                <w:color w:val="auto"/>
                <w:sz w:val="21"/>
                <w:szCs w:val="21"/>
                <w:highlight w:val="none"/>
              </w:rPr>
              <w:t>700</w:t>
            </w:r>
          </w:p>
        </w:tc>
      </w:tr>
      <w:tr w14:paraId="07E64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5" w:type="dxa"/>
            <w:gridSpan w:val="7"/>
            <w:tcBorders>
              <w:tl2br w:val="nil"/>
              <w:tr2bl w:val="nil"/>
            </w:tcBorders>
            <w:vAlign w:val="center"/>
          </w:tcPr>
          <w:p w14:paraId="61D96384">
            <w:pPr>
              <w:pStyle w:val="98"/>
              <w:ind w:left="-105" w:right="-105"/>
              <w:rPr>
                <w:rFonts w:eastAsia="宋体"/>
                <w:color w:val="auto"/>
                <w:sz w:val="21"/>
                <w:szCs w:val="21"/>
                <w:highlight w:val="none"/>
                <w:lang w:val="en-US"/>
              </w:rPr>
            </w:pPr>
            <w:r>
              <w:rPr>
                <w:rFonts w:hint="eastAsia" w:eastAsia="宋体"/>
                <w:b/>
                <w:bCs/>
                <w:color w:val="auto"/>
                <w:sz w:val="21"/>
                <w:szCs w:val="21"/>
                <w:highlight w:val="none"/>
                <w:lang w:val="en-US"/>
              </w:rPr>
              <w:t>石油烃类</w:t>
            </w:r>
          </w:p>
        </w:tc>
      </w:tr>
      <w:tr w14:paraId="46BA8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14:paraId="5A63D98A">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46</w:t>
            </w:r>
          </w:p>
        </w:tc>
        <w:tc>
          <w:tcPr>
            <w:tcW w:w="1933" w:type="dxa"/>
            <w:tcBorders>
              <w:tl2br w:val="nil"/>
              <w:tr2bl w:val="nil"/>
            </w:tcBorders>
            <w:vAlign w:val="center"/>
          </w:tcPr>
          <w:p w14:paraId="16D4DEFA">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石油烃（C</w:t>
            </w:r>
            <w:r>
              <w:rPr>
                <w:rFonts w:hint="eastAsia" w:eastAsia="宋体"/>
                <w:color w:val="auto"/>
                <w:sz w:val="21"/>
                <w:szCs w:val="21"/>
                <w:highlight w:val="none"/>
                <w:vertAlign w:val="subscript"/>
                <w:lang w:val="en-US"/>
              </w:rPr>
              <w:t>10</w:t>
            </w:r>
            <w:r>
              <w:rPr>
                <w:rFonts w:hint="eastAsia" w:eastAsia="宋体"/>
                <w:color w:val="auto"/>
                <w:sz w:val="21"/>
                <w:szCs w:val="21"/>
                <w:highlight w:val="none"/>
                <w:lang w:val="en-US"/>
              </w:rPr>
              <w:t>~C</w:t>
            </w:r>
            <w:r>
              <w:rPr>
                <w:rFonts w:hint="eastAsia" w:eastAsia="宋体"/>
                <w:color w:val="auto"/>
                <w:sz w:val="21"/>
                <w:szCs w:val="21"/>
                <w:highlight w:val="none"/>
                <w:vertAlign w:val="subscript"/>
                <w:lang w:val="en-US"/>
              </w:rPr>
              <w:t>40</w:t>
            </w:r>
            <w:r>
              <w:rPr>
                <w:rFonts w:hint="eastAsia" w:eastAsia="宋体"/>
                <w:color w:val="auto"/>
                <w:sz w:val="21"/>
                <w:szCs w:val="21"/>
                <w:highlight w:val="none"/>
                <w:lang w:val="en-US"/>
              </w:rPr>
              <w:t>）</w:t>
            </w:r>
          </w:p>
        </w:tc>
        <w:tc>
          <w:tcPr>
            <w:tcW w:w="1323" w:type="dxa"/>
            <w:tcBorders>
              <w:tl2br w:val="nil"/>
              <w:tr2bl w:val="nil"/>
            </w:tcBorders>
            <w:vAlign w:val="center"/>
          </w:tcPr>
          <w:p w14:paraId="02AE26BD">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w:t>
            </w:r>
          </w:p>
        </w:tc>
        <w:tc>
          <w:tcPr>
            <w:tcW w:w="1283" w:type="dxa"/>
            <w:tcBorders>
              <w:tl2br w:val="nil"/>
              <w:tr2bl w:val="nil"/>
            </w:tcBorders>
            <w:vAlign w:val="center"/>
          </w:tcPr>
          <w:p w14:paraId="5FF0F0BF">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826</w:t>
            </w:r>
          </w:p>
        </w:tc>
        <w:tc>
          <w:tcPr>
            <w:tcW w:w="1292" w:type="dxa"/>
            <w:tcBorders>
              <w:tl2br w:val="nil"/>
              <w:tr2bl w:val="nil"/>
            </w:tcBorders>
            <w:vAlign w:val="center"/>
          </w:tcPr>
          <w:p w14:paraId="7678FE19">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4500</w:t>
            </w:r>
          </w:p>
        </w:tc>
        <w:tc>
          <w:tcPr>
            <w:tcW w:w="1285" w:type="dxa"/>
            <w:tcBorders>
              <w:tl2br w:val="nil"/>
              <w:tr2bl w:val="nil"/>
            </w:tcBorders>
            <w:vAlign w:val="center"/>
          </w:tcPr>
          <w:p w14:paraId="0E5185C3">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5000</w:t>
            </w:r>
          </w:p>
        </w:tc>
        <w:tc>
          <w:tcPr>
            <w:tcW w:w="1289" w:type="dxa"/>
            <w:tcBorders>
              <w:tl2br w:val="nil"/>
              <w:tr2bl w:val="nil"/>
            </w:tcBorders>
            <w:vAlign w:val="center"/>
          </w:tcPr>
          <w:p w14:paraId="3D124912">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9000</w:t>
            </w:r>
          </w:p>
        </w:tc>
      </w:tr>
      <w:tr w14:paraId="66537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5" w:type="dxa"/>
            <w:gridSpan w:val="7"/>
            <w:tcBorders>
              <w:tl2br w:val="nil"/>
              <w:tr2bl w:val="nil"/>
            </w:tcBorders>
            <w:vAlign w:val="center"/>
          </w:tcPr>
          <w:p w14:paraId="124EA9E3">
            <w:pPr>
              <w:pStyle w:val="98"/>
              <w:ind w:left="-105" w:right="-105"/>
              <w:rPr>
                <w:rFonts w:eastAsia="宋体"/>
                <w:color w:val="auto"/>
                <w:sz w:val="21"/>
                <w:szCs w:val="21"/>
                <w:highlight w:val="none"/>
              </w:rPr>
            </w:pPr>
            <w:r>
              <w:rPr>
                <w:rFonts w:eastAsia="宋体"/>
                <w:color w:val="auto"/>
                <w:sz w:val="21"/>
                <w:szCs w:val="21"/>
                <w:highlight w:val="none"/>
              </w:rPr>
              <w:t>注：</w:t>
            </w:r>
            <w:r>
              <w:rPr>
                <w:rFonts w:hint="eastAsia" w:eastAsia="宋体" w:cs="宋体"/>
                <w:color w:val="auto"/>
                <w:sz w:val="21"/>
                <w:szCs w:val="21"/>
                <w:highlight w:val="none"/>
              </w:rPr>
              <w:t>①</w:t>
            </w:r>
            <w:r>
              <w:rPr>
                <w:rFonts w:eastAsia="宋体"/>
                <w:color w:val="auto"/>
                <w:sz w:val="21"/>
                <w:szCs w:val="21"/>
                <w:highlight w:val="none"/>
              </w:rPr>
              <w:t>具体地块土壤中污染物检测含量超过筛选值，但等于或低于土壤环境背景值（见 3.6）水平的，不纳入污染地块管理。土壤环境背景值可参见附录A。</w:t>
            </w:r>
          </w:p>
        </w:tc>
      </w:tr>
    </w:tbl>
    <w:p w14:paraId="6FA9E20D">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2.3.2.2污染物排放标准</w:t>
      </w:r>
    </w:p>
    <w:p w14:paraId="4C545C74">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（1）废气</w:t>
      </w:r>
    </w:p>
    <w:p w14:paraId="77771174">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本项目</w:t>
      </w:r>
      <w:r>
        <w:rPr>
          <w:rFonts w:hint="eastAsia" w:ascii="Times New Roman" w:hAnsi="Times New Roman"/>
          <w:color w:val="auto"/>
          <w:highlight w:val="none"/>
        </w:rPr>
        <w:t>生产过程产生的氮氧化物、非甲烷总烃、甲醇</w:t>
      </w:r>
      <w:r>
        <w:rPr>
          <w:rFonts w:ascii="Times New Roman" w:hAnsi="Times New Roman"/>
          <w:color w:val="auto"/>
          <w:highlight w:val="none"/>
        </w:rPr>
        <w:t>排放执行</w:t>
      </w:r>
      <w:r>
        <w:rPr>
          <w:rFonts w:hint="eastAsia" w:ascii="Times New Roman" w:hAnsi="Times New Roman"/>
          <w:color w:val="auto"/>
          <w:highlight w:val="none"/>
        </w:rPr>
        <w:t>《大气污染物综合排放标准》（DB32/4041-2021）表1、表3标准限值</w:t>
      </w:r>
      <w:r>
        <w:rPr>
          <w:rFonts w:ascii="Times New Roman" w:hAnsi="Times New Roman"/>
          <w:color w:val="auto"/>
          <w:highlight w:val="none"/>
        </w:rPr>
        <w:t>。</w:t>
      </w:r>
    </w:p>
    <w:p w14:paraId="53F2FAF9">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2.3</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8</w:t>
      </w:r>
      <w:r>
        <w:rPr>
          <w:rFonts w:eastAsia="宋体" w:cs="Times New Roman"/>
          <w:color w:val="auto"/>
          <w:sz w:val="24"/>
          <w:szCs w:val="24"/>
          <w:highlight w:val="none"/>
        </w:rPr>
        <w:fldChar w:fldCharType="end"/>
      </w:r>
      <w:r>
        <w:rPr>
          <w:rFonts w:eastAsia="宋体" w:cs="Times New Roman"/>
          <w:color w:val="auto"/>
          <w:sz w:val="24"/>
          <w:szCs w:val="24"/>
          <w:highlight w:val="none"/>
        </w:rPr>
        <w:t>大气污染物排放标准</w:t>
      </w:r>
    </w:p>
    <w:tbl>
      <w:tblPr>
        <w:tblStyle w:val="45"/>
        <w:tblW w:w="86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126"/>
        <w:gridCol w:w="899"/>
        <w:gridCol w:w="948"/>
        <w:gridCol w:w="1043"/>
        <w:gridCol w:w="1380"/>
        <w:gridCol w:w="2090"/>
      </w:tblGrid>
      <w:tr w14:paraId="1430C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42" w:type="dxa"/>
            <w:vMerge w:val="restart"/>
            <w:tcBorders>
              <w:top w:val="single" w:color="auto" w:sz="12" w:space="0"/>
            </w:tcBorders>
            <w:vAlign w:val="center"/>
          </w:tcPr>
          <w:p w14:paraId="5F1DB606">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p w14:paraId="6093AB3E">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名称</w:t>
            </w:r>
          </w:p>
        </w:tc>
        <w:tc>
          <w:tcPr>
            <w:tcW w:w="1126" w:type="dxa"/>
            <w:vMerge w:val="restart"/>
            <w:tcBorders>
              <w:top w:val="single" w:color="auto" w:sz="12" w:space="0"/>
            </w:tcBorders>
            <w:vAlign w:val="center"/>
          </w:tcPr>
          <w:p w14:paraId="6235EAA6">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最高允许</w:t>
            </w:r>
          </w:p>
          <w:p w14:paraId="79ADFCC1">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排放浓度</w:t>
            </w:r>
          </w:p>
          <w:p w14:paraId="4EE49921">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899" w:type="dxa"/>
            <w:vMerge w:val="restart"/>
            <w:tcBorders>
              <w:top w:val="single" w:color="auto" w:sz="12" w:space="0"/>
            </w:tcBorders>
            <w:vAlign w:val="center"/>
          </w:tcPr>
          <w:p w14:paraId="1D069EA9">
            <w:pPr>
              <w:ind w:left="-105" w:right="-105"/>
              <w:jc w:val="center"/>
              <w:rPr>
                <w:rFonts w:ascii="Times New Roman" w:hAnsi="Times New Roman"/>
                <w:b/>
                <w:bCs/>
                <w:color w:val="auto"/>
                <w:sz w:val="21"/>
                <w:szCs w:val="21"/>
                <w:highlight w:val="none"/>
              </w:rPr>
            </w:pPr>
            <w:r>
              <w:rPr>
                <w:rFonts w:ascii="Times New Roman" w:hAnsi="Times New Roman"/>
                <w:b/>
                <w:color w:val="auto"/>
                <w:sz w:val="21"/>
                <w:szCs w:val="21"/>
                <w:highlight w:val="none"/>
              </w:rPr>
              <w:t>排气筒高度（m）</w:t>
            </w:r>
          </w:p>
        </w:tc>
        <w:tc>
          <w:tcPr>
            <w:tcW w:w="948" w:type="dxa"/>
            <w:vMerge w:val="restart"/>
            <w:tcBorders>
              <w:top w:val="single" w:color="auto" w:sz="12" w:space="0"/>
            </w:tcBorders>
            <w:vAlign w:val="center"/>
          </w:tcPr>
          <w:p w14:paraId="56F271F8">
            <w:pPr>
              <w:ind w:left="-105" w:right="-105"/>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最高</w:t>
            </w:r>
            <w:r>
              <w:rPr>
                <w:rFonts w:ascii="Times New Roman" w:hAnsi="Times New Roman"/>
                <w:b/>
                <w:color w:val="auto"/>
                <w:sz w:val="21"/>
                <w:szCs w:val="21"/>
                <w:highlight w:val="none"/>
              </w:rPr>
              <w:t>允许排放速率</w:t>
            </w:r>
          </w:p>
          <w:p w14:paraId="1A0571F7">
            <w:pPr>
              <w:ind w:left="-105" w:right="-105"/>
              <w:jc w:val="center"/>
              <w:rPr>
                <w:rFonts w:ascii="Times New Roman" w:hAnsi="Times New Roman"/>
                <w:b/>
                <w:bCs/>
                <w:color w:val="auto"/>
                <w:sz w:val="21"/>
                <w:szCs w:val="21"/>
                <w:highlight w:val="none"/>
              </w:rPr>
            </w:pPr>
            <w:r>
              <w:rPr>
                <w:rFonts w:ascii="Times New Roman" w:hAnsi="Times New Roman"/>
                <w:b/>
                <w:color w:val="auto"/>
                <w:sz w:val="21"/>
                <w:szCs w:val="21"/>
                <w:highlight w:val="none"/>
              </w:rPr>
              <w:t>（kg/h）</w:t>
            </w:r>
          </w:p>
        </w:tc>
        <w:tc>
          <w:tcPr>
            <w:tcW w:w="2423" w:type="dxa"/>
            <w:gridSpan w:val="2"/>
            <w:tcBorders>
              <w:top w:val="single" w:color="auto" w:sz="12" w:space="0"/>
            </w:tcBorders>
            <w:vAlign w:val="center"/>
          </w:tcPr>
          <w:p w14:paraId="60B300DC">
            <w:pPr>
              <w:ind w:left="-105" w:right="-105"/>
              <w:jc w:val="center"/>
              <w:rPr>
                <w:rFonts w:ascii="Times New Roman" w:hAnsi="Times New Roman"/>
                <w:b/>
                <w:bCs/>
                <w:color w:val="auto"/>
                <w:sz w:val="21"/>
                <w:szCs w:val="21"/>
                <w:highlight w:val="none"/>
              </w:rPr>
            </w:pPr>
            <w:r>
              <w:rPr>
                <w:rFonts w:ascii="Times New Roman" w:hAnsi="Times New Roman"/>
                <w:b/>
                <w:color w:val="auto"/>
                <w:sz w:val="21"/>
                <w:szCs w:val="21"/>
                <w:highlight w:val="none"/>
              </w:rPr>
              <w:t>无组织排放监控浓度限值</w:t>
            </w:r>
          </w:p>
        </w:tc>
        <w:tc>
          <w:tcPr>
            <w:tcW w:w="2090" w:type="dxa"/>
            <w:vMerge w:val="restart"/>
            <w:tcBorders>
              <w:top w:val="single" w:color="auto" w:sz="12" w:space="0"/>
            </w:tcBorders>
            <w:vAlign w:val="center"/>
          </w:tcPr>
          <w:p w14:paraId="370F1DBB">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标准来源</w:t>
            </w:r>
          </w:p>
        </w:tc>
      </w:tr>
      <w:tr w14:paraId="51F71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dxa"/>
            <w:vMerge w:val="continue"/>
            <w:vAlign w:val="center"/>
          </w:tcPr>
          <w:p w14:paraId="47D0030C">
            <w:pPr>
              <w:ind w:left="-105" w:right="-105"/>
              <w:jc w:val="center"/>
              <w:rPr>
                <w:rFonts w:ascii="Times New Roman" w:hAnsi="Times New Roman"/>
                <w:b/>
                <w:bCs/>
                <w:color w:val="auto"/>
                <w:sz w:val="21"/>
                <w:szCs w:val="21"/>
                <w:highlight w:val="none"/>
              </w:rPr>
            </w:pPr>
          </w:p>
        </w:tc>
        <w:tc>
          <w:tcPr>
            <w:tcW w:w="1126" w:type="dxa"/>
            <w:vMerge w:val="continue"/>
            <w:vAlign w:val="center"/>
          </w:tcPr>
          <w:p w14:paraId="321AE9AC">
            <w:pPr>
              <w:ind w:left="-105" w:right="-105"/>
              <w:jc w:val="center"/>
              <w:rPr>
                <w:rFonts w:ascii="Times New Roman" w:hAnsi="Times New Roman"/>
                <w:b/>
                <w:bCs/>
                <w:color w:val="auto"/>
                <w:sz w:val="21"/>
                <w:szCs w:val="21"/>
                <w:highlight w:val="none"/>
              </w:rPr>
            </w:pPr>
          </w:p>
        </w:tc>
        <w:tc>
          <w:tcPr>
            <w:tcW w:w="899" w:type="dxa"/>
            <w:vMerge w:val="continue"/>
            <w:vAlign w:val="center"/>
          </w:tcPr>
          <w:p w14:paraId="43C5FFB9">
            <w:pPr>
              <w:ind w:left="-105" w:right="-105"/>
              <w:jc w:val="center"/>
              <w:rPr>
                <w:rFonts w:ascii="Times New Roman" w:hAnsi="Times New Roman"/>
                <w:b/>
                <w:bCs/>
                <w:color w:val="auto"/>
                <w:sz w:val="21"/>
                <w:szCs w:val="21"/>
                <w:highlight w:val="none"/>
              </w:rPr>
            </w:pPr>
          </w:p>
        </w:tc>
        <w:tc>
          <w:tcPr>
            <w:tcW w:w="948" w:type="dxa"/>
            <w:vMerge w:val="continue"/>
            <w:vAlign w:val="center"/>
          </w:tcPr>
          <w:p w14:paraId="04450078">
            <w:pPr>
              <w:ind w:left="-105" w:right="-105"/>
              <w:jc w:val="center"/>
              <w:rPr>
                <w:rFonts w:ascii="Times New Roman" w:hAnsi="Times New Roman"/>
                <w:b/>
                <w:bCs/>
                <w:color w:val="auto"/>
                <w:sz w:val="21"/>
                <w:szCs w:val="21"/>
                <w:highlight w:val="none"/>
              </w:rPr>
            </w:pPr>
          </w:p>
        </w:tc>
        <w:tc>
          <w:tcPr>
            <w:tcW w:w="1043" w:type="dxa"/>
            <w:vAlign w:val="center"/>
          </w:tcPr>
          <w:p w14:paraId="7B2B8271">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监控点</w:t>
            </w:r>
          </w:p>
        </w:tc>
        <w:tc>
          <w:tcPr>
            <w:tcW w:w="1380" w:type="dxa"/>
            <w:vAlign w:val="center"/>
          </w:tcPr>
          <w:p w14:paraId="4DAE62A5">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w:t>
            </w:r>
          </w:p>
          <w:p w14:paraId="1EB6BD03">
            <w:pPr>
              <w:ind w:left="-105" w:right="-105"/>
              <w:jc w:val="center"/>
              <w:rPr>
                <w:rFonts w:ascii="Times New Roman" w:hAnsi="Times New Roman"/>
                <w:b/>
                <w:bCs/>
                <w:color w:val="auto"/>
                <w:sz w:val="21"/>
                <w:szCs w:val="21"/>
                <w:highlight w:val="none"/>
              </w:rPr>
            </w:pPr>
            <w:r>
              <w:rPr>
                <w:rFonts w:ascii="Times New Roman" w:hAnsi="Times New Roman"/>
                <w:b/>
                <w:color w:val="auto"/>
                <w:sz w:val="21"/>
                <w:szCs w:val="21"/>
                <w:highlight w:val="none"/>
              </w:rPr>
              <w:t>(mg/m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2090" w:type="dxa"/>
            <w:vMerge w:val="continue"/>
            <w:vAlign w:val="center"/>
          </w:tcPr>
          <w:p w14:paraId="54B51AB5">
            <w:pPr>
              <w:ind w:left="-105" w:right="-105"/>
              <w:jc w:val="center"/>
              <w:rPr>
                <w:rFonts w:ascii="Times New Roman" w:hAnsi="Times New Roman"/>
                <w:b/>
                <w:bCs/>
                <w:color w:val="auto"/>
                <w:sz w:val="21"/>
                <w:szCs w:val="21"/>
                <w:highlight w:val="none"/>
              </w:rPr>
            </w:pPr>
          </w:p>
        </w:tc>
      </w:tr>
      <w:tr w14:paraId="3F149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dxa"/>
            <w:vAlign w:val="center"/>
          </w:tcPr>
          <w:p w14:paraId="5844896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氮氧化物（其它）</w:t>
            </w:r>
          </w:p>
        </w:tc>
        <w:tc>
          <w:tcPr>
            <w:tcW w:w="1126" w:type="dxa"/>
            <w:vAlign w:val="center"/>
          </w:tcPr>
          <w:p w14:paraId="7B98F37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w:t>
            </w:r>
          </w:p>
        </w:tc>
        <w:tc>
          <w:tcPr>
            <w:tcW w:w="899" w:type="dxa"/>
            <w:vAlign w:val="center"/>
          </w:tcPr>
          <w:p w14:paraId="6CEF2B7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948" w:type="dxa"/>
            <w:vAlign w:val="center"/>
          </w:tcPr>
          <w:p w14:paraId="2176AF4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0.47</w:t>
            </w:r>
          </w:p>
        </w:tc>
        <w:tc>
          <w:tcPr>
            <w:tcW w:w="1043" w:type="dxa"/>
            <w:vMerge w:val="restart"/>
            <w:vAlign w:val="center"/>
          </w:tcPr>
          <w:p w14:paraId="6C21BF7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边界</w:t>
            </w:r>
            <w:r>
              <w:rPr>
                <w:rFonts w:ascii="Times New Roman" w:hAnsi="Times New Roman"/>
                <w:color w:val="auto"/>
                <w:sz w:val="21"/>
                <w:szCs w:val="21"/>
                <w:highlight w:val="none"/>
              </w:rPr>
              <w:t>外浓度最高点</w:t>
            </w:r>
          </w:p>
        </w:tc>
        <w:tc>
          <w:tcPr>
            <w:tcW w:w="1380" w:type="dxa"/>
            <w:vAlign w:val="center"/>
          </w:tcPr>
          <w:p w14:paraId="488C6B5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0.12</w:t>
            </w:r>
          </w:p>
        </w:tc>
        <w:tc>
          <w:tcPr>
            <w:tcW w:w="2090" w:type="dxa"/>
            <w:vMerge w:val="restart"/>
            <w:vAlign w:val="center"/>
          </w:tcPr>
          <w:p w14:paraId="06D458B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《大气污染物综合排放标准》(</w:t>
            </w:r>
            <w:r>
              <w:rPr>
                <w:rFonts w:hint="eastAsia" w:ascii="Times New Roman" w:hAnsi="Times New Roman"/>
                <w:color w:val="auto"/>
                <w:sz w:val="21"/>
                <w:szCs w:val="21"/>
                <w:highlight w:val="none"/>
              </w:rPr>
              <w:t>DB32/4041-2021</w:t>
            </w:r>
            <w:r>
              <w:rPr>
                <w:rFonts w:ascii="Times New Roman" w:hAnsi="Times New Roman"/>
                <w:color w:val="auto"/>
                <w:sz w:val="21"/>
                <w:szCs w:val="21"/>
                <w:highlight w:val="none"/>
              </w:rPr>
              <w:t>)</w:t>
            </w:r>
          </w:p>
        </w:tc>
      </w:tr>
      <w:tr w14:paraId="1F670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dxa"/>
            <w:vAlign w:val="center"/>
          </w:tcPr>
          <w:p w14:paraId="5E89B9D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非甲烷总烃（其它）</w:t>
            </w:r>
          </w:p>
        </w:tc>
        <w:tc>
          <w:tcPr>
            <w:tcW w:w="1126" w:type="dxa"/>
            <w:vAlign w:val="center"/>
          </w:tcPr>
          <w:p w14:paraId="221A2E3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w:t>
            </w:r>
          </w:p>
        </w:tc>
        <w:tc>
          <w:tcPr>
            <w:tcW w:w="899" w:type="dxa"/>
            <w:vAlign w:val="center"/>
          </w:tcPr>
          <w:p w14:paraId="0F078119">
            <w:pPr>
              <w:ind w:left="-105" w:right="-105"/>
              <w:jc w:val="center"/>
              <w:rPr>
                <w:rStyle w:val="111"/>
                <w:rFonts w:ascii="Times New Roman" w:hAnsi="Times New Roman"/>
                <w:color w:val="auto"/>
                <w:sz w:val="21"/>
                <w:szCs w:val="21"/>
                <w:highlight w:val="none"/>
              </w:rPr>
            </w:pPr>
            <w:r>
              <w:rPr>
                <w:rStyle w:val="111"/>
                <w:rFonts w:hint="eastAsia" w:ascii="Times New Roman" w:hAnsi="Times New Roman"/>
                <w:color w:val="auto"/>
                <w:sz w:val="21"/>
                <w:szCs w:val="21"/>
                <w:highlight w:val="none"/>
              </w:rPr>
              <w:t>20</w:t>
            </w:r>
          </w:p>
        </w:tc>
        <w:tc>
          <w:tcPr>
            <w:tcW w:w="948" w:type="dxa"/>
            <w:vAlign w:val="center"/>
          </w:tcPr>
          <w:p w14:paraId="7327A87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w:t>
            </w:r>
          </w:p>
        </w:tc>
        <w:tc>
          <w:tcPr>
            <w:tcW w:w="1043" w:type="dxa"/>
            <w:vMerge w:val="continue"/>
            <w:vAlign w:val="center"/>
          </w:tcPr>
          <w:p w14:paraId="6065DD4C">
            <w:pPr>
              <w:ind w:left="-105" w:right="-105"/>
              <w:jc w:val="center"/>
              <w:rPr>
                <w:rFonts w:ascii="Times New Roman" w:hAnsi="Times New Roman"/>
                <w:color w:val="auto"/>
                <w:sz w:val="21"/>
                <w:szCs w:val="21"/>
                <w:highlight w:val="none"/>
              </w:rPr>
            </w:pPr>
          </w:p>
        </w:tc>
        <w:tc>
          <w:tcPr>
            <w:tcW w:w="1380" w:type="dxa"/>
            <w:vAlign w:val="center"/>
          </w:tcPr>
          <w:p w14:paraId="3FFCD04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w:t>
            </w:r>
          </w:p>
        </w:tc>
        <w:tc>
          <w:tcPr>
            <w:tcW w:w="2090" w:type="dxa"/>
            <w:vMerge w:val="continue"/>
            <w:vAlign w:val="center"/>
          </w:tcPr>
          <w:p w14:paraId="1DC6F982">
            <w:pPr>
              <w:ind w:left="-105" w:right="-105"/>
              <w:jc w:val="center"/>
              <w:rPr>
                <w:rFonts w:ascii="Times New Roman" w:hAnsi="Times New Roman"/>
                <w:color w:val="auto"/>
                <w:sz w:val="21"/>
                <w:szCs w:val="21"/>
                <w:highlight w:val="none"/>
              </w:rPr>
            </w:pPr>
          </w:p>
        </w:tc>
      </w:tr>
      <w:tr w14:paraId="3050C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dxa"/>
            <w:vAlign w:val="center"/>
          </w:tcPr>
          <w:p w14:paraId="07DC3BF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1126" w:type="dxa"/>
            <w:vAlign w:val="center"/>
          </w:tcPr>
          <w:p w14:paraId="0631187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899" w:type="dxa"/>
            <w:vAlign w:val="center"/>
          </w:tcPr>
          <w:p w14:paraId="139EC1B3">
            <w:pPr>
              <w:ind w:left="-105" w:right="-105"/>
              <w:jc w:val="center"/>
              <w:rPr>
                <w:rStyle w:val="111"/>
                <w:rFonts w:ascii="Times New Roman" w:hAnsi="Times New Roman"/>
                <w:color w:val="auto"/>
                <w:sz w:val="21"/>
                <w:szCs w:val="21"/>
                <w:highlight w:val="none"/>
              </w:rPr>
            </w:pPr>
            <w:r>
              <w:rPr>
                <w:rStyle w:val="111"/>
                <w:rFonts w:hint="eastAsia" w:ascii="Times New Roman" w:hAnsi="Times New Roman"/>
                <w:color w:val="auto"/>
                <w:sz w:val="21"/>
                <w:szCs w:val="21"/>
                <w:highlight w:val="none"/>
              </w:rPr>
              <w:t>20</w:t>
            </w:r>
          </w:p>
        </w:tc>
        <w:tc>
          <w:tcPr>
            <w:tcW w:w="948" w:type="dxa"/>
            <w:vAlign w:val="center"/>
          </w:tcPr>
          <w:p w14:paraId="5D7246B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1.8</w:t>
            </w:r>
          </w:p>
        </w:tc>
        <w:tc>
          <w:tcPr>
            <w:tcW w:w="1043" w:type="dxa"/>
            <w:vMerge w:val="continue"/>
            <w:vAlign w:val="center"/>
          </w:tcPr>
          <w:p w14:paraId="2BC612A9">
            <w:pPr>
              <w:ind w:left="-105" w:right="-105"/>
              <w:jc w:val="center"/>
              <w:rPr>
                <w:rFonts w:ascii="Times New Roman" w:hAnsi="Times New Roman"/>
                <w:color w:val="auto"/>
                <w:sz w:val="21"/>
                <w:szCs w:val="21"/>
                <w:highlight w:val="none"/>
              </w:rPr>
            </w:pPr>
          </w:p>
        </w:tc>
        <w:tc>
          <w:tcPr>
            <w:tcW w:w="1380" w:type="dxa"/>
            <w:vAlign w:val="center"/>
          </w:tcPr>
          <w:p w14:paraId="0F54D27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2090" w:type="dxa"/>
            <w:vMerge w:val="continue"/>
            <w:vAlign w:val="center"/>
          </w:tcPr>
          <w:p w14:paraId="12C154A3">
            <w:pPr>
              <w:ind w:left="-105" w:right="-105"/>
              <w:jc w:val="center"/>
              <w:rPr>
                <w:rFonts w:ascii="Times New Roman" w:hAnsi="Times New Roman"/>
                <w:color w:val="auto"/>
                <w:sz w:val="21"/>
                <w:szCs w:val="21"/>
                <w:highlight w:val="none"/>
              </w:rPr>
            </w:pPr>
          </w:p>
        </w:tc>
      </w:tr>
    </w:tbl>
    <w:p w14:paraId="712BC89A">
      <w:pPr>
        <w:tabs>
          <w:tab w:val="left" w:pos="993"/>
          <w:tab w:val="left" w:pos="1276"/>
        </w:tabs>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厂区内挥发性有机物执行《</w:t>
      </w:r>
      <w:r>
        <w:rPr>
          <w:rFonts w:ascii="Times New Roman" w:hAnsi="Times New Roman" w:cs="Times New Roman"/>
          <w:color w:val="auto"/>
          <w:highlight w:val="none"/>
          <w:lang w:val="zh-TW"/>
        </w:rPr>
        <w:t>大气污染物综合排放标准》</w:t>
      </w:r>
      <w:r>
        <w:rPr>
          <w:rFonts w:ascii="Times New Roman" w:hAnsi="Times New Roman" w:cs="Times New Roman"/>
          <w:color w:val="auto"/>
          <w:highlight w:val="none"/>
        </w:rPr>
        <w:t>（DB32/4041-2021)</w:t>
      </w:r>
      <w:r>
        <w:rPr>
          <w:rFonts w:ascii="Times New Roman" w:hAnsi="Times New Roman" w:cs="Times New Roman"/>
          <w:color w:val="auto"/>
          <w:highlight w:val="none"/>
          <w:lang w:val="zh-TW"/>
        </w:rPr>
        <w:t>表</w:t>
      </w:r>
      <w:r>
        <w:rPr>
          <w:rFonts w:ascii="Times New Roman" w:hAnsi="Times New Roman" w:cs="Times New Roman"/>
          <w:color w:val="auto"/>
          <w:highlight w:val="none"/>
        </w:rPr>
        <w:t>2中标准限值要求</w:t>
      </w:r>
      <w:r>
        <w:rPr>
          <w:rFonts w:hint="eastAsia" w:ascii="Times New Roman" w:hAnsi="Times New Roman" w:cs="Times New Roman"/>
          <w:color w:val="auto"/>
          <w:highlight w:val="none"/>
        </w:rPr>
        <w:t>。</w:t>
      </w:r>
    </w:p>
    <w:p w14:paraId="24D528AB">
      <w:pPr>
        <w:pStyle w:val="15"/>
        <w:spacing w:line="360" w:lineRule="auto"/>
        <w:ind w:left="-105" w:right="-105" w:firstLine="482"/>
        <w:rPr>
          <w:rFonts w:eastAsia="宋体"/>
          <w:color w:val="auto"/>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2.3</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9</w:t>
      </w:r>
      <w:r>
        <w:rPr>
          <w:rFonts w:eastAsia="宋体"/>
          <w:color w:val="auto"/>
          <w:sz w:val="24"/>
          <w:szCs w:val="24"/>
          <w:highlight w:val="none"/>
        </w:rPr>
        <w:fldChar w:fldCharType="end"/>
      </w:r>
      <w:r>
        <w:rPr>
          <w:rFonts w:eastAsia="宋体"/>
          <w:color w:val="auto"/>
          <w:sz w:val="24"/>
          <w:szCs w:val="24"/>
          <w:highlight w:val="none"/>
        </w:rPr>
        <w:t>厂区内挥发性有机物无组织排放限值</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471"/>
        <w:gridCol w:w="2532"/>
        <w:gridCol w:w="1286"/>
        <w:gridCol w:w="2122"/>
      </w:tblGrid>
      <w:tr w14:paraId="55546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8" w:type="dxa"/>
            <w:tcBorders>
              <w:top w:val="single" w:color="auto" w:sz="12" w:space="0"/>
              <w:left w:val="nil"/>
              <w:bottom w:val="single" w:color="auto" w:sz="4" w:space="0"/>
              <w:right w:val="single" w:color="auto" w:sz="4" w:space="0"/>
            </w:tcBorders>
            <w:vAlign w:val="center"/>
          </w:tcPr>
          <w:p w14:paraId="4D230566">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污染物项目</w:t>
            </w:r>
          </w:p>
        </w:tc>
        <w:tc>
          <w:tcPr>
            <w:tcW w:w="1471" w:type="dxa"/>
            <w:tcBorders>
              <w:top w:val="single" w:color="auto" w:sz="12" w:space="0"/>
              <w:left w:val="single" w:color="auto" w:sz="4" w:space="0"/>
              <w:bottom w:val="single" w:color="auto" w:sz="4" w:space="0"/>
              <w:right w:val="single" w:color="auto" w:sz="4" w:space="0"/>
            </w:tcBorders>
            <w:vAlign w:val="center"/>
          </w:tcPr>
          <w:p w14:paraId="7125193E">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特别排放限值</w:t>
            </w:r>
            <w:r>
              <w:rPr>
                <w:rFonts w:ascii="Times New Roman" w:hAnsi="Times New Roman" w:cs="Times New Roman"/>
                <w:b/>
                <w:bCs/>
                <w:color w:val="auto"/>
                <w:sz w:val="21"/>
                <w:szCs w:val="21"/>
                <w:highlight w:val="none"/>
              </w:rPr>
              <w:t>（mg/m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2535" w:type="dxa"/>
            <w:tcBorders>
              <w:top w:val="single" w:color="auto" w:sz="12" w:space="0"/>
              <w:left w:val="single" w:color="auto" w:sz="4" w:space="0"/>
              <w:bottom w:val="single" w:color="auto" w:sz="4" w:space="0"/>
              <w:right w:val="single" w:color="auto" w:sz="4" w:space="0"/>
            </w:tcBorders>
            <w:vAlign w:val="center"/>
          </w:tcPr>
          <w:p w14:paraId="398B12D4">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限值含义</w:t>
            </w:r>
          </w:p>
        </w:tc>
        <w:tc>
          <w:tcPr>
            <w:tcW w:w="1284" w:type="dxa"/>
            <w:tcBorders>
              <w:top w:val="single" w:color="auto" w:sz="12" w:space="0"/>
              <w:left w:val="single" w:color="auto" w:sz="4" w:space="0"/>
              <w:bottom w:val="single" w:color="auto" w:sz="4" w:space="0"/>
              <w:right w:val="single" w:color="auto" w:sz="4" w:space="0"/>
            </w:tcBorders>
            <w:vAlign w:val="center"/>
          </w:tcPr>
          <w:p w14:paraId="3EF4CFAC">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无组织排放监控位置</w:t>
            </w:r>
          </w:p>
        </w:tc>
        <w:tc>
          <w:tcPr>
            <w:tcW w:w="2123" w:type="dxa"/>
            <w:tcBorders>
              <w:top w:val="single" w:color="auto" w:sz="12" w:space="0"/>
              <w:left w:val="single" w:color="auto" w:sz="4" w:space="0"/>
              <w:bottom w:val="single" w:color="auto" w:sz="4" w:space="0"/>
              <w:right w:val="nil"/>
            </w:tcBorders>
            <w:vAlign w:val="center"/>
          </w:tcPr>
          <w:p w14:paraId="151C5CC5">
            <w:pPr>
              <w:ind w:left="-105" w:right="-105"/>
              <w:jc w:val="center"/>
              <w:rPr>
                <w:rFonts w:ascii="Times New Roman" w:hAnsi="Times New Roman" w:cs="Times New Roman"/>
                <w:b/>
                <w:color w:val="auto"/>
                <w:sz w:val="21"/>
                <w:szCs w:val="21"/>
                <w:highlight w:val="none"/>
              </w:rPr>
            </w:pPr>
            <w:r>
              <w:rPr>
                <w:rFonts w:ascii="Times New Roman" w:hAnsi="Times New Roman" w:cs="Times New Roman"/>
                <w:b/>
                <w:bCs/>
                <w:color w:val="auto"/>
                <w:sz w:val="21"/>
                <w:szCs w:val="21"/>
                <w:highlight w:val="none"/>
              </w:rPr>
              <w:t>标准来源</w:t>
            </w:r>
          </w:p>
        </w:tc>
      </w:tr>
      <w:tr w14:paraId="69737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8" w:type="dxa"/>
            <w:tcBorders>
              <w:top w:val="single" w:color="auto" w:sz="4" w:space="0"/>
              <w:left w:val="nil"/>
              <w:bottom w:val="single" w:color="auto" w:sz="4" w:space="0"/>
              <w:right w:val="single" w:color="auto" w:sz="4" w:space="0"/>
            </w:tcBorders>
            <w:vAlign w:val="center"/>
          </w:tcPr>
          <w:p w14:paraId="1B0395A3">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NMHC</w:t>
            </w:r>
          </w:p>
        </w:tc>
        <w:tc>
          <w:tcPr>
            <w:tcW w:w="1471" w:type="dxa"/>
            <w:tcBorders>
              <w:top w:val="single" w:color="auto" w:sz="4" w:space="0"/>
              <w:left w:val="single" w:color="auto" w:sz="4" w:space="0"/>
              <w:bottom w:val="single" w:color="auto" w:sz="4" w:space="0"/>
              <w:right w:val="single" w:color="auto" w:sz="4" w:space="0"/>
            </w:tcBorders>
            <w:vAlign w:val="center"/>
          </w:tcPr>
          <w:p w14:paraId="6D4AC132">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6</w:t>
            </w:r>
          </w:p>
        </w:tc>
        <w:tc>
          <w:tcPr>
            <w:tcW w:w="2535" w:type="dxa"/>
            <w:tcBorders>
              <w:top w:val="single" w:color="auto" w:sz="4" w:space="0"/>
              <w:left w:val="single" w:color="auto" w:sz="4" w:space="0"/>
              <w:bottom w:val="single" w:color="auto" w:sz="4" w:space="0"/>
              <w:right w:val="single" w:color="auto" w:sz="4" w:space="0"/>
            </w:tcBorders>
            <w:vAlign w:val="center"/>
          </w:tcPr>
          <w:p w14:paraId="24AA44AE">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监控点处1h平均浓度值</w:t>
            </w:r>
          </w:p>
        </w:tc>
        <w:tc>
          <w:tcPr>
            <w:tcW w:w="1284" w:type="dxa"/>
            <w:vMerge w:val="restart"/>
            <w:tcBorders>
              <w:top w:val="single" w:color="auto" w:sz="4" w:space="0"/>
              <w:left w:val="single" w:color="auto" w:sz="4" w:space="0"/>
              <w:right w:val="single" w:color="auto" w:sz="4" w:space="0"/>
            </w:tcBorders>
            <w:vAlign w:val="center"/>
          </w:tcPr>
          <w:p w14:paraId="63F6B5BB">
            <w:pPr>
              <w:ind w:left="-105" w:right="-105"/>
              <w:jc w:val="center"/>
              <w:rPr>
                <w:rFonts w:ascii="Times New Roman" w:hAnsi="Times New Roman" w:cs="Times New Roman"/>
                <w:b/>
                <w:color w:val="auto"/>
                <w:sz w:val="21"/>
                <w:szCs w:val="21"/>
                <w:highlight w:val="none"/>
              </w:rPr>
            </w:pPr>
            <w:r>
              <w:rPr>
                <w:rFonts w:ascii="Times New Roman" w:hAnsi="Times New Roman" w:cs="Times New Roman"/>
                <w:bCs/>
                <w:color w:val="auto"/>
                <w:sz w:val="21"/>
                <w:szCs w:val="21"/>
                <w:highlight w:val="none"/>
              </w:rPr>
              <w:t>在厂房外设置监控点</w:t>
            </w:r>
          </w:p>
        </w:tc>
        <w:tc>
          <w:tcPr>
            <w:tcW w:w="2123" w:type="dxa"/>
            <w:vMerge w:val="restart"/>
            <w:tcBorders>
              <w:top w:val="single" w:color="auto" w:sz="4" w:space="0"/>
              <w:left w:val="single" w:color="auto" w:sz="4" w:space="0"/>
              <w:bottom w:val="single" w:color="auto" w:sz="12" w:space="0"/>
              <w:right w:val="nil"/>
            </w:tcBorders>
            <w:vAlign w:val="center"/>
          </w:tcPr>
          <w:p w14:paraId="20751E0B">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《大气污染物综合排放标准》（DB32/4041-2021)</w:t>
            </w:r>
          </w:p>
        </w:tc>
      </w:tr>
      <w:tr w14:paraId="07C2C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8" w:type="dxa"/>
            <w:tcBorders>
              <w:top w:val="single" w:color="auto" w:sz="4" w:space="0"/>
              <w:left w:val="nil"/>
              <w:bottom w:val="single" w:color="auto" w:sz="12" w:space="0"/>
              <w:right w:val="single" w:color="auto" w:sz="4" w:space="0"/>
            </w:tcBorders>
            <w:vAlign w:val="center"/>
          </w:tcPr>
          <w:p w14:paraId="71DE8116">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NMHC</w:t>
            </w:r>
          </w:p>
        </w:tc>
        <w:tc>
          <w:tcPr>
            <w:tcW w:w="1471" w:type="dxa"/>
            <w:tcBorders>
              <w:top w:val="single" w:color="auto" w:sz="4" w:space="0"/>
              <w:left w:val="single" w:color="auto" w:sz="4" w:space="0"/>
              <w:bottom w:val="single" w:color="auto" w:sz="12" w:space="0"/>
              <w:right w:val="single" w:color="auto" w:sz="4" w:space="0"/>
            </w:tcBorders>
            <w:vAlign w:val="center"/>
          </w:tcPr>
          <w:p w14:paraId="74DA7A47">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20</w:t>
            </w:r>
          </w:p>
        </w:tc>
        <w:tc>
          <w:tcPr>
            <w:tcW w:w="2535" w:type="dxa"/>
            <w:tcBorders>
              <w:top w:val="single" w:color="auto" w:sz="4" w:space="0"/>
              <w:left w:val="single" w:color="auto" w:sz="4" w:space="0"/>
              <w:bottom w:val="single" w:color="auto" w:sz="12" w:space="0"/>
              <w:right w:val="single" w:color="auto" w:sz="4" w:space="0"/>
            </w:tcBorders>
            <w:vAlign w:val="center"/>
          </w:tcPr>
          <w:p w14:paraId="1DE7D30F">
            <w:pPr>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监控点处任意一次浓度值</w:t>
            </w:r>
          </w:p>
        </w:tc>
        <w:tc>
          <w:tcPr>
            <w:tcW w:w="1284" w:type="dxa"/>
            <w:vMerge w:val="continue"/>
            <w:tcBorders>
              <w:top w:val="single" w:color="auto" w:sz="4" w:space="0"/>
              <w:left w:val="single" w:color="auto" w:sz="4" w:space="0"/>
              <w:bottom w:val="single" w:color="auto" w:sz="12" w:space="0"/>
              <w:right w:val="single" w:color="auto" w:sz="4" w:space="0"/>
            </w:tcBorders>
            <w:vAlign w:val="center"/>
          </w:tcPr>
          <w:p w14:paraId="2FCF3E43">
            <w:pPr>
              <w:ind w:left="-105" w:right="-105"/>
              <w:jc w:val="center"/>
              <w:rPr>
                <w:rFonts w:ascii="Times New Roman" w:hAnsi="Times New Roman" w:cs="Times New Roman"/>
                <w:b/>
                <w:color w:val="auto"/>
                <w:sz w:val="21"/>
                <w:szCs w:val="21"/>
                <w:highlight w:val="none"/>
              </w:rPr>
            </w:pPr>
          </w:p>
        </w:tc>
        <w:tc>
          <w:tcPr>
            <w:tcW w:w="2123" w:type="dxa"/>
            <w:vMerge w:val="continue"/>
            <w:tcBorders>
              <w:top w:val="single" w:color="auto" w:sz="4" w:space="0"/>
              <w:left w:val="single" w:color="auto" w:sz="4" w:space="0"/>
              <w:bottom w:val="single" w:color="auto" w:sz="12" w:space="0"/>
              <w:right w:val="nil"/>
            </w:tcBorders>
            <w:vAlign w:val="center"/>
          </w:tcPr>
          <w:p w14:paraId="29DD3443">
            <w:pPr>
              <w:ind w:left="-105" w:right="-105"/>
              <w:jc w:val="center"/>
              <w:rPr>
                <w:rFonts w:ascii="Times New Roman" w:hAnsi="Times New Roman" w:cs="Times New Roman"/>
                <w:bCs/>
                <w:color w:val="auto"/>
                <w:sz w:val="21"/>
                <w:szCs w:val="21"/>
                <w:highlight w:val="none"/>
              </w:rPr>
            </w:pPr>
          </w:p>
        </w:tc>
      </w:tr>
    </w:tbl>
    <w:p w14:paraId="06B9223B">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（2）废水</w:t>
      </w:r>
    </w:p>
    <w:p w14:paraId="45C1A452">
      <w:pPr>
        <w:tabs>
          <w:tab w:val="left" w:pos="993"/>
          <w:tab w:val="left" w:pos="1276"/>
        </w:tabs>
        <w:spacing w:line="360" w:lineRule="auto"/>
        <w:ind w:left="-105" w:right="-105" w:firstLine="480"/>
        <w:jc w:val="both"/>
        <w:rPr>
          <w:rFonts w:ascii="Times New Roman" w:hAnsi="Times New Roman"/>
          <w:color w:val="auto"/>
          <w:highlight w:val="none"/>
        </w:rPr>
      </w:pPr>
      <w:r>
        <w:rPr>
          <w:rFonts w:ascii="Times New Roman" w:hAnsi="Times New Roman"/>
          <w:color w:val="auto"/>
          <w:highlight w:val="none"/>
        </w:rPr>
        <w:t>本项目</w:t>
      </w:r>
      <w:r>
        <w:rPr>
          <w:rFonts w:hint="eastAsia" w:ascii="Times New Roman" w:hAnsi="Times New Roman"/>
          <w:color w:val="auto"/>
          <w:highlight w:val="none"/>
        </w:rPr>
        <w:t>不涉及</w:t>
      </w:r>
      <w:r>
        <w:rPr>
          <w:rFonts w:ascii="Times New Roman" w:hAnsi="Times New Roman"/>
          <w:color w:val="auto"/>
          <w:highlight w:val="none"/>
        </w:rPr>
        <w:t>生活污水</w:t>
      </w:r>
      <w:r>
        <w:rPr>
          <w:rFonts w:hint="eastAsia" w:ascii="Times New Roman" w:hAnsi="Times New Roman"/>
          <w:color w:val="auto"/>
          <w:highlight w:val="none"/>
        </w:rPr>
        <w:t>变动，全厂仅有</w:t>
      </w:r>
      <w:r>
        <w:rPr>
          <w:rFonts w:ascii="Times New Roman" w:hAnsi="Times New Roman" w:cs="Times New Roman"/>
          <w:color w:val="auto"/>
          <w:highlight w:val="none"/>
        </w:rPr>
        <w:t>生活污水经化粪池处理</w:t>
      </w:r>
      <w:r>
        <w:rPr>
          <w:rFonts w:hint="eastAsia" w:ascii="Times New Roman" w:hAnsi="Times New Roman" w:cs="Times New Roman"/>
          <w:color w:val="auto"/>
          <w:highlight w:val="none"/>
        </w:rPr>
        <w:t>后与15分钟初期雨水一并通过污水管网接入无锡先进化药化工有限公司污水处理厂处理后接管排入无锡市锡山云林污水处理有限公司处理。</w:t>
      </w:r>
      <w:r>
        <w:rPr>
          <w:rFonts w:hint="eastAsia" w:ascii="Times New Roman" w:hAnsi="Times New Roman" w:cs="Times New Roman"/>
          <w:color w:val="auto"/>
          <w:highlight w:val="none"/>
        </w:rPr>
        <w:t>由于本项目属于</w:t>
      </w:r>
      <w:r>
        <w:rPr>
          <w:rFonts w:hint="eastAsia" w:ascii="Times New Roman" w:hAnsi="Times New Roman"/>
          <w:color w:val="auto"/>
          <w:szCs w:val="18"/>
          <w:highlight w:val="none"/>
        </w:rPr>
        <w:t>电子专用材料制造</w:t>
      </w:r>
      <w:r>
        <w:rPr>
          <w:rFonts w:hint="eastAsia" w:ascii="Times New Roman" w:hAnsi="Times New Roman"/>
          <w:color w:val="auto"/>
          <w:szCs w:val="18"/>
          <w:highlight w:val="none"/>
        </w:rPr>
        <w:t>，</w:t>
      </w:r>
      <w:r>
        <w:rPr>
          <w:rFonts w:hint="eastAsia" w:ascii="Times New Roman" w:hAnsi="Times New Roman"/>
          <w:color w:val="auto"/>
          <w:szCs w:val="18"/>
          <w:highlight w:val="none"/>
        </w:rPr>
        <w:t>现有项目属于合成树脂行业，故全厂废水</w:t>
      </w:r>
      <w:r>
        <w:rPr>
          <w:rFonts w:hint="eastAsia" w:ascii="Times New Roman" w:hAnsi="Times New Roman" w:cs="Times New Roman"/>
          <w:color w:val="auto"/>
          <w:highlight w:val="none"/>
        </w:rPr>
        <w:t>污染物从严</w:t>
      </w:r>
      <w:r>
        <w:rPr>
          <w:rFonts w:hint="eastAsia" w:ascii="Times New Roman" w:hAnsi="Times New Roman"/>
          <w:color w:val="auto"/>
          <w:highlight w:val="none"/>
        </w:rPr>
        <w:t>执行《合成树脂工业污染物排放标准》（GB31572-2015）表2中标准。</w:t>
      </w:r>
    </w:p>
    <w:p w14:paraId="4A30D21E">
      <w:pPr>
        <w:tabs>
          <w:tab w:val="left" w:pos="993"/>
          <w:tab w:val="left" w:pos="1276"/>
        </w:tabs>
        <w:spacing w:line="360" w:lineRule="auto"/>
        <w:ind w:left="-105" w:right="-105" w:firstLine="480"/>
        <w:jc w:val="both"/>
        <w:rPr>
          <w:rFonts w:ascii="Times New Roman" w:hAnsi="Times New Roman"/>
          <w:color w:val="auto"/>
          <w:highlight w:val="none"/>
        </w:rPr>
      </w:pPr>
      <w:r>
        <w:rPr>
          <w:rFonts w:hint="eastAsia" w:ascii="Times New Roman" w:hAnsi="Times New Roman" w:cs="Times New Roman"/>
          <w:color w:val="auto"/>
          <w:highlight w:val="none"/>
        </w:rPr>
        <w:t>无锡市锡山云林污水处理有限公司</w:t>
      </w:r>
      <w:r>
        <w:rPr>
          <w:rFonts w:ascii="Times New Roman" w:hAnsi="Times New Roman" w:cs="Times New Roman"/>
          <w:color w:val="auto"/>
          <w:highlight w:val="none"/>
        </w:rPr>
        <w:t>排放尾水中COD、SS、NH</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-N、TN、TP排放标准执行《</w:t>
      </w:r>
      <w:r>
        <w:rPr>
          <w:rFonts w:hint="eastAsia" w:ascii="Times New Roman" w:hAnsi="Times New Roman" w:cs="Times New Roman"/>
          <w:color w:val="auto"/>
          <w:highlight w:val="none"/>
        </w:rPr>
        <w:t>城镇污水处理厂污 染物排放标准</w:t>
      </w:r>
      <w:r>
        <w:rPr>
          <w:rFonts w:ascii="Times New Roman" w:hAnsi="Times New Roman" w:cs="Times New Roman"/>
          <w:color w:val="auto"/>
          <w:highlight w:val="none"/>
        </w:rPr>
        <w:t>》（DB32/4440-2022）表1</w:t>
      </w:r>
      <w:r>
        <w:rPr>
          <w:rFonts w:hint="eastAsia" w:ascii="Times New Roman" w:hAnsi="Times New Roman" w:cs="Times New Roman"/>
          <w:color w:val="auto"/>
          <w:highlight w:val="none"/>
        </w:rPr>
        <w:t>中C级</w:t>
      </w:r>
      <w:r>
        <w:rPr>
          <w:rFonts w:ascii="Times New Roman" w:hAnsi="Times New Roman" w:cs="Times New Roman"/>
          <w:color w:val="auto"/>
          <w:highlight w:val="none"/>
        </w:rPr>
        <w:t>标准</w:t>
      </w:r>
      <w:r>
        <w:rPr>
          <w:rFonts w:ascii="Times New Roman" w:hAnsi="Times New Roman"/>
          <w:color w:val="auto"/>
          <w:highlight w:val="none"/>
        </w:rPr>
        <w:t>。详见下</w:t>
      </w:r>
      <w:r>
        <w:rPr>
          <w:rFonts w:ascii="Times New Roman" w:hAnsi="Times New Roman"/>
          <w:color w:val="auto"/>
          <w:highlight w:val="none"/>
        </w:rPr>
        <w:fldChar w:fldCharType="begin"/>
      </w:r>
      <w:r>
        <w:rPr>
          <w:rFonts w:ascii="Times New Roman" w:hAnsi="Times New Roman"/>
          <w:color w:val="auto"/>
          <w:highlight w:val="none"/>
        </w:rPr>
        <w:instrText xml:space="preserve"> REF _Ref17795758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w:t>
      </w:r>
      <w:r>
        <w:rPr>
          <w:rFonts w:ascii="Times New Roman" w:hAnsi="Times New Roman"/>
          <w:color w:val="auto"/>
          <w:highlight w:val="none"/>
        </w:rPr>
        <w:fldChar w:fldCharType="end"/>
      </w:r>
      <w:r>
        <w:rPr>
          <w:rFonts w:ascii="Times New Roman" w:hAnsi="Times New Roman"/>
          <w:color w:val="auto"/>
          <w:highlight w:val="none"/>
        </w:rPr>
        <w:t>。</w:t>
      </w:r>
    </w:p>
    <w:p w14:paraId="61BD1CDE">
      <w:pPr>
        <w:pStyle w:val="15"/>
        <w:spacing w:line="360" w:lineRule="auto"/>
        <w:ind w:left="-105" w:right="-105" w:firstLine="482"/>
        <w:rPr>
          <w:rFonts w:eastAsia="宋体" w:cs="Times New Roman"/>
          <w:color w:val="auto"/>
          <w:sz w:val="24"/>
          <w:szCs w:val="24"/>
          <w:highlight w:val="none"/>
        </w:rPr>
      </w:pPr>
      <w:bookmarkStart w:id="133" w:name="_Ref17795758"/>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10</w:t>
      </w:r>
      <w:r>
        <w:rPr>
          <w:rFonts w:eastAsia="宋体" w:cs="Times New Roman"/>
          <w:color w:val="auto"/>
          <w:sz w:val="24"/>
          <w:szCs w:val="18"/>
          <w:highlight w:val="none"/>
        </w:rPr>
        <w:fldChar w:fldCharType="end"/>
      </w:r>
      <w:bookmarkEnd w:id="133"/>
      <w:r>
        <w:rPr>
          <w:rFonts w:eastAsia="宋体" w:cs="Times New Roman"/>
          <w:color w:val="auto"/>
          <w:sz w:val="24"/>
          <w:szCs w:val="24"/>
          <w:highlight w:val="none"/>
        </w:rPr>
        <w:t>水污染物接管及排放标准</w:t>
      </w:r>
      <w:r>
        <w:rPr>
          <w:rFonts w:eastAsia="宋体" w:cs="Times New Roman"/>
          <w:color w:val="auto"/>
          <w:sz w:val="24"/>
          <w:szCs w:val="24"/>
          <w:highlight w:val="none"/>
        </w:rPr>
        <w:tab/>
      </w:r>
      <w:r>
        <w:rPr>
          <w:rFonts w:eastAsia="宋体" w:cs="Times New Roman"/>
          <w:color w:val="auto"/>
          <w:sz w:val="24"/>
          <w:szCs w:val="24"/>
          <w:highlight w:val="none"/>
        </w:rPr>
        <w:t>单位：mg/L</w:t>
      </w:r>
    </w:p>
    <w:tbl>
      <w:tblPr>
        <w:tblStyle w:val="45"/>
        <w:tblW w:w="907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46"/>
        <w:gridCol w:w="888"/>
        <w:gridCol w:w="1375"/>
        <w:gridCol w:w="1603"/>
        <w:gridCol w:w="1483"/>
        <w:gridCol w:w="1778"/>
      </w:tblGrid>
      <w:tr w14:paraId="66B4C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1946" w:type="dxa"/>
            <w:tcBorders>
              <w:tl2br w:val="nil"/>
              <w:tr2bl w:val="nil"/>
            </w:tcBorders>
            <w:vAlign w:val="center"/>
          </w:tcPr>
          <w:p w14:paraId="543D94B0">
            <w:pPr>
              <w:pStyle w:val="98"/>
              <w:ind w:left="-105" w:right="-105"/>
              <w:rPr>
                <w:rFonts w:eastAsia="宋体"/>
                <w:b/>
                <w:color w:val="auto"/>
                <w:sz w:val="21"/>
                <w:szCs w:val="21"/>
                <w:highlight w:val="none"/>
              </w:rPr>
            </w:pPr>
            <w:r>
              <w:rPr>
                <w:rFonts w:eastAsia="宋体"/>
                <w:b/>
                <w:color w:val="auto"/>
                <w:sz w:val="21"/>
                <w:szCs w:val="21"/>
                <w:highlight w:val="none"/>
              </w:rPr>
              <w:t>污染物</w:t>
            </w:r>
          </w:p>
        </w:tc>
        <w:tc>
          <w:tcPr>
            <w:tcW w:w="888" w:type="dxa"/>
            <w:tcBorders>
              <w:tl2br w:val="nil"/>
              <w:tr2bl w:val="nil"/>
            </w:tcBorders>
            <w:vAlign w:val="center"/>
          </w:tcPr>
          <w:p w14:paraId="77731E4D">
            <w:pPr>
              <w:pStyle w:val="98"/>
              <w:ind w:left="-105" w:right="-105"/>
              <w:rPr>
                <w:rFonts w:eastAsia="宋体"/>
                <w:b/>
                <w:color w:val="auto"/>
                <w:sz w:val="21"/>
                <w:szCs w:val="21"/>
                <w:highlight w:val="none"/>
              </w:rPr>
            </w:pPr>
            <w:r>
              <w:rPr>
                <w:rFonts w:eastAsia="宋体"/>
                <w:b/>
                <w:color w:val="auto"/>
                <w:sz w:val="21"/>
                <w:szCs w:val="21"/>
                <w:highlight w:val="none"/>
              </w:rPr>
              <w:t>单位</w:t>
            </w:r>
          </w:p>
        </w:tc>
        <w:tc>
          <w:tcPr>
            <w:tcW w:w="1375" w:type="dxa"/>
            <w:tcBorders>
              <w:tl2br w:val="nil"/>
              <w:tr2bl w:val="nil"/>
            </w:tcBorders>
            <w:vAlign w:val="center"/>
          </w:tcPr>
          <w:p w14:paraId="0874DCBC">
            <w:pPr>
              <w:pStyle w:val="98"/>
              <w:ind w:left="-105" w:right="-105"/>
              <w:rPr>
                <w:rFonts w:eastAsia="宋体"/>
                <w:b/>
                <w:color w:val="auto"/>
                <w:sz w:val="21"/>
                <w:szCs w:val="21"/>
                <w:highlight w:val="none"/>
              </w:rPr>
            </w:pPr>
            <w:r>
              <w:rPr>
                <w:rFonts w:eastAsia="宋体"/>
                <w:b/>
                <w:color w:val="auto"/>
                <w:sz w:val="21"/>
                <w:szCs w:val="21"/>
                <w:highlight w:val="none"/>
              </w:rPr>
              <w:t>污水处理厂接管浓度</w:t>
            </w:r>
          </w:p>
        </w:tc>
        <w:tc>
          <w:tcPr>
            <w:tcW w:w="1603" w:type="dxa"/>
            <w:tcBorders>
              <w:tl2br w:val="nil"/>
              <w:tr2bl w:val="nil"/>
            </w:tcBorders>
            <w:vAlign w:val="center"/>
          </w:tcPr>
          <w:p w14:paraId="43DACF8A">
            <w:pPr>
              <w:pStyle w:val="98"/>
              <w:ind w:left="-105" w:right="-105"/>
              <w:rPr>
                <w:rFonts w:eastAsia="宋体"/>
                <w:b/>
                <w:color w:val="auto"/>
                <w:sz w:val="21"/>
                <w:szCs w:val="21"/>
                <w:highlight w:val="none"/>
              </w:rPr>
            </w:pPr>
            <w:r>
              <w:rPr>
                <w:rFonts w:eastAsia="宋体"/>
                <w:b/>
                <w:color w:val="auto"/>
                <w:sz w:val="21"/>
                <w:szCs w:val="21"/>
                <w:highlight w:val="none"/>
              </w:rPr>
              <w:t>采用标准</w:t>
            </w:r>
          </w:p>
        </w:tc>
        <w:tc>
          <w:tcPr>
            <w:tcW w:w="1483" w:type="dxa"/>
            <w:tcBorders>
              <w:tl2br w:val="nil"/>
              <w:tr2bl w:val="nil"/>
            </w:tcBorders>
            <w:vAlign w:val="center"/>
          </w:tcPr>
          <w:p w14:paraId="313B635C">
            <w:pPr>
              <w:pStyle w:val="98"/>
              <w:ind w:left="-105" w:right="-105"/>
              <w:rPr>
                <w:rFonts w:eastAsia="宋体"/>
                <w:b/>
                <w:color w:val="auto"/>
                <w:sz w:val="21"/>
                <w:szCs w:val="21"/>
                <w:highlight w:val="none"/>
              </w:rPr>
            </w:pPr>
            <w:r>
              <w:rPr>
                <w:rFonts w:eastAsia="宋体"/>
                <w:b/>
                <w:color w:val="auto"/>
                <w:sz w:val="21"/>
                <w:szCs w:val="21"/>
                <w:highlight w:val="none"/>
              </w:rPr>
              <w:t>污水处理厂尾水排放浓度</w:t>
            </w:r>
          </w:p>
        </w:tc>
        <w:tc>
          <w:tcPr>
            <w:tcW w:w="1778" w:type="dxa"/>
            <w:tcBorders>
              <w:tl2br w:val="nil"/>
              <w:tr2bl w:val="nil"/>
            </w:tcBorders>
            <w:vAlign w:val="center"/>
          </w:tcPr>
          <w:p w14:paraId="78E1AD6F">
            <w:pPr>
              <w:pStyle w:val="98"/>
              <w:ind w:left="-105" w:right="-105"/>
              <w:rPr>
                <w:rFonts w:eastAsia="宋体"/>
                <w:b/>
                <w:color w:val="auto"/>
                <w:sz w:val="21"/>
                <w:szCs w:val="21"/>
                <w:highlight w:val="none"/>
              </w:rPr>
            </w:pPr>
            <w:r>
              <w:rPr>
                <w:rFonts w:eastAsia="宋体"/>
                <w:b/>
                <w:color w:val="auto"/>
                <w:sz w:val="21"/>
                <w:szCs w:val="21"/>
                <w:highlight w:val="none"/>
              </w:rPr>
              <w:t>采用标准</w:t>
            </w:r>
          </w:p>
        </w:tc>
      </w:tr>
      <w:tr w14:paraId="27BC6F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946" w:type="dxa"/>
            <w:tcBorders>
              <w:tl2br w:val="nil"/>
              <w:tr2bl w:val="nil"/>
            </w:tcBorders>
            <w:vAlign w:val="center"/>
          </w:tcPr>
          <w:p w14:paraId="09E29D62">
            <w:pPr>
              <w:pStyle w:val="98"/>
              <w:ind w:left="-105" w:right="-105"/>
              <w:rPr>
                <w:rFonts w:eastAsia="宋体"/>
                <w:color w:val="auto"/>
                <w:sz w:val="21"/>
                <w:szCs w:val="21"/>
                <w:highlight w:val="none"/>
              </w:rPr>
            </w:pPr>
            <w:r>
              <w:rPr>
                <w:rFonts w:eastAsia="宋体"/>
                <w:color w:val="auto"/>
                <w:sz w:val="21"/>
                <w:szCs w:val="21"/>
                <w:highlight w:val="none"/>
              </w:rPr>
              <w:t>pH</w:t>
            </w:r>
          </w:p>
        </w:tc>
        <w:tc>
          <w:tcPr>
            <w:tcW w:w="888" w:type="dxa"/>
            <w:tcBorders>
              <w:tl2br w:val="nil"/>
              <w:tr2bl w:val="nil"/>
            </w:tcBorders>
            <w:vAlign w:val="center"/>
          </w:tcPr>
          <w:p w14:paraId="39EA4DA8">
            <w:pPr>
              <w:pStyle w:val="98"/>
              <w:ind w:left="-105" w:right="-105"/>
              <w:rPr>
                <w:rFonts w:eastAsia="宋体"/>
                <w:color w:val="auto"/>
                <w:sz w:val="21"/>
                <w:szCs w:val="21"/>
                <w:highlight w:val="none"/>
              </w:rPr>
            </w:pPr>
            <w:r>
              <w:rPr>
                <w:rFonts w:eastAsia="宋体"/>
                <w:color w:val="auto"/>
                <w:sz w:val="21"/>
                <w:szCs w:val="21"/>
                <w:highlight w:val="none"/>
              </w:rPr>
              <w:t>—</w:t>
            </w:r>
          </w:p>
        </w:tc>
        <w:tc>
          <w:tcPr>
            <w:tcW w:w="1375" w:type="dxa"/>
            <w:tcBorders>
              <w:tl2br w:val="nil"/>
              <w:tr2bl w:val="nil"/>
            </w:tcBorders>
            <w:vAlign w:val="center"/>
          </w:tcPr>
          <w:p w14:paraId="79E7D981">
            <w:pPr>
              <w:pStyle w:val="98"/>
              <w:ind w:left="-105" w:right="-105"/>
              <w:rPr>
                <w:rFonts w:eastAsia="宋体"/>
                <w:color w:val="auto"/>
                <w:sz w:val="21"/>
                <w:szCs w:val="21"/>
                <w:highlight w:val="none"/>
              </w:rPr>
            </w:pPr>
            <w:r>
              <w:rPr>
                <w:rFonts w:eastAsia="宋体"/>
                <w:color w:val="auto"/>
                <w:sz w:val="21"/>
                <w:szCs w:val="21"/>
                <w:highlight w:val="none"/>
              </w:rPr>
              <w:t>6～9</w:t>
            </w:r>
          </w:p>
        </w:tc>
        <w:tc>
          <w:tcPr>
            <w:tcW w:w="1603" w:type="dxa"/>
            <w:vMerge w:val="restart"/>
            <w:tcBorders>
              <w:tl2br w:val="nil"/>
              <w:tr2bl w:val="nil"/>
            </w:tcBorders>
            <w:vAlign w:val="center"/>
          </w:tcPr>
          <w:p w14:paraId="74AAE54B">
            <w:pPr>
              <w:pStyle w:val="98"/>
              <w:ind w:left="-105" w:right="-105"/>
              <w:rPr>
                <w:rFonts w:eastAsia="宋体"/>
                <w:color w:val="auto"/>
                <w:sz w:val="21"/>
                <w:szCs w:val="21"/>
                <w:highlight w:val="none"/>
              </w:rPr>
            </w:pPr>
            <w:r>
              <w:rPr>
                <w:rFonts w:hint="eastAsia" w:eastAsia="宋体"/>
                <w:color w:val="auto"/>
                <w:sz w:val="21"/>
                <w:szCs w:val="21"/>
                <w:highlight w:val="none"/>
              </w:rPr>
              <w:t>GB31572-2015表2中标准</w:t>
            </w:r>
          </w:p>
        </w:tc>
        <w:tc>
          <w:tcPr>
            <w:tcW w:w="1483" w:type="dxa"/>
            <w:tcBorders>
              <w:tl2br w:val="nil"/>
              <w:tr2bl w:val="nil"/>
            </w:tcBorders>
            <w:vAlign w:val="center"/>
          </w:tcPr>
          <w:p w14:paraId="51586840">
            <w:pPr>
              <w:pStyle w:val="98"/>
              <w:ind w:left="-105" w:right="-105"/>
              <w:rPr>
                <w:rFonts w:eastAsia="宋体"/>
                <w:color w:val="auto"/>
                <w:sz w:val="21"/>
                <w:szCs w:val="21"/>
                <w:highlight w:val="none"/>
              </w:rPr>
            </w:pPr>
            <w:r>
              <w:rPr>
                <w:rFonts w:eastAsia="宋体"/>
                <w:color w:val="auto"/>
                <w:sz w:val="21"/>
                <w:szCs w:val="21"/>
                <w:highlight w:val="none"/>
              </w:rPr>
              <w:t>6～9</w:t>
            </w:r>
          </w:p>
        </w:tc>
        <w:tc>
          <w:tcPr>
            <w:tcW w:w="1778" w:type="dxa"/>
            <w:vMerge w:val="restart"/>
            <w:tcBorders>
              <w:tl2br w:val="nil"/>
              <w:tr2bl w:val="nil"/>
            </w:tcBorders>
            <w:vAlign w:val="center"/>
          </w:tcPr>
          <w:p w14:paraId="549F9000">
            <w:pPr>
              <w:pStyle w:val="98"/>
              <w:ind w:left="-105" w:right="-105"/>
              <w:rPr>
                <w:rFonts w:eastAsia="宋体"/>
                <w:color w:val="auto"/>
                <w:sz w:val="21"/>
                <w:szCs w:val="21"/>
                <w:highlight w:val="none"/>
                <w:lang w:val="en-US"/>
              </w:rPr>
            </w:pPr>
            <w:r>
              <w:rPr>
                <w:rFonts w:hint="eastAsia" w:eastAsia="宋体"/>
                <w:color w:val="auto"/>
                <w:sz w:val="21"/>
                <w:szCs w:val="21"/>
                <w:highlight w:val="none"/>
              </w:rPr>
              <w:t>DB32/4440-2022表1中C级标准</w:t>
            </w:r>
            <w:r>
              <w:rPr>
                <w:rFonts w:hint="eastAsia" w:eastAsia="宋体"/>
                <w:color w:val="auto"/>
                <w:sz w:val="21"/>
                <w:szCs w:val="21"/>
                <w:highlight w:val="none"/>
                <w:lang w:val="en-US"/>
              </w:rPr>
              <w:t>*</w:t>
            </w:r>
          </w:p>
        </w:tc>
      </w:tr>
      <w:tr w14:paraId="228E8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946" w:type="dxa"/>
            <w:tcBorders>
              <w:tl2br w:val="nil"/>
              <w:tr2bl w:val="nil"/>
            </w:tcBorders>
            <w:vAlign w:val="center"/>
          </w:tcPr>
          <w:p w14:paraId="30109A5B">
            <w:pPr>
              <w:pStyle w:val="98"/>
              <w:ind w:left="-105" w:right="-105"/>
              <w:rPr>
                <w:rFonts w:eastAsia="宋体"/>
                <w:color w:val="auto"/>
                <w:sz w:val="21"/>
                <w:szCs w:val="21"/>
                <w:highlight w:val="none"/>
              </w:rPr>
            </w:pPr>
            <w:r>
              <w:rPr>
                <w:rFonts w:eastAsia="宋体"/>
                <w:color w:val="auto"/>
                <w:sz w:val="21"/>
                <w:szCs w:val="21"/>
                <w:highlight w:val="none"/>
              </w:rPr>
              <w:t>SS</w:t>
            </w:r>
          </w:p>
        </w:tc>
        <w:tc>
          <w:tcPr>
            <w:tcW w:w="888" w:type="dxa"/>
            <w:vMerge w:val="restart"/>
            <w:tcBorders>
              <w:tl2br w:val="nil"/>
              <w:tr2bl w:val="nil"/>
            </w:tcBorders>
            <w:vAlign w:val="center"/>
          </w:tcPr>
          <w:p w14:paraId="6F0076C7">
            <w:pPr>
              <w:pStyle w:val="98"/>
              <w:ind w:left="-105" w:right="-105"/>
              <w:rPr>
                <w:rFonts w:eastAsia="宋体"/>
                <w:color w:val="auto"/>
                <w:sz w:val="21"/>
                <w:szCs w:val="21"/>
                <w:highlight w:val="none"/>
              </w:rPr>
            </w:pPr>
            <w:r>
              <w:rPr>
                <w:rFonts w:eastAsia="宋体"/>
                <w:color w:val="auto"/>
                <w:sz w:val="21"/>
                <w:szCs w:val="21"/>
                <w:highlight w:val="none"/>
              </w:rPr>
              <w:t>mg/L</w:t>
            </w:r>
          </w:p>
        </w:tc>
        <w:tc>
          <w:tcPr>
            <w:tcW w:w="1375" w:type="dxa"/>
            <w:tcBorders>
              <w:tl2br w:val="nil"/>
              <w:tr2bl w:val="nil"/>
            </w:tcBorders>
            <w:vAlign w:val="center"/>
          </w:tcPr>
          <w:p w14:paraId="5701C0FD">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20</w:t>
            </w:r>
          </w:p>
        </w:tc>
        <w:tc>
          <w:tcPr>
            <w:tcW w:w="1603" w:type="dxa"/>
            <w:vMerge w:val="continue"/>
            <w:tcBorders>
              <w:tl2br w:val="nil"/>
              <w:tr2bl w:val="nil"/>
            </w:tcBorders>
            <w:vAlign w:val="center"/>
          </w:tcPr>
          <w:p w14:paraId="75EE5602">
            <w:pPr>
              <w:ind w:left="-105" w:right="-105"/>
              <w:jc w:val="center"/>
              <w:rPr>
                <w:rFonts w:ascii="Times New Roman" w:hAnsi="Times New Roman"/>
                <w:color w:val="auto"/>
                <w:sz w:val="21"/>
                <w:szCs w:val="21"/>
                <w:highlight w:val="none"/>
              </w:rPr>
            </w:pPr>
          </w:p>
        </w:tc>
        <w:tc>
          <w:tcPr>
            <w:tcW w:w="1483" w:type="dxa"/>
            <w:tcBorders>
              <w:tl2br w:val="nil"/>
              <w:tr2bl w:val="nil"/>
            </w:tcBorders>
            <w:vAlign w:val="center"/>
          </w:tcPr>
          <w:p w14:paraId="23362FFB">
            <w:pPr>
              <w:pStyle w:val="98"/>
              <w:ind w:left="-105" w:right="-105"/>
              <w:rPr>
                <w:rFonts w:eastAsia="宋体"/>
                <w:color w:val="auto"/>
                <w:sz w:val="21"/>
                <w:szCs w:val="21"/>
                <w:highlight w:val="none"/>
              </w:rPr>
            </w:pPr>
            <w:r>
              <w:rPr>
                <w:rFonts w:eastAsia="宋体"/>
                <w:color w:val="auto"/>
                <w:sz w:val="21"/>
                <w:szCs w:val="21"/>
                <w:highlight w:val="none"/>
              </w:rPr>
              <w:t>10</w:t>
            </w:r>
          </w:p>
        </w:tc>
        <w:tc>
          <w:tcPr>
            <w:tcW w:w="1778" w:type="dxa"/>
            <w:vMerge w:val="continue"/>
            <w:tcBorders>
              <w:tl2br w:val="nil"/>
              <w:tr2bl w:val="nil"/>
            </w:tcBorders>
            <w:vAlign w:val="center"/>
          </w:tcPr>
          <w:p w14:paraId="528B5FDB">
            <w:pPr>
              <w:ind w:left="-105" w:right="-105"/>
              <w:jc w:val="center"/>
              <w:rPr>
                <w:rFonts w:ascii="Times New Roman" w:hAnsi="Times New Roman"/>
                <w:color w:val="auto"/>
                <w:sz w:val="21"/>
                <w:szCs w:val="21"/>
                <w:highlight w:val="none"/>
              </w:rPr>
            </w:pPr>
          </w:p>
        </w:tc>
      </w:tr>
      <w:tr w14:paraId="240DCC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946" w:type="dxa"/>
            <w:tcBorders>
              <w:tl2br w:val="nil"/>
              <w:tr2bl w:val="nil"/>
            </w:tcBorders>
            <w:vAlign w:val="center"/>
          </w:tcPr>
          <w:p w14:paraId="5CD56E8B">
            <w:pPr>
              <w:pStyle w:val="98"/>
              <w:ind w:left="-105" w:right="-105"/>
              <w:rPr>
                <w:rFonts w:eastAsia="宋体"/>
                <w:color w:val="auto"/>
                <w:sz w:val="21"/>
                <w:szCs w:val="21"/>
                <w:highlight w:val="none"/>
              </w:rPr>
            </w:pPr>
            <w:r>
              <w:rPr>
                <w:rFonts w:eastAsia="宋体"/>
                <w:color w:val="auto"/>
                <w:sz w:val="21"/>
                <w:szCs w:val="21"/>
                <w:highlight w:val="none"/>
              </w:rPr>
              <w:t>COD</w:t>
            </w:r>
          </w:p>
        </w:tc>
        <w:tc>
          <w:tcPr>
            <w:tcW w:w="888" w:type="dxa"/>
            <w:vMerge w:val="continue"/>
            <w:tcBorders>
              <w:tl2br w:val="nil"/>
              <w:tr2bl w:val="nil"/>
            </w:tcBorders>
            <w:vAlign w:val="center"/>
          </w:tcPr>
          <w:p w14:paraId="4F8A16A1">
            <w:pPr>
              <w:ind w:left="-105" w:right="-105"/>
              <w:jc w:val="center"/>
              <w:rPr>
                <w:rFonts w:ascii="Times New Roman" w:hAnsi="Times New Roman"/>
                <w:color w:val="auto"/>
                <w:sz w:val="21"/>
                <w:szCs w:val="21"/>
                <w:highlight w:val="none"/>
              </w:rPr>
            </w:pPr>
          </w:p>
        </w:tc>
        <w:tc>
          <w:tcPr>
            <w:tcW w:w="1375" w:type="dxa"/>
            <w:tcBorders>
              <w:tl2br w:val="nil"/>
              <w:tr2bl w:val="nil"/>
            </w:tcBorders>
            <w:vAlign w:val="center"/>
          </w:tcPr>
          <w:p w14:paraId="0442522A">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50</w:t>
            </w:r>
          </w:p>
        </w:tc>
        <w:tc>
          <w:tcPr>
            <w:tcW w:w="1603" w:type="dxa"/>
            <w:vMerge w:val="continue"/>
            <w:tcBorders>
              <w:tl2br w:val="nil"/>
              <w:tr2bl w:val="nil"/>
            </w:tcBorders>
            <w:vAlign w:val="center"/>
          </w:tcPr>
          <w:p w14:paraId="0D594623">
            <w:pPr>
              <w:ind w:left="-105" w:right="-105"/>
              <w:jc w:val="center"/>
              <w:rPr>
                <w:rFonts w:ascii="Times New Roman" w:hAnsi="Times New Roman"/>
                <w:color w:val="auto"/>
                <w:sz w:val="21"/>
                <w:szCs w:val="21"/>
                <w:highlight w:val="none"/>
              </w:rPr>
            </w:pPr>
          </w:p>
        </w:tc>
        <w:tc>
          <w:tcPr>
            <w:tcW w:w="1483" w:type="dxa"/>
            <w:tcBorders>
              <w:tl2br w:val="nil"/>
              <w:tr2bl w:val="nil"/>
            </w:tcBorders>
            <w:vAlign w:val="center"/>
          </w:tcPr>
          <w:p w14:paraId="2837B407">
            <w:pPr>
              <w:pStyle w:val="98"/>
              <w:ind w:left="-105" w:right="-105"/>
              <w:rPr>
                <w:rFonts w:eastAsia="宋体"/>
                <w:color w:val="auto"/>
                <w:sz w:val="21"/>
                <w:szCs w:val="21"/>
                <w:highlight w:val="none"/>
              </w:rPr>
            </w:pPr>
            <w:r>
              <w:rPr>
                <w:rFonts w:eastAsia="宋体"/>
                <w:color w:val="auto"/>
                <w:sz w:val="21"/>
                <w:szCs w:val="21"/>
                <w:highlight w:val="none"/>
              </w:rPr>
              <w:t>50</w:t>
            </w:r>
          </w:p>
        </w:tc>
        <w:tc>
          <w:tcPr>
            <w:tcW w:w="1778" w:type="dxa"/>
            <w:vMerge w:val="continue"/>
            <w:tcBorders>
              <w:tl2br w:val="nil"/>
              <w:tr2bl w:val="nil"/>
            </w:tcBorders>
            <w:vAlign w:val="center"/>
          </w:tcPr>
          <w:p w14:paraId="03A12029">
            <w:pPr>
              <w:pStyle w:val="98"/>
              <w:ind w:left="-105" w:right="-105"/>
              <w:rPr>
                <w:rFonts w:eastAsia="宋体"/>
                <w:color w:val="auto"/>
                <w:sz w:val="21"/>
                <w:szCs w:val="21"/>
                <w:highlight w:val="none"/>
              </w:rPr>
            </w:pPr>
          </w:p>
        </w:tc>
      </w:tr>
      <w:tr w14:paraId="068762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1946" w:type="dxa"/>
            <w:tcBorders>
              <w:tl2br w:val="nil"/>
              <w:tr2bl w:val="nil"/>
            </w:tcBorders>
            <w:vAlign w:val="center"/>
          </w:tcPr>
          <w:p w14:paraId="2BAA06CC">
            <w:pPr>
              <w:pStyle w:val="98"/>
              <w:ind w:left="-105" w:right="-105"/>
              <w:rPr>
                <w:rFonts w:eastAsia="宋体"/>
                <w:color w:val="auto"/>
                <w:sz w:val="21"/>
                <w:szCs w:val="21"/>
                <w:highlight w:val="none"/>
              </w:rPr>
            </w:pPr>
            <w:r>
              <w:rPr>
                <w:rFonts w:eastAsia="宋体"/>
                <w:color w:val="auto"/>
                <w:sz w:val="21"/>
                <w:szCs w:val="21"/>
                <w:highlight w:val="none"/>
              </w:rPr>
              <w:t>氨氮(以N计)</w:t>
            </w:r>
          </w:p>
        </w:tc>
        <w:tc>
          <w:tcPr>
            <w:tcW w:w="888" w:type="dxa"/>
            <w:vMerge w:val="continue"/>
            <w:tcBorders>
              <w:tl2br w:val="nil"/>
              <w:tr2bl w:val="nil"/>
            </w:tcBorders>
            <w:vAlign w:val="center"/>
          </w:tcPr>
          <w:p w14:paraId="48E4D7B3">
            <w:pPr>
              <w:ind w:left="-105" w:right="-105"/>
              <w:jc w:val="center"/>
              <w:rPr>
                <w:rFonts w:ascii="Times New Roman" w:hAnsi="Times New Roman"/>
                <w:color w:val="auto"/>
                <w:sz w:val="21"/>
                <w:szCs w:val="21"/>
                <w:highlight w:val="none"/>
              </w:rPr>
            </w:pPr>
          </w:p>
        </w:tc>
        <w:tc>
          <w:tcPr>
            <w:tcW w:w="1375" w:type="dxa"/>
            <w:tcBorders>
              <w:tl2br w:val="nil"/>
              <w:tr2bl w:val="nil"/>
            </w:tcBorders>
            <w:vAlign w:val="center"/>
          </w:tcPr>
          <w:p w14:paraId="1F01EA32">
            <w:pPr>
              <w:pStyle w:val="98"/>
              <w:ind w:left="-105" w:right="-105"/>
              <w:rPr>
                <w:rFonts w:eastAsia="宋体"/>
                <w:color w:val="auto"/>
                <w:sz w:val="21"/>
                <w:szCs w:val="21"/>
                <w:highlight w:val="none"/>
              </w:rPr>
            </w:pPr>
            <w:r>
              <w:rPr>
                <w:rFonts w:hint="eastAsia" w:eastAsia="宋体"/>
                <w:color w:val="auto"/>
                <w:sz w:val="21"/>
                <w:szCs w:val="21"/>
                <w:highlight w:val="none"/>
                <w:lang w:val="en-US"/>
              </w:rPr>
              <w:t>5</w:t>
            </w:r>
          </w:p>
        </w:tc>
        <w:tc>
          <w:tcPr>
            <w:tcW w:w="1603" w:type="dxa"/>
            <w:vMerge w:val="continue"/>
            <w:tcBorders>
              <w:tl2br w:val="nil"/>
              <w:tr2bl w:val="nil"/>
            </w:tcBorders>
            <w:vAlign w:val="center"/>
          </w:tcPr>
          <w:p w14:paraId="076F4362">
            <w:pPr>
              <w:pStyle w:val="98"/>
              <w:ind w:left="-105" w:right="-105"/>
              <w:rPr>
                <w:rFonts w:eastAsia="宋体"/>
                <w:color w:val="auto"/>
                <w:sz w:val="21"/>
                <w:szCs w:val="21"/>
                <w:highlight w:val="none"/>
              </w:rPr>
            </w:pPr>
          </w:p>
        </w:tc>
        <w:tc>
          <w:tcPr>
            <w:tcW w:w="1483" w:type="dxa"/>
            <w:tcBorders>
              <w:tl2br w:val="nil"/>
              <w:tr2bl w:val="nil"/>
            </w:tcBorders>
            <w:vAlign w:val="center"/>
          </w:tcPr>
          <w:p w14:paraId="6E91A873">
            <w:pPr>
              <w:pStyle w:val="98"/>
              <w:ind w:left="-105" w:right="-105"/>
              <w:rPr>
                <w:rFonts w:eastAsia="宋体"/>
                <w:color w:val="auto"/>
                <w:sz w:val="21"/>
                <w:szCs w:val="21"/>
                <w:highlight w:val="none"/>
              </w:rPr>
            </w:pPr>
            <w:r>
              <w:rPr>
                <w:rFonts w:hint="eastAsia" w:eastAsia="宋体"/>
                <w:color w:val="auto"/>
                <w:sz w:val="21"/>
                <w:szCs w:val="21"/>
                <w:highlight w:val="none"/>
              </w:rPr>
              <w:t>4（6）*</w:t>
            </w:r>
          </w:p>
        </w:tc>
        <w:tc>
          <w:tcPr>
            <w:tcW w:w="1778" w:type="dxa"/>
            <w:vMerge w:val="continue"/>
            <w:tcBorders>
              <w:tl2br w:val="nil"/>
              <w:tr2bl w:val="nil"/>
            </w:tcBorders>
            <w:vAlign w:val="center"/>
          </w:tcPr>
          <w:p w14:paraId="44F315C1">
            <w:pPr>
              <w:ind w:left="-105" w:right="-105"/>
              <w:jc w:val="center"/>
              <w:rPr>
                <w:rFonts w:ascii="Times New Roman" w:hAnsi="Times New Roman"/>
                <w:color w:val="auto"/>
                <w:sz w:val="21"/>
                <w:szCs w:val="21"/>
                <w:highlight w:val="none"/>
              </w:rPr>
            </w:pPr>
          </w:p>
        </w:tc>
      </w:tr>
      <w:tr w14:paraId="6A52BC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946" w:type="dxa"/>
            <w:tcBorders>
              <w:tl2br w:val="nil"/>
              <w:tr2bl w:val="nil"/>
            </w:tcBorders>
            <w:vAlign w:val="center"/>
          </w:tcPr>
          <w:p w14:paraId="371F9ACF">
            <w:pPr>
              <w:pStyle w:val="98"/>
              <w:ind w:left="-105" w:right="-105"/>
              <w:rPr>
                <w:rFonts w:eastAsia="宋体"/>
                <w:color w:val="auto"/>
                <w:sz w:val="21"/>
                <w:szCs w:val="21"/>
                <w:highlight w:val="none"/>
              </w:rPr>
            </w:pPr>
            <w:r>
              <w:rPr>
                <w:rFonts w:eastAsia="宋体"/>
                <w:color w:val="auto"/>
                <w:sz w:val="21"/>
                <w:szCs w:val="21"/>
                <w:highlight w:val="none"/>
              </w:rPr>
              <w:t>总氮(以N计)</w:t>
            </w:r>
          </w:p>
        </w:tc>
        <w:tc>
          <w:tcPr>
            <w:tcW w:w="888" w:type="dxa"/>
            <w:vMerge w:val="continue"/>
            <w:tcBorders>
              <w:tl2br w:val="nil"/>
              <w:tr2bl w:val="nil"/>
            </w:tcBorders>
            <w:vAlign w:val="center"/>
          </w:tcPr>
          <w:p w14:paraId="6C59B471">
            <w:pPr>
              <w:ind w:left="-105" w:right="-105"/>
              <w:jc w:val="center"/>
              <w:rPr>
                <w:rFonts w:ascii="Times New Roman" w:hAnsi="Times New Roman"/>
                <w:color w:val="auto"/>
                <w:sz w:val="21"/>
                <w:szCs w:val="21"/>
                <w:highlight w:val="none"/>
              </w:rPr>
            </w:pPr>
          </w:p>
        </w:tc>
        <w:tc>
          <w:tcPr>
            <w:tcW w:w="1375" w:type="dxa"/>
            <w:tcBorders>
              <w:tl2br w:val="nil"/>
              <w:tr2bl w:val="nil"/>
            </w:tcBorders>
            <w:vAlign w:val="center"/>
          </w:tcPr>
          <w:p w14:paraId="6AB2599D">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15</w:t>
            </w:r>
          </w:p>
        </w:tc>
        <w:tc>
          <w:tcPr>
            <w:tcW w:w="1603" w:type="dxa"/>
            <w:vMerge w:val="continue"/>
            <w:tcBorders>
              <w:tl2br w:val="nil"/>
              <w:tr2bl w:val="nil"/>
            </w:tcBorders>
            <w:vAlign w:val="center"/>
          </w:tcPr>
          <w:p w14:paraId="7A7B8D08">
            <w:pPr>
              <w:ind w:left="-105" w:right="-105"/>
              <w:jc w:val="center"/>
              <w:rPr>
                <w:rFonts w:ascii="Times New Roman" w:hAnsi="Times New Roman"/>
                <w:color w:val="auto"/>
                <w:sz w:val="21"/>
                <w:szCs w:val="21"/>
                <w:highlight w:val="none"/>
              </w:rPr>
            </w:pPr>
          </w:p>
        </w:tc>
        <w:tc>
          <w:tcPr>
            <w:tcW w:w="1483" w:type="dxa"/>
            <w:tcBorders>
              <w:tl2br w:val="nil"/>
              <w:tr2bl w:val="nil"/>
            </w:tcBorders>
            <w:vAlign w:val="center"/>
          </w:tcPr>
          <w:p w14:paraId="54FA5550">
            <w:pPr>
              <w:pStyle w:val="98"/>
              <w:ind w:left="-105" w:right="-105"/>
              <w:rPr>
                <w:rFonts w:eastAsia="宋体"/>
                <w:color w:val="auto"/>
                <w:sz w:val="21"/>
                <w:szCs w:val="21"/>
                <w:highlight w:val="none"/>
              </w:rPr>
            </w:pPr>
            <w:r>
              <w:rPr>
                <w:rFonts w:hint="eastAsia" w:eastAsia="宋体"/>
                <w:color w:val="auto"/>
                <w:sz w:val="21"/>
                <w:szCs w:val="21"/>
                <w:highlight w:val="none"/>
              </w:rPr>
              <w:t>12（15）*</w:t>
            </w:r>
          </w:p>
        </w:tc>
        <w:tc>
          <w:tcPr>
            <w:tcW w:w="1778" w:type="dxa"/>
            <w:vMerge w:val="continue"/>
            <w:tcBorders>
              <w:tl2br w:val="nil"/>
              <w:tr2bl w:val="nil"/>
            </w:tcBorders>
            <w:vAlign w:val="center"/>
          </w:tcPr>
          <w:p w14:paraId="6D6DEB4E">
            <w:pPr>
              <w:ind w:left="-105" w:right="-105"/>
              <w:jc w:val="center"/>
              <w:rPr>
                <w:rFonts w:ascii="Times New Roman" w:hAnsi="Times New Roman"/>
                <w:color w:val="auto"/>
                <w:sz w:val="21"/>
                <w:szCs w:val="21"/>
                <w:highlight w:val="none"/>
              </w:rPr>
            </w:pPr>
          </w:p>
        </w:tc>
      </w:tr>
      <w:tr w14:paraId="3101F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946" w:type="dxa"/>
            <w:tcBorders>
              <w:tl2br w:val="nil"/>
              <w:tr2bl w:val="nil"/>
            </w:tcBorders>
            <w:vAlign w:val="center"/>
          </w:tcPr>
          <w:p w14:paraId="7E55B235">
            <w:pPr>
              <w:pStyle w:val="98"/>
              <w:ind w:left="-105" w:right="-105"/>
              <w:rPr>
                <w:rFonts w:eastAsia="宋体"/>
                <w:color w:val="auto"/>
                <w:sz w:val="21"/>
                <w:szCs w:val="21"/>
                <w:highlight w:val="none"/>
              </w:rPr>
            </w:pPr>
            <w:r>
              <w:rPr>
                <w:rFonts w:eastAsia="宋体"/>
                <w:color w:val="auto"/>
                <w:sz w:val="21"/>
                <w:szCs w:val="21"/>
                <w:highlight w:val="none"/>
              </w:rPr>
              <w:t>总磷(以P计)</w:t>
            </w:r>
          </w:p>
        </w:tc>
        <w:tc>
          <w:tcPr>
            <w:tcW w:w="888" w:type="dxa"/>
            <w:vMerge w:val="continue"/>
            <w:tcBorders>
              <w:tl2br w:val="nil"/>
              <w:tr2bl w:val="nil"/>
            </w:tcBorders>
            <w:vAlign w:val="center"/>
          </w:tcPr>
          <w:p w14:paraId="469F0017">
            <w:pPr>
              <w:ind w:left="-105" w:right="-105"/>
              <w:jc w:val="center"/>
              <w:rPr>
                <w:rFonts w:ascii="Times New Roman" w:hAnsi="Times New Roman"/>
                <w:color w:val="auto"/>
                <w:sz w:val="21"/>
                <w:szCs w:val="21"/>
                <w:highlight w:val="none"/>
              </w:rPr>
            </w:pPr>
          </w:p>
        </w:tc>
        <w:tc>
          <w:tcPr>
            <w:tcW w:w="1375" w:type="dxa"/>
            <w:tcBorders>
              <w:tl2br w:val="nil"/>
              <w:tr2bl w:val="nil"/>
            </w:tcBorders>
            <w:vAlign w:val="center"/>
          </w:tcPr>
          <w:p w14:paraId="11B5B7FC">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0.5</w:t>
            </w:r>
          </w:p>
        </w:tc>
        <w:tc>
          <w:tcPr>
            <w:tcW w:w="1603" w:type="dxa"/>
            <w:vMerge w:val="continue"/>
            <w:tcBorders>
              <w:tl2br w:val="nil"/>
              <w:tr2bl w:val="nil"/>
            </w:tcBorders>
            <w:vAlign w:val="center"/>
          </w:tcPr>
          <w:p w14:paraId="77ECEF76">
            <w:pPr>
              <w:ind w:left="-105" w:right="-105"/>
              <w:jc w:val="center"/>
              <w:rPr>
                <w:rFonts w:ascii="Times New Roman" w:hAnsi="Times New Roman"/>
                <w:color w:val="auto"/>
                <w:sz w:val="21"/>
                <w:szCs w:val="21"/>
                <w:highlight w:val="none"/>
              </w:rPr>
            </w:pPr>
          </w:p>
        </w:tc>
        <w:tc>
          <w:tcPr>
            <w:tcW w:w="1483" w:type="dxa"/>
            <w:tcBorders>
              <w:tl2br w:val="nil"/>
              <w:tr2bl w:val="nil"/>
            </w:tcBorders>
            <w:vAlign w:val="center"/>
          </w:tcPr>
          <w:p w14:paraId="4AB1A62D">
            <w:pPr>
              <w:pStyle w:val="98"/>
              <w:ind w:left="-105" w:right="-105"/>
              <w:rPr>
                <w:rFonts w:eastAsia="宋体"/>
                <w:color w:val="auto"/>
                <w:sz w:val="21"/>
                <w:szCs w:val="21"/>
                <w:highlight w:val="none"/>
              </w:rPr>
            </w:pPr>
            <w:r>
              <w:rPr>
                <w:rFonts w:eastAsia="宋体"/>
                <w:color w:val="auto"/>
                <w:sz w:val="21"/>
                <w:szCs w:val="21"/>
                <w:highlight w:val="none"/>
              </w:rPr>
              <w:t>0.5</w:t>
            </w:r>
          </w:p>
        </w:tc>
        <w:tc>
          <w:tcPr>
            <w:tcW w:w="1778" w:type="dxa"/>
            <w:vMerge w:val="continue"/>
            <w:tcBorders>
              <w:tl2br w:val="nil"/>
              <w:tr2bl w:val="nil"/>
            </w:tcBorders>
            <w:vAlign w:val="center"/>
          </w:tcPr>
          <w:p w14:paraId="0AAB5EA3">
            <w:pPr>
              <w:ind w:left="-105" w:right="-105"/>
              <w:jc w:val="center"/>
              <w:rPr>
                <w:rFonts w:ascii="Times New Roman" w:hAnsi="Times New Roman"/>
                <w:color w:val="auto"/>
                <w:sz w:val="21"/>
                <w:szCs w:val="21"/>
                <w:highlight w:val="none"/>
              </w:rPr>
            </w:pPr>
          </w:p>
        </w:tc>
      </w:tr>
    </w:tbl>
    <w:p w14:paraId="3898F3D6">
      <w:pPr>
        <w:tabs>
          <w:tab w:val="left" w:pos="993"/>
          <w:tab w:val="left" w:pos="1276"/>
        </w:tabs>
        <w:spacing w:line="360" w:lineRule="auto"/>
        <w:ind w:left="-105" w:right="-105" w:firstLine="442"/>
        <w:rPr>
          <w:rFonts w:ascii="Times New Roman" w:hAnsi="Times New Roman"/>
          <w:b/>
          <w:bCs/>
          <w:color w:val="auto"/>
          <w:sz w:val="22"/>
          <w:szCs w:val="22"/>
          <w:highlight w:val="none"/>
        </w:rPr>
      </w:pPr>
      <w:r>
        <w:rPr>
          <w:rFonts w:ascii="Times New Roman" w:hAnsi="Times New Roman"/>
          <w:b/>
          <w:bCs/>
          <w:color w:val="auto"/>
          <w:sz w:val="22"/>
          <w:szCs w:val="22"/>
          <w:highlight w:val="none"/>
        </w:rPr>
        <w:t>注：*括号外数值为水温＞12℃时的控制指标，括号内数值为水温&lt;12℃时的控制指标</w:t>
      </w:r>
      <w:r>
        <w:rPr>
          <w:rFonts w:hint="eastAsia" w:ascii="Times New Roman" w:hAnsi="Times New Roman"/>
          <w:b/>
          <w:bCs/>
          <w:color w:val="auto"/>
          <w:sz w:val="22"/>
          <w:szCs w:val="22"/>
          <w:highlight w:val="none"/>
        </w:rPr>
        <w:t>；DB32/4440-2022标准于2026年开始执行</w:t>
      </w:r>
      <w:r>
        <w:rPr>
          <w:rFonts w:ascii="Times New Roman" w:hAnsi="Times New Roman"/>
          <w:b/>
          <w:bCs/>
          <w:color w:val="auto"/>
          <w:sz w:val="22"/>
          <w:szCs w:val="22"/>
          <w:highlight w:val="none"/>
        </w:rPr>
        <w:t>。</w:t>
      </w:r>
    </w:p>
    <w:p w14:paraId="5F858D8C">
      <w:pPr>
        <w:autoSpaceDE w:val="0"/>
        <w:autoSpaceDN w:val="0"/>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（3）噪声</w:t>
      </w:r>
    </w:p>
    <w:p w14:paraId="7E6266E5">
      <w:pPr>
        <w:pStyle w:val="20"/>
        <w:spacing w:line="360" w:lineRule="auto"/>
        <w:ind w:left="-105" w:right="-105" w:firstLine="480" w:firstLineChars="200"/>
        <w:jc w:val="both"/>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rPr>
        <w:t>根据《无锡市区声环境功能区划分调整方案》（锡政办发[2018]157号），项目所在地声环境功能类别为3类区，</w:t>
      </w:r>
      <w:r>
        <w:rPr>
          <w:rFonts w:ascii="Times New Roman" w:hAnsi="Times New Roman" w:cs="Times New Roman"/>
          <w:color w:val="auto"/>
          <w:sz w:val="24"/>
          <w:szCs w:val="24"/>
          <w:highlight w:val="none"/>
        </w:rPr>
        <w:t>本项目厂界环境噪声执行《工业企业厂界环境噪声排放标准》（GB12348-2008）3类标准要求</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敏感目标处执行</w:t>
      </w:r>
      <w:r>
        <w:rPr>
          <w:rFonts w:ascii="Times New Roman" w:hAnsi="Times New Roman" w:cs="Times New Roman"/>
          <w:color w:val="auto"/>
          <w:sz w:val="24"/>
          <w:szCs w:val="24"/>
          <w:highlight w:val="none"/>
        </w:rPr>
        <w:t>《工业企业厂界环境噪声排放标准》（GB12348-2008）</w:t>
      </w:r>
      <w:r>
        <w:rPr>
          <w:rFonts w:hint="eastAsia" w:ascii="Times New Roman" w:hAnsi="Times New Roman" w:cs="Times New Roman"/>
          <w:color w:val="auto"/>
          <w:sz w:val="24"/>
          <w:szCs w:val="24"/>
          <w:highlight w:val="none"/>
          <w:lang w:val="en-US"/>
        </w:rPr>
        <w:t>2</w:t>
      </w:r>
      <w:r>
        <w:rPr>
          <w:rFonts w:ascii="Times New Roman" w:hAnsi="Times New Roman" w:cs="Times New Roman"/>
          <w:color w:val="auto"/>
          <w:sz w:val="24"/>
          <w:szCs w:val="24"/>
          <w:highlight w:val="none"/>
        </w:rPr>
        <w:t>类标准要求</w:t>
      </w:r>
      <w:r>
        <w:rPr>
          <w:rFonts w:ascii="Times New Roman" w:hAnsi="Times New Roman" w:cs="Times New Roman"/>
          <w:color w:val="auto"/>
          <w:sz w:val="24"/>
          <w:szCs w:val="24"/>
          <w:highlight w:val="none"/>
        </w:rPr>
        <w:t>。见</w:t>
      </w:r>
      <w:r>
        <w:rPr>
          <w:rFonts w:hint="eastAsia" w:ascii="Times New Roman" w:hAnsi="Times New Roman" w:cs="Times New Roman"/>
          <w:color w:val="auto"/>
          <w:sz w:val="24"/>
          <w:szCs w:val="24"/>
          <w:highlight w:val="none"/>
          <w:lang w:val="en-US"/>
        </w:rPr>
        <w:t>下表</w:t>
      </w:r>
      <w:r>
        <w:rPr>
          <w:rFonts w:ascii="Times New Roman" w:hAnsi="Times New Roman" w:cs="Times New Roman"/>
          <w:color w:val="auto"/>
          <w:sz w:val="24"/>
          <w:szCs w:val="24"/>
          <w:highlight w:val="none"/>
        </w:rPr>
        <w:t>。</w:t>
      </w:r>
    </w:p>
    <w:p w14:paraId="1624716A">
      <w:pPr>
        <w:pStyle w:val="15"/>
        <w:spacing w:line="360" w:lineRule="auto"/>
        <w:ind w:left="-105" w:right="-105" w:firstLine="482"/>
        <w:rPr>
          <w:rFonts w:eastAsia="宋体" w:cs="Times New Roman"/>
          <w:color w:val="auto"/>
          <w:sz w:val="24"/>
          <w:szCs w:val="18"/>
          <w:highlight w:val="none"/>
        </w:rPr>
      </w:pPr>
      <w:bookmarkStart w:id="134" w:name="_Ref17795125"/>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11</w:t>
      </w:r>
      <w:r>
        <w:rPr>
          <w:rFonts w:eastAsia="宋体" w:cs="Times New Roman"/>
          <w:color w:val="auto"/>
          <w:sz w:val="24"/>
          <w:szCs w:val="18"/>
          <w:highlight w:val="none"/>
        </w:rPr>
        <w:fldChar w:fldCharType="end"/>
      </w:r>
      <w:bookmarkEnd w:id="134"/>
      <w:r>
        <w:rPr>
          <w:rFonts w:eastAsia="宋体" w:cs="Times New Roman"/>
          <w:color w:val="auto"/>
          <w:sz w:val="24"/>
          <w:szCs w:val="16"/>
          <w:highlight w:val="none"/>
        </w:rPr>
        <w:t>工业企业</w:t>
      </w:r>
      <w:r>
        <w:rPr>
          <w:rFonts w:eastAsia="宋体" w:cs="Times New Roman"/>
          <w:color w:val="auto"/>
          <w:spacing w:val="2"/>
          <w:sz w:val="24"/>
          <w:szCs w:val="16"/>
          <w:highlight w:val="none"/>
        </w:rPr>
        <w:t>厂</w:t>
      </w:r>
      <w:r>
        <w:rPr>
          <w:rFonts w:eastAsia="宋体" w:cs="Times New Roman"/>
          <w:color w:val="auto"/>
          <w:sz w:val="24"/>
          <w:szCs w:val="16"/>
          <w:highlight w:val="none"/>
        </w:rPr>
        <w:t>界环境噪声排放</w:t>
      </w:r>
      <w:r>
        <w:rPr>
          <w:rFonts w:eastAsia="宋体" w:cs="Times New Roman"/>
          <w:color w:val="auto"/>
          <w:spacing w:val="2"/>
          <w:sz w:val="24"/>
          <w:szCs w:val="16"/>
          <w:highlight w:val="none"/>
        </w:rPr>
        <w:t>标</w:t>
      </w:r>
      <w:r>
        <w:rPr>
          <w:rFonts w:eastAsia="宋体" w:cs="Times New Roman"/>
          <w:color w:val="auto"/>
          <w:sz w:val="24"/>
          <w:szCs w:val="16"/>
          <w:highlight w:val="none"/>
        </w:rPr>
        <w:t>准</w:t>
      </w:r>
      <w:r>
        <w:rPr>
          <w:rFonts w:eastAsia="宋体" w:cs="Times New Roman"/>
          <w:color w:val="auto"/>
          <w:sz w:val="24"/>
          <w:szCs w:val="18"/>
          <w:highlight w:val="none"/>
        </w:rPr>
        <w:tab/>
      </w:r>
      <w:r>
        <w:rPr>
          <w:rFonts w:eastAsia="宋体" w:cs="Times New Roman"/>
          <w:color w:val="auto"/>
          <w:sz w:val="24"/>
          <w:szCs w:val="18"/>
          <w:highlight w:val="none"/>
        </w:rPr>
        <w:t>单位：</w:t>
      </w:r>
      <w:r>
        <w:rPr>
          <w:rFonts w:eastAsia="宋体" w:cs="Times New Roman"/>
          <w:color w:val="auto"/>
          <w:spacing w:val="-3"/>
          <w:sz w:val="24"/>
          <w:szCs w:val="18"/>
          <w:highlight w:val="none"/>
        </w:rPr>
        <w:t>d</w:t>
      </w:r>
      <w:r>
        <w:rPr>
          <w:rFonts w:eastAsia="宋体" w:cs="Times New Roman"/>
          <w:color w:val="auto"/>
          <w:sz w:val="24"/>
          <w:szCs w:val="18"/>
          <w:highlight w:val="none"/>
        </w:rPr>
        <w:t>B（A）</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166"/>
        <w:gridCol w:w="2778"/>
        <w:gridCol w:w="2776"/>
      </w:tblGrid>
      <w:tr w14:paraId="14847D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298" w:type="dxa"/>
            <w:vMerge w:val="restart"/>
            <w:tcBorders>
              <w:tl2br w:val="nil"/>
              <w:tr2bl w:val="nil"/>
            </w:tcBorders>
            <w:vAlign w:val="center"/>
          </w:tcPr>
          <w:p w14:paraId="1C3A02FC">
            <w:pPr>
              <w:pStyle w:val="98"/>
              <w:ind w:left="-105" w:right="-105"/>
              <w:rPr>
                <w:rFonts w:eastAsia="宋体"/>
                <w:b/>
                <w:color w:val="auto"/>
                <w:sz w:val="21"/>
                <w:szCs w:val="21"/>
                <w:highlight w:val="none"/>
              </w:rPr>
            </w:pPr>
            <w:r>
              <w:rPr>
                <w:rFonts w:eastAsia="宋体"/>
                <w:b/>
                <w:color w:val="auto"/>
                <w:sz w:val="21"/>
                <w:szCs w:val="21"/>
                <w:highlight w:val="none"/>
              </w:rPr>
              <w:t>厂界外声环境功能区类别</w:t>
            </w:r>
          </w:p>
        </w:tc>
        <w:tc>
          <w:tcPr>
            <w:tcW w:w="5778" w:type="dxa"/>
            <w:gridSpan w:val="2"/>
            <w:tcBorders>
              <w:tl2br w:val="nil"/>
              <w:tr2bl w:val="nil"/>
            </w:tcBorders>
            <w:vAlign w:val="center"/>
          </w:tcPr>
          <w:p w14:paraId="116D17C8">
            <w:pPr>
              <w:pStyle w:val="98"/>
              <w:ind w:left="-105" w:right="-105"/>
              <w:rPr>
                <w:rFonts w:eastAsia="宋体"/>
                <w:b/>
                <w:color w:val="auto"/>
                <w:sz w:val="21"/>
                <w:szCs w:val="21"/>
                <w:highlight w:val="none"/>
              </w:rPr>
            </w:pPr>
            <w:r>
              <w:rPr>
                <w:rFonts w:eastAsia="宋体"/>
                <w:b/>
                <w:bCs/>
                <w:color w:val="auto"/>
                <w:sz w:val="21"/>
                <w:szCs w:val="21"/>
                <w:highlight w:val="none"/>
              </w:rPr>
              <w:t>时段</w:t>
            </w:r>
          </w:p>
        </w:tc>
      </w:tr>
      <w:tr w14:paraId="3F0B6D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3298" w:type="dxa"/>
            <w:vMerge w:val="continue"/>
            <w:tcBorders>
              <w:tl2br w:val="nil"/>
              <w:tr2bl w:val="nil"/>
            </w:tcBorders>
            <w:vAlign w:val="center"/>
          </w:tcPr>
          <w:p w14:paraId="38CC11C6">
            <w:pPr>
              <w:ind w:left="-105" w:right="-105"/>
              <w:jc w:val="center"/>
              <w:rPr>
                <w:rFonts w:ascii="Times New Roman" w:hAnsi="Times New Roman"/>
                <w:color w:val="auto"/>
                <w:sz w:val="21"/>
                <w:szCs w:val="21"/>
                <w:highlight w:val="none"/>
              </w:rPr>
            </w:pPr>
          </w:p>
        </w:tc>
        <w:tc>
          <w:tcPr>
            <w:tcW w:w="2890" w:type="dxa"/>
            <w:tcBorders>
              <w:tl2br w:val="nil"/>
              <w:tr2bl w:val="nil"/>
            </w:tcBorders>
            <w:vAlign w:val="center"/>
          </w:tcPr>
          <w:p w14:paraId="2760329F">
            <w:pPr>
              <w:pStyle w:val="98"/>
              <w:ind w:left="-105" w:right="-105"/>
              <w:rPr>
                <w:rFonts w:eastAsia="宋体"/>
                <w:b/>
                <w:color w:val="auto"/>
                <w:sz w:val="21"/>
                <w:szCs w:val="21"/>
                <w:highlight w:val="none"/>
              </w:rPr>
            </w:pPr>
            <w:r>
              <w:rPr>
                <w:rFonts w:eastAsia="宋体"/>
                <w:b/>
                <w:bCs/>
                <w:color w:val="auto"/>
                <w:sz w:val="21"/>
                <w:szCs w:val="21"/>
                <w:highlight w:val="none"/>
              </w:rPr>
              <w:t>昼间（6:00~22:00）</w:t>
            </w:r>
          </w:p>
        </w:tc>
        <w:tc>
          <w:tcPr>
            <w:tcW w:w="2888" w:type="dxa"/>
            <w:tcBorders>
              <w:tl2br w:val="nil"/>
              <w:tr2bl w:val="nil"/>
            </w:tcBorders>
            <w:vAlign w:val="center"/>
          </w:tcPr>
          <w:p w14:paraId="1D7F4907">
            <w:pPr>
              <w:pStyle w:val="98"/>
              <w:ind w:left="-105" w:right="-105"/>
              <w:rPr>
                <w:rFonts w:eastAsia="宋体"/>
                <w:b/>
                <w:color w:val="auto"/>
                <w:sz w:val="21"/>
                <w:szCs w:val="21"/>
                <w:highlight w:val="none"/>
              </w:rPr>
            </w:pPr>
            <w:r>
              <w:rPr>
                <w:rFonts w:eastAsia="宋体"/>
                <w:b/>
                <w:bCs/>
                <w:color w:val="auto"/>
                <w:sz w:val="21"/>
                <w:szCs w:val="21"/>
                <w:highlight w:val="none"/>
              </w:rPr>
              <w:t>昼间（6:00~22:00）</w:t>
            </w:r>
          </w:p>
        </w:tc>
      </w:tr>
      <w:tr w14:paraId="55BC1A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298" w:type="dxa"/>
            <w:tcBorders>
              <w:tl2br w:val="nil"/>
              <w:tr2bl w:val="nil"/>
            </w:tcBorders>
            <w:vAlign w:val="center"/>
          </w:tcPr>
          <w:p w14:paraId="2FE0EAE4">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2</w:t>
            </w:r>
          </w:p>
        </w:tc>
        <w:tc>
          <w:tcPr>
            <w:tcW w:w="2890" w:type="dxa"/>
            <w:tcBorders>
              <w:tl2br w:val="nil"/>
              <w:tr2bl w:val="nil"/>
            </w:tcBorders>
            <w:vAlign w:val="center"/>
          </w:tcPr>
          <w:p w14:paraId="1A553D3E">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60</w:t>
            </w:r>
          </w:p>
        </w:tc>
        <w:tc>
          <w:tcPr>
            <w:tcW w:w="2888" w:type="dxa"/>
            <w:tcBorders>
              <w:tl2br w:val="nil"/>
              <w:tr2bl w:val="nil"/>
            </w:tcBorders>
            <w:vAlign w:val="center"/>
          </w:tcPr>
          <w:p w14:paraId="3D19C467">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50</w:t>
            </w:r>
          </w:p>
        </w:tc>
      </w:tr>
      <w:tr w14:paraId="411A8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298" w:type="dxa"/>
            <w:tcBorders>
              <w:tl2br w:val="nil"/>
              <w:tr2bl w:val="nil"/>
            </w:tcBorders>
            <w:vAlign w:val="center"/>
          </w:tcPr>
          <w:p w14:paraId="42B262E8">
            <w:pPr>
              <w:pStyle w:val="98"/>
              <w:ind w:left="-105" w:right="-105"/>
              <w:rPr>
                <w:rFonts w:eastAsia="宋体"/>
                <w:color w:val="auto"/>
                <w:sz w:val="21"/>
                <w:szCs w:val="21"/>
                <w:highlight w:val="none"/>
              </w:rPr>
            </w:pPr>
            <w:r>
              <w:rPr>
                <w:rFonts w:eastAsia="宋体"/>
                <w:color w:val="auto"/>
                <w:sz w:val="21"/>
                <w:szCs w:val="21"/>
                <w:highlight w:val="none"/>
              </w:rPr>
              <w:t>3</w:t>
            </w:r>
          </w:p>
        </w:tc>
        <w:tc>
          <w:tcPr>
            <w:tcW w:w="2890" w:type="dxa"/>
            <w:tcBorders>
              <w:tl2br w:val="nil"/>
              <w:tr2bl w:val="nil"/>
            </w:tcBorders>
            <w:vAlign w:val="center"/>
          </w:tcPr>
          <w:p w14:paraId="61022FB4">
            <w:pPr>
              <w:pStyle w:val="98"/>
              <w:ind w:left="-105" w:right="-105"/>
              <w:rPr>
                <w:rFonts w:eastAsia="宋体"/>
                <w:color w:val="auto"/>
                <w:sz w:val="21"/>
                <w:szCs w:val="21"/>
                <w:highlight w:val="none"/>
              </w:rPr>
            </w:pPr>
            <w:r>
              <w:rPr>
                <w:rFonts w:eastAsia="宋体"/>
                <w:color w:val="auto"/>
                <w:sz w:val="21"/>
                <w:szCs w:val="21"/>
                <w:highlight w:val="none"/>
              </w:rPr>
              <w:t>65</w:t>
            </w:r>
          </w:p>
        </w:tc>
        <w:tc>
          <w:tcPr>
            <w:tcW w:w="2888" w:type="dxa"/>
            <w:tcBorders>
              <w:tl2br w:val="nil"/>
              <w:tr2bl w:val="nil"/>
            </w:tcBorders>
            <w:vAlign w:val="center"/>
          </w:tcPr>
          <w:p w14:paraId="4B1786F1">
            <w:pPr>
              <w:pStyle w:val="98"/>
              <w:ind w:left="-105" w:right="-105"/>
              <w:rPr>
                <w:rFonts w:eastAsia="宋体"/>
                <w:color w:val="auto"/>
                <w:sz w:val="21"/>
                <w:szCs w:val="21"/>
                <w:highlight w:val="none"/>
              </w:rPr>
            </w:pPr>
            <w:r>
              <w:rPr>
                <w:rFonts w:eastAsia="宋体"/>
                <w:color w:val="auto"/>
                <w:sz w:val="21"/>
                <w:szCs w:val="21"/>
                <w:highlight w:val="none"/>
              </w:rPr>
              <w:t>55</w:t>
            </w:r>
          </w:p>
        </w:tc>
      </w:tr>
    </w:tbl>
    <w:p w14:paraId="71350CAD">
      <w:pPr>
        <w:autoSpaceDE w:val="0"/>
        <w:autoSpaceDN w:val="0"/>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（4）固体废物控制标准</w:t>
      </w:r>
    </w:p>
    <w:p w14:paraId="63C65361">
      <w:pPr>
        <w:autoSpaceDE w:val="0"/>
        <w:autoSpaceDN w:val="0"/>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本项目</w:t>
      </w:r>
      <w:r>
        <w:rPr>
          <w:rFonts w:hint="eastAsia" w:ascii="Times New Roman" w:hAnsi="Times New Roman"/>
          <w:color w:val="auto"/>
          <w:highlight w:val="none"/>
        </w:rPr>
        <w:t>危险固废的暂存场所执行《危险废物贮存污染控制标准》（GB18597-2023）、《省生态环境厅关于印发江苏省危险废物贮存规范化管理专项整治行动方案的通知》（苏环办[2019]149号）和《关于印发&lt;江苏省固体废物全过程环境监管工作意见&gt;》（苏环办〔2024〕16号）；一般固废的暂存执行《一般工业固体废物贮存和填埋污染控制标准》(GB18599-2020)和《关于加强一般工业固体废物管理的通知》（锡环办[2021]138号）</w:t>
      </w:r>
      <w:r>
        <w:rPr>
          <w:rFonts w:ascii="Times New Roman" w:hAnsi="Times New Roman"/>
          <w:color w:val="auto"/>
          <w:highlight w:val="none"/>
        </w:rPr>
        <w:t>。</w:t>
      </w:r>
    </w:p>
    <w:p w14:paraId="0F6203C0">
      <w:pPr>
        <w:pStyle w:val="4"/>
        <w:numPr>
          <w:ilvl w:val="1"/>
          <w:numId w:val="6"/>
        </w:numPr>
        <w:tabs>
          <w:tab w:val="left" w:pos="426"/>
        </w:tabs>
        <w:spacing w:before="120" w:beforeLines="50" w:line="360" w:lineRule="auto"/>
        <w:ind w:left="-105" w:right="-105"/>
        <w:rPr>
          <w:rFonts w:ascii="Times New Roman" w:eastAsia="宋体"/>
          <w:color w:val="auto"/>
          <w:sz w:val="28"/>
          <w:szCs w:val="28"/>
          <w:highlight w:val="none"/>
        </w:rPr>
      </w:pPr>
      <w:bookmarkStart w:id="135" w:name="_Toc60653449"/>
      <w:bookmarkStart w:id="136" w:name="_Toc352006406"/>
      <w:bookmarkStart w:id="137" w:name="_Toc327968201"/>
      <w:bookmarkStart w:id="138" w:name="_Toc25981"/>
      <w:bookmarkStart w:id="139" w:name="_Toc18110"/>
      <w:bookmarkStart w:id="140" w:name="_Toc125882613"/>
      <w:r>
        <w:rPr>
          <w:rFonts w:ascii="Times New Roman" w:eastAsia="宋体"/>
          <w:color w:val="auto"/>
          <w:sz w:val="28"/>
          <w:szCs w:val="28"/>
          <w:highlight w:val="none"/>
        </w:rPr>
        <w:t>评价工作等级、内容及评价重点</w:t>
      </w:r>
      <w:bookmarkEnd w:id="135"/>
      <w:bookmarkEnd w:id="136"/>
      <w:bookmarkEnd w:id="137"/>
      <w:bookmarkEnd w:id="138"/>
      <w:bookmarkEnd w:id="139"/>
    </w:p>
    <w:bookmarkEnd w:id="140"/>
    <w:p w14:paraId="1CA561AE">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41" w:name="_Toc60653450"/>
      <w:r>
        <w:rPr>
          <w:rFonts w:eastAsia="宋体"/>
          <w:color w:val="auto"/>
          <w:sz w:val="28"/>
          <w:szCs w:val="28"/>
          <w:highlight w:val="none"/>
        </w:rPr>
        <w:t>评价工作等级</w:t>
      </w:r>
      <w:bookmarkEnd w:id="141"/>
    </w:p>
    <w:p w14:paraId="45F19A10">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2.4.1.1大气环境影响评价等级</w:t>
      </w:r>
    </w:p>
    <w:p w14:paraId="7CDB2BCB">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根据该项目污染物排放特征、所在地区的地形特点和环境区划功能，按照《环境影响评价技术导则》所规定的方法，确定本次评价工作等级。</w:t>
      </w:r>
    </w:p>
    <w:p w14:paraId="710F3EBA">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（1）环境空气评价工作等级</w:t>
      </w:r>
    </w:p>
    <w:p w14:paraId="22170F1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①</w:t>
      </w:r>
      <w:r>
        <w:rPr>
          <w:rFonts w:ascii="Times New Roman" w:hAnsi="Times New Roman"/>
          <w:color w:val="auto"/>
          <w:highlight w:val="none"/>
        </w:rPr>
        <w:t xml:space="preserve">评价因子和评价标准筛选 </w:t>
      </w:r>
    </w:p>
    <w:p w14:paraId="33550268">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评价因子和评价标准见下表。</w:t>
      </w:r>
    </w:p>
    <w:p w14:paraId="3724A042">
      <w:pPr>
        <w:pStyle w:val="15"/>
        <w:spacing w:line="360" w:lineRule="auto"/>
        <w:ind w:left="-105" w:right="-105" w:firstLine="482"/>
        <w:rPr>
          <w:rFonts w:eastAsia="宋体" w:cs="Times New Roman"/>
          <w:color w:val="auto"/>
          <w:sz w:val="24"/>
          <w:szCs w:val="24"/>
          <w:highlight w:val="none"/>
        </w:rPr>
      </w:pPr>
      <w:bookmarkStart w:id="142" w:name="_Ref17804357"/>
      <w:r>
        <w:rPr>
          <w:rFonts w:eastAsia="宋体" w:cs="Times New Roman"/>
          <w:color w:val="auto"/>
          <w:sz w:val="24"/>
          <w:szCs w:val="18"/>
          <w:highlight w:val="none"/>
        </w:rPr>
        <w:t xml:space="preserve">表 </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142"/>
      <w:r>
        <w:rPr>
          <w:rFonts w:eastAsia="宋体" w:cs="Times New Roman"/>
          <w:color w:val="auto"/>
          <w:sz w:val="24"/>
          <w:szCs w:val="24"/>
          <w:highlight w:val="none"/>
        </w:rPr>
        <w:t>评价因子和评价标准表</w:t>
      </w:r>
    </w:p>
    <w:tbl>
      <w:tblPr>
        <w:tblStyle w:val="45"/>
        <w:tblW w:w="9072"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704"/>
        <w:gridCol w:w="2040"/>
        <w:gridCol w:w="1920"/>
        <w:gridCol w:w="3408"/>
      </w:tblGrid>
      <w:tr w14:paraId="4F51565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39" w:hRule="atLeast"/>
          <w:jc w:val="center"/>
        </w:trPr>
        <w:tc>
          <w:tcPr>
            <w:tcW w:w="1704" w:type="dxa"/>
            <w:tcBorders>
              <w:tl2br w:val="nil"/>
              <w:tr2bl w:val="nil"/>
            </w:tcBorders>
            <w:vAlign w:val="center"/>
          </w:tcPr>
          <w:p w14:paraId="6F3F19F5">
            <w:pPr>
              <w:pStyle w:val="98"/>
              <w:ind w:left="-105" w:right="-105"/>
              <w:rPr>
                <w:rFonts w:eastAsia="宋体"/>
                <w:b/>
                <w:color w:val="auto"/>
                <w:sz w:val="21"/>
                <w:szCs w:val="21"/>
                <w:highlight w:val="none"/>
              </w:rPr>
            </w:pPr>
            <w:r>
              <w:rPr>
                <w:rFonts w:eastAsia="宋体"/>
                <w:b/>
                <w:color w:val="auto"/>
                <w:sz w:val="21"/>
                <w:szCs w:val="21"/>
                <w:highlight w:val="none"/>
              </w:rPr>
              <w:t>评价因子</w:t>
            </w:r>
          </w:p>
        </w:tc>
        <w:tc>
          <w:tcPr>
            <w:tcW w:w="2040" w:type="dxa"/>
            <w:tcBorders>
              <w:tl2br w:val="nil"/>
              <w:tr2bl w:val="nil"/>
            </w:tcBorders>
            <w:vAlign w:val="center"/>
          </w:tcPr>
          <w:p w14:paraId="0BC6529B">
            <w:pPr>
              <w:pStyle w:val="98"/>
              <w:ind w:left="-105" w:right="-105"/>
              <w:rPr>
                <w:rFonts w:eastAsia="宋体"/>
                <w:b/>
                <w:color w:val="auto"/>
                <w:sz w:val="21"/>
                <w:szCs w:val="21"/>
                <w:highlight w:val="none"/>
              </w:rPr>
            </w:pPr>
            <w:r>
              <w:rPr>
                <w:rFonts w:eastAsia="宋体"/>
                <w:b/>
                <w:color w:val="auto"/>
                <w:sz w:val="21"/>
                <w:szCs w:val="21"/>
                <w:highlight w:val="none"/>
              </w:rPr>
              <w:t>平均时段</w:t>
            </w:r>
          </w:p>
        </w:tc>
        <w:tc>
          <w:tcPr>
            <w:tcW w:w="1920" w:type="dxa"/>
            <w:tcBorders>
              <w:tl2br w:val="nil"/>
              <w:tr2bl w:val="nil"/>
            </w:tcBorders>
            <w:vAlign w:val="center"/>
          </w:tcPr>
          <w:p w14:paraId="5FE0F737">
            <w:pPr>
              <w:pStyle w:val="98"/>
              <w:ind w:left="-105" w:right="-105"/>
              <w:rPr>
                <w:rFonts w:eastAsia="宋体"/>
                <w:b/>
                <w:color w:val="auto"/>
                <w:sz w:val="21"/>
                <w:szCs w:val="21"/>
                <w:highlight w:val="none"/>
              </w:rPr>
            </w:pPr>
            <w:r>
              <w:rPr>
                <w:rFonts w:eastAsia="宋体"/>
                <w:b/>
                <w:color w:val="auto"/>
                <w:sz w:val="21"/>
                <w:szCs w:val="21"/>
                <w:highlight w:val="none"/>
              </w:rPr>
              <w:t>标准值</w:t>
            </w:r>
            <w:r>
              <w:rPr>
                <w:rFonts w:eastAsia="宋体"/>
                <w:color w:val="auto"/>
                <w:sz w:val="21"/>
                <w:szCs w:val="21"/>
                <w:highlight w:val="none"/>
              </w:rPr>
              <w:t>μg/m</w:t>
            </w:r>
            <w:r>
              <w:rPr>
                <w:rFonts w:eastAsia="宋体"/>
                <w:color w:val="auto"/>
                <w:sz w:val="21"/>
                <w:szCs w:val="21"/>
                <w:highlight w:val="none"/>
                <w:vertAlign w:val="superscript"/>
              </w:rPr>
              <w:t>3</w:t>
            </w:r>
          </w:p>
        </w:tc>
        <w:tc>
          <w:tcPr>
            <w:tcW w:w="3408" w:type="dxa"/>
            <w:tcBorders>
              <w:tl2br w:val="nil"/>
              <w:tr2bl w:val="nil"/>
            </w:tcBorders>
            <w:vAlign w:val="center"/>
          </w:tcPr>
          <w:p w14:paraId="5C278F9F">
            <w:pPr>
              <w:pStyle w:val="98"/>
              <w:ind w:left="-105" w:right="-105"/>
              <w:rPr>
                <w:rFonts w:eastAsia="宋体"/>
                <w:b/>
                <w:color w:val="auto"/>
                <w:sz w:val="21"/>
                <w:szCs w:val="21"/>
                <w:highlight w:val="none"/>
              </w:rPr>
            </w:pPr>
            <w:r>
              <w:rPr>
                <w:rFonts w:eastAsia="宋体"/>
                <w:b/>
                <w:color w:val="auto"/>
                <w:sz w:val="21"/>
                <w:szCs w:val="21"/>
                <w:highlight w:val="none"/>
              </w:rPr>
              <w:t>标准来源</w:t>
            </w:r>
          </w:p>
        </w:tc>
      </w:tr>
      <w:tr w14:paraId="0802DC9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40" w:hRule="atLeast"/>
          <w:jc w:val="center"/>
        </w:trPr>
        <w:tc>
          <w:tcPr>
            <w:tcW w:w="1704" w:type="dxa"/>
            <w:tcBorders>
              <w:tl2br w:val="nil"/>
              <w:tr2bl w:val="nil"/>
            </w:tcBorders>
            <w:vAlign w:val="center"/>
          </w:tcPr>
          <w:p w14:paraId="00A60101">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非甲烷总烃</w:t>
            </w:r>
          </w:p>
        </w:tc>
        <w:tc>
          <w:tcPr>
            <w:tcW w:w="2040" w:type="dxa"/>
            <w:tcBorders>
              <w:tl2br w:val="nil"/>
              <w:tr2bl w:val="nil"/>
            </w:tcBorders>
            <w:vAlign w:val="center"/>
          </w:tcPr>
          <w:p w14:paraId="3A3FEC0C">
            <w:pPr>
              <w:ind w:left="-105" w:right="-105"/>
              <w:jc w:val="center"/>
              <w:rPr>
                <w:color w:val="auto"/>
                <w:sz w:val="21"/>
                <w:szCs w:val="21"/>
                <w:highlight w:val="none"/>
              </w:rPr>
            </w:pPr>
            <w:r>
              <w:rPr>
                <w:rFonts w:ascii="Times New Roman" w:hAnsi="Times New Roman"/>
                <w:color w:val="auto"/>
                <w:sz w:val="21"/>
                <w:szCs w:val="21"/>
                <w:highlight w:val="none"/>
                <w:lang w:bidi="ar"/>
              </w:rPr>
              <w:t>一次浓度值</w:t>
            </w:r>
          </w:p>
        </w:tc>
        <w:tc>
          <w:tcPr>
            <w:tcW w:w="1920" w:type="dxa"/>
            <w:tcBorders>
              <w:tl2br w:val="nil"/>
              <w:tr2bl w:val="nil"/>
            </w:tcBorders>
            <w:vAlign w:val="center"/>
          </w:tcPr>
          <w:p w14:paraId="077C35F5">
            <w:pPr>
              <w:ind w:left="-105" w:right="-105"/>
              <w:jc w:val="center"/>
              <w:rPr>
                <w:color w:val="auto"/>
                <w:sz w:val="21"/>
                <w:szCs w:val="21"/>
                <w:highlight w:val="none"/>
              </w:rPr>
            </w:pPr>
            <w:r>
              <w:rPr>
                <w:rFonts w:hint="eastAsia" w:ascii="Times New Roman" w:hAnsi="Times New Roman"/>
                <w:color w:val="auto"/>
                <w:sz w:val="21"/>
                <w:szCs w:val="21"/>
                <w:highlight w:val="none"/>
              </w:rPr>
              <w:t>2000</w:t>
            </w:r>
          </w:p>
        </w:tc>
        <w:tc>
          <w:tcPr>
            <w:tcW w:w="3408" w:type="dxa"/>
            <w:tcBorders>
              <w:tl2br w:val="nil"/>
              <w:tr2bl w:val="nil"/>
            </w:tcBorders>
            <w:vAlign w:val="center"/>
          </w:tcPr>
          <w:p w14:paraId="35641D2D">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《大气污染物综合排放标准详解》</w:t>
            </w:r>
          </w:p>
        </w:tc>
      </w:tr>
    </w:tbl>
    <w:p w14:paraId="4A4DB20C">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②</w:t>
      </w:r>
      <w:r>
        <w:rPr>
          <w:rFonts w:ascii="Times New Roman" w:hAnsi="Times New Roman"/>
          <w:color w:val="auto"/>
          <w:highlight w:val="none"/>
        </w:rPr>
        <w:t>估算模型参数表</w:t>
      </w:r>
    </w:p>
    <w:p w14:paraId="4638673F">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估算模型参数表见下表。</w:t>
      </w:r>
    </w:p>
    <w:p w14:paraId="6DF04702">
      <w:pPr>
        <w:pStyle w:val="15"/>
        <w:spacing w:line="360" w:lineRule="auto"/>
        <w:ind w:left="-105" w:right="-105" w:firstLine="482"/>
        <w:rPr>
          <w:rFonts w:eastAsia="宋体" w:cs="Times New Roman"/>
          <w:color w:val="auto"/>
          <w:sz w:val="24"/>
          <w:szCs w:val="24"/>
          <w:highlight w:val="none"/>
        </w:rPr>
      </w:pPr>
      <w:bookmarkStart w:id="143" w:name="_Ref17804348"/>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bookmarkEnd w:id="143"/>
      <w:r>
        <w:rPr>
          <w:rFonts w:eastAsia="宋体" w:cs="Times New Roman"/>
          <w:color w:val="auto"/>
          <w:sz w:val="24"/>
          <w:szCs w:val="24"/>
          <w:highlight w:val="none"/>
        </w:rPr>
        <w:t>估算模型参数表</w:t>
      </w:r>
    </w:p>
    <w:tbl>
      <w:tblPr>
        <w:tblStyle w:val="45"/>
        <w:tblW w:w="907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3024"/>
        <w:gridCol w:w="3024"/>
        <w:gridCol w:w="3024"/>
      </w:tblGrid>
      <w:tr w14:paraId="4E4AB0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6048" w:type="dxa"/>
            <w:gridSpan w:val="2"/>
            <w:tcBorders>
              <w:left w:val="nil"/>
              <w:bottom w:val="single" w:color="000000" w:sz="4" w:space="0"/>
              <w:right w:val="single" w:color="000000" w:sz="4" w:space="0"/>
            </w:tcBorders>
            <w:vAlign w:val="center"/>
          </w:tcPr>
          <w:p w14:paraId="3F5F440C">
            <w:pPr>
              <w:pStyle w:val="98"/>
              <w:ind w:left="-105" w:right="-105"/>
              <w:rPr>
                <w:rFonts w:eastAsia="宋体"/>
                <w:b/>
                <w:color w:val="auto"/>
                <w:sz w:val="21"/>
                <w:szCs w:val="21"/>
                <w:highlight w:val="none"/>
              </w:rPr>
            </w:pPr>
            <w:r>
              <w:rPr>
                <w:rFonts w:eastAsia="宋体"/>
                <w:b/>
                <w:color w:val="auto"/>
                <w:sz w:val="21"/>
                <w:szCs w:val="21"/>
                <w:highlight w:val="none"/>
              </w:rPr>
              <w:t>参数</w:t>
            </w:r>
          </w:p>
        </w:tc>
        <w:tc>
          <w:tcPr>
            <w:tcW w:w="3024" w:type="dxa"/>
            <w:tcBorders>
              <w:left w:val="single" w:color="000000" w:sz="4" w:space="0"/>
              <w:bottom w:val="single" w:color="000000" w:sz="4" w:space="0"/>
              <w:right w:val="nil"/>
            </w:tcBorders>
            <w:vAlign w:val="center"/>
          </w:tcPr>
          <w:p w14:paraId="146682B0">
            <w:pPr>
              <w:pStyle w:val="98"/>
              <w:ind w:left="-105" w:right="-105"/>
              <w:rPr>
                <w:rFonts w:eastAsia="宋体"/>
                <w:b/>
                <w:color w:val="auto"/>
                <w:sz w:val="21"/>
                <w:szCs w:val="21"/>
                <w:highlight w:val="none"/>
              </w:rPr>
            </w:pPr>
            <w:r>
              <w:rPr>
                <w:rFonts w:eastAsia="宋体"/>
                <w:b/>
                <w:color w:val="auto"/>
                <w:sz w:val="21"/>
                <w:szCs w:val="21"/>
                <w:highlight w:val="none"/>
              </w:rPr>
              <w:t>取值</w:t>
            </w:r>
          </w:p>
        </w:tc>
      </w:tr>
      <w:tr w14:paraId="1FA56D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3024" w:type="dxa"/>
            <w:vMerge w:val="restart"/>
            <w:tcBorders>
              <w:top w:val="single" w:color="000000" w:sz="4" w:space="0"/>
              <w:left w:val="nil"/>
              <w:bottom w:val="single" w:color="000000" w:sz="4" w:space="0"/>
              <w:right w:val="single" w:color="000000" w:sz="4" w:space="0"/>
            </w:tcBorders>
            <w:vAlign w:val="center"/>
          </w:tcPr>
          <w:p w14:paraId="67300902">
            <w:pPr>
              <w:pStyle w:val="98"/>
              <w:ind w:left="-105" w:right="-105"/>
              <w:rPr>
                <w:rFonts w:eastAsia="宋体"/>
                <w:color w:val="auto"/>
                <w:sz w:val="21"/>
                <w:szCs w:val="21"/>
                <w:highlight w:val="none"/>
              </w:rPr>
            </w:pPr>
            <w:r>
              <w:rPr>
                <w:rFonts w:eastAsia="宋体"/>
                <w:color w:val="auto"/>
                <w:sz w:val="21"/>
                <w:szCs w:val="21"/>
                <w:highlight w:val="none"/>
              </w:rPr>
              <w:t>城市/农村选项</w:t>
            </w:r>
          </w:p>
        </w:tc>
        <w:tc>
          <w:tcPr>
            <w:tcW w:w="3024" w:type="dxa"/>
            <w:tcBorders>
              <w:top w:val="single" w:color="000000" w:sz="4" w:space="0"/>
              <w:left w:val="single" w:color="000000" w:sz="4" w:space="0"/>
              <w:bottom w:val="single" w:color="000000" w:sz="4" w:space="0"/>
              <w:right w:val="single" w:color="000000" w:sz="4" w:space="0"/>
            </w:tcBorders>
            <w:vAlign w:val="center"/>
          </w:tcPr>
          <w:p w14:paraId="1BC502C0">
            <w:pPr>
              <w:pStyle w:val="98"/>
              <w:ind w:left="-105" w:right="-105"/>
              <w:rPr>
                <w:rFonts w:eastAsia="宋体"/>
                <w:color w:val="auto"/>
                <w:sz w:val="21"/>
                <w:szCs w:val="21"/>
                <w:highlight w:val="none"/>
              </w:rPr>
            </w:pPr>
            <w:r>
              <w:rPr>
                <w:rFonts w:eastAsia="宋体"/>
                <w:color w:val="auto"/>
                <w:sz w:val="21"/>
                <w:szCs w:val="21"/>
                <w:highlight w:val="none"/>
              </w:rPr>
              <w:t>城市/农村</w:t>
            </w:r>
          </w:p>
        </w:tc>
        <w:tc>
          <w:tcPr>
            <w:tcW w:w="3024" w:type="dxa"/>
            <w:tcBorders>
              <w:top w:val="single" w:color="000000" w:sz="4" w:space="0"/>
              <w:left w:val="single" w:color="000000" w:sz="4" w:space="0"/>
              <w:bottom w:val="single" w:color="000000" w:sz="4" w:space="0"/>
              <w:right w:val="nil"/>
            </w:tcBorders>
            <w:vAlign w:val="center"/>
          </w:tcPr>
          <w:p w14:paraId="09496BB4">
            <w:pPr>
              <w:pStyle w:val="98"/>
              <w:ind w:left="-105" w:right="-105"/>
              <w:rPr>
                <w:rFonts w:eastAsia="宋体"/>
                <w:color w:val="auto"/>
                <w:sz w:val="21"/>
                <w:szCs w:val="21"/>
                <w:highlight w:val="none"/>
              </w:rPr>
            </w:pPr>
            <w:r>
              <w:rPr>
                <w:rFonts w:hint="eastAsia" w:eastAsia="宋体"/>
                <w:color w:val="auto"/>
                <w:sz w:val="21"/>
                <w:szCs w:val="21"/>
                <w:highlight w:val="none"/>
                <w:lang w:val="en-US"/>
              </w:rPr>
              <w:t>农村</w:t>
            </w:r>
          </w:p>
        </w:tc>
      </w:tr>
      <w:tr w14:paraId="057D70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3024" w:type="dxa"/>
            <w:vMerge w:val="continue"/>
            <w:tcBorders>
              <w:top w:val="nil"/>
              <w:left w:val="nil"/>
              <w:bottom w:val="single" w:color="000000" w:sz="4" w:space="0"/>
              <w:right w:val="single" w:color="000000" w:sz="4" w:space="0"/>
            </w:tcBorders>
            <w:vAlign w:val="center"/>
          </w:tcPr>
          <w:p w14:paraId="6B0F475B">
            <w:pPr>
              <w:ind w:left="-105" w:right="-105"/>
              <w:jc w:val="center"/>
              <w:rPr>
                <w:rFonts w:ascii="Times New Roman" w:hAnsi="Times New Roman"/>
                <w:color w:val="auto"/>
                <w:sz w:val="21"/>
                <w:szCs w:val="21"/>
                <w:highlight w:val="none"/>
              </w:rPr>
            </w:pPr>
          </w:p>
        </w:tc>
        <w:tc>
          <w:tcPr>
            <w:tcW w:w="3024" w:type="dxa"/>
            <w:tcBorders>
              <w:top w:val="single" w:color="000000" w:sz="4" w:space="0"/>
              <w:left w:val="single" w:color="000000" w:sz="4" w:space="0"/>
              <w:bottom w:val="single" w:color="000000" w:sz="4" w:space="0"/>
              <w:right w:val="single" w:color="000000" w:sz="4" w:space="0"/>
            </w:tcBorders>
            <w:vAlign w:val="center"/>
          </w:tcPr>
          <w:p w14:paraId="30A1E8D5">
            <w:pPr>
              <w:pStyle w:val="98"/>
              <w:ind w:left="-105" w:right="-105"/>
              <w:rPr>
                <w:rFonts w:eastAsia="宋体"/>
                <w:color w:val="auto"/>
                <w:sz w:val="21"/>
                <w:szCs w:val="21"/>
                <w:highlight w:val="none"/>
              </w:rPr>
            </w:pPr>
            <w:r>
              <w:rPr>
                <w:rFonts w:eastAsia="宋体"/>
                <w:color w:val="auto"/>
                <w:sz w:val="21"/>
                <w:szCs w:val="21"/>
                <w:highlight w:val="none"/>
              </w:rPr>
              <w:t>人口数（城市选项）</w:t>
            </w:r>
          </w:p>
        </w:tc>
        <w:tc>
          <w:tcPr>
            <w:tcW w:w="3024" w:type="dxa"/>
            <w:tcBorders>
              <w:top w:val="single" w:color="000000" w:sz="4" w:space="0"/>
              <w:left w:val="single" w:color="000000" w:sz="4" w:space="0"/>
              <w:bottom w:val="single" w:color="000000" w:sz="4" w:space="0"/>
              <w:right w:val="nil"/>
            </w:tcBorders>
            <w:vAlign w:val="center"/>
          </w:tcPr>
          <w:p w14:paraId="6095A1ED">
            <w:pPr>
              <w:pStyle w:val="98"/>
              <w:ind w:left="-105" w:right="-105"/>
              <w:rPr>
                <w:rFonts w:eastAsia="宋体"/>
                <w:color w:val="auto"/>
                <w:sz w:val="21"/>
                <w:szCs w:val="21"/>
                <w:highlight w:val="none"/>
              </w:rPr>
            </w:pPr>
            <w:r>
              <w:rPr>
                <w:rFonts w:hint="eastAsia" w:eastAsia="宋体"/>
                <w:color w:val="auto"/>
                <w:sz w:val="21"/>
                <w:szCs w:val="21"/>
                <w:highlight w:val="none"/>
                <w:lang w:val="en-US"/>
              </w:rPr>
              <w:t>/</w:t>
            </w:r>
          </w:p>
        </w:tc>
      </w:tr>
      <w:tr w14:paraId="459E5C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39" w:hRule="atLeast"/>
          <w:jc w:val="center"/>
        </w:trPr>
        <w:tc>
          <w:tcPr>
            <w:tcW w:w="6048" w:type="dxa"/>
            <w:gridSpan w:val="2"/>
            <w:tcBorders>
              <w:top w:val="single" w:color="000000" w:sz="4" w:space="0"/>
              <w:left w:val="nil"/>
              <w:bottom w:val="single" w:color="000000" w:sz="4" w:space="0"/>
              <w:right w:val="single" w:color="000000" w:sz="4" w:space="0"/>
            </w:tcBorders>
            <w:vAlign w:val="center"/>
          </w:tcPr>
          <w:p w14:paraId="077D9E76">
            <w:pPr>
              <w:pStyle w:val="98"/>
              <w:ind w:left="-105" w:right="-105"/>
              <w:rPr>
                <w:rFonts w:eastAsia="宋体"/>
                <w:color w:val="auto"/>
                <w:sz w:val="21"/>
                <w:szCs w:val="21"/>
                <w:highlight w:val="none"/>
              </w:rPr>
            </w:pPr>
            <w:r>
              <w:rPr>
                <w:rFonts w:eastAsia="宋体"/>
                <w:color w:val="auto"/>
                <w:sz w:val="21"/>
                <w:szCs w:val="21"/>
                <w:highlight w:val="none"/>
              </w:rPr>
              <w:t>最高环境温度/℃</w:t>
            </w:r>
          </w:p>
        </w:tc>
        <w:tc>
          <w:tcPr>
            <w:tcW w:w="3024" w:type="dxa"/>
            <w:tcBorders>
              <w:top w:val="single" w:color="000000" w:sz="4" w:space="0"/>
              <w:left w:val="single" w:color="000000" w:sz="4" w:space="0"/>
              <w:bottom w:val="single" w:color="000000" w:sz="4" w:space="0"/>
              <w:right w:val="nil"/>
            </w:tcBorders>
            <w:vAlign w:val="center"/>
          </w:tcPr>
          <w:p w14:paraId="73ADAC0A">
            <w:pPr>
              <w:pStyle w:val="98"/>
              <w:ind w:left="-105" w:right="-105"/>
              <w:rPr>
                <w:rFonts w:eastAsia="宋体"/>
                <w:color w:val="auto"/>
                <w:sz w:val="21"/>
                <w:szCs w:val="21"/>
                <w:highlight w:val="none"/>
                <w:lang w:val="en-US"/>
              </w:rPr>
            </w:pPr>
            <w:r>
              <w:rPr>
                <w:rFonts w:hint="eastAsia" w:eastAsia="宋体"/>
                <w:color w:val="auto"/>
                <w:sz w:val="21"/>
                <w:szCs w:val="21"/>
                <w:highlight w:val="none"/>
                <w:lang w:val="en-US"/>
              </w:rPr>
              <w:t>39.9</w:t>
            </w:r>
          </w:p>
        </w:tc>
      </w:tr>
      <w:tr w14:paraId="3903B6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6048" w:type="dxa"/>
            <w:gridSpan w:val="2"/>
            <w:tcBorders>
              <w:top w:val="single" w:color="000000" w:sz="4" w:space="0"/>
              <w:left w:val="nil"/>
              <w:bottom w:val="single" w:color="000000" w:sz="4" w:space="0"/>
              <w:right w:val="single" w:color="000000" w:sz="4" w:space="0"/>
            </w:tcBorders>
            <w:vAlign w:val="center"/>
          </w:tcPr>
          <w:p w14:paraId="3AC96424">
            <w:pPr>
              <w:pStyle w:val="98"/>
              <w:ind w:left="-105" w:right="-105"/>
              <w:rPr>
                <w:rFonts w:eastAsia="宋体"/>
                <w:color w:val="auto"/>
                <w:sz w:val="21"/>
                <w:szCs w:val="21"/>
                <w:highlight w:val="none"/>
              </w:rPr>
            </w:pPr>
            <w:r>
              <w:rPr>
                <w:rFonts w:eastAsia="宋体"/>
                <w:color w:val="auto"/>
                <w:sz w:val="21"/>
                <w:szCs w:val="21"/>
                <w:highlight w:val="none"/>
              </w:rPr>
              <w:t>最低环境温度/℃</w:t>
            </w:r>
          </w:p>
        </w:tc>
        <w:tc>
          <w:tcPr>
            <w:tcW w:w="3024" w:type="dxa"/>
            <w:tcBorders>
              <w:top w:val="single" w:color="000000" w:sz="4" w:space="0"/>
              <w:left w:val="single" w:color="000000" w:sz="4" w:space="0"/>
              <w:bottom w:val="single" w:color="000000" w:sz="4" w:space="0"/>
              <w:right w:val="nil"/>
            </w:tcBorders>
            <w:vAlign w:val="center"/>
          </w:tcPr>
          <w:p w14:paraId="4DCF51D0">
            <w:pPr>
              <w:pStyle w:val="98"/>
              <w:ind w:left="-105" w:right="-105"/>
              <w:rPr>
                <w:rFonts w:eastAsia="宋体"/>
                <w:color w:val="auto"/>
                <w:sz w:val="21"/>
                <w:szCs w:val="21"/>
                <w:highlight w:val="none"/>
                <w:lang w:val="en-US"/>
              </w:rPr>
            </w:pPr>
            <w:r>
              <w:rPr>
                <w:rFonts w:eastAsia="宋体"/>
                <w:color w:val="auto"/>
                <w:sz w:val="21"/>
                <w:szCs w:val="21"/>
                <w:highlight w:val="none"/>
              </w:rPr>
              <w:t>-1</w:t>
            </w:r>
            <w:r>
              <w:rPr>
                <w:rFonts w:hint="eastAsia" w:eastAsia="宋体"/>
                <w:color w:val="auto"/>
                <w:sz w:val="21"/>
                <w:szCs w:val="21"/>
                <w:highlight w:val="none"/>
                <w:lang w:val="en-US"/>
              </w:rPr>
              <w:t>2.5</w:t>
            </w:r>
          </w:p>
        </w:tc>
      </w:tr>
      <w:tr w14:paraId="5DCA88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6048" w:type="dxa"/>
            <w:gridSpan w:val="2"/>
            <w:tcBorders>
              <w:top w:val="single" w:color="000000" w:sz="4" w:space="0"/>
              <w:left w:val="nil"/>
              <w:bottom w:val="single" w:color="000000" w:sz="4" w:space="0"/>
              <w:right w:val="single" w:color="000000" w:sz="4" w:space="0"/>
            </w:tcBorders>
            <w:vAlign w:val="center"/>
          </w:tcPr>
          <w:p w14:paraId="4443DE7C">
            <w:pPr>
              <w:pStyle w:val="98"/>
              <w:ind w:left="-105" w:right="-105"/>
              <w:rPr>
                <w:rFonts w:eastAsia="宋体"/>
                <w:color w:val="auto"/>
                <w:sz w:val="21"/>
                <w:szCs w:val="21"/>
                <w:highlight w:val="none"/>
              </w:rPr>
            </w:pPr>
            <w:r>
              <w:rPr>
                <w:rFonts w:eastAsia="宋体"/>
                <w:color w:val="auto"/>
                <w:sz w:val="21"/>
                <w:szCs w:val="21"/>
                <w:highlight w:val="none"/>
              </w:rPr>
              <w:t>土地利用类型</w:t>
            </w:r>
          </w:p>
        </w:tc>
        <w:tc>
          <w:tcPr>
            <w:tcW w:w="3024" w:type="dxa"/>
            <w:tcBorders>
              <w:top w:val="single" w:color="000000" w:sz="4" w:space="0"/>
              <w:left w:val="single" w:color="000000" w:sz="4" w:space="0"/>
              <w:bottom w:val="single" w:color="000000" w:sz="4" w:space="0"/>
              <w:right w:val="nil"/>
            </w:tcBorders>
            <w:vAlign w:val="center"/>
          </w:tcPr>
          <w:p w14:paraId="19D66462">
            <w:pPr>
              <w:pStyle w:val="98"/>
              <w:ind w:left="-105" w:right="-105"/>
              <w:rPr>
                <w:rFonts w:eastAsia="宋体"/>
                <w:color w:val="auto"/>
                <w:sz w:val="21"/>
                <w:szCs w:val="21"/>
                <w:highlight w:val="none"/>
              </w:rPr>
            </w:pPr>
            <w:r>
              <w:rPr>
                <w:rFonts w:eastAsia="宋体"/>
                <w:color w:val="auto"/>
                <w:sz w:val="21"/>
                <w:szCs w:val="21"/>
                <w:highlight w:val="none"/>
              </w:rPr>
              <w:t>城市</w:t>
            </w:r>
          </w:p>
        </w:tc>
      </w:tr>
      <w:tr w14:paraId="0A7503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39" w:hRule="atLeast"/>
          <w:jc w:val="center"/>
        </w:trPr>
        <w:tc>
          <w:tcPr>
            <w:tcW w:w="6048" w:type="dxa"/>
            <w:gridSpan w:val="2"/>
            <w:tcBorders>
              <w:top w:val="single" w:color="000000" w:sz="4" w:space="0"/>
              <w:left w:val="nil"/>
              <w:bottom w:val="single" w:color="000000" w:sz="4" w:space="0"/>
              <w:right w:val="single" w:color="000000" w:sz="4" w:space="0"/>
            </w:tcBorders>
            <w:vAlign w:val="center"/>
          </w:tcPr>
          <w:p w14:paraId="27DF3CBE">
            <w:pPr>
              <w:pStyle w:val="98"/>
              <w:ind w:left="-105" w:right="-105"/>
              <w:rPr>
                <w:rFonts w:eastAsia="宋体"/>
                <w:color w:val="auto"/>
                <w:sz w:val="21"/>
                <w:szCs w:val="21"/>
                <w:highlight w:val="none"/>
              </w:rPr>
            </w:pPr>
            <w:r>
              <w:rPr>
                <w:rFonts w:eastAsia="宋体"/>
                <w:color w:val="auto"/>
                <w:sz w:val="21"/>
                <w:szCs w:val="21"/>
                <w:highlight w:val="none"/>
              </w:rPr>
              <w:t>区域湿度条件</w:t>
            </w:r>
          </w:p>
        </w:tc>
        <w:tc>
          <w:tcPr>
            <w:tcW w:w="3024" w:type="dxa"/>
            <w:tcBorders>
              <w:top w:val="single" w:color="000000" w:sz="4" w:space="0"/>
              <w:left w:val="single" w:color="000000" w:sz="4" w:space="0"/>
              <w:bottom w:val="single" w:color="000000" w:sz="4" w:space="0"/>
              <w:right w:val="nil"/>
            </w:tcBorders>
            <w:vAlign w:val="center"/>
          </w:tcPr>
          <w:p w14:paraId="128E662C">
            <w:pPr>
              <w:pStyle w:val="98"/>
              <w:ind w:left="-105" w:right="-105"/>
              <w:rPr>
                <w:rFonts w:eastAsia="宋体"/>
                <w:color w:val="auto"/>
                <w:sz w:val="21"/>
                <w:szCs w:val="21"/>
                <w:highlight w:val="none"/>
              </w:rPr>
            </w:pPr>
            <w:r>
              <w:rPr>
                <w:rFonts w:eastAsia="宋体"/>
                <w:color w:val="auto"/>
                <w:sz w:val="21"/>
                <w:szCs w:val="21"/>
                <w:highlight w:val="none"/>
              </w:rPr>
              <w:t>湿润区</w:t>
            </w:r>
          </w:p>
        </w:tc>
      </w:tr>
      <w:tr w14:paraId="3C28D0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3024" w:type="dxa"/>
            <w:vMerge w:val="restart"/>
            <w:tcBorders>
              <w:top w:val="single" w:color="000000" w:sz="4" w:space="0"/>
              <w:left w:val="nil"/>
              <w:bottom w:val="single" w:color="000000" w:sz="4" w:space="0"/>
              <w:right w:val="single" w:color="000000" w:sz="4" w:space="0"/>
            </w:tcBorders>
            <w:vAlign w:val="center"/>
          </w:tcPr>
          <w:p w14:paraId="0B839184">
            <w:pPr>
              <w:pStyle w:val="98"/>
              <w:ind w:left="-105" w:right="-105"/>
              <w:rPr>
                <w:rFonts w:eastAsia="宋体"/>
                <w:color w:val="auto"/>
                <w:sz w:val="21"/>
                <w:szCs w:val="21"/>
                <w:highlight w:val="none"/>
              </w:rPr>
            </w:pPr>
            <w:r>
              <w:rPr>
                <w:rFonts w:eastAsia="宋体"/>
                <w:color w:val="auto"/>
                <w:sz w:val="21"/>
                <w:szCs w:val="21"/>
                <w:highlight w:val="none"/>
              </w:rPr>
              <w:t>是否考虑地形</w:t>
            </w:r>
          </w:p>
        </w:tc>
        <w:tc>
          <w:tcPr>
            <w:tcW w:w="3024" w:type="dxa"/>
            <w:tcBorders>
              <w:top w:val="single" w:color="000000" w:sz="4" w:space="0"/>
              <w:left w:val="single" w:color="000000" w:sz="4" w:space="0"/>
              <w:bottom w:val="single" w:color="000000" w:sz="4" w:space="0"/>
              <w:right w:val="single" w:color="000000" w:sz="4" w:space="0"/>
            </w:tcBorders>
            <w:vAlign w:val="center"/>
          </w:tcPr>
          <w:p w14:paraId="23027F13">
            <w:pPr>
              <w:pStyle w:val="98"/>
              <w:ind w:left="-105" w:right="-105"/>
              <w:rPr>
                <w:rFonts w:eastAsia="宋体"/>
                <w:color w:val="auto"/>
                <w:sz w:val="21"/>
                <w:szCs w:val="21"/>
                <w:highlight w:val="none"/>
              </w:rPr>
            </w:pPr>
            <w:r>
              <w:rPr>
                <w:rFonts w:eastAsia="宋体"/>
                <w:color w:val="auto"/>
                <w:sz w:val="21"/>
                <w:szCs w:val="21"/>
                <w:highlight w:val="none"/>
              </w:rPr>
              <w:t>考虑地形</w:t>
            </w:r>
          </w:p>
        </w:tc>
        <w:tc>
          <w:tcPr>
            <w:tcW w:w="3024" w:type="dxa"/>
            <w:tcBorders>
              <w:top w:val="single" w:color="000000" w:sz="4" w:space="0"/>
              <w:left w:val="single" w:color="000000" w:sz="4" w:space="0"/>
              <w:bottom w:val="single" w:color="000000" w:sz="4" w:space="0"/>
              <w:right w:val="nil"/>
            </w:tcBorders>
            <w:vAlign w:val="center"/>
          </w:tcPr>
          <w:p w14:paraId="34E03356">
            <w:pPr>
              <w:pStyle w:val="98"/>
              <w:tabs>
                <w:tab w:val="left" w:pos="726"/>
              </w:tabs>
              <w:ind w:left="-105" w:right="-105"/>
              <w:rPr>
                <w:rFonts w:eastAsia="宋体"/>
                <w:color w:val="auto"/>
                <w:sz w:val="21"/>
                <w:szCs w:val="21"/>
                <w:highlight w:val="none"/>
              </w:rPr>
            </w:pPr>
            <w:r>
              <w:rPr>
                <w:rFonts w:eastAsia="宋体"/>
                <w:color w:val="auto"/>
                <w:sz w:val="21"/>
                <w:szCs w:val="21"/>
                <w:highlight w:val="none"/>
              </w:rPr>
              <w:t>是</w:t>
            </w:r>
            <w:sdt>
              <w:sdtPr>
                <w:rPr>
                  <w:rFonts w:eastAsia="宋体"/>
                  <w:color w:val="auto"/>
                  <w:sz w:val="21"/>
                  <w:szCs w:val="21"/>
                  <w:highlight w:val="none"/>
                </w:rPr>
                <w:id w:val="745457553"/>
                <w14:checkbox>
                  <w14:checked w14:val="1"/>
                  <w14:checkedState w14:val="0052" w14:font="新宋体"/>
                  <w14:uncheckedState w14:val="2610" w14:font="MS Gothic"/>
                </w14:checkbox>
              </w:sdtPr>
              <w:sdtEndPr>
                <w:rPr>
                  <w:rFonts w:eastAsia="宋体"/>
                  <w:color w:val="auto"/>
                  <w:sz w:val="21"/>
                  <w:szCs w:val="21"/>
                  <w:highlight w:val="none"/>
                </w:rPr>
              </w:sdtEndPr>
              <w:sdtContent>
                <w:r>
                  <w:rPr>
                    <w:rFonts w:eastAsia="宋体"/>
                    <w:color w:val="auto"/>
                    <w:sz w:val="21"/>
                    <w:szCs w:val="21"/>
                    <w:highlight w:val="none"/>
                  </w:rPr>
                  <w:sym w:font="Wingdings 2" w:char="F052"/>
                </w:r>
              </w:sdtContent>
            </w:sdt>
            <w:r>
              <w:rPr>
                <w:rFonts w:hint="eastAsia" w:eastAsia="宋体"/>
                <w:color w:val="auto"/>
                <w:sz w:val="21"/>
                <w:szCs w:val="21"/>
                <w:highlight w:val="none"/>
                <w:lang w:val="en-US"/>
              </w:rPr>
              <w:t xml:space="preserve">  </w:t>
            </w:r>
            <w:r>
              <w:rPr>
                <w:rFonts w:eastAsia="宋体"/>
                <w:color w:val="auto"/>
                <w:sz w:val="21"/>
                <w:szCs w:val="21"/>
                <w:highlight w:val="none"/>
              </w:rPr>
              <w:t>否</w:t>
            </w:r>
            <w:sdt>
              <w:sdtPr>
                <w:rPr>
                  <w:rFonts w:eastAsia="宋体"/>
                  <w:color w:val="auto"/>
                  <w:sz w:val="21"/>
                  <w:szCs w:val="21"/>
                  <w:highlight w:val="none"/>
                </w:rPr>
                <w:id w:val="507872320"/>
                <w14:checkbox>
                  <w14:checked w14:val="0"/>
                  <w14:checkedState w14:val="0052" w14:font="新宋体"/>
                  <w14:uncheckedState w14:val="2610" w14:font="MS Gothic"/>
                </w14:checkbox>
              </w:sdtPr>
              <w:sdtEndPr>
                <w:rPr>
                  <w:rFonts w:eastAsia="宋体"/>
                  <w:color w:val="auto"/>
                  <w:sz w:val="21"/>
                  <w:szCs w:val="21"/>
                  <w:highlight w:val="none"/>
                </w:rPr>
              </w:sdtEndPr>
              <w:sdtContent>
                <w:r>
                  <w:rPr>
                    <w:rFonts w:ascii="MS Gothic" w:hAnsi="MS Gothic" w:eastAsia="宋体"/>
                    <w:color w:val="auto"/>
                    <w:sz w:val="21"/>
                    <w:szCs w:val="21"/>
                    <w:highlight w:val="none"/>
                  </w:rPr>
                  <w:t>☐</w:t>
                </w:r>
              </w:sdtContent>
            </w:sdt>
          </w:p>
        </w:tc>
      </w:tr>
      <w:tr w14:paraId="553296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3024" w:type="dxa"/>
            <w:vMerge w:val="continue"/>
            <w:tcBorders>
              <w:top w:val="nil"/>
              <w:left w:val="nil"/>
              <w:bottom w:val="single" w:color="000000" w:sz="4" w:space="0"/>
              <w:right w:val="single" w:color="000000" w:sz="4" w:space="0"/>
            </w:tcBorders>
            <w:vAlign w:val="center"/>
          </w:tcPr>
          <w:p w14:paraId="2284A747">
            <w:pPr>
              <w:ind w:left="-105" w:right="-105"/>
              <w:jc w:val="center"/>
              <w:rPr>
                <w:rFonts w:ascii="Times New Roman" w:hAnsi="Times New Roman"/>
                <w:color w:val="auto"/>
                <w:sz w:val="21"/>
                <w:szCs w:val="21"/>
                <w:highlight w:val="none"/>
              </w:rPr>
            </w:pPr>
          </w:p>
        </w:tc>
        <w:tc>
          <w:tcPr>
            <w:tcW w:w="3024" w:type="dxa"/>
            <w:tcBorders>
              <w:top w:val="single" w:color="000000" w:sz="4" w:space="0"/>
              <w:left w:val="single" w:color="000000" w:sz="4" w:space="0"/>
              <w:bottom w:val="single" w:color="000000" w:sz="4" w:space="0"/>
              <w:right w:val="single" w:color="000000" w:sz="4" w:space="0"/>
            </w:tcBorders>
            <w:vAlign w:val="center"/>
          </w:tcPr>
          <w:p w14:paraId="18A98BA9">
            <w:pPr>
              <w:pStyle w:val="98"/>
              <w:ind w:left="-105" w:right="-105"/>
              <w:rPr>
                <w:rFonts w:eastAsia="宋体"/>
                <w:color w:val="auto"/>
                <w:sz w:val="21"/>
                <w:szCs w:val="21"/>
                <w:highlight w:val="none"/>
              </w:rPr>
            </w:pPr>
            <w:r>
              <w:rPr>
                <w:rFonts w:eastAsia="宋体"/>
                <w:color w:val="auto"/>
                <w:sz w:val="21"/>
                <w:szCs w:val="21"/>
                <w:highlight w:val="none"/>
              </w:rPr>
              <w:t>地形数据分辨率/m</w:t>
            </w:r>
          </w:p>
        </w:tc>
        <w:tc>
          <w:tcPr>
            <w:tcW w:w="3024" w:type="dxa"/>
            <w:tcBorders>
              <w:top w:val="single" w:color="000000" w:sz="4" w:space="0"/>
              <w:left w:val="single" w:color="000000" w:sz="4" w:space="0"/>
              <w:bottom w:val="single" w:color="000000" w:sz="4" w:space="0"/>
              <w:right w:val="nil"/>
            </w:tcBorders>
            <w:vAlign w:val="center"/>
          </w:tcPr>
          <w:p w14:paraId="71BD5D69">
            <w:pPr>
              <w:pStyle w:val="98"/>
              <w:ind w:left="-105" w:right="-105"/>
              <w:rPr>
                <w:rFonts w:eastAsia="宋体"/>
                <w:color w:val="auto"/>
                <w:sz w:val="21"/>
                <w:szCs w:val="21"/>
                <w:highlight w:val="none"/>
              </w:rPr>
            </w:pPr>
            <w:r>
              <w:rPr>
                <w:rFonts w:eastAsia="宋体"/>
                <w:color w:val="auto"/>
                <w:sz w:val="21"/>
                <w:szCs w:val="21"/>
                <w:highlight w:val="none"/>
              </w:rPr>
              <w:t>90</w:t>
            </w:r>
          </w:p>
        </w:tc>
      </w:tr>
      <w:tr w14:paraId="6C7CA5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29" w:hRule="atLeast"/>
          <w:jc w:val="center"/>
        </w:trPr>
        <w:tc>
          <w:tcPr>
            <w:tcW w:w="3024" w:type="dxa"/>
            <w:vMerge w:val="restart"/>
            <w:tcBorders>
              <w:top w:val="single" w:color="000000" w:sz="4" w:space="0"/>
              <w:left w:val="nil"/>
              <w:right w:val="single" w:color="000000" w:sz="4" w:space="0"/>
            </w:tcBorders>
            <w:vAlign w:val="center"/>
          </w:tcPr>
          <w:p w14:paraId="7A0103AC">
            <w:pPr>
              <w:pStyle w:val="98"/>
              <w:ind w:left="-105" w:right="-105"/>
              <w:rPr>
                <w:rFonts w:eastAsia="宋体"/>
                <w:color w:val="auto"/>
                <w:sz w:val="21"/>
                <w:szCs w:val="21"/>
                <w:highlight w:val="none"/>
              </w:rPr>
            </w:pPr>
            <w:r>
              <w:rPr>
                <w:rFonts w:eastAsia="宋体"/>
                <w:color w:val="auto"/>
                <w:sz w:val="21"/>
                <w:szCs w:val="21"/>
                <w:highlight w:val="none"/>
              </w:rPr>
              <w:t>是否考虑岸线熏烟</w:t>
            </w:r>
          </w:p>
        </w:tc>
        <w:tc>
          <w:tcPr>
            <w:tcW w:w="3024" w:type="dxa"/>
            <w:tcBorders>
              <w:top w:val="single" w:color="000000" w:sz="4" w:space="0"/>
              <w:left w:val="single" w:color="000000" w:sz="4" w:space="0"/>
              <w:bottom w:val="single" w:color="000000" w:sz="4" w:space="0"/>
              <w:right w:val="single" w:color="000000" w:sz="4" w:space="0"/>
            </w:tcBorders>
            <w:vAlign w:val="center"/>
          </w:tcPr>
          <w:p w14:paraId="3C140393">
            <w:pPr>
              <w:pStyle w:val="98"/>
              <w:ind w:left="-105" w:right="-105"/>
              <w:rPr>
                <w:rFonts w:eastAsia="宋体"/>
                <w:color w:val="auto"/>
                <w:sz w:val="21"/>
                <w:szCs w:val="21"/>
                <w:highlight w:val="none"/>
              </w:rPr>
            </w:pPr>
            <w:r>
              <w:rPr>
                <w:rFonts w:eastAsia="宋体"/>
                <w:color w:val="auto"/>
                <w:sz w:val="21"/>
                <w:szCs w:val="21"/>
                <w:highlight w:val="none"/>
              </w:rPr>
              <w:t>考虑岸线熏烟</w:t>
            </w:r>
          </w:p>
        </w:tc>
        <w:tc>
          <w:tcPr>
            <w:tcW w:w="3024" w:type="dxa"/>
            <w:tcBorders>
              <w:top w:val="single" w:color="000000" w:sz="4" w:space="0"/>
              <w:left w:val="single" w:color="000000" w:sz="4" w:space="0"/>
              <w:bottom w:val="single" w:color="000000" w:sz="4" w:space="0"/>
              <w:right w:val="nil"/>
            </w:tcBorders>
            <w:vAlign w:val="center"/>
          </w:tcPr>
          <w:p w14:paraId="41518B0C">
            <w:pPr>
              <w:pStyle w:val="98"/>
              <w:ind w:left="-105" w:right="-105"/>
              <w:rPr>
                <w:rFonts w:eastAsia="宋体"/>
                <w:color w:val="auto"/>
                <w:sz w:val="21"/>
                <w:szCs w:val="21"/>
                <w:highlight w:val="none"/>
              </w:rPr>
            </w:pPr>
            <w:r>
              <w:rPr>
                <w:rFonts w:eastAsia="宋体"/>
                <w:color w:val="auto"/>
                <w:sz w:val="21"/>
                <w:szCs w:val="21"/>
                <w:highlight w:val="none"/>
              </w:rPr>
              <w:t>是</w:t>
            </w:r>
            <w:sdt>
              <w:sdtPr>
                <w:rPr>
                  <w:rFonts w:eastAsia="宋体"/>
                  <w:color w:val="auto"/>
                  <w:sz w:val="21"/>
                  <w:szCs w:val="21"/>
                  <w:highlight w:val="none"/>
                </w:rPr>
                <w:id w:val="1939950461"/>
                <w14:checkbox>
                  <w14:checked w14:val="0"/>
                  <w14:checkedState w14:val="0052" w14:font="新宋体"/>
                  <w14:uncheckedState w14:val="2610" w14:font="MS Gothic"/>
                </w14:checkbox>
              </w:sdtPr>
              <w:sdtEndPr>
                <w:rPr>
                  <w:rFonts w:eastAsia="宋体"/>
                  <w:color w:val="auto"/>
                  <w:sz w:val="21"/>
                  <w:szCs w:val="21"/>
                  <w:highlight w:val="none"/>
                </w:rPr>
              </w:sdtEndPr>
              <w:sdtContent>
                <w:r>
                  <w:rPr>
                    <w:rFonts w:ascii="Segoe UI Symbol" w:hAnsi="Segoe UI Symbol" w:eastAsia="宋体" w:cs="Segoe UI Symbol"/>
                    <w:color w:val="auto"/>
                    <w:sz w:val="21"/>
                    <w:szCs w:val="21"/>
                    <w:highlight w:val="none"/>
                  </w:rPr>
                  <w:t>☐</w:t>
                </w:r>
              </w:sdtContent>
            </w:sdt>
            <w:r>
              <w:rPr>
                <w:rFonts w:eastAsia="宋体"/>
                <w:color w:val="auto"/>
                <w:sz w:val="21"/>
                <w:szCs w:val="21"/>
                <w:highlight w:val="none"/>
              </w:rPr>
              <w:t xml:space="preserve">  否</w:t>
            </w:r>
            <w:sdt>
              <w:sdtPr>
                <w:rPr>
                  <w:rFonts w:eastAsia="宋体"/>
                  <w:color w:val="auto"/>
                  <w:sz w:val="21"/>
                  <w:szCs w:val="21"/>
                  <w:highlight w:val="none"/>
                </w:rPr>
                <w:id w:val="1918433642"/>
                <w14:checkbox>
                  <w14:checked w14:val="1"/>
                  <w14:checkedState w14:val="0052" w14:font="新宋体"/>
                  <w14:uncheckedState w14:val="2610" w14:font="MS Gothic"/>
                </w14:checkbox>
              </w:sdtPr>
              <w:sdtEndPr>
                <w:rPr>
                  <w:rFonts w:eastAsia="宋体"/>
                  <w:color w:val="auto"/>
                  <w:sz w:val="21"/>
                  <w:szCs w:val="21"/>
                  <w:highlight w:val="none"/>
                </w:rPr>
              </w:sdtEndPr>
              <w:sdtContent>
                <w:r>
                  <w:rPr>
                    <w:rFonts w:eastAsia="宋体"/>
                    <w:color w:val="auto"/>
                    <w:sz w:val="21"/>
                    <w:szCs w:val="21"/>
                    <w:highlight w:val="none"/>
                  </w:rPr>
                  <w:sym w:font="Wingdings 2" w:char="F052"/>
                </w:r>
              </w:sdtContent>
            </w:sdt>
          </w:p>
        </w:tc>
      </w:tr>
      <w:tr w14:paraId="2C20D9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20" w:hRule="atLeast"/>
          <w:jc w:val="center"/>
        </w:trPr>
        <w:tc>
          <w:tcPr>
            <w:tcW w:w="3024" w:type="dxa"/>
            <w:vMerge w:val="continue"/>
            <w:tcBorders>
              <w:top w:val="nil"/>
              <w:left w:val="nil"/>
              <w:right w:val="single" w:color="000000" w:sz="4" w:space="0"/>
            </w:tcBorders>
            <w:vAlign w:val="center"/>
          </w:tcPr>
          <w:p w14:paraId="6FC3B616">
            <w:pPr>
              <w:ind w:left="-105" w:right="-105"/>
              <w:jc w:val="center"/>
              <w:rPr>
                <w:rFonts w:ascii="Times New Roman" w:hAnsi="Times New Roman"/>
                <w:color w:val="auto"/>
                <w:sz w:val="21"/>
                <w:szCs w:val="21"/>
                <w:highlight w:val="none"/>
              </w:rPr>
            </w:pPr>
          </w:p>
        </w:tc>
        <w:tc>
          <w:tcPr>
            <w:tcW w:w="3024" w:type="dxa"/>
            <w:tcBorders>
              <w:top w:val="single" w:color="000000" w:sz="4" w:space="0"/>
              <w:left w:val="single" w:color="000000" w:sz="4" w:space="0"/>
              <w:bottom w:val="single" w:color="000000" w:sz="4" w:space="0"/>
              <w:right w:val="single" w:color="000000" w:sz="4" w:space="0"/>
            </w:tcBorders>
            <w:vAlign w:val="center"/>
          </w:tcPr>
          <w:p w14:paraId="54EA32A4">
            <w:pPr>
              <w:pStyle w:val="98"/>
              <w:ind w:left="-105" w:right="-105"/>
              <w:rPr>
                <w:rFonts w:eastAsia="宋体"/>
                <w:color w:val="auto"/>
                <w:sz w:val="21"/>
                <w:szCs w:val="21"/>
                <w:highlight w:val="none"/>
              </w:rPr>
            </w:pPr>
            <w:r>
              <w:rPr>
                <w:rFonts w:eastAsia="宋体"/>
                <w:color w:val="auto"/>
                <w:sz w:val="21"/>
                <w:szCs w:val="21"/>
                <w:highlight w:val="none"/>
              </w:rPr>
              <w:t>岸线距离/km</w:t>
            </w:r>
          </w:p>
        </w:tc>
        <w:tc>
          <w:tcPr>
            <w:tcW w:w="3024" w:type="dxa"/>
            <w:tcBorders>
              <w:top w:val="single" w:color="000000" w:sz="4" w:space="0"/>
              <w:left w:val="single" w:color="000000" w:sz="4" w:space="0"/>
              <w:bottom w:val="single" w:color="000000" w:sz="4" w:space="0"/>
              <w:right w:val="nil"/>
            </w:tcBorders>
            <w:vAlign w:val="center"/>
          </w:tcPr>
          <w:p w14:paraId="7F867B0C">
            <w:pPr>
              <w:pStyle w:val="98"/>
              <w:ind w:left="-105" w:right="-105"/>
              <w:rPr>
                <w:rFonts w:eastAsia="宋体"/>
                <w:color w:val="auto"/>
                <w:sz w:val="21"/>
                <w:szCs w:val="21"/>
                <w:highlight w:val="none"/>
              </w:rPr>
            </w:pPr>
            <w:r>
              <w:rPr>
                <w:rFonts w:eastAsia="宋体"/>
                <w:color w:val="auto"/>
                <w:sz w:val="21"/>
                <w:szCs w:val="21"/>
                <w:highlight w:val="none"/>
              </w:rPr>
              <w:t>—</w:t>
            </w:r>
          </w:p>
        </w:tc>
      </w:tr>
      <w:tr w14:paraId="31D969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30" w:hRule="atLeast"/>
          <w:jc w:val="center"/>
        </w:trPr>
        <w:tc>
          <w:tcPr>
            <w:tcW w:w="3024" w:type="dxa"/>
            <w:vMerge w:val="continue"/>
            <w:tcBorders>
              <w:top w:val="nil"/>
              <w:left w:val="nil"/>
              <w:right w:val="single" w:color="000000" w:sz="4" w:space="0"/>
            </w:tcBorders>
            <w:vAlign w:val="center"/>
          </w:tcPr>
          <w:p w14:paraId="61BDF3CF">
            <w:pPr>
              <w:ind w:left="-105" w:right="-105"/>
              <w:jc w:val="center"/>
              <w:rPr>
                <w:rFonts w:ascii="Times New Roman" w:hAnsi="Times New Roman"/>
                <w:color w:val="auto"/>
                <w:sz w:val="21"/>
                <w:szCs w:val="21"/>
                <w:highlight w:val="none"/>
              </w:rPr>
            </w:pPr>
          </w:p>
        </w:tc>
        <w:tc>
          <w:tcPr>
            <w:tcW w:w="3024" w:type="dxa"/>
            <w:tcBorders>
              <w:top w:val="single" w:color="000000" w:sz="4" w:space="0"/>
              <w:left w:val="single" w:color="000000" w:sz="4" w:space="0"/>
              <w:right w:val="single" w:color="000000" w:sz="4" w:space="0"/>
            </w:tcBorders>
            <w:vAlign w:val="center"/>
          </w:tcPr>
          <w:p w14:paraId="48BD1AB4">
            <w:pPr>
              <w:pStyle w:val="98"/>
              <w:ind w:left="-105" w:right="-105"/>
              <w:rPr>
                <w:rFonts w:eastAsia="宋体"/>
                <w:color w:val="auto"/>
                <w:sz w:val="21"/>
                <w:szCs w:val="21"/>
                <w:highlight w:val="none"/>
              </w:rPr>
            </w:pPr>
            <w:r>
              <w:rPr>
                <w:rFonts w:eastAsia="宋体"/>
                <w:color w:val="auto"/>
                <w:sz w:val="21"/>
                <w:szCs w:val="21"/>
                <w:highlight w:val="none"/>
              </w:rPr>
              <w:t>岸线方向/°</w:t>
            </w:r>
          </w:p>
        </w:tc>
        <w:tc>
          <w:tcPr>
            <w:tcW w:w="3024" w:type="dxa"/>
            <w:tcBorders>
              <w:top w:val="single" w:color="000000" w:sz="4" w:space="0"/>
              <w:left w:val="single" w:color="000000" w:sz="4" w:space="0"/>
              <w:right w:val="nil"/>
            </w:tcBorders>
            <w:vAlign w:val="center"/>
          </w:tcPr>
          <w:p w14:paraId="126EAD6B">
            <w:pPr>
              <w:pStyle w:val="98"/>
              <w:ind w:left="-105" w:right="-105"/>
              <w:rPr>
                <w:rFonts w:eastAsia="宋体"/>
                <w:color w:val="auto"/>
                <w:sz w:val="21"/>
                <w:szCs w:val="21"/>
                <w:highlight w:val="none"/>
              </w:rPr>
            </w:pPr>
            <w:r>
              <w:rPr>
                <w:rFonts w:eastAsia="宋体"/>
                <w:color w:val="auto"/>
                <w:sz w:val="21"/>
                <w:szCs w:val="21"/>
                <w:highlight w:val="none"/>
              </w:rPr>
              <w:t>—</w:t>
            </w:r>
          </w:p>
        </w:tc>
      </w:tr>
    </w:tbl>
    <w:p w14:paraId="5BAF2B94">
      <w:pPr>
        <w:pStyle w:val="20"/>
        <w:spacing w:line="360" w:lineRule="auto"/>
        <w:ind w:left="-105" w:right="-105" w:firstLine="480" w:firstLineChars="200"/>
        <w:jc w:val="both"/>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③</w:t>
      </w:r>
      <w:r>
        <w:rPr>
          <w:rFonts w:ascii="Times New Roman" w:hAnsi="Times New Roman" w:cs="Times New Roman"/>
          <w:color w:val="auto"/>
          <w:sz w:val="24"/>
          <w:szCs w:val="24"/>
          <w:highlight w:val="none"/>
        </w:rPr>
        <w:t>评价等级判定</w:t>
      </w:r>
    </w:p>
    <w:p w14:paraId="732B947C">
      <w:pPr>
        <w:pStyle w:val="20"/>
        <w:spacing w:line="360" w:lineRule="auto"/>
        <w:ind w:left="-105" w:right="-105"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根据《环境影响评价技术导则大气环境》（HJ2.2-2018），采用推荐模式中的估算模型 AERSCREEN 对污染物的最大地面占标率Pi（第 i个污染物）及第i个污染物的地面浓度达标准限值10%时所对应的最远距离D10%进行计算。其中Pi定义如下：</w:t>
      </w:r>
    </w:p>
    <w:p w14:paraId="31FFA42E">
      <w:pPr>
        <w:spacing w:before="5" w:line="360" w:lineRule="auto"/>
        <w:ind w:left="-105" w:right="-105"/>
        <w:jc w:val="center"/>
        <w:rPr>
          <w:rFonts w:ascii="Times New Roman" w:hAnsi="Times New Roman"/>
          <w:color w:val="auto"/>
          <w:szCs w:val="22"/>
          <w:highlight w:val="none"/>
        </w:rPr>
      </w:pPr>
      <w:r>
        <w:rPr>
          <w:rFonts w:ascii="Times New Roman" w:hAnsi="Times New Roman"/>
          <w:color w:val="auto"/>
          <w:szCs w:val="22"/>
          <w:highlight w:val="none"/>
        </w:rPr>
        <mc:AlternateContent>
          <mc:Choice Requires="wps">
            <w:drawing>
              <wp:anchor distT="0" distB="0" distL="114300" distR="114300" simplePos="0" relativeHeight="251661312" behindDoc="1" locked="0" layoutInCell="1" allowOverlap="1">
                <wp:simplePos x="0" y="0"/>
                <wp:positionH relativeFrom="page">
                  <wp:posOffset>3587750</wp:posOffset>
                </wp:positionH>
                <wp:positionV relativeFrom="paragraph">
                  <wp:posOffset>204470</wp:posOffset>
                </wp:positionV>
                <wp:extent cx="184785" cy="0"/>
                <wp:effectExtent l="6350" t="13970" r="8890" b="50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7687">
                          <a:solidFill>
                            <a:srgbClr val="000000"/>
                          </a:solidFill>
                          <a:round/>
                        </a:ln>
                      </wps:spPr>
                      <wps:bodyPr/>
                    </wps:wsp>
                  </a:graphicData>
                </a:graphic>
              </wp:anchor>
            </w:drawing>
          </mc:Choice>
          <mc:Fallback>
            <w:pict>
              <v:line id="_x0000_s1026" o:spid="_x0000_s1026" o:spt="20" style="position:absolute;left:0pt;margin-left:282.5pt;margin-top:16.1pt;height:0pt;width:14.55pt;mso-position-horizontal-relative:page;z-index:-251655168;mso-width-relative:page;mso-height-relative:page;" filled="f" stroked="t" coordsize="21600,21600" o:gfxdata="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7H7PZAAAA&#10;CQEAAA8AAAAAAAAAAQAgAAAAIgAAAGRycy9kb3ducmV2LnhtbFBLAQIUABQAAAAIAIdO4kBfLEbI&#10;4wEAAKkDAAAOAAAAAAAAAAEAIAAAACgBAABkcnMvZTJvRG9jLnhtbFBLBQYAAAAABgAGAFkBAAB9&#10;BQAAAAA=&#10;">
                <v:fill on="f" focussize="0,0"/>
                <v:stroke weight="0.605275590551181pt" color="#000000" joinstyle="round"/>
                <v:imagedata o:title=""/>
                <o:lock v:ext="edit" aspectratio="f"/>
              </v:line>
            </w:pict>
          </mc:Fallback>
        </mc:AlternateContent>
      </w:r>
      <w:bookmarkStart w:id="144" w:name="_Hlk17802883"/>
      <w:r>
        <w:rPr>
          <w:rFonts w:ascii="Times New Roman" w:hAnsi="Times New Roman"/>
          <w:color w:val="auto"/>
          <w:position w:val="1"/>
          <w:sz w:val="22"/>
          <w:szCs w:val="22"/>
          <w:highlight w:val="none"/>
        </w:rPr>
        <w:t>P</w:t>
      </w:r>
      <w:r>
        <w:rPr>
          <w:rFonts w:ascii="Times New Roman" w:hAnsi="Times New Roman"/>
          <w:color w:val="auto"/>
          <w:position w:val="1"/>
          <w:sz w:val="13"/>
          <w:szCs w:val="22"/>
          <w:highlight w:val="none"/>
        </w:rPr>
        <w:t>i</w:t>
      </w:r>
      <w:r>
        <w:rPr>
          <w:rFonts w:ascii="Times New Roman" w:hAnsi="Times New Roman"/>
          <w:color w:val="auto"/>
          <w:position w:val="1"/>
          <w:sz w:val="22"/>
          <w:szCs w:val="22"/>
          <w:highlight w:val="none"/>
        </w:rPr>
        <w:t>＝</w:t>
      </w:r>
      <w:r>
        <w:rPr>
          <w:rFonts w:ascii="Times New Roman" w:hAnsi="Times New Roman"/>
          <w:color w:val="auto"/>
          <w:position w:val="16"/>
          <w:sz w:val="22"/>
          <w:szCs w:val="22"/>
          <w:highlight w:val="none"/>
        </w:rPr>
        <w:t>C</w:t>
      </w:r>
      <w:r>
        <w:rPr>
          <w:rFonts w:ascii="Times New Roman" w:hAnsi="Times New Roman"/>
          <w:color w:val="auto"/>
          <w:position w:val="16"/>
          <w:sz w:val="13"/>
          <w:szCs w:val="22"/>
          <w:highlight w:val="none"/>
        </w:rPr>
        <w:t xml:space="preserve">i </w:t>
      </w:r>
      <w:r>
        <w:rPr>
          <w:rFonts w:ascii="Times New Roman" w:hAnsi="Times New Roman"/>
          <w:color w:val="auto"/>
          <w:szCs w:val="22"/>
          <w:highlight w:val="none"/>
        </w:rPr>
        <w:t>×100%</w:t>
      </w:r>
      <w:bookmarkEnd w:id="144"/>
    </w:p>
    <w:p w14:paraId="270D25BC">
      <w:pPr>
        <w:spacing w:line="360" w:lineRule="auto"/>
        <w:ind w:left="-105" w:right="-105" w:firstLine="440"/>
        <w:jc w:val="center"/>
        <w:rPr>
          <w:rFonts w:ascii="Times New Roman" w:hAnsi="Times New Roman"/>
          <w:color w:val="auto"/>
          <w:sz w:val="13"/>
          <w:szCs w:val="22"/>
          <w:highlight w:val="none"/>
        </w:rPr>
      </w:pPr>
      <w:r>
        <w:rPr>
          <w:rFonts w:ascii="Times New Roman" w:hAnsi="Times New Roman"/>
          <w:color w:val="auto"/>
          <w:sz w:val="22"/>
          <w:szCs w:val="22"/>
          <w:highlight w:val="none"/>
        </w:rPr>
        <w:t>C</w:t>
      </w:r>
      <w:r>
        <w:rPr>
          <w:rFonts w:ascii="Times New Roman" w:hAnsi="Times New Roman"/>
          <w:color w:val="auto"/>
          <w:sz w:val="13"/>
          <w:szCs w:val="22"/>
          <w:highlight w:val="none"/>
        </w:rPr>
        <w:t>0i</w:t>
      </w:r>
    </w:p>
    <w:p w14:paraId="018760D5">
      <w:pPr>
        <w:pStyle w:val="20"/>
        <w:spacing w:line="360" w:lineRule="auto"/>
        <w:ind w:left="-105" w:right="-105" w:firstLine="480" w:firstLineChars="20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P</w:t>
      </w:r>
      <w:r>
        <w:rPr>
          <w:rFonts w:ascii="Times New Roman" w:hAnsi="Times New Roman" w:cs="Times New Roman"/>
          <w:color w:val="auto"/>
          <w:sz w:val="24"/>
          <w:szCs w:val="24"/>
          <w:highlight w:val="none"/>
          <w:vertAlign w:val="subscript"/>
          <w:lang w:val="en-US"/>
        </w:rPr>
        <w:t>i</w:t>
      </w:r>
      <w:r>
        <w:rPr>
          <w:rFonts w:ascii="Times New Roman" w:hAnsi="Times New Roman" w:cs="Times New Roman"/>
          <w:color w:val="auto"/>
          <w:sz w:val="24"/>
          <w:szCs w:val="24"/>
          <w:highlight w:val="none"/>
          <w:lang w:val="en-US"/>
        </w:rPr>
        <w:t>—</w:t>
      </w:r>
      <w:r>
        <w:rPr>
          <w:rFonts w:ascii="Times New Roman" w:hAnsi="Times New Roman" w:cs="Times New Roman"/>
          <w:color w:val="auto"/>
          <w:sz w:val="24"/>
          <w:szCs w:val="24"/>
          <w:highlight w:val="none"/>
        </w:rPr>
        <w:t>第</w:t>
      </w:r>
      <w:r>
        <w:rPr>
          <w:rFonts w:ascii="Times New Roman" w:hAnsi="Times New Roman" w:cs="Times New Roman"/>
          <w:color w:val="auto"/>
          <w:sz w:val="24"/>
          <w:szCs w:val="24"/>
          <w:highlight w:val="none"/>
          <w:lang w:val="en-US"/>
        </w:rPr>
        <w:t>i</w:t>
      </w:r>
      <w:r>
        <w:rPr>
          <w:rFonts w:ascii="Times New Roman" w:hAnsi="Times New Roman" w:cs="Times New Roman"/>
          <w:color w:val="auto"/>
          <w:sz w:val="24"/>
          <w:szCs w:val="24"/>
          <w:highlight w:val="none"/>
        </w:rPr>
        <w:t>个污染物的最大地面空气质量浓度占标率</w:t>
      </w:r>
      <w:r>
        <w:rPr>
          <w:rFonts w:ascii="Times New Roman" w:hAnsi="Times New Roman" w:cs="Times New Roman"/>
          <w:color w:val="auto"/>
          <w:sz w:val="24"/>
          <w:szCs w:val="24"/>
          <w:highlight w:val="none"/>
          <w:lang w:val="en-US"/>
        </w:rPr>
        <w:t>，%；</w:t>
      </w:r>
    </w:p>
    <w:p w14:paraId="4D4456BF">
      <w:pPr>
        <w:pStyle w:val="20"/>
        <w:spacing w:line="360" w:lineRule="auto"/>
        <w:ind w:left="-105" w:right="-105"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w:t>
      </w:r>
      <w:r>
        <w:rPr>
          <w:rFonts w:ascii="Times New Roman" w:hAnsi="Times New Roman" w:cs="Times New Roman"/>
          <w:color w:val="auto"/>
          <w:sz w:val="24"/>
          <w:szCs w:val="24"/>
          <w:highlight w:val="none"/>
          <w:vertAlign w:val="subscript"/>
        </w:rPr>
        <w:t>i</w:t>
      </w:r>
      <w:r>
        <w:rPr>
          <w:rFonts w:ascii="Times New Roman" w:hAnsi="Times New Roman" w:cs="Times New Roman"/>
          <w:color w:val="auto"/>
          <w:sz w:val="24"/>
          <w:szCs w:val="24"/>
          <w:highlight w:val="none"/>
        </w:rPr>
        <w:t>—采用估算模式计算出的第i个污染物的最大1h地面空气质量浓度，μg/m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p>
    <w:p w14:paraId="202B3A4A">
      <w:pPr>
        <w:spacing w:line="360" w:lineRule="auto"/>
        <w:ind w:left="-105" w:right="-105" w:firstLine="480" w:firstLineChars="200"/>
        <w:rPr>
          <w:rFonts w:ascii="Times New Roman" w:hAnsi="Times New Roman"/>
          <w:color w:val="auto"/>
          <w:highlight w:val="none"/>
          <w:lang w:val="zh-CN" w:bidi="zh-CN"/>
        </w:rPr>
      </w:pPr>
      <w:r>
        <w:rPr>
          <w:rFonts w:ascii="Times New Roman" w:hAnsi="Times New Roman"/>
          <w:color w:val="auto"/>
          <w:szCs w:val="22"/>
          <w:highlight w:val="none"/>
        </w:rPr>
        <w:t>C</w:t>
      </w:r>
      <w:r>
        <w:rPr>
          <w:rFonts w:ascii="Times New Roman" w:hAnsi="Times New Roman"/>
          <w:color w:val="auto"/>
          <w:szCs w:val="22"/>
          <w:highlight w:val="none"/>
          <w:vertAlign w:val="subscript"/>
        </w:rPr>
        <w:t>0i</w:t>
      </w:r>
      <w:r>
        <w:rPr>
          <w:rFonts w:ascii="Times New Roman" w:hAnsi="Times New Roman"/>
          <w:color w:val="auto"/>
          <w:szCs w:val="22"/>
          <w:highlight w:val="none"/>
        </w:rPr>
        <w:t>—</w:t>
      </w:r>
      <w:r>
        <w:rPr>
          <w:rFonts w:ascii="Times New Roman" w:hAnsi="Times New Roman"/>
          <w:color w:val="auto"/>
          <w:highlight w:val="none"/>
          <w:lang w:val="zh-CN" w:bidi="zh-CN"/>
        </w:rPr>
        <w:t>第i个污染物的环境空气质量浓度标准，μg/m</w:t>
      </w:r>
      <w:r>
        <w:rPr>
          <w:rFonts w:ascii="Times New Roman" w:hAnsi="Times New Roman"/>
          <w:color w:val="auto"/>
          <w:highlight w:val="none"/>
          <w:vertAlign w:val="superscript"/>
          <w:lang w:val="zh-CN" w:bidi="zh-CN"/>
        </w:rPr>
        <w:t>3</w:t>
      </w:r>
      <w:r>
        <w:rPr>
          <w:rFonts w:ascii="Times New Roman" w:hAnsi="Times New Roman"/>
          <w:color w:val="auto"/>
          <w:highlight w:val="none"/>
          <w:lang w:val="zh-CN" w:bidi="zh-CN"/>
        </w:rPr>
        <w:t>。</w:t>
      </w:r>
    </w:p>
    <w:p w14:paraId="51A7F750">
      <w:pPr>
        <w:pStyle w:val="15"/>
        <w:spacing w:line="360" w:lineRule="auto"/>
        <w:ind w:left="-105" w:right="-105" w:firstLine="482"/>
        <w:rPr>
          <w:rFonts w:eastAsia="宋体" w:cs="Times New Roman"/>
          <w:color w:val="auto"/>
          <w:sz w:val="24"/>
          <w:szCs w:val="24"/>
          <w:highlight w:val="none"/>
        </w:rPr>
      </w:pPr>
      <w:bookmarkStart w:id="145" w:name="_Ref1780438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w:t>
      </w:r>
      <w:r>
        <w:rPr>
          <w:rFonts w:eastAsia="宋体" w:cs="Times New Roman"/>
          <w:color w:val="auto"/>
          <w:sz w:val="24"/>
          <w:szCs w:val="18"/>
          <w:highlight w:val="none"/>
        </w:rPr>
        <w:fldChar w:fldCharType="end"/>
      </w:r>
      <w:bookmarkEnd w:id="145"/>
      <w:r>
        <w:rPr>
          <w:rFonts w:eastAsia="宋体" w:cs="Times New Roman"/>
          <w:color w:val="auto"/>
          <w:sz w:val="24"/>
          <w:szCs w:val="24"/>
          <w:highlight w:val="none"/>
        </w:rPr>
        <w:t>大气环境评价工作等级分级判据</w:t>
      </w:r>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2217"/>
        <w:gridCol w:w="6503"/>
      </w:tblGrid>
      <w:tr w14:paraId="2BAC6D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2261" w:type="dxa"/>
            <w:tcBorders>
              <w:left w:val="nil"/>
              <w:bottom w:val="single" w:color="000000" w:sz="4" w:space="0"/>
              <w:right w:val="single" w:color="000000" w:sz="4" w:space="0"/>
            </w:tcBorders>
          </w:tcPr>
          <w:p w14:paraId="125C72CF">
            <w:pPr>
              <w:pStyle w:val="98"/>
              <w:ind w:left="-105" w:right="-105"/>
              <w:rPr>
                <w:rFonts w:eastAsia="宋体"/>
                <w:b/>
                <w:color w:val="auto"/>
                <w:sz w:val="21"/>
                <w:szCs w:val="21"/>
                <w:highlight w:val="none"/>
              </w:rPr>
            </w:pPr>
            <w:r>
              <w:rPr>
                <w:rFonts w:eastAsia="宋体"/>
                <w:b/>
                <w:color w:val="auto"/>
                <w:sz w:val="21"/>
                <w:szCs w:val="21"/>
                <w:highlight w:val="none"/>
              </w:rPr>
              <w:t>评价工作等级</w:t>
            </w:r>
          </w:p>
        </w:tc>
        <w:tc>
          <w:tcPr>
            <w:tcW w:w="6656" w:type="dxa"/>
            <w:tcBorders>
              <w:left w:val="single" w:color="000000" w:sz="4" w:space="0"/>
              <w:bottom w:val="single" w:color="000000" w:sz="4" w:space="0"/>
              <w:right w:val="nil"/>
            </w:tcBorders>
          </w:tcPr>
          <w:p w14:paraId="564B775B">
            <w:pPr>
              <w:pStyle w:val="98"/>
              <w:ind w:left="-105" w:right="-105"/>
              <w:rPr>
                <w:rFonts w:eastAsia="宋体"/>
                <w:b/>
                <w:color w:val="auto"/>
                <w:sz w:val="21"/>
                <w:szCs w:val="21"/>
                <w:highlight w:val="none"/>
              </w:rPr>
            </w:pPr>
            <w:r>
              <w:rPr>
                <w:rFonts w:eastAsia="宋体"/>
                <w:b/>
                <w:color w:val="auto"/>
                <w:sz w:val="21"/>
                <w:szCs w:val="21"/>
                <w:highlight w:val="none"/>
              </w:rPr>
              <w:t>评价工作分级判据</w:t>
            </w:r>
          </w:p>
        </w:tc>
      </w:tr>
      <w:tr w14:paraId="00E2CF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2261" w:type="dxa"/>
            <w:tcBorders>
              <w:top w:val="single" w:color="000000" w:sz="4" w:space="0"/>
              <w:left w:val="nil"/>
              <w:bottom w:val="single" w:color="000000" w:sz="4" w:space="0"/>
              <w:right w:val="single" w:color="000000" w:sz="4" w:space="0"/>
            </w:tcBorders>
          </w:tcPr>
          <w:p w14:paraId="7B70018C">
            <w:pPr>
              <w:pStyle w:val="98"/>
              <w:ind w:left="-105" w:right="-105"/>
              <w:rPr>
                <w:rFonts w:eastAsia="宋体"/>
                <w:color w:val="auto"/>
                <w:sz w:val="21"/>
                <w:szCs w:val="21"/>
                <w:highlight w:val="none"/>
              </w:rPr>
            </w:pPr>
            <w:r>
              <w:rPr>
                <w:rFonts w:eastAsia="宋体"/>
                <w:color w:val="auto"/>
                <w:sz w:val="21"/>
                <w:szCs w:val="21"/>
                <w:highlight w:val="none"/>
              </w:rPr>
              <w:t>一级</w:t>
            </w:r>
          </w:p>
        </w:tc>
        <w:tc>
          <w:tcPr>
            <w:tcW w:w="6656" w:type="dxa"/>
            <w:tcBorders>
              <w:top w:val="single" w:color="000000" w:sz="4" w:space="0"/>
              <w:left w:val="single" w:color="000000" w:sz="4" w:space="0"/>
              <w:bottom w:val="single" w:color="000000" w:sz="4" w:space="0"/>
              <w:right w:val="nil"/>
            </w:tcBorders>
          </w:tcPr>
          <w:p w14:paraId="052B9437">
            <w:pPr>
              <w:pStyle w:val="98"/>
              <w:ind w:left="-105" w:right="-105"/>
              <w:rPr>
                <w:rFonts w:eastAsia="宋体"/>
                <w:color w:val="auto"/>
                <w:sz w:val="21"/>
                <w:szCs w:val="21"/>
                <w:highlight w:val="none"/>
              </w:rPr>
            </w:pPr>
            <w:r>
              <w:rPr>
                <w:rFonts w:eastAsia="宋体"/>
                <w:color w:val="auto"/>
                <w:position w:val="1"/>
                <w:sz w:val="21"/>
                <w:szCs w:val="21"/>
                <w:highlight w:val="none"/>
              </w:rPr>
              <w:t>P</w:t>
            </w:r>
            <w:r>
              <w:rPr>
                <w:rFonts w:eastAsia="宋体"/>
                <w:color w:val="auto"/>
                <w:sz w:val="21"/>
                <w:szCs w:val="21"/>
                <w:highlight w:val="none"/>
              </w:rPr>
              <w:t>max</w:t>
            </w:r>
            <w:r>
              <w:rPr>
                <w:rFonts w:eastAsia="宋体"/>
                <w:color w:val="auto"/>
                <w:position w:val="1"/>
                <w:sz w:val="21"/>
                <w:szCs w:val="21"/>
                <w:highlight w:val="none"/>
              </w:rPr>
              <w:t>≥10%</w:t>
            </w:r>
          </w:p>
        </w:tc>
      </w:tr>
      <w:tr w14:paraId="34306D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2261" w:type="dxa"/>
            <w:tcBorders>
              <w:top w:val="single" w:color="000000" w:sz="4" w:space="0"/>
              <w:left w:val="nil"/>
              <w:bottom w:val="single" w:color="000000" w:sz="4" w:space="0"/>
              <w:right w:val="single" w:color="000000" w:sz="4" w:space="0"/>
            </w:tcBorders>
          </w:tcPr>
          <w:p w14:paraId="090D0F60">
            <w:pPr>
              <w:pStyle w:val="98"/>
              <w:ind w:left="-105" w:right="-105"/>
              <w:rPr>
                <w:rFonts w:eastAsia="宋体"/>
                <w:color w:val="auto"/>
                <w:sz w:val="21"/>
                <w:szCs w:val="21"/>
                <w:highlight w:val="none"/>
              </w:rPr>
            </w:pPr>
            <w:r>
              <w:rPr>
                <w:rFonts w:eastAsia="宋体"/>
                <w:color w:val="auto"/>
                <w:sz w:val="21"/>
                <w:szCs w:val="21"/>
                <w:highlight w:val="none"/>
              </w:rPr>
              <w:t>二级</w:t>
            </w:r>
          </w:p>
        </w:tc>
        <w:tc>
          <w:tcPr>
            <w:tcW w:w="6656" w:type="dxa"/>
            <w:tcBorders>
              <w:top w:val="single" w:color="000000" w:sz="4" w:space="0"/>
              <w:left w:val="single" w:color="000000" w:sz="4" w:space="0"/>
              <w:bottom w:val="single" w:color="000000" w:sz="4" w:space="0"/>
              <w:right w:val="nil"/>
            </w:tcBorders>
          </w:tcPr>
          <w:p w14:paraId="60EE8DF7">
            <w:pPr>
              <w:pStyle w:val="98"/>
              <w:ind w:left="-105" w:right="-105"/>
              <w:rPr>
                <w:rFonts w:eastAsia="宋体"/>
                <w:color w:val="auto"/>
                <w:sz w:val="21"/>
                <w:szCs w:val="21"/>
                <w:highlight w:val="none"/>
              </w:rPr>
            </w:pPr>
            <w:r>
              <w:rPr>
                <w:rFonts w:eastAsia="宋体"/>
                <w:color w:val="auto"/>
                <w:position w:val="1"/>
                <w:sz w:val="21"/>
                <w:szCs w:val="21"/>
                <w:highlight w:val="none"/>
              </w:rPr>
              <w:t>1%≤P</w:t>
            </w:r>
            <w:r>
              <w:rPr>
                <w:rFonts w:eastAsia="宋体"/>
                <w:color w:val="auto"/>
                <w:sz w:val="21"/>
                <w:szCs w:val="21"/>
                <w:highlight w:val="none"/>
              </w:rPr>
              <w:t>max</w:t>
            </w:r>
            <w:r>
              <w:rPr>
                <w:rFonts w:eastAsia="宋体"/>
                <w:color w:val="auto"/>
                <w:position w:val="1"/>
                <w:sz w:val="21"/>
                <w:szCs w:val="21"/>
                <w:highlight w:val="none"/>
              </w:rPr>
              <w:t>＜10%</w:t>
            </w:r>
          </w:p>
        </w:tc>
      </w:tr>
      <w:tr w14:paraId="62A1C5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2261" w:type="dxa"/>
            <w:tcBorders>
              <w:top w:val="single" w:color="000000" w:sz="4" w:space="0"/>
              <w:left w:val="nil"/>
              <w:right w:val="single" w:color="000000" w:sz="4" w:space="0"/>
            </w:tcBorders>
          </w:tcPr>
          <w:p w14:paraId="3A98E2D4">
            <w:pPr>
              <w:pStyle w:val="98"/>
              <w:ind w:left="-105" w:right="-105"/>
              <w:rPr>
                <w:rFonts w:eastAsia="宋体"/>
                <w:color w:val="auto"/>
                <w:sz w:val="21"/>
                <w:szCs w:val="21"/>
                <w:highlight w:val="none"/>
              </w:rPr>
            </w:pPr>
            <w:r>
              <w:rPr>
                <w:rFonts w:eastAsia="宋体"/>
                <w:color w:val="auto"/>
                <w:sz w:val="21"/>
                <w:szCs w:val="21"/>
                <w:highlight w:val="none"/>
              </w:rPr>
              <w:t>三级</w:t>
            </w:r>
          </w:p>
        </w:tc>
        <w:tc>
          <w:tcPr>
            <w:tcW w:w="6656" w:type="dxa"/>
            <w:tcBorders>
              <w:top w:val="single" w:color="000000" w:sz="4" w:space="0"/>
              <w:left w:val="single" w:color="000000" w:sz="4" w:space="0"/>
              <w:right w:val="nil"/>
            </w:tcBorders>
          </w:tcPr>
          <w:p w14:paraId="418A9999">
            <w:pPr>
              <w:pStyle w:val="98"/>
              <w:ind w:left="-105" w:right="-105"/>
              <w:rPr>
                <w:rFonts w:eastAsia="宋体"/>
                <w:color w:val="auto"/>
                <w:sz w:val="21"/>
                <w:szCs w:val="21"/>
                <w:highlight w:val="none"/>
              </w:rPr>
            </w:pPr>
            <w:r>
              <w:rPr>
                <w:rFonts w:eastAsia="宋体"/>
                <w:color w:val="auto"/>
                <w:position w:val="1"/>
                <w:sz w:val="21"/>
                <w:szCs w:val="21"/>
                <w:highlight w:val="none"/>
              </w:rPr>
              <w:t>P</w:t>
            </w:r>
            <w:r>
              <w:rPr>
                <w:rFonts w:eastAsia="宋体"/>
                <w:color w:val="auto"/>
                <w:sz w:val="21"/>
                <w:szCs w:val="21"/>
                <w:highlight w:val="none"/>
              </w:rPr>
              <w:t>max</w:t>
            </w:r>
            <w:r>
              <w:rPr>
                <w:rFonts w:eastAsia="宋体"/>
                <w:color w:val="auto"/>
                <w:position w:val="1"/>
                <w:sz w:val="21"/>
                <w:szCs w:val="21"/>
                <w:highlight w:val="none"/>
              </w:rPr>
              <w:t>＜1%</w:t>
            </w:r>
          </w:p>
        </w:tc>
      </w:tr>
    </w:tbl>
    <w:p w14:paraId="2EAF5947">
      <w:pPr>
        <w:pStyle w:val="15"/>
        <w:spacing w:line="360" w:lineRule="auto"/>
        <w:ind w:left="-105" w:right="-105" w:firstLine="482"/>
        <w:rPr>
          <w:rFonts w:eastAsia="宋体" w:cs="Times New Roman"/>
          <w:color w:val="auto"/>
          <w:sz w:val="24"/>
          <w:szCs w:val="18"/>
          <w:highlight w:val="none"/>
        </w:rPr>
      </w:pPr>
      <w:bookmarkStart w:id="146" w:name="_Ref17804387"/>
    </w:p>
    <w:p w14:paraId="775E03BE">
      <w:pPr>
        <w:pStyle w:val="15"/>
        <w:spacing w:line="360" w:lineRule="auto"/>
        <w:ind w:left="-105" w:right="-105" w:firstLine="482"/>
        <w:rPr>
          <w:rFonts w:eastAsia="宋体" w:cs="Times New Roman"/>
          <w:color w:val="auto"/>
          <w:sz w:val="24"/>
          <w:szCs w:val="18"/>
          <w:highlight w:val="none"/>
        </w:rPr>
      </w:pPr>
    </w:p>
    <w:p w14:paraId="7DF6207F">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w:t>
      </w:r>
      <w:r>
        <w:rPr>
          <w:rFonts w:eastAsia="宋体" w:cs="Times New Roman"/>
          <w:color w:val="auto"/>
          <w:sz w:val="24"/>
          <w:szCs w:val="18"/>
          <w:highlight w:val="none"/>
        </w:rPr>
        <w:fldChar w:fldCharType="end"/>
      </w:r>
      <w:bookmarkEnd w:id="146"/>
      <w:r>
        <w:rPr>
          <w:rFonts w:eastAsia="宋体" w:cs="Times New Roman"/>
          <w:color w:val="auto"/>
          <w:sz w:val="24"/>
          <w:szCs w:val="24"/>
          <w:highlight w:val="none"/>
        </w:rPr>
        <w:t>估算模式计算结果统计</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7"/>
        <w:gridCol w:w="941"/>
        <w:gridCol w:w="1345"/>
        <w:gridCol w:w="1419"/>
        <w:gridCol w:w="1419"/>
        <w:gridCol w:w="1420"/>
        <w:gridCol w:w="1429"/>
      </w:tblGrid>
      <w:tr w14:paraId="06928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51" w:hRule="atLeast"/>
          <w:jc w:val="center"/>
        </w:trPr>
        <w:tc>
          <w:tcPr>
            <w:tcW w:w="1528" w:type="dxa"/>
            <w:gridSpan w:val="2"/>
            <w:vMerge w:val="restart"/>
            <w:shd w:val="clear" w:color="auto" w:fill="auto"/>
            <w:vAlign w:val="center"/>
          </w:tcPr>
          <w:p w14:paraId="017B2AD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污染源</w:t>
            </w:r>
          </w:p>
        </w:tc>
        <w:tc>
          <w:tcPr>
            <w:tcW w:w="1345" w:type="dxa"/>
            <w:vMerge w:val="restart"/>
            <w:shd w:val="clear" w:color="auto" w:fill="auto"/>
            <w:vAlign w:val="center"/>
          </w:tcPr>
          <w:p w14:paraId="598F2BD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w:t>
            </w:r>
          </w:p>
        </w:tc>
        <w:tc>
          <w:tcPr>
            <w:tcW w:w="5687" w:type="dxa"/>
            <w:gridSpan w:val="4"/>
          </w:tcPr>
          <w:p w14:paraId="438F29BB">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计算结果</w:t>
            </w:r>
          </w:p>
        </w:tc>
      </w:tr>
      <w:tr w14:paraId="17C36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4" w:hRule="atLeast"/>
          <w:jc w:val="center"/>
        </w:trPr>
        <w:tc>
          <w:tcPr>
            <w:tcW w:w="1528" w:type="dxa"/>
            <w:gridSpan w:val="2"/>
            <w:vMerge w:val="continue"/>
            <w:tcBorders>
              <w:bottom w:val="single" w:color="auto" w:sz="4" w:space="0"/>
            </w:tcBorders>
            <w:shd w:val="clear" w:color="auto" w:fill="auto"/>
            <w:vAlign w:val="center"/>
          </w:tcPr>
          <w:p w14:paraId="35423E9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p>
        </w:tc>
        <w:tc>
          <w:tcPr>
            <w:tcW w:w="1345" w:type="dxa"/>
            <w:vMerge w:val="continue"/>
            <w:shd w:val="clear" w:color="auto" w:fill="auto"/>
            <w:vAlign w:val="center"/>
          </w:tcPr>
          <w:p w14:paraId="600D5D8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p>
        </w:tc>
        <w:tc>
          <w:tcPr>
            <w:tcW w:w="1419" w:type="dxa"/>
            <w:shd w:val="clear" w:color="auto" w:fill="auto"/>
            <w:vAlign w:val="center"/>
          </w:tcPr>
          <w:p w14:paraId="7A969C36">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最大落地浓度距离/m</w:t>
            </w:r>
          </w:p>
        </w:tc>
        <w:tc>
          <w:tcPr>
            <w:tcW w:w="1419" w:type="dxa"/>
            <w:shd w:val="clear" w:color="auto" w:fill="auto"/>
            <w:vAlign w:val="center"/>
          </w:tcPr>
          <w:p w14:paraId="00DC179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1h最大落地浓度/（</w:t>
            </w:r>
            <w:r>
              <w:rPr>
                <w:rFonts w:ascii="Times New Roman" w:hAnsi="Times New Roman" w:eastAsia="宋体"/>
                <w:b/>
                <w:color w:val="auto"/>
                <w:sz w:val="21"/>
                <w:szCs w:val="21"/>
                <w:highlight w:val="none"/>
              </w:rPr>
              <w:t>μg/m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420" w:type="dxa"/>
            <w:vAlign w:val="center"/>
          </w:tcPr>
          <w:p w14:paraId="45F0F0D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最大占标率/%</w:t>
            </w:r>
          </w:p>
        </w:tc>
        <w:tc>
          <w:tcPr>
            <w:tcW w:w="1429" w:type="dxa"/>
            <w:shd w:val="clear" w:color="auto" w:fill="auto"/>
            <w:vAlign w:val="center"/>
          </w:tcPr>
          <w:p w14:paraId="554A96CB">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评价等级</w:t>
            </w:r>
          </w:p>
        </w:tc>
      </w:tr>
      <w:tr w14:paraId="1B104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restart"/>
            <w:tcBorders>
              <w:top w:val="single" w:color="auto" w:sz="4" w:space="0"/>
            </w:tcBorders>
            <w:vAlign w:val="center"/>
          </w:tcPr>
          <w:p w14:paraId="265245B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点源</w:t>
            </w:r>
          </w:p>
        </w:tc>
        <w:tc>
          <w:tcPr>
            <w:tcW w:w="941" w:type="dxa"/>
            <w:tcBorders>
              <w:top w:val="single" w:color="auto" w:sz="4" w:space="0"/>
            </w:tcBorders>
            <w:vAlign w:val="center"/>
          </w:tcPr>
          <w:p w14:paraId="4B2D7969">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DA005</w:t>
            </w:r>
          </w:p>
        </w:tc>
        <w:tc>
          <w:tcPr>
            <w:tcW w:w="1345" w:type="dxa"/>
            <w:vAlign w:val="center"/>
          </w:tcPr>
          <w:p w14:paraId="7C554B4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04A65B72">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113</w:t>
            </w:r>
          </w:p>
        </w:tc>
        <w:tc>
          <w:tcPr>
            <w:tcW w:w="1419" w:type="dxa"/>
            <w:vAlign w:val="center"/>
          </w:tcPr>
          <w:p w14:paraId="1FC20A15">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3.6573</w:t>
            </w:r>
          </w:p>
        </w:tc>
        <w:tc>
          <w:tcPr>
            <w:tcW w:w="1420" w:type="dxa"/>
            <w:vAlign w:val="center"/>
          </w:tcPr>
          <w:p w14:paraId="5E10616E">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0.18</w:t>
            </w:r>
          </w:p>
        </w:tc>
        <w:tc>
          <w:tcPr>
            <w:tcW w:w="1429" w:type="dxa"/>
            <w:vAlign w:val="center"/>
          </w:tcPr>
          <w:p w14:paraId="005A6B10">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10097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587" w:type="dxa"/>
            <w:vMerge w:val="continue"/>
            <w:vAlign w:val="center"/>
          </w:tcPr>
          <w:p w14:paraId="1AE49599">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restart"/>
            <w:vAlign w:val="center"/>
          </w:tcPr>
          <w:p w14:paraId="0D08FFAF">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DA006</w:t>
            </w:r>
          </w:p>
        </w:tc>
        <w:tc>
          <w:tcPr>
            <w:tcW w:w="1345" w:type="dxa"/>
            <w:vAlign w:val="center"/>
          </w:tcPr>
          <w:p w14:paraId="135FCB5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0AB8126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70</w:t>
            </w:r>
          </w:p>
        </w:tc>
        <w:tc>
          <w:tcPr>
            <w:tcW w:w="1419" w:type="dxa"/>
            <w:vAlign w:val="center"/>
          </w:tcPr>
          <w:p w14:paraId="483CEB20">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0.14741</w:t>
            </w:r>
          </w:p>
        </w:tc>
        <w:tc>
          <w:tcPr>
            <w:tcW w:w="1420" w:type="dxa"/>
            <w:vAlign w:val="center"/>
          </w:tcPr>
          <w:p w14:paraId="2CBF8E8B">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0.01</w:t>
            </w:r>
          </w:p>
        </w:tc>
        <w:tc>
          <w:tcPr>
            <w:tcW w:w="1429" w:type="dxa"/>
            <w:vAlign w:val="center"/>
          </w:tcPr>
          <w:p w14:paraId="03466DB1">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6A683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587" w:type="dxa"/>
            <w:vMerge w:val="continue"/>
            <w:vAlign w:val="center"/>
          </w:tcPr>
          <w:p w14:paraId="0312F1F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62AD95C8">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24FCBBC6">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氮氧化物</w:t>
            </w:r>
          </w:p>
        </w:tc>
        <w:tc>
          <w:tcPr>
            <w:tcW w:w="1419" w:type="dxa"/>
            <w:vAlign w:val="center"/>
          </w:tcPr>
          <w:p w14:paraId="6AC4502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70</w:t>
            </w:r>
          </w:p>
        </w:tc>
        <w:tc>
          <w:tcPr>
            <w:tcW w:w="1419" w:type="dxa"/>
            <w:vAlign w:val="center"/>
          </w:tcPr>
          <w:p w14:paraId="19139A2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0.0709367</w:t>
            </w:r>
          </w:p>
        </w:tc>
        <w:tc>
          <w:tcPr>
            <w:tcW w:w="1420" w:type="dxa"/>
            <w:vAlign w:val="center"/>
          </w:tcPr>
          <w:p w14:paraId="5A25D45A">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0.03</w:t>
            </w:r>
          </w:p>
        </w:tc>
        <w:tc>
          <w:tcPr>
            <w:tcW w:w="1429" w:type="dxa"/>
            <w:vAlign w:val="center"/>
          </w:tcPr>
          <w:p w14:paraId="133F7460">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r w14:paraId="3F9D4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restart"/>
            <w:vAlign w:val="center"/>
          </w:tcPr>
          <w:p w14:paraId="65ECFA07">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面源</w:t>
            </w:r>
          </w:p>
        </w:tc>
        <w:tc>
          <w:tcPr>
            <w:tcW w:w="941" w:type="dxa"/>
            <w:vAlign w:val="center"/>
          </w:tcPr>
          <w:p w14:paraId="15F46F5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二工场</w:t>
            </w:r>
          </w:p>
        </w:tc>
        <w:tc>
          <w:tcPr>
            <w:tcW w:w="1345" w:type="dxa"/>
            <w:vAlign w:val="center"/>
          </w:tcPr>
          <w:p w14:paraId="26ABA9D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0BB08CD4">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34</w:t>
            </w:r>
          </w:p>
        </w:tc>
        <w:tc>
          <w:tcPr>
            <w:tcW w:w="1419" w:type="dxa"/>
            <w:vAlign w:val="center"/>
          </w:tcPr>
          <w:p w14:paraId="0C0AFBD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15.455</w:t>
            </w:r>
          </w:p>
        </w:tc>
        <w:tc>
          <w:tcPr>
            <w:tcW w:w="1420" w:type="dxa"/>
            <w:vAlign w:val="center"/>
          </w:tcPr>
          <w:p w14:paraId="542E3677">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0.77</w:t>
            </w:r>
          </w:p>
        </w:tc>
        <w:tc>
          <w:tcPr>
            <w:tcW w:w="1429" w:type="dxa"/>
            <w:vAlign w:val="center"/>
          </w:tcPr>
          <w:p w14:paraId="7E7170D9">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18435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4511289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restart"/>
            <w:vAlign w:val="center"/>
          </w:tcPr>
          <w:p w14:paraId="62CB42D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实验楼</w:t>
            </w:r>
          </w:p>
        </w:tc>
        <w:tc>
          <w:tcPr>
            <w:tcW w:w="1345" w:type="dxa"/>
            <w:vAlign w:val="center"/>
          </w:tcPr>
          <w:p w14:paraId="7D2EC646">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p w14:paraId="78E23D5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（含甲醇）</w:t>
            </w:r>
          </w:p>
        </w:tc>
        <w:tc>
          <w:tcPr>
            <w:tcW w:w="1419" w:type="dxa"/>
            <w:vAlign w:val="center"/>
          </w:tcPr>
          <w:p w14:paraId="5C244531">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09CE5A32">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1.5714</w:t>
            </w:r>
          </w:p>
        </w:tc>
        <w:tc>
          <w:tcPr>
            <w:tcW w:w="1420" w:type="dxa"/>
            <w:vAlign w:val="center"/>
          </w:tcPr>
          <w:p w14:paraId="3093A322">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0.08</w:t>
            </w:r>
          </w:p>
        </w:tc>
        <w:tc>
          <w:tcPr>
            <w:tcW w:w="1429" w:type="dxa"/>
            <w:vAlign w:val="center"/>
          </w:tcPr>
          <w:p w14:paraId="7374A860">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4EC56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6DEEB0D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40812483">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2F1BBBDE">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氮氧化物</w:t>
            </w:r>
          </w:p>
        </w:tc>
        <w:tc>
          <w:tcPr>
            <w:tcW w:w="1419" w:type="dxa"/>
            <w:vAlign w:val="center"/>
          </w:tcPr>
          <w:p w14:paraId="426F6C18">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20643CD1">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0.0957745</w:t>
            </w:r>
          </w:p>
        </w:tc>
        <w:tc>
          <w:tcPr>
            <w:tcW w:w="1420" w:type="dxa"/>
            <w:vAlign w:val="center"/>
          </w:tcPr>
          <w:p w14:paraId="0EB14495">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0.04</w:t>
            </w:r>
          </w:p>
        </w:tc>
        <w:tc>
          <w:tcPr>
            <w:tcW w:w="1429" w:type="dxa"/>
            <w:vAlign w:val="center"/>
          </w:tcPr>
          <w:p w14:paraId="2890859F">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r w14:paraId="5A01E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2C1EDA19">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767F7B2C">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604F5CC1">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甲醇</w:t>
            </w:r>
          </w:p>
        </w:tc>
        <w:tc>
          <w:tcPr>
            <w:tcW w:w="1419" w:type="dxa"/>
            <w:vAlign w:val="center"/>
          </w:tcPr>
          <w:p w14:paraId="17E7E0C4">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00275114">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2.55406</w:t>
            </w:r>
          </w:p>
        </w:tc>
        <w:tc>
          <w:tcPr>
            <w:tcW w:w="1420" w:type="dxa"/>
            <w:vAlign w:val="center"/>
          </w:tcPr>
          <w:p w14:paraId="0BCAB448">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0.09</w:t>
            </w:r>
          </w:p>
        </w:tc>
        <w:tc>
          <w:tcPr>
            <w:tcW w:w="1429" w:type="dxa"/>
            <w:vAlign w:val="center"/>
          </w:tcPr>
          <w:p w14:paraId="088851E8">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bl>
    <w:p w14:paraId="36A78C20">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根据《环境影响评价技术导则 大气环境》（HJ2.2-2018）中评价判据（见</w:t>
      </w:r>
      <w:r>
        <w:rPr>
          <w:rFonts w:ascii="Times New Roman" w:hAnsi="Times New Roman"/>
          <w:color w:val="auto"/>
          <w:highlight w:val="none"/>
        </w:rPr>
        <w:fldChar w:fldCharType="begin"/>
      </w:r>
      <w:r>
        <w:rPr>
          <w:rFonts w:ascii="Times New Roman" w:hAnsi="Times New Roman"/>
          <w:color w:val="auto"/>
          <w:highlight w:val="none"/>
        </w:rPr>
        <w:instrText xml:space="preserve"> REF _Ref17804380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表2.4</w:t>
      </w:r>
      <w:r>
        <w:rPr>
          <w:rFonts w:ascii="Times New Roman" w:hAnsi="Times New Roman"/>
          <w:color w:val="auto"/>
          <w:szCs w:val="22"/>
          <w:highlight w:val="none"/>
        </w:rPr>
        <w:noBreakHyphen/>
      </w:r>
      <w:r>
        <w:rPr>
          <w:rFonts w:ascii="Times New Roman" w:hAnsi="Times New Roman"/>
          <w:color w:val="auto"/>
          <w:szCs w:val="22"/>
          <w:highlight w:val="none"/>
        </w:rPr>
        <w:t>3</w:t>
      </w:r>
      <w:r>
        <w:rPr>
          <w:rFonts w:ascii="Times New Roman" w:hAnsi="Times New Roman"/>
          <w:color w:val="auto"/>
          <w:highlight w:val="none"/>
        </w:rPr>
        <w:fldChar w:fldCharType="end"/>
      </w:r>
      <w:r>
        <w:rPr>
          <w:rFonts w:ascii="Times New Roman" w:hAnsi="Times New Roman"/>
          <w:color w:val="auto"/>
          <w:highlight w:val="none"/>
        </w:rPr>
        <w:t>）。本项目各污染因子Pmax均小于1%，同时</w:t>
      </w:r>
      <w:r>
        <w:rPr>
          <w:bCs/>
          <w:color w:val="auto"/>
          <w:highlight w:val="none"/>
        </w:rPr>
        <w:t>项目不属于电力、钢铁、水泥、石化、化工、平板玻璃、有色等高能耗行业</w:t>
      </w:r>
      <w:r>
        <w:rPr>
          <w:rFonts w:ascii="Times New Roman" w:hAnsi="Times New Roman"/>
          <w:color w:val="auto"/>
          <w:highlight w:val="none"/>
        </w:rPr>
        <w:t>，项目所在地不属于环境空气敏感区；根据</w:t>
      </w:r>
      <w:r>
        <w:rPr>
          <w:rFonts w:ascii="Times New Roman" w:hAnsi="Times New Roman"/>
          <w:color w:val="auto"/>
          <w:highlight w:val="none"/>
        </w:rPr>
        <w:fldChar w:fldCharType="begin"/>
      </w:r>
      <w:r>
        <w:rPr>
          <w:rFonts w:ascii="Times New Roman" w:hAnsi="Times New Roman"/>
          <w:color w:val="auto"/>
          <w:highlight w:val="none"/>
        </w:rPr>
        <w:instrText xml:space="preserve"> REF _Ref17804387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表2.4</w:t>
      </w:r>
      <w:r>
        <w:rPr>
          <w:rFonts w:ascii="Times New Roman" w:hAnsi="Times New Roman"/>
          <w:color w:val="auto"/>
          <w:szCs w:val="22"/>
          <w:highlight w:val="none"/>
        </w:rPr>
        <w:noBreakHyphen/>
      </w:r>
      <w:r>
        <w:rPr>
          <w:rFonts w:ascii="Times New Roman" w:hAnsi="Times New Roman"/>
          <w:color w:val="auto"/>
          <w:szCs w:val="22"/>
          <w:highlight w:val="none"/>
        </w:rPr>
        <w:t>4</w:t>
      </w:r>
      <w:r>
        <w:rPr>
          <w:rFonts w:ascii="Times New Roman" w:hAnsi="Times New Roman"/>
          <w:color w:val="auto"/>
          <w:highlight w:val="none"/>
        </w:rPr>
        <w:fldChar w:fldCharType="end"/>
      </w:r>
      <w:r>
        <w:rPr>
          <w:rFonts w:ascii="Times New Roman" w:hAnsi="Times New Roman"/>
          <w:color w:val="auto"/>
          <w:highlight w:val="none"/>
        </w:rPr>
        <w:t>的大气环境影响评价等级判别依据，</w:t>
      </w:r>
      <w:r>
        <w:rPr>
          <w:rFonts w:ascii="Times New Roman" w:hAnsi="Times New Roman"/>
          <w:b/>
          <w:bCs/>
          <w:color w:val="auto"/>
          <w:highlight w:val="none"/>
        </w:rPr>
        <w:t>确定大气环境影响评价等级为</w:t>
      </w:r>
      <w:r>
        <w:rPr>
          <w:rFonts w:hint="eastAsia" w:ascii="Times New Roman" w:hAnsi="Times New Roman"/>
          <w:b/>
          <w:bCs/>
          <w:color w:val="auto"/>
          <w:highlight w:val="none"/>
        </w:rPr>
        <w:t>三</w:t>
      </w:r>
      <w:r>
        <w:rPr>
          <w:rFonts w:ascii="Times New Roman" w:hAnsi="Times New Roman"/>
          <w:b/>
          <w:bCs/>
          <w:color w:val="auto"/>
          <w:highlight w:val="none"/>
        </w:rPr>
        <w:t>级</w:t>
      </w:r>
      <w:r>
        <w:rPr>
          <w:rFonts w:ascii="Times New Roman" w:hAnsi="Times New Roman"/>
          <w:color w:val="auto"/>
          <w:highlight w:val="none"/>
        </w:rPr>
        <w:t>。</w:t>
      </w:r>
    </w:p>
    <w:p w14:paraId="67E0911C">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2.4.1.2地表水环境影响评价等级</w:t>
      </w:r>
    </w:p>
    <w:p w14:paraId="0F26A7A2">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本项目不涉及新增废水排放，全厂产生的生活污水和初期雨水经无锡先进化药化工有限公司处理达标后接入</w:t>
      </w:r>
      <w:r>
        <w:rPr>
          <w:rFonts w:hint="eastAsia" w:ascii="Times New Roman" w:hAnsi="Times New Roman" w:cs="Times New Roman"/>
          <w:color w:val="auto"/>
          <w:highlight w:val="none"/>
        </w:rPr>
        <w:t>无锡市锡山云林污水处理有限公司</w:t>
      </w:r>
      <w:r>
        <w:rPr>
          <w:rFonts w:hint="eastAsia" w:ascii="Times New Roman" w:hAnsi="Times New Roman"/>
          <w:color w:val="auto"/>
          <w:highlight w:val="none"/>
        </w:rPr>
        <w:t>，属于间接排放。根据《环境影响评价技术导则 地表水环境》HJ2.3-2018，本项目为间接排放建设项目评价等级为三级 B。</w:t>
      </w:r>
    </w:p>
    <w:p w14:paraId="4E413DD3">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2.4.1.3地下水环境影响评价等级</w:t>
      </w:r>
    </w:p>
    <w:p w14:paraId="6EBD7396">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根据《环境影响评价技术导则-地下水环境》（HJ610-2016）</w:t>
      </w:r>
      <w:r>
        <w:rPr>
          <w:rFonts w:hint="eastAsia" w:ascii="Times New Roman" w:hAnsi="Times New Roman"/>
          <w:color w:val="auto"/>
          <w:highlight w:val="none"/>
        </w:rPr>
        <w:t>“</w:t>
      </w:r>
      <w:r>
        <w:rPr>
          <w:rFonts w:ascii="Times New Roman" w:hAnsi="Times New Roman"/>
          <w:color w:val="auto"/>
          <w:highlight w:val="none"/>
        </w:rPr>
        <w:t>附录A</w:t>
      </w:r>
      <w:r>
        <w:rPr>
          <w:rFonts w:hint="eastAsia" w:ascii="Times New Roman" w:hAnsi="Times New Roman"/>
          <w:color w:val="auto"/>
          <w:highlight w:val="none"/>
        </w:rPr>
        <w:t>”</w:t>
      </w:r>
      <w:r>
        <w:rPr>
          <w:rFonts w:ascii="Times New Roman" w:hAnsi="Times New Roman"/>
          <w:color w:val="auto"/>
          <w:highlight w:val="none"/>
        </w:rPr>
        <w:t>中的建设项目分类，本项目属于</w:t>
      </w:r>
      <w:r>
        <w:rPr>
          <w:rFonts w:hint="eastAsia" w:ascii="Times New Roman" w:hAnsi="Times New Roman"/>
          <w:color w:val="auto"/>
          <w:highlight w:val="none"/>
        </w:rPr>
        <w:t>“K机械、电子82、半导体材料、电子陶瓷、有机薄膜、荧光粉、贵金属粉等</w:t>
      </w:r>
      <w:r>
        <w:rPr>
          <w:rFonts w:hint="eastAsia" w:ascii="Times New Roman" w:hAnsi="Times New Roman"/>
          <w:color w:val="auto"/>
          <w:highlight w:val="none"/>
        </w:rPr>
        <w:t>电子专用材料”，</w:t>
      </w:r>
      <w:r>
        <w:rPr>
          <w:rFonts w:ascii="Times New Roman" w:hAnsi="Times New Roman"/>
          <w:color w:val="auto"/>
          <w:highlight w:val="none"/>
        </w:rPr>
        <w:t>属于</w:t>
      </w:r>
      <w:r>
        <w:rPr>
          <w:rFonts w:ascii="Times New Roman" w:hAnsi="Times New Roman" w:cs="Times New Roman"/>
          <w:color w:val="auto"/>
          <w:highlight w:val="none"/>
        </w:rPr>
        <w:t>Ⅳ</w:t>
      </w:r>
      <w:r>
        <w:rPr>
          <w:rFonts w:ascii="Times New Roman" w:hAnsi="Times New Roman"/>
          <w:color w:val="auto"/>
          <w:highlight w:val="none"/>
        </w:rPr>
        <w:t>类建设项目</w:t>
      </w:r>
      <w:r>
        <w:rPr>
          <w:rFonts w:hint="eastAsia" w:ascii="Times New Roman" w:hAnsi="Times New Roman"/>
          <w:color w:val="auto"/>
          <w:highlight w:val="none"/>
        </w:rPr>
        <w:t>，建设项目不开展地下水环境影响评价</w:t>
      </w:r>
      <w:r>
        <w:rPr>
          <w:rFonts w:ascii="Times New Roman" w:hAnsi="Times New Roman"/>
          <w:color w:val="auto"/>
          <w:highlight w:val="none"/>
        </w:rPr>
        <w:t>。</w:t>
      </w:r>
    </w:p>
    <w:p w14:paraId="6CBF2720">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2.4.1.4声环境影响评价等级</w:t>
      </w:r>
    </w:p>
    <w:p w14:paraId="4533C194">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本项目所在区域声环境执行《声环境质量标准》（GB3096-2008）3类标准，根据《环境影响评价技术导则 声环境》（HJ2.4-20</w:t>
      </w:r>
      <w:r>
        <w:rPr>
          <w:rFonts w:hint="eastAsia" w:ascii="Times New Roman" w:hAnsi="Times New Roman"/>
          <w:color w:val="auto"/>
          <w:highlight w:val="none"/>
        </w:rPr>
        <w:t>21</w:t>
      </w:r>
      <w:r>
        <w:rPr>
          <w:rFonts w:ascii="Times New Roman" w:hAnsi="Times New Roman"/>
          <w:color w:val="auto"/>
          <w:highlight w:val="none"/>
        </w:rPr>
        <w:t>），项目所处的声环境功能区为GB3096规定的3类区域，建设前后评价范围内敏感目标噪声级增高量在3dB（A）以下，且受噪声影响人口数量变化</w:t>
      </w:r>
      <w:r>
        <w:rPr>
          <w:rFonts w:ascii="Times New Roman" w:hAnsi="Times New Roman"/>
          <w:color w:val="auto"/>
          <w:highlight w:val="none"/>
        </w:rPr>
        <w:t>不大，</w:t>
      </w:r>
      <w:r>
        <w:rPr>
          <w:rFonts w:ascii="Times New Roman" w:hAnsi="Times New Roman"/>
          <w:b/>
          <w:bCs/>
          <w:color w:val="auto"/>
          <w:highlight w:val="none"/>
        </w:rPr>
        <w:t>确定本次声环境评价工作等级为三级。</w:t>
      </w:r>
    </w:p>
    <w:p w14:paraId="13D73F22">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2.4.1.5土壤环境影响评价等级</w:t>
      </w:r>
    </w:p>
    <w:p w14:paraId="1983E269">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根据《环境影响评价技术导则-土壤环境》（HJ964-2018）</w:t>
      </w:r>
      <w:r>
        <w:rPr>
          <w:rFonts w:hint="eastAsia" w:ascii="Times New Roman" w:hAnsi="Times New Roman"/>
          <w:color w:val="auto"/>
          <w:highlight w:val="none"/>
        </w:rPr>
        <w:t>“</w:t>
      </w:r>
      <w:r>
        <w:rPr>
          <w:rFonts w:ascii="Times New Roman" w:hAnsi="Times New Roman"/>
          <w:color w:val="auto"/>
          <w:highlight w:val="none"/>
        </w:rPr>
        <w:t>附录 A</w:t>
      </w:r>
      <w:r>
        <w:rPr>
          <w:rFonts w:hint="eastAsia" w:ascii="Times New Roman" w:hAnsi="Times New Roman"/>
          <w:color w:val="auto"/>
          <w:highlight w:val="none"/>
        </w:rPr>
        <w:t>”</w:t>
      </w:r>
      <w:r>
        <w:rPr>
          <w:rFonts w:ascii="Times New Roman" w:hAnsi="Times New Roman"/>
          <w:color w:val="auto"/>
          <w:highlight w:val="none"/>
        </w:rPr>
        <w:t>中的建设项目分类，本项目属于</w:t>
      </w:r>
      <w:r>
        <w:rPr>
          <w:rFonts w:hint="eastAsia" w:ascii="Times New Roman" w:hAnsi="Times New Roman"/>
          <w:color w:val="auto"/>
          <w:highlight w:val="none"/>
        </w:rPr>
        <w:t>“石油、化工”中“半导体材料制造”</w:t>
      </w:r>
      <w:r>
        <w:rPr>
          <w:rFonts w:ascii="Times New Roman" w:hAnsi="Times New Roman"/>
          <w:color w:val="auto"/>
          <w:highlight w:val="none"/>
        </w:rPr>
        <w:t>，属于</w:t>
      </w:r>
      <w:r>
        <w:rPr>
          <w:rFonts w:ascii="Times New Roman" w:hAnsi="Times New Roman" w:cs="Times New Roman"/>
          <w:color w:val="auto"/>
          <w:highlight w:val="none"/>
        </w:rPr>
        <w:t>Ⅱ</w:t>
      </w:r>
      <w:r>
        <w:rPr>
          <w:rFonts w:ascii="Times New Roman" w:hAnsi="Times New Roman"/>
          <w:color w:val="auto"/>
          <w:highlight w:val="none"/>
        </w:rPr>
        <w:t>类建设项目。</w:t>
      </w:r>
      <w:r>
        <w:rPr>
          <w:rFonts w:hint="eastAsia" w:ascii="Times New Roman" w:hAnsi="Times New Roman"/>
          <w:color w:val="auto"/>
          <w:highlight w:val="none"/>
        </w:rPr>
        <w:t>本项目建设项目占地面积约5353.28m</w:t>
      </w:r>
      <w:r>
        <w:rPr>
          <w:rFonts w:hint="eastAsia" w:ascii="Times New Roman" w:hAnsi="Times New Roman"/>
          <w:color w:val="auto"/>
          <w:highlight w:val="none"/>
          <w:vertAlign w:val="superscript"/>
        </w:rPr>
        <w:t>2</w:t>
      </w:r>
      <w:r>
        <w:rPr>
          <w:rFonts w:hint="eastAsia" w:ascii="Times New Roman" w:hAnsi="Times New Roman"/>
          <w:color w:val="auto"/>
          <w:highlight w:val="none"/>
        </w:rPr>
        <w:t>，占地规模为小型（≤5hm</w:t>
      </w:r>
      <w:r>
        <w:rPr>
          <w:rFonts w:hint="eastAsia" w:ascii="Times New Roman" w:hAnsi="Times New Roman"/>
          <w:color w:val="auto"/>
          <w:highlight w:val="none"/>
          <w:vertAlign w:val="superscript"/>
        </w:rPr>
        <w:t>2</w:t>
      </w:r>
      <w:r>
        <w:rPr>
          <w:rFonts w:hint="eastAsia" w:ascii="Times New Roman" w:hAnsi="Times New Roman"/>
          <w:color w:val="auto"/>
          <w:highlight w:val="none"/>
        </w:rPr>
        <w:t>），建设项目位于无锡市锡山区锡北镇新坝村新达路6号，因周边邻近居民区等敏感点，故判定周边土壤环境敏感程度为“敏感”。</w:t>
      </w:r>
      <w:r>
        <w:rPr>
          <w:rFonts w:ascii="Times New Roman" w:hAnsi="Times New Roman"/>
          <w:color w:val="auto"/>
          <w:highlight w:val="none"/>
        </w:rPr>
        <w:t>根据土壤评价导则中的工作等级划分和本项目性质，本次土壤环境评价等级定为二级，具体见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_Ref17891287 \h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2.4</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6</w:t>
      </w:r>
      <w:r>
        <w:rPr>
          <w:rFonts w:ascii="Times New Roman" w:hAnsi="Times New Roman" w:cs="Times New Roman"/>
          <w:color w:val="auto"/>
          <w:highlight w:val="none"/>
        </w:rPr>
        <w:fldChar w:fldCharType="end"/>
      </w:r>
      <w:r>
        <w:rPr>
          <w:rFonts w:ascii="Times New Roman" w:hAnsi="Times New Roman"/>
          <w:color w:val="auto"/>
          <w:highlight w:val="none"/>
        </w:rPr>
        <w:t>。</w:t>
      </w:r>
    </w:p>
    <w:p w14:paraId="72C8FB06">
      <w:pPr>
        <w:pStyle w:val="15"/>
        <w:spacing w:line="360" w:lineRule="auto"/>
        <w:ind w:left="-105" w:right="-105" w:firstLine="482"/>
        <w:rPr>
          <w:rFonts w:eastAsia="宋体" w:cs="Times New Roman"/>
          <w:color w:val="auto"/>
          <w:sz w:val="24"/>
          <w:szCs w:val="24"/>
          <w:highlight w:val="none"/>
        </w:rPr>
      </w:pPr>
      <w:bookmarkStart w:id="147" w:name="_Ref17891195"/>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w:t>
      </w:r>
      <w:r>
        <w:rPr>
          <w:rFonts w:eastAsia="宋体" w:cs="Times New Roman"/>
          <w:color w:val="auto"/>
          <w:sz w:val="24"/>
          <w:szCs w:val="18"/>
          <w:highlight w:val="none"/>
        </w:rPr>
        <w:fldChar w:fldCharType="end"/>
      </w:r>
      <w:bookmarkEnd w:id="147"/>
      <w:r>
        <w:rPr>
          <w:rFonts w:eastAsia="宋体" w:cs="Times New Roman"/>
          <w:color w:val="auto"/>
          <w:sz w:val="24"/>
          <w:szCs w:val="24"/>
          <w:highlight w:val="none"/>
        </w:rPr>
        <w:t>土壤环境敏感程度分级</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84"/>
        <w:gridCol w:w="7236"/>
      </w:tblGrid>
      <w:tr w14:paraId="495E61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3" w:type="dxa"/>
            <w:vAlign w:val="center"/>
          </w:tcPr>
          <w:p w14:paraId="2B9CF9B7">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敏感程度</w:t>
            </w:r>
          </w:p>
        </w:tc>
        <w:tc>
          <w:tcPr>
            <w:tcW w:w="6889" w:type="dxa"/>
            <w:vAlign w:val="center"/>
          </w:tcPr>
          <w:p w14:paraId="055F3144">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判别依据</w:t>
            </w:r>
          </w:p>
        </w:tc>
      </w:tr>
      <w:tr w14:paraId="566CEC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3" w:type="dxa"/>
            <w:shd w:val="clear" w:color="auto" w:fill="BEBEBE" w:themeFill="background1" w:themeFillShade="BF"/>
            <w:vAlign w:val="center"/>
          </w:tcPr>
          <w:p w14:paraId="5B0A11C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敏感</w:t>
            </w:r>
          </w:p>
        </w:tc>
        <w:tc>
          <w:tcPr>
            <w:tcW w:w="6889" w:type="dxa"/>
            <w:shd w:val="clear" w:color="auto" w:fill="BEBEBE" w:themeFill="background1" w:themeFillShade="BF"/>
            <w:vAlign w:val="center"/>
          </w:tcPr>
          <w:p w14:paraId="458788C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建设项目周边存在耕地、园地、牧草地、饮用水水源地或居民区、学校、医院、疗养院、养老院等土壤环境敏感目标的</w:t>
            </w:r>
          </w:p>
        </w:tc>
      </w:tr>
      <w:tr w14:paraId="2D8E99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3" w:type="dxa"/>
            <w:vAlign w:val="center"/>
          </w:tcPr>
          <w:p w14:paraId="326595A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较敏感</w:t>
            </w:r>
          </w:p>
        </w:tc>
        <w:tc>
          <w:tcPr>
            <w:tcW w:w="6889" w:type="dxa"/>
            <w:vAlign w:val="center"/>
          </w:tcPr>
          <w:p w14:paraId="00F952F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建设项目周边存在其他土壤环境敏感目标的</w:t>
            </w:r>
          </w:p>
        </w:tc>
      </w:tr>
      <w:tr w14:paraId="650938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3" w:type="dxa"/>
            <w:vAlign w:val="center"/>
          </w:tcPr>
          <w:p w14:paraId="2D48454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不敏感</w:t>
            </w:r>
          </w:p>
        </w:tc>
        <w:tc>
          <w:tcPr>
            <w:tcW w:w="6889" w:type="dxa"/>
            <w:vAlign w:val="center"/>
          </w:tcPr>
          <w:p w14:paraId="5BC6CB0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其他情况</w:t>
            </w:r>
          </w:p>
        </w:tc>
      </w:tr>
    </w:tbl>
    <w:p w14:paraId="12D6BFD7">
      <w:pPr>
        <w:pStyle w:val="15"/>
        <w:spacing w:line="360" w:lineRule="auto"/>
        <w:ind w:left="-105" w:right="-105" w:firstLine="482"/>
        <w:rPr>
          <w:rFonts w:eastAsia="宋体" w:cs="Times New Roman"/>
          <w:color w:val="auto"/>
          <w:sz w:val="24"/>
          <w:szCs w:val="24"/>
          <w:highlight w:val="none"/>
        </w:rPr>
      </w:pPr>
      <w:bookmarkStart w:id="148" w:name="_Ref17891287"/>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w:t>
      </w:r>
      <w:r>
        <w:rPr>
          <w:rFonts w:eastAsia="宋体" w:cs="Times New Roman"/>
          <w:color w:val="auto"/>
          <w:sz w:val="24"/>
          <w:szCs w:val="18"/>
          <w:highlight w:val="none"/>
        </w:rPr>
        <w:fldChar w:fldCharType="end"/>
      </w:r>
      <w:bookmarkEnd w:id="148"/>
      <w:r>
        <w:rPr>
          <w:rFonts w:eastAsia="宋体" w:cs="Times New Roman"/>
          <w:color w:val="auto"/>
          <w:sz w:val="24"/>
          <w:szCs w:val="24"/>
          <w:highlight w:val="none"/>
        </w:rPr>
        <w:t>土壤环境评价工作等级分级表</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786"/>
        <w:gridCol w:w="770"/>
        <w:gridCol w:w="770"/>
        <w:gridCol w:w="771"/>
        <w:gridCol w:w="770"/>
        <w:gridCol w:w="771"/>
        <w:gridCol w:w="770"/>
        <w:gridCol w:w="771"/>
        <w:gridCol w:w="770"/>
        <w:gridCol w:w="771"/>
      </w:tblGrid>
      <w:tr w14:paraId="3CCED8F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40" w:hRule="atLeast"/>
        </w:trPr>
        <w:tc>
          <w:tcPr>
            <w:tcW w:w="1701" w:type="dxa"/>
            <w:vMerge w:val="restart"/>
            <w:tcBorders>
              <w:tl2br w:val="nil"/>
              <w:tr2bl w:val="nil"/>
            </w:tcBorders>
            <w:vAlign w:val="center"/>
          </w:tcPr>
          <w:p w14:paraId="71F6EA77">
            <w:pPr>
              <w:ind w:left="-105" w:right="-105"/>
              <w:jc w:val="center"/>
              <w:rPr>
                <w:rFonts w:ascii="Times New Roman" w:hAnsi="Times New Roman"/>
                <w:b/>
                <w:bCs/>
                <w:color w:val="auto"/>
                <w:sz w:val="21"/>
                <w:szCs w:val="21"/>
                <w:highlight w:val="none"/>
              </w:rPr>
            </w:pPr>
            <w:r>
              <w:rPr>
                <w:rFonts w:cs="Times New Roman"/>
                <w:color w:val="auto"/>
                <w:szCs w:val="18"/>
                <w:highlight w:val="none"/>
              </w:rPr>
              <mc:AlternateContent>
                <mc:Choice Requires="wps">
                  <w:drawing>
                    <wp:anchor distT="0" distB="0" distL="114300" distR="114300" simplePos="0" relativeHeight="251662336" behindDoc="0" locked="0" layoutInCell="1" allowOverlap="1">
                      <wp:simplePos x="0" y="0"/>
                      <wp:positionH relativeFrom="column">
                        <wp:posOffset>402590</wp:posOffset>
                      </wp:positionH>
                      <wp:positionV relativeFrom="paragraph">
                        <wp:posOffset>-8890</wp:posOffset>
                      </wp:positionV>
                      <wp:extent cx="619125" cy="630555"/>
                      <wp:effectExtent l="0" t="0" r="28575" b="36830"/>
                      <wp:wrapNone/>
                      <wp:docPr id="1" name="直接连接符 1"/>
                      <wp:cNvGraphicFramePr/>
                      <a:graphic xmlns:a="http://schemas.openxmlformats.org/drawingml/2006/main">
                        <a:graphicData uri="http://schemas.microsoft.com/office/word/2010/wordprocessingShape">
                          <wps:wsp>
                            <wps:cNvCnPr/>
                            <wps:spPr>
                              <a:xfrm>
                                <a:off x="0" y="0"/>
                                <a:ext cx="619237" cy="630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7pt;margin-top:-0.7pt;height:49.65pt;width:48.75pt;z-index:251662336;mso-width-relative:page;mso-height-relative:page;" filled="f" stroked="t" coordsize="21600,21600" o:gfxdata="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7/NT1wAA&#10;AAgBAAAPAAAAAAAAAAEAIAAAACIAAABkcnMvZG93bnJldi54bWxQSwECFAAUAAAACACHTuJAh5cu&#10;aeYBAAC1AwAADgAAAAAAAAABACAAAAAmAQAAZHJzL2Uyb0RvYy54bWxQSwUGAAAAAAYABgBZAQAA&#10;fgUAAAAA&#10;">
                      <v:fill on="f" focussize="0,0"/>
                      <v:stroke weight="0.5pt" color="#000000 [3213]" miterlimit="8" joinstyle="miter"/>
                      <v:imagedata o:title=""/>
                      <o:lock v:ext="edit" aspectratio="f"/>
                    </v:line>
                  </w:pict>
                </mc:Fallback>
              </mc:AlternateContent>
            </w:r>
            <w:r>
              <w:rPr>
                <w:rFonts w:ascii="Times New Roman" w:hAnsi="Times New Roman"/>
                <w:b/>
                <w:bCs/>
                <w:color w:val="auto"/>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487045</wp:posOffset>
                      </wp:positionH>
                      <wp:positionV relativeFrom="paragraph">
                        <wp:posOffset>-19685</wp:posOffset>
                      </wp:positionV>
                      <wp:extent cx="864235" cy="25336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64235" cy="253365"/>
                              </a:xfrm>
                              <a:prstGeom prst="rect">
                                <a:avLst/>
                              </a:prstGeom>
                              <a:noFill/>
                              <a:ln w="6350">
                                <a:noFill/>
                              </a:ln>
                            </wps:spPr>
                            <wps:txbx>
                              <w:txbxContent>
                                <w:p w14:paraId="385D1FA7">
                                  <w:pPr>
                                    <w:spacing w:line="240" w:lineRule="atLeast"/>
                                    <w:rPr>
                                      <w:b/>
                                      <w:bCs/>
                                      <w:sz w:val="16"/>
                                      <w:szCs w:val="16"/>
                                    </w:rPr>
                                  </w:pPr>
                                  <w:r>
                                    <w:rPr>
                                      <w:rFonts w:hint="eastAsia"/>
                                      <w:b/>
                                      <w:bCs/>
                                      <w:sz w:val="16"/>
                                      <w:szCs w:val="16"/>
                                    </w:rPr>
                                    <w:t>占地规模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5pt;margin-top:-1.55pt;height:19.95pt;width:68.05pt;z-index:251666432;mso-width-relative:page;mso-height-relative:page;" filled="f" stroked="f" coordsize="21600,21600" o:gfxdata="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nzr4raAAAACAEAAA8AAAAAAAAAAQAgAAAAIgAAAGRycy9k&#10;b3ducmV2LnhtbFBLAQIUABQAAAAIAIdO4kDUri7kOQIAAGUEAAAOAAAAAAAAAAEAIAAAACkBAABk&#10;cnMvZTJvRG9jLnhtbFBLBQYAAAAABgAGAFkBAADUBQAAAAA=&#10;">
                      <v:fill on="f" focussize="0,0"/>
                      <v:stroke on="f" weight="0.5pt"/>
                      <v:imagedata o:title=""/>
                      <o:lock v:ext="edit" aspectratio="f"/>
                      <v:textbox>
                        <w:txbxContent>
                          <w:p w14:paraId="385D1FA7">
                            <w:pPr>
                              <w:spacing w:line="240" w:lineRule="atLeast"/>
                              <w:rPr>
                                <w:b/>
                                <w:bCs/>
                                <w:sz w:val="16"/>
                                <w:szCs w:val="16"/>
                              </w:rPr>
                            </w:pPr>
                            <w:r>
                              <w:rPr>
                                <w:rFonts w:hint="eastAsia"/>
                                <w:b/>
                                <w:bCs/>
                                <w:sz w:val="16"/>
                                <w:szCs w:val="16"/>
                              </w:rPr>
                              <w:t>占地规模</w:t>
                            </w:r>
                          </w:p>
                        </w:txbxContent>
                      </v:textbox>
                    </v:shape>
                  </w:pict>
                </mc:Fallback>
              </mc:AlternateContent>
            </w:r>
            <w:r>
              <w:rPr>
                <w:rFonts w:ascii="Times New Roman" w:hAnsi="Times New Roman"/>
                <w:b/>
                <w:bCs/>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-151765</wp:posOffset>
                      </wp:positionH>
                      <wp:positionV relativeFrom="paragraph">
                        <wp:posOffset>376555</wp:posOffset>
                      </wp:positionV>
                      <wp:extent cx="864235" cy="2533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64235" cy="253365"/>
                              </a:xfrm>
                              <a:prstGeom prst="rect">
                                <a:avLst/>
                              </a:prstGeom>
                              <a:noFill/>
                              <a:ln w="6350">
                                <a:noFill/>
                              </a:ln>
                            </wps:spPr>
                            <wps:txbx>
                              <w:txbxContent>
                                <w:p w14:paraId="0046A75F">
                                  <w:pPr>
                                    <w:spacing w:line="240" w:lineRule="atLeast"/>
                                    <w:rPr>
                                      <w:b/>
                                      <w:bCs/>
                                      <w:sz w:val="16"/>
                                      <w:szCs w:val="16"/>
                                    </w:rPr>
                                  </w:pPr>
                                  <w:r>
                                    <w:rPr>
                                      <w:rFonts w:hint="eastAsia"/>
                                      <w:b/>
                                      <w:bCs/>
                                      <w:sz w:val="16"/>
                                      <w:szCs w:val="16"/>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29.65pt;height:19.95pt;width:68.05pt;z-index:251665408;mso-width-relative:page;mso-height-relative:page;" filled="f" stroked="f" coordsize="21600,21600" o:gfxdata="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fncK2gAAAAkBAAAPAAAAAAAAAAEAIAAAACIAAABkcnMv&#10;ZG93bnJldi54bWxQSwECFAAUAAAACACHTuJATB4opzoCAABlBAAADgAAAAAAAAABACAAAAApAQAA&#10;ZHJzL2Uyb0RvYy54bWxQSwUGAAAAAAYABgBZAQAA1QUAAAAA&#10;">
                      <v:fill on="f" focussize="0,0"/>
                      <v:stroke on="f" weight="0.5pt"/>
                      <v:imagedata o:title=""/>
                      <o:lock v:ext="edit" aspectratio="f"/>
                      <v:textbox>
                        <w:txbxContent>
                          <w:p w14:paraId="0046A75F">
                            <w:pPr>
                              <w:spacing w:line="240" w:lineRule="atLeast"/>
                              <w:rPr>
                                <w:b/>
                                <w:bCs/>
                                <w:sz w:val="16"/>
                                <w:szCs w:val="16"/>
                              </w:rPr>
                            </w:pPr>
                            <w:r>
                              <w:rPr>
                                <w:rFonts w:hint="eastAsia"/>
                                <w:b/>
                                <w:bCs/>
                                <w:sz w:val="16"/>
                                <w:szCs w:val="16"/>
                              </w:rPr>
                              <w:t>敏感程度</w:t>
                            </w:r>
                          </w:p>
                        </w:txbxContent>
                      </v:textbox>
                    </v:shape>
                  </w:pict>
                </mc:Fallback>
              </mc:AlternateContent>
            </w:r>
            <w:r>
              <w:rPr>
                <w:rFonts w:ascii="Times New Roman" w:hAnsi="Times New Roman"/>
                <w:b/>
                <w:bCs/>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-156845</wp:posOffset>
                      </wp:positionH>
                      <wp:positionV relativeFrom="paragraph">
                        <wp:posOffset>62230</wp:posOffset>
                      </wp:positionV>
                      <wp:extent cx="864235" cy="2533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864235" cy="253365"/>
                              </a:xfrm>
                              <a:prstGeom prst="rect">
                                <a:avLst/>
                              </a:prstGeom>
                              <a:noFill/>
                              <a:ln w="6350">
                                <a:noFill/>
                              </a:ln>
                            </wps:spPr>
                            <wps:txbx>
                              <w:txbxContent>
                                <w:p w14:paraId="08F626D8">
                                  <w:pPr>
                                    <w:spacing w:line="240" w:lineRule="atLeast"/>
                                    <w:rPr>
                                      <w:b/>
                                      <w:bCs/>
                                      <w:sz w:val="16"/>
                                      <w:szCs w:val="16"/>
                                    </w:rPr>
                                  </w:pPr>
                                  <w:r>
                                    <w:rPr>
                                      <w:rFonts w:hint="eastAsia"/>
                                      <w:b/>
                                      <w:bCs/>
                                      <w:sz w:val="16"/>
                                      <w:szCs w:val="16"/>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4.9pt;height:19.95pt;width:68.05pt;z-index:251664384;mso-width-relative:page;mso-height-relative:page;" filled="f" stroked="f" coordsize="21600,21600" o:gfxdata="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F3dJ9oAAAAIAQAADwAAAAAAAAABACAAAAAiAAAAZHJz&#10;L2Rvd25yZXYueG1sUEsBAhQAFAAAAAgAh07iQGPDA2w7AgAAZQQAAA4AAAAAAAAAAQAgAAAAKQEA&#10;AGRycy9lMm9Eb2MueG1sUEsFBgAAAAAGAAYAWQEAANYFAAAAAA==&#10;">
                      <v:fill on="f" focussize="0,0"/>
                      <v:stroke on="f" weight="0.5pt"/>
                      <v:imagedata o:title=""/>
                      <o:lock v:ext="edit" aspectratio="f"/>
                      <v:textbox>
                        <w:txbxContent>
                          <w:p w14:paraId="08F626D8">
                            <w:pPr>
                              <w:spacing w:line="240" w:lineRule="atLeast"/>
                              <w:rPr>
                                <w:b/>
                                <w:bCs/>
                                <w:sz w:val="16"/>
                                <w:szCs w:val="16"/>
                              </w:rPr>
                            </w:pPr>
                            <w:r>
                              <w:rPr>
                                <w:rFonts w:hint="eastAsia"/>
                                <w:b/>
                                <w:bCs/>
                                <w:sz w:val="16"/>
                                <w:szCs w:val="16"/>
                              </w:rPr>
                              <w:t>评价工作等级</w:t>
                            </w:r>
                          </w:p>
                        </w:txbxContent>
                      </v:textbox>
                    </v:shape>
                  </w:pict>
                </mc:Fallback>
              </mc:AlternateContent>
            </w:r>
            <w:r>
              <w:rPr>
                <w:rFonts w:ascii="Times New Roman" w:hAnsi="Times New Roman"/>
                <w:b/>
                <w:bCs/>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-69215</wp:posOffset>
                      </wp:positionH>
                      <wp:positionV relativeFrom="paragraph">
                        <wp:posOffset>234950</wp:posOffset>
                      </wp:positionV>
                      <wp:extent cx="1080770" cy="376555"/>
                      <wp:effectExtent l="0" t="0" r="24130" b="23495"/>
                      <wp:wrapNone/>
                      <wp:docPr id="8" name="直接连接符 8"/>
                      <wp:cNvGraphicFramePr/>
                      <a:graphic xmlns:a="http://schemas.openxmlformats.org/drawingml/2006/main">
                        <a:graphicData uri="http://schemas.microsoft.com/office/word/2010/wordprocessingShape">
                          <wps:wsp>
                            <wps:cNvCnPr/>
                            <wps:spPr>
                              <a:xfrm>
                                <a:off x="0" y="0"/>
                                <a:ext cx="1080770" cy="3765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18.5pt;height:29.65pt;width:85.1pt;z-index:251663360;mso-width-relative:page;mso-height-relative:page;" filled="f" stroked="t" coordsize="21600,21600" o:gfxdata="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ssd2dgA&#10;AAAJAQAADwAAAAAAAAABACAAAAAiAAAAZHJzL2Rvd25yZXYueG1sUEsBAhQAFAAAAAgAh07iQJDl&#10;SqfmAQAAtgMAAA4AAAAAAAAAAQAgAAAAJwEAAGRycy9lMm9Eb2MueG1sUEsFBgAAAAAGAAYAWQEA&#10;AH8FAAAAAA==&#10;">
                      <v:fill on="f" focussize="0,0"/>
                      <v:stroke weight="0.5pt" color="#000000 [3213]" miterlimit="8" joinstyle="miter"/>
                      <v:imagedata o:title=""/>
                      <o:lock v:ext="edit" aspectratio="f"/>
                    </v:line>
                  </w:pict>
                </mc:Fallback>
              </mc:AlternateContent>
            </w:r>
            <w:r>
              <w:rPr>
                <w:rFonts w:ascii="Times New Roman" w:hAnsi="Times New Roman"/>
                <w:b/>
                <w:bCs/>
                <w:color w:val="auto"/>
                <w:sz w:val="21"/>
                <w:szCs w:val="21"/>
                <w:highlight w:val="none"/>
              </w:rPr>
              <w:t xml:space="preserve"> </w:t>
            </w:r>
          </w:p>
        </w:tc>
        <w:tc>
          <w:tcPr>
            <w:tcW w:w="2200" w:type="dxa"/>
            <w:gridSpan w:val="3"/>
            <w:tcBorders>
              <w:tl2br w:val="nil"/>
              <w:tr2bl w:val="nil"/>
            </w:tcBorders>
            <w:vAlign w:val="center"/>
          </w:tcPr>
          <w:p w14:paraId="1BB95272">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Ⅰ类</w:t>
            </w:r>
          </w:p>
        </w:tc>
        <w:tc>
          <w:tcPr>
            <w:tcW w:w="2200" w:type="dxa"/>
            <w:gridSpan w:val="3"/>
            <w:tcBorders>
              <w:tl2br w:val="nil"/>
              <w:tr2bl w:val="nil"/>
            </w:tcBorders>
            <w:vAlign w:val="center"/>
          </w:tcPr>
          <w:p w14:paraId="545E81A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Ⅱ类</w:t>
            </w:r>
          </w:p>
        </w:tc>
        <w:tc>
          <w:tcPr>
            <w:tcW w:w="2201" w:type="dxa"/>
            <w:gridSpan w:val="3"/>
            <w:tcBorders>
              <w:tl2br w:val="nil"/>
              <w:tr2bl w:val="nil"/>
            </w:tcBorders>
            <w:vAlign w:val="center"/>
          </w:tcPr>
          <w:p w14:paraId="1730E919">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Ⅲ类</w:t>
            </w:r>
          </w:p>
        </w:tc>
      </w:tr>
      <w:tr w14:paraId="3ED0383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13" w:hRule="atLeast"/>
        </w:trPr>
        <w:tc>
          <w:tcPr>
            <w:tcW w:w="1701" w:type="dxa"/>
            <w:vMerge w:val="continue"/>
            <w:tcBorders>
              <w:tl2br w:val="nil"/>
              <w:tr2bl w:val="nil"/>
            </w:tcBorders>
            <w:vAlign w:val="center"/>
          </w:tcPr>
          <w:p w14:paraId="20A38C70">
            <w:pPr>
              <w:ind w:left="-105" w:right="-105"/>
              <w:jc w:val="center"/>
              <w:rPr>
                <w:rFonts w:ascii="Times New Roman" w:hAnsi="Times New Roman"/>
                <w:b/>
                <w:bCs/>
                <w:color w:val="auto"/>
                <w:sz w:val="21"/>
                <w:szCs w:val="21"/>
                <w:highlight w:val="none"/>
              </w:rPr>
            </w:pPr>
          </w:p>
        </w:tc>
        <w:tc>
          <w:tcPr>
            <w:tcW w:w="733" w:type="dxa"/>
            <w:tcBorders>
              <w:tl2br w:val="nil"/>
              <w:tr2bl w:val="nil"/>
            </w:tcBorders>
            <w:vAlign w:val="center"/>
          </w:tcPr>
          <w:p w14:paraId="3C7D999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大</w:t>
            </w:r>
          </w:p>
        </w:tc>
        <w:tc>
          <w:tcPr>
            <w:tcW w:w="733" w:type="dxa"/>
            <w:tcBorders>
              <w:tl2br w:val="nil"/>
              <w:tr2bl w:val="nil"/>
            </w:tcBorders>
            <w:vAlign w:val="center"/>
          </w:tcPr>
          <w:p w14:paraId="76261BD3">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中</w:t>
            </w:r>
          </w:p>
        </w:tc>
        <w:tc>
          <w:tcPr>
            <w:tcW w:w="734" w:type="dxa"/>
            <w:tcBorders>
              <w:tl2br w:val="nil"/>
              <w:tr2bl w:val="nil"/>
            </w:tcBorders>
            <w:vAlign w:val="center"/>
          </w:tcPr>
          <w:p w14:paraId="13B29FC5">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小</w:t>
            </w:r>
          </w:p>
        </w:tc>
        <w:tc>
          <w:tcPr>
            <w:tcW w:w="733" w:type="dxa"/>
            <w:tcBorders>
              <w:tl2br w:val="nil"/>
              <w:tr2bl w:val="nil"/>
            </w:tcBorders>
            <w:vAlign w:val="center"/>
          </w:tcPr>
          <w:p w14:paraId="1CD083AF">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大</w:t>
            </w:r>
          </w:p>
        </w:tc>
        <w:tc>
          <w:tcPr>
            <w:tcW w:w="734" w:type="dxa"/>
            <w:tcBorders>
              <w:tl2br w:val="nil"/>
              <w:tr2bl w:val="nil"/>
            </w:tcBorders>
            <w:vAlign w:val="center"/>
          </w:tcPr>
          <w:p w14:paraId="5C4CA360">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中</w:t>
            </w:r>
          </w:p>
        </w:tc>
        <w:tc>
          <w:tcPr>
            <w:tcW w:w="733" w:type="dxa"/>
            <w:tcBorders>
              <w:tl2br w:val="nil"/>
              <w:tr2bl w:val="nil"/>
            </w:tcBorders>
            <w:vAlign w:val="center"/>
          </w:tcPr>
          <w:p w14:paraId="15804947">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小</w:t>
            </w:r>
          </w:p>
        </w:tc>
        <w:tc>
          <w:tcPr>
            <w:tcW w:w="734" w:type="dxa"/>
            <w:tcBorders>
              <w:tl2br w:val="nil"/>
              <w:tr2bl w:val="nil"/>
            </w:tcBorders>
            <w:vAlign w:val="center"/>
          </w:tcPr>
          <w:p w14:paraId="4FCD5880">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大</w:t>
            </w:r>
          </w:p>
        </w:tc>
        <w:tc>
          <w:tcPr>
            <w:tcW w:w="733" w:type="dxa"/>
            <w:tcBorders>
              <w:tl2br w:val="nil"/>
              <w:tr2bl w:val="nil"/>
            </w:tcBorders>
            <w:vAlign w:val="center"/>
          </w:tcPr>
          <w:p w14:paraId="2533E905">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中</w:t>
            </w:r>
          </w:p>
        </w:tc>
        <w:tc>
          <w:tcPr>
            <w:tcW w:w="734" w:type="dxa"/>
            <w:tcBorders>
              <w:tl2br w:val="nil"/>
              <w:tr2bl w:val="nil"/>
            </w:tcBorders>
            <w:vAlign w:val="center"/>
          </w:tcPr>
          <w:p w14:paraId="29BCEBDC">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小</w:t>
            </w:r>
          </w:p>
        </w:tc>
      </w:tr>
      <w:tr w14:paraId="3946A49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1701" w:type="dxa"/>
            <w:tcBorders>
              <w:tl2br w:val="nil"/>
              <w:tr2bl w:val="nil"/>
            </w:tcBorders>
            <w:vAlign w:val="center"/>
          </w:tcPr>
          <w:p w14:paraId="3B29E34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敏感</w:t>
            </w:r>
          </w:p>
        </w:tc>
        <w:tc>
          <w:tcPr>
            <w:tcW w:w="733" w:type="dxa"/>
            <w:tcBorders>
              <w:tl2br w:val="nil"/>
              <w:tr2bl w:val="nil"/>
            </w:tcBorders>
            <w:vAlign w:val="center"/>
          </w:tcPr>
          <w:p w14:paraId="66A356D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3" w:type="dxa"/>
            <w:tcBorders>
              <w:tl2br w:val="nil"/>
              <w:tr2bl w:val="nil"/>
            </w:tcBorders>
          </w:tcPr>
          <w:p w14:paraId="013F65A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4" w:type="dxa"/>
            <w:tcBorders>
              <w:tl2br w:val="nil"/>
              <w:tr2bl w:val="nil"/>
            </w:tcBorders>
            <w:vAlign w:val="center"/>
          </w:tcPr>
          <w:p w14:paraId="54A0136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3" w:type="dxa"/>
            <w:tcBorders>
              <w:tl2br w:val="nil"/>
              <w:tr2bl w:val="nil"/>
            </w:tcBorders>
            <w:vAlign w:val="center"/>
          </w:tcPr>
          <w:p w14:paraId="0DFDE1A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4" w:type="dxa"/>
            <w:tcBorders>
              <w:tl2br w:val="nil"/>
              <w:tr2bl w:val="nil"/>
            </w:tcBorders>
            <w:vAlign w:val="center"/>
          </w:tcPr>
          <w:p w14:paraId="17666D6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3" w:type="dxa"/>
            <w:tcBorders>
              <w:tl2br w:val="nil"/>
              <w:tr2bl w:val="nil"/>
            </w:tcBorders>
            <w:shd w:val="clear" w:color="auto" w:fill="A4A4A4" w:themeFill="background1" w:themeFillShade="A5"/>
            <w:vAlign w:val="center"/>
          </w:tcPr>
          <w:p w14:paraId="759E054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shd w:val="clear" w:color="auto" w:fill="A4A4A4" w:themeFill="background1" w:themeFillShade="A5"/>
              </w:rPr>
              <w:t>二级</w:t>
            </w:r>
          </w:p>
        </w:tc>
        <w:tc>
          <w:tcPr>
            <w:tcW w:w="734" w:type="dxa"/>
            <w:tcBorders>
              <w:tl2br w:val="nil"/>
              <w:tr2bl w:val="nil"/>
            </w:tcBorders>
          </w:tcPr>
          <w:p w14:paraId="5014DFC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3" w:type="dxa"/>
            <w:tcBorders>
              <w:tl2br w:val="nil"/>
              <w:tr2bl w:val="nil"/>
            </w:tcBorders>
          </w:tcPr>
          <w:p w14:paraId="77E79BB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4" w:type="dxa"/>
            <w:tcBorders>
              <w:tl2br w:val="nil"/>
              <w:tr2bl w:val="nil"/>
            </w:tcBorders>
            <w:vAlign w:val="center"/>
          </w:tcPr>
          <w:p w14:paraId="6A043F5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r>
      <w:tr w14:paraId="3F9935B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1701" w:type="dxa"/>
            <w:tcBorders>
              <w:tl2br w:val="nil"/>
              <w:tr2bl w:val="nil"/>
            </w:tcBorders>
            <w:vAlign w:val="center"/>
          </w:tcPr>
          <w:p w14:paraId="6C15F19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较敏感</w:t>
            </w:r>
          </w:p>
        </w:tc>
        <w:tc>
          <w:tcPr>
            <w:tcW w:w="733" w:type="dxa"/>
            <w:tcBorders>
              <w:tl2br w:val="nil"/>
              <w:tr2bl w:val="nil"/>
            </w:tcBorders>
          </w:tcPr>
          <w:p w14:paraId="4E3DF43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3" w:type="dxa"/>
            <w:tcBorders>
              <w:tl2br w:val="nil"/>
              <w:tr2bl w:val="nil"/>
            </w:tcBorders>
          </w:tcPr>
          <w:p w14:paraId="10D8099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4" w:type="dxa"/>
            <w:tcBorders>
              <w:tl2br w:val="nil"/>
              <w:tr2bl w:val="nil"/>
            </w:tcBorders>
            <w:vAlign w:val="center"/>
          </w:tcPr>
          <w:p w14:paraId="46AE5AB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3" w:type="dxa"/>
            <w:tcBorders>
              <w:tl2br w:val="nil"/>
              <w:tr2bl w:val="nil"/>
            </w:tcBorders>
            <w:vAlign w:val="center"/>
          </w:tcPr>
          <w:p w14:paraId="0BEEDCB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4" w:type="dxa"/>
            <w:tcBorders>
              <w:tl2br w:val="nil"/>
              <w:tr2bl w:val="nil"/>
            </w:tcBorders>
            <w:vAlign w:val="center"/>
          </w:tcPr>
          <w:p w14:paraId="049ABA6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3" w:type="dxa"/>
            <w:tcBorders>
              <w:tl2br w:val="nil"/>
              <w:tr2bl w:val="nil"/>
            </w:tcBorders>
          </w:tcPr>
          <w:p w14:paraId="757E786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4" w:type="dxa"/>
            <w:tcBorders>
              <w:tl2br w:val="nil"/>
              <w:tr2bl w:val="nil"/>
            </w:tcBorders>
          </w:tcPr>
          <w:p w14:paraId="613140C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3" w:type="dxa"/>
            <w:tcBorders>
              <w:tl2br w:val="nil"/>
              <w:tr2bl w:val="nil"/>
            </w:tcBorders>
          </w:tcPr>
          <w:p w14:paraId="6324542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4" w:type="dxa"/>
            <w:tcBorders>
              <w:tl2br w:val="nil"/>
              <w:tr2bl w:val="nil"/>
            </w:tcBorders>
            <w:vAlign w:val="center"/>
          </w:tcPr>
          <w:p w14:paraId="1AF6C26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r>
      <w:tr w14:paraId="7011198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1701" w:type="dxa"/>
            <w:tcBorders>
              <w:tl2br w:val="nil"/>
              <w:tr2bl w:val="nil"/>
            </w:tcBorders>
            <w:vAlign w:val="center"/>
          </w:tcPr>
          <w:p w14:paraId="5122010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不敏感</w:t>
            </w:r>
          </w:p>
        </w:tc>
        <w:tc>
          <w:tcPr>
            <w:tcW w:w="733" w:type="dxa"/>
            <w:tcBorders>
              <w:tl2br w:val="nil"/>
              <w:tr2bl w:val="nil"/>
            </w:tcBorders>
          </w:tcPr>
          <w:p w14:paraId="43765F1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733" w:type="dxa"/>
            <w:tcBorders>
              <w:tl2br w:val="nil"/>
              <w:tr2bl w:val="nil"/>
            </w:tcBorders>
            <w:vAlign w:val="center"/>
          </w:tcPr>
          <w:p w14:paraId="14F231E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4" w:type="dxa"/>
            <w:tcBorders>
              <w:tl2br w:val="nil"/>
              <w:tr2bl w:val="nil"/>
            </w:tcBorders>
            <w:shd w:val="clear" w:color="auto" w:fill="auto"/>
            <w:vAlign w:val="center"/>
          </w:tcPr>
          <w:p w14:paraId="15762E9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3" w:type="dxa"/>
            <w:tcBorders>
              <w:tl2br w:val="nil"/>
              <w:tr2bl w:val="nil"/>
            </w:tcBorders>
            <w:vAlign w:val="center"/>
          </w:tcPr>
          <w:p w14:paraId="54D174D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二级</w:t>
            </w:r>
          </w:p>
        </w:tc>
        <w:tc>
          <w:tcPr>
            <w:tcW w:w="734" w:type="dxa"/>
            <w:tcBorders>
              <w:tl2br w:val="nil"/>
              <w:tr2bl w:val="nil"/>
            </w:tcBorders>
            <w:vAlign w:val="center"/>
          </w:tcPr>
          <w:p w14:paraId="6DF9134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3" w:type="dxa"/>
            <w:tcBorders>
              <w:tl2br w:val="nil"/>
              <w:tr2bl w:val="nil"/>
            </w:tcBorders>
          </w:tcPr>
          <w:p w14:paraId="36E110C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4" w:type="dxa"/>
            <w:tcBorders>
              <w:tl2br w:val="nil"/>
              <w:tr2bl w:val="nil"/>
            </w:tcBorders>
          </w:tcPr>
          <w:p w14:paraId="57CDE40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三级</w:t>
            </w:r>
          </w:p>
        </w:tc>
        <w:tc>
          <w:tcPr>
            <w:tcW w:w="733" w:type="dxa"/>
            <w:tcBorders>
              <w:tl2br w:val="nil"/>
              <w:tr2bl w:val="nil"/>
            </w:tcBorders>
            <w:vAlign w:val="center"/>
          </w:tcPr>
          <w:p w14:paraId="0F7E6E8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734" w:type="dxa"/>
            <w:tcBorders>
              <w:tl2br w:val="nil"/>
              <w:tr2bl w:val="nil"/>
            </w:tcBorders>
            <w:vAlign w:val="center"/>
          </w:tcPr>
          <w:p w14:paraId="28E2B8E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r>
      <w:tr w14:paraId="2CBFC54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8302" w:type="dxa"/>
            <w:gridSpan w:val="10"/>
            <w:tcBorders>
              <w:tl2br w:val="nil"/>
              <w:tr2bl w:val="nil"/>
            </w:tcBorders>
            <w:vAlign w:val="center"/>
          </w:tcPr>
          <w:p w14:paraId="5EB2C8D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注：“-”表示可不开展土壤环境影响评价工作。</w:t>
            </w:r>
          </w:p>
        </w:tc>
      </w:tr>
    </w:tbl>
    <w:p w14:paraId="69344468">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综上，</w:t>
      </w:r>
      <w:r>
        <w:rPr>
          <w:rFonts w:ascii="Times New Roman" w:hAnsi="Times New Roman"/>
          <w:b/>
          <w:bCs/>
          <w:color w:val="auto"/>
          <w:highlight w:val="none"/>
        </w:rPr>
        <w:t>本项目土壤评价等级判定为二级评价</w:t>
      </w:r>
      <w:r>
        <w:rPr>
          <w:rFonts w:ascii="Times New Roman" w:hAnsi="Times New Roman"/>
          <w:color w:val="auto"/>
          <w:highlight w:val="none"/>
        </w:rPr>
        <w:t>。</w:t>
      </w:r>
    </w:p>
    <w:p w14:paraId="3D636749">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w:t>
      </w:r>
      <w:r>
        <w:rPr>
          <w:rFonts w:hint="eastAsia" w:ascii="Times New Roman" w:hAnsi="Times New Roman"/>
          <w:color w:val="auto"/>
          <w:sz w:val="24"/>
          <w:szCs w:val="24"/>
          <w:highlight w:val="none"/>
        </w:rPr>
        <w:t>6</w:t>
      </w:r>
      <w:r>
        <w:rPr>
          <w:rFonts w:ascii="Times New Roman" w:hAnsi="Times New Roman"/>
          <w:color w:val="auto"/>
          <w:sz w:val="24"/>
          <w:szCs w:val="24"/>
          <w:highlight w:val="none"/>
        </w:rPr>
        <w:t>环境风险评价等级</w:t>
      </w:r>
    </w:p>
    <w:p w14:paraId="36D5C5A0">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1、环境风险潜势划分</w:t>
      </w:r>
    </w:p>
    <w:p w14:paraId="13E5FCA1">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建设项目环境风险潜势划分为Ⅰ、Ⅱ、Ⅲ、Ⅳ/Ⅳ</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级。</w:t>
      </w:r>
    </w:p>
    <w:p w14:paraId="2BC29438">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根据建设项目涉及的物质和工艺系统的危险性及其所在地的环境敏感程度，结合事故情形下环境影响途径，对建设项目潜在环境危害程度进行概化分析，按照下表确定环境风险潜势。</w:t>
      </w:r>
    </w:p>
    <w:p w14:paraId="7473F902">
      <w:pPr>
        <w:pStyle w:val="15"/>
        <w:ind w:left="-105" w:right="-105" w:firstLine="482"/>
        <w:rPr>
          <w:rFonts w:eastAsia="宋体"/>
          <w:b w:val="0"/>
          <w:color w:val="auto"/>
          <w:sz w:val="24"/>
          <w:szCs w:val="24"/>
          <w:highlight w:val="none"/>
        </w:rPr>
      </w:pPr>
      <w:r>
        <w:rPr>
          <w:rFonts w:eastAsia="宋体"/>
          <w:color w:val="auto"/>
          <w:sz w:val="24"/>
          <w:szCs w:val="24"/>
          <w:highlight w:val="none"/>
        </w:rPr>
        <w:t xml:space="preserve">表 </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2.4</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7</w:t>
      </w:r>
      <w:r>
        <w:rPr>
          <w:rFonts w:eastAsia="宋体"/>
          <w:color w:val="auto"/>
          <w:sz w:val="24"/>
          <w:szCs w:val="24"/>
          <w:highlight w:val="none"/>
        </w:rPr>
        <w:fldChar w:fldCharType="end"/>
      </w:r>
      <w:r>
        <w:rPr>
          <w:rFonts w:eastAsia="宋体"/>
          <w:color w:val="auto"/>
          <w:sz w:val="24"/>
          <w:szCs w:val="24"/>
          <w:highlight w:val="none"/>
        </w:rPr>
        <w:t>建设项目环境风险潜势划分</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68"/>
        <w:gridCol w:w="1559"/>
        <w:gridCol w:w="1559"/>
        <w:gridCol w:w="1559"/>
        <w:gridCol w:w="1559"/>
      </w:tblGrid>
      <w:tr w14:paraId="6AF4A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68" w:type="dxa"/>
            <w:vMerge w:val="restart"/>
            <w:vAlign w:val="center"/>
          </w:tcPr>
          <w:p w14:paraId="261110B7">
            <w:pPr>
              <w:autoSpaceDE w:val="0"/>
              <w:autoSpaceDN w:val="0"/>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环境敏感程度（E）</w:t>
            </w:r>
          </w:p>
        </w:tc>
        <w:tc>
          <w:tcPr>
            <w:tcW w:w="6236" w:type="dxa"/>
            <w:gridSpan w:val="4"/>
            <w:vAlign w:val="center"/>
          </w:tcPr>
          <w:p w14:paraId="31B58808">
            <w:pPr>
              <w:autoSpaceDE w:val="0"/>
              <w:autoSpaceDN w:val="0"/>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危险物质及工艺系统危险性（P）</w:t>
            </w:r>
          </w:p>
        </w:tc>
      </w:tr>
      <w:tr w14:paraId="1B23D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68" w:type="dxa"/>
            <w:vMerge w:val="continue"/>
            <w:vAlign w:val="center"/>
          </w:tcPr>
          <w:p w14:paraId="01533871">
            <w:pPr>
              <w:autoSpaceDE w:val="0"/>
              <w:autoSpaceDN w:val="0"/>
              <w:adjustRightInd w:val="0"/>
              <w:snapToGrid w:val="0"/>
              <w:ind w:left="-105" w:right="-105"/>
              <w:jc w:val="center"/>
              <w:rPr>
                <w:rFonts w:ascii="Times New Roman" w:hAnsi="Times New Roman" w:cs="Times New Roman"/>
                <w:b/>
                <w:color w:val="auto"/>
                <w:sz w:val="21"/>
                <w:szCs w:val="21"/>
                <w:highlight w:val="none"/>
              </w:rPr>
            </w:pPr>
          </w:p>
        </w:tc>
        <w:tc>
          <w:tcPr>
            <w:tcW w:w="1559" w:type="dxa"/>
            <w:vAlign w:val="center"/>
          </w:tcPr>
          <w:p w14:paraId="533D800E">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极高危害（</w:t>
            </w:r>
            <w:r>
              <w:rPr>
                <w:rStyle w:val="110"/>
                <w:rFonts w:ascii="Times New Roman" w:hAnsi="Times New Roman" w:cs="Times New Roman"/>
                <w:b/>
                <w:color w:val="auto"/>
                <w:sz w:val="21"/>
                <w:szCs w:val="21"/>
                <w:highlight w:val="none"/>
              </w:rPr>
              <w:t>P1</w:t>
            </w:r>
            <w:r>
              <w:rPr>
                <w:rStyle w:val="166"/>
                <w:b w:val="0"/>
                <w:color w:val="auto"/>
                <w:sz w:val="21"/>
                <w:szCs w:val="21"/>
                <w:highlight w:val="none"/>
              </w:rPr>
              <w:t>）</w:t>
            </w:r>
          </w:p>
        </w:tc>
        <w:tc>
          <w:tcPr>
            <w:tcW w:w="1559" w:type="dxa"/>
            <w:vAlign w:val="center"/>
          </w:tcPr>
          <w:p w14:paraId="38A34F1C">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高度危害（</w:t>
            </w:r>
            <w:r>
              <w:rPr>
                <w:rStyle w:val="110"/>
                <w:rFonts w:ascii="Times New Roman" w:hAnsi="Times New Roman" w:cs="Times New Roman"/>
                <w:b/>
                <w:color w:val="auto"/>
                <w:sz w:val="21"/>
                <w:szCs w:val="21"/>
                <w:highlight w:val="none"/>
              </w:rPr>
              <w:t>P2</w:t>
            </w:r>
            <w:r>
              <w:rPr>
                <w:rStyle w:val="166"/>
                <w:b w:val="0"/>
                <w:color w:val="auto"/>
                <w:sz w:val="21"/>
                <w:szCs w:val="21"/>
                <w:highlight w:val="none"/>
              </w:rPr>
              <w:t>）</w:t>
            </w:r>
          </w:p>
        </w:tc>
        <w:tc>
          <w:tcPr>
            <w:tcW w:w="1559" w:type="dxa"/>
            <w:vAlign w:val="center"/>
          </w:tcPr>
          <w:p w14:paraId="01A3512D">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中度危害（</w:t>
            </w:r>
            <w:r>
              <w:rPr>
                <w:rStyle w:val="110"/>
                <w:rFonts w:ascii="Times New Roman" w:hAnsi="Times New Roman" w:cs="Times New Roman"/>
                <w:b/>
                <w:color w:val="auto"/>
                <w:sz w:val="21"/>
                <w:szCs w:val="21"/>
                <w:highlight w:val="none"/>
              </w:rPr>
              <w:t>P3</w:t>
            </w:r>
            <w:r>
              <w:rPr>
                <w:rStyle w:val="166"/>
                <w:b w:val="0"/>
                <w:color w:val="auto"/>
                <w:sz w:val="21"/>
                <w:szCs w:val="21"/>
                <w:highlight w:val="none"/>
              </w:rPr>
              <w:t>）</w:t>
            </w:r>
          </w:p>
        </w:tc>
        <w:tc>
          <w:tcPr>
            <w:tcW w:w="1559" w:type="dxa"/>
            <w:vAlign w:val="center"/>
          </w:tcPr>
          <w:p w14:paraId="0CB69718">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轻度危害（</w:t>
            </w:r>
            <w:r>
              <w:rPr>
                <w:rStyle w:val="110"/>
                <w:rFonts w:ascii="Times New Roman" w:hAnsi="Times New Roman" w:cs="Times New Roman"/>
                <w:b/>
                <w:color w:val="auto"/>
                <w:sz w:val="21"/>
                <w:szCs w:val="21"/>
                <w:highlight w:val="none"/>
              </w:rPr>
              <w:t>P4</w:t>
            </w:r>
            <w:r>
              <w:rPr>
                <w:rStyle w:val="166"/>
                <w:b w:val="0"/>
                <w:color w:val="auto"/>
                <w:sz w:val="21"/>
                <w:szCs w:val="21"/>
                <w:highlight w:val="none"/>
              </w:rPr>
              <w:t>）</w:t>
            </w:r>
          </w:p>
        </w:tc>
      </w:tr>
      <w:tr w14:paraId="2D2AC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68" w:type="dxa"/>
            <w:vAlign w:val="center"/>
          </w:tcPr>
          <w:p w14:paraId="6C397C27">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环境高度敏感区（</w:t>
            </w:r>
            <w:r>
              <w:rPr>
                <w:rStyle w:val="166"/>
                <w:b w:val="0"/>
                <w:color w:val="auto"/>
                <w:sz w:val="21"/>
                <w:szCs w:val="21"/>
                <w:highlight w:val="none"/>
              </w:rPr>
              <w:t>E1</w:t>
            </w:r>
            <w:r>
              <w:rPr>
                <w:rStyle w:val="133"/>
                <w:rFonts w:hint="default" w:ascii="Times New Roman" w:hAnsi="Times New Roman" w:eastAsia="宋体" w:cs="Times New Roman"/>
                <w:color w:val="auto"/>
                <w:sz w:val="21"/>
                <w:szCs w:val="21"/>
                <w:highlight w:val="none"/>
              </w:rPr>
              <w:t>）</w:t>
            </w:r>
          </w:p>
        </w:tc>
        <w:tc>
          <w:tcPr>
            <w:tcW w:w="1559" w:type="dxa"/>
            <w:vAlign w:val="center"/>
          </w:tcPr>
          <w:p w14:paraId="3A907DED">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Ⅳ</w:t>
            </w:r>
            <w:r>
              <w:rPr>
                <w:rStyle w:val="110"/>
                <w:rFonts w:ascii="Times New Roman" w:hAnsi="Times New Roman" w:cs="Times New Roman"/>
                <w:color w:val="auto"/>
                <w:sz w:val="21"/>
                <w:szCs w:val="21"/>
                <w:highlight w:val="none"/>
                <w:vertAlign w:val="superscript"/>
              </w:rPr>
              <w:t>+</w:t>
            </w:r>
          </w:p>
        </w:tc>
        <w:tc>
          <w:tcPr>
            <w:tcW w:w="1559" w:type="dxa"/>
            <w:vAlign w:val="center"/>
          </w:tcPr>
          <w:p w14:paraId="67161504">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Ⅳ</w:t>
            </w:r>
          </w:p>
        </w:tc>
        <w:tc>
          <w:tcPr>
            <w:tcW w:w="1559" w:type="dxa"/>
            <w:vAlign w:val="center"/>
          </w:tcPr>
          <w:p w14:paraId="12A9218A">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c>
          <w:tcPr>
            <w:tcW w:w="1559" w:type="dxa"/>
            <w:vAlign w:val="center"/>
          </w:tcPr>
          <w:p w14:paraId="1A955F8F">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r>
      <w:tr w14:paraId="363DF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68" w:type="dxa"/>
            <w:vAlign w:val="center"/>
          </w:tcPr>
          <w:p w14:paraId="3B747F2A">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环境中度敏感区（</w:t>
            </w:r>
            <w:r>
              <w:rPr>
                <w:rStyle w:val="166"/>
                <w:b w:val="0"/>
                <w:color w:val="auto"/>
                <w:sz w:val="21"/>
                <w:szCs w:val="21"/>
                <w:highlight w:val="none"/>
              </w:rPr>
              <w:t>E2</w:t>
            </w:r>
            <w:r>
              <w:rPr>
                <w:rStyle w:val="133"/>
                <w:rFonts w:hint="default" w:ascii="Times New Roman" w:hAnsi="Times New Roman" w:eastAsia="宋体" w:cs="Times New Roman"/>
                <w:color w:val="auto"/>
                <w:sz w:val="21"/>
                <w:szCs w:val="21"/>
                <w:highlight w:val="none"/>
              </w:rPr>
              <w:t>）</w:t>
            </w:r>
          </w:p>
        </w:tc>
        <w:tc>
          <w:tcPr>
            <w:tcW w:w="1559" w:type="dxa"/>
            <w:vAlign w:val="center"/>
          </w:tcPr>
          <w:p w14:paraId="31F987E9">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Ⅳ</w:t>
            </w:r>
          </w:p>
        </w:tc>
        <w:tc>
          <w:tcPr>
            <w:tcW w:w="1559" w:type="dxa"/>
            <w:vAlign w:val="center"/>
          </w:tcPr>
          <w:p w14:paraId="6475AE6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c>
          <w:tcPr>
            <w:tcW w:w="1559" w:type="dxa"/>
            <w:vAlign w:val="center"/>
          </w:tcPr>
          <w:p w14:paraId="7549A28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c>
          <w:tcPr>
            <w:tcW w:w="1559" w:type="dxa"/>
            <w:vAlign w:val="center"/>
          </w:tcPr>
          <w:p w14:paraId="2AF3676B">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Ⅱ</w:t>
            </w:r>
          </w:p>
        </w:tc>
      </w:tr>
      <w:tr w14:paraId="5E175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68" w:type="dxa"/>
            <w:vAlign w:val="center"/>
          </w:tcPr>
          <w:p w14:paraId="0D4F6E41">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环境低度敏感区（</w:t>
            </w:r>
            <w:r>
              <w:rPr>
                <w:rStyle w:val="166"/>
                <w:b w:val="0"/>
                <w:color w:val="auto"/>
                <w:sz w:val="21"/>
                <w:szCs w:val="21"/>
                <w:highlight w:val="none"/>
              </w:rPr>
              <w:t>E3</w:t>
            </w:r>
            <w:r>
              <w:rPr>
                <w:rStyle w:val="133"/>
                <w:rFonts w:hint="default" w:ascii="Times New Roman" w:hAnsi="Times New Roman" w:eastAsia="宋体" w:cs="Times New Roman"/>
                <w:color w:val="auto"/>
                <w:sz w:val="21"/>
                <w:szCs w:val="21"/>
                <w:highlight w:val="none"/>
              </w:rPr>
              <w:t>）</w:t>
            </w:r>
          </w:p>
        </w:tc>
        <w:tc>
          <w:tcPr>
            <w:tcW w:w="1559" w:type="dxa"/>
            <w:vAlign w:val="center"/>
          </w:tcPr>
          <w:p w14:paraId="1550F410">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c>
          <w:tcPr>
            <w:tcW w:w="1559" w:type="dxa"/>
            <w:vAlign w:val="center"/>
          </w:tcPr>
          <w:p w14:paraId="797FC359">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p>
        </w:tc>
        <w:tc>
          <w:tcPr>
            <w:tcW w:w="1559" w:type="dxa"/>
            <w:vAlign w:val="center"/>
          </w:tcPr>
          <w:p w14:paraId="0967114E">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Ⅱ</w:t>
            </w:r>
          </w:p>
        </w:tc>
        <w:tc>
          <w:tcPr>
            <w:tcW w:w="1559" w:type="dxa"/>
            <w:vAlign w:val="center"/>
          </w:tcPr>
          <w:p w14:paraId="70AAC9BE">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Ⅰ</w:t>
            </w:r>
          </w:p>
        </w:tc>
      </w:tr>
      <w:tr w14:paraId="46925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504" w:type="dxa"/>
            <w:gridSpan w:val="5"/>
            <w:vAlign w:val="center"/>
          </w:tcPr>
          <w:p w14:paraId="3E372198">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注：Ⅳ</w:t>
            </w:r>
            <w:r>
              <w:rPr>
                <w:rFonts w:ascii="Times New Roman" w:hAnsi="Times New Roman" w:cs="Times New Roman"/>
                <w:color w:val="auto"/>
                <w:sz w:val="21"/>
                <w:szCs w:val="21"/>
                <w:highlight w:val="none"/>
                <w:vertAlign w:val="superscript"/>
              </w:rPr>
              <w:t>+</w:t>
            </w:r>
            <w:r>
              <w:rPr>
                <w:rFonts w:ascii="Times New Roman" w:hAnsi="Times New Roman" w:cs="Times New Roman"/>
                <w:color w:val="auto"/>
                <w:sz w:val="21"/>
                <w:szCs w:val="21"/>
                <w:highlight w:val="none"/>
              </w:rPr>
              <w:t>为极高环境风险</w:t>
            </w:r>
          </w:p>
        </w:tc>
      </w:tr>
    </w:tbl>
    <w:p w14:paraId="0F3724E0">
      <w:pPr>
        <w:adjustRightInd w:val="0"/>
        <w:snapToGrid w:val="0"/>
        <w:spacing w:line="360" w:lineRule="auto"/>
        <w:ind w:left="-105" w:right="-105" w:firstLine="480" w:firstLineChars="200"/>
        <w:rPr>
          <w:rFonts w:ascii="Times New Roman" w:hAnsi="Times New Roman" w:cs="Times New Roman"/>
          <w:color w:val="auto"/>
          <w:kern w:val="24"/>
          <w:highlight w:val="none"/>
        </w:rPr>
      </w:pPr>
      <w:r>
        <w:rPr>
          <w:rFonts w:ascii="Times New Roman" w:hAnsi="Times New Roman" w:cs="Times New Roman"/>
          <w:color w:val="auto"/>
          <w:kern w:val="24"/>
          <w:highlight w:val="none"/>
        </w:rPr>
        <w:t>2、P的分级确定</w:t>
      </w:r>
    </w:p>
    <w:p w14:paraId="1E705855">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770C4E4B">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（1）危险物质数量与临界量的比值（Q）</w:t>
      </w:r>
    </w:p>
    <w:p w14:paraId="16F369D3">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计算所涉及的每种危险物质在厂界内的最大存在总量与其在附录B 中对应临界量的比值Q。在不同厂区的同一种物质，按其在厂界内的最大存在总量计算。对于长输管线项目，按照两个截断阀室之间管段危险物质最大存在总量计算。</w:t>
      </w:r>
    </w:p>
    <w:p w14:paraId="4C0CB341">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当只涉及一种危险物质时，计算该物质的总量与其临界量比值，即为Q；</w:t>
      </w:r>
    </w:p>
    <w:p w14:paraId="68F5C309">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当存在多种危险物质时，则按式（C.1）计算物质总量与其临界量比值（Q）：</w:t>
      </w:r>
    </w:p>
    <w:p w14:paraId="432B85FE">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0" distR="0">
            <wp:extent cx="1534795" cy="429895"/>
            <wp:effectExtent l="0" t="0" r="8255" b="825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34795" cy="429895"/>
                    </a:xfrm>
                    <a:prstGeom prst="rect">
                      <a:avLst/>
                    </a:prstGeom>
                    <a:noFill/>
                    <a:ln>
                      <a:noFill/>
                    </a:ln>
                  </pic:spPr>
                </pic:pic>
              </a:graphicData>
            </a:graphic>
          </wp:inline>
        </w:drawing>
      </w:r>
    </w:p>
    <w:p w14:paraId="7903BFC7">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式中：q1，q2，...，qn——每种危险物质的最大存在总量，t；</w:t>
      </w:r>
    </w:p>
    <w:p w14:paraId="622E86DD">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Q1， Q2，...，Qn——每种危险物质的临界量，t。</w:t>
      </w:r>
    </w:p>
    <w:p w14:paraId="2E43DB4C">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当Q＜1时，该项目环境风险潜势为Ⅰ。</w:t>
      </w:r>
    </w:p>
    <w:p w14:paraId="78A150C1">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当Q≥1时，将Q值划分为：（1）1≤Q＜10；（2）10≤Q＜100；（3）Q≥100。</w:t>
      </w:r>
    </w:p>
    <w:p w14:paraId="0713205C">
      <w:pPr>
        <w:pStyle w:val="15"/>
        <w:ind w:left="-105" w:right="-105" w:firstLine="482"/>
        <w:rPr>
          <w:rFonts w:eastAsia="宋体"/>
          <w:bCs/>
          <w:color w:val="auto"/>
          <w:sz w:val="24"/>
          <w:szCs w:val="24"/>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8</w:t>
      </w:r>
      <w:r>
        <w:rPr>
          <w:rFonts w:eastAsia="宋体"/>
          <w:color w:val="auto"/>
          <w:sz w:val="24"/>
          <w:szCs w:val="18"/>
          <w:highlight w:val="none"/>
        </w:rPr>
        <w:fldChar w:fldCharType="end"/>
      </w:r>
      <w:r>
        <w:rPr>
          <w:rFonts w:eastAsia="宋体"/>
          <w:bCs/>
          <w:color w:val="auto"/>
          <w:sz w:val="24"/>
          <w:szCs w:val="24"/>
          <w:highlight w:val="none"/>
        </w:rPr>
        <w:t>危险物质数量与临界量的比值表</w:t>
      </w:r>
    </w:p>
    <w:tbl>
      <w:tblPr>
        <w:tblStyle w:val="9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91"/>
        <w:gridCol w:w="734"/>
        <w:gridCol w:w="1948"/>
        <w:gridCol w:w="966"/>
        <w:gridCol w:w="1198"/>
        <w:gridCol w:w="1588"/>
        <w:gridCol w:w="1379"/>
      </w:tblGrid>
      <w:tr w14:paraId="7DB5F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tcBorders>
              <w:tl2br w:val="nil"/>
              <w:tr2bl w:val="nil"/>
            </w:tcBorders>
            <w:vAlign w:val="center"/>
          </w:tcPr>
          <w:p w14:paraId="4BECFA1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3"/>
                <w:sz w:val="21"/>
                <w:szCs w:val="21"/>
                <w:highlight w:val="none"/>
              </w:rPr>
              <w:t>类别</w:t>
            </w:r>
          </w:p>
        </w:tc>
        <w:tc>
          <w:tcPr>
            <w:tcW w:w="2682" w:type="dxa"/>
            <w:gridSpan w:val="2"/>
            <w:tcBorders>
              <w:tl2br w:val="nil"/>
              <w:tr2bl w:val="nil"/>
            </w:tcBorders>
            <w:vAlign w:val="center"/>
          </w:tcPr>
          <w:p w14:paraId="77452516">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2"/>
                <w:sz w:val="21"/>
                <w:szCs w:val="21"/>
                <w:highlight w:val="none"/>
              </w:rPr>
              <w:t>名称</w:t>
            </w:r>
          </w:p>
        </w:tc>
        <w:tc>
          <w:tcPr>
            <w:tcW w:w="966" w:type="dxa"/>
            <w:tcBorders>
              <w:tl2br w:val="nil"/>
              <w:tr2bl w:val="nil"/>
            </w:tcBorders>
            <w:vAlign w:val="center"/>
          </w:tcPr>
          <w:p w14:paraId="7413157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3"/>
                <w:sz w:val="21"/>
                <w:szCs w:val="21"/>
                <w:highlight w:val="none"/>
              </w:rPr>
              <w:t>状态</w:t>
            </w:r>
          </w:p>
        </w:tc>
        <w:tc>
          <w:tcPr>
            <w:tcW w:w="1198" w:type="dxa"/>
            <w:tcBorders>
              <w:tl2br w:val="nil"/>
              <w:tr2bl w:val="nil"/>
            </w:tcBorders>
            <w:vAlign w:val="center"/>
          </w:tcPr>
          <w:p w14:paraId="7E46E82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4"/>
                <w:sz w:val="21"/>
                <w:szCs w:val="21"/>
                <w:highlight w:val="none"/>
              </w:rPr>
              <w:t>存在量(t)</w:t>
            </w:r>
          </w:p>
        </w:tc>
        <w:tc>
          <w:tcPr>
            <w:tcW w:w="1588" w:type="dxa"/>
            <w:tcBorders>
              <w:tl2br w:val="nil"/>
              <w:tr2bl w:val="nil"/>
            </w:tcBorders>
            <w:vAlign w:val="center"/>
          </w:tcPr>
          <w:p w14:paraId="476B1FF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2"/>
                <w:sz w:val="21"/>
                <w:szCs w:val="21"/>
                <w:highlight w:val="none"/>
              </w:rPr>
              <w:t>临界量(t)</w:t>
            </w:r>
          </w:p>
        </w:tc>
        <w:tc>
          <w:tcPr>
            <w:tcW w:w="1379" w:type="dxa"/>
            <w:tcBorders>
              <w:tl2br w:val="nil"/>
              <w:tr2bl w:val="nil"/>
            </w:tcBorders>
            <w:vAlign w:val="center"/>
          </w:tcPr>
          <w:p w14:paraId="213D06E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b/>
                <w:bCs/>
                <w:color w:val="auto"/>
                <w:spacing w:val="5"/>
                <w:sz w:val="21"/>
                <w:szCs w:val="21"/>
                <w:highlight w:val="none"/>
                <w:lang w:eastAsia="en-US"/>
              </w:rPr>
              <w:t>w</w:t>
            </w:r>
            <w:r>
              <w:rPr>
                <w:rFonts w:ascii="Times New Roman" w:hAnsi="Times New Roman" w:cs="Times New Roman"/>
                <w:b/>
                <w:bCs/>
                <w:color w:val="auto"/>
                <w:spacing w:val="5"/>
                <w:position w:val="-1"/>
                <w:sz w:val="21"/>
                <w:szCs w:val="21"/>
                <w:highlight w:val="none"/>
                <w:lang w:eastAsia="en-US"/>
              </w:rPr>
              <w:t>n</w:t>
            </w:r>
            <w:r>
              <w:rPr>
                <w:rFonts w:ascii="Times New Roman" w:hAnsi="Times New Roman" w:cs="Times New Roman"/>
                <w:b/>
                <w:bCs/>
                <w:color w:val="auto"/>
                <w:spacing w:val="5"/>
                <w:sz w:val="21"/>
                <w:szCs w:val="21"/>
                <w:highlight w:val="none"/>
                <w:lang w:eastAsia="en-US"/>
              </w:rPr>
              <w:t>/W</w:t>
            </w:r>
            <w:r>
              <w:rPr>
                <w:rFonts w:ascii="Times New Roman" w:hAnsi="Times New Roman" w:cs="Times New Roman"/>
                <w:b/>
                <w:bCs/>
                <w:color w:val="auto"/>
                <w:spacing w:val="5"/>
                <w:position w:val="-1"/>
                <w:sz w:val="21"/>
                <w:szCs w:val="21"/>
                <w:highlight w:val="none"/>
                <w:lang w:eastAsia="en-US"/>
              </w:rPr>
              <w:t>n</w:t>
            </w:r>
          </w:p>
        </w:tc>
      </w:tr>
      <w:tr w14:paraId="50DC59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restart"/>
            <w:tcBorders>
              <w:tl2br w:val="nil"/>
              <w:tr2bl w:val="nil"/>
            </w:tcBorders>
            <w:vAlign w:val="center"/>
          </w:tcPr>
          <w:p w14:paraId="0A0E7286">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原辅</w:t>
            </w:r>
            <w:r>
              <w:rPr>
                <w:rFonts w:ascii="Times New Roman" w:hAnsi="Times New Roman" w:eastAsia="宋体" w:cs="Times New Roman"/>
                <w:color w:val="auto"/>
                <w:spacing w:val="4"/>
                <w:sz w:val="21"/>
                <w:szCs w:val="21"/>
                <w:highlight w:val="none"/>
              </w:rPr>
              <w:t>材料</w:t>
            </w:r>
          </w:p>
        </w:tc>
        <w:tc>
          <w:tcPr>
            <w:tcW w:w="734" w:type="dxa"/>
            <w:vMerge w:val="restart"/>
            <w:tcBorders>
              <w:tl2br w:val="nil"/>
              <w:tr2bl w:val="nil"/>
            </w:tcBorders>
            <w:vAlign w:val="center"/>
          </w:tcPr>
          <w:p w14:paraId="0101B972">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聚氨</w:t>
            </w:r>
            <w:r>
              <w:rPr>
                <w:rFonts w:ascii="Times New Roman" w:hAnsi="Times New Roman" w:eastAsia="宋体" w:cs="Times New Roman"/>
                <w:color w:val="auto"/>
                <w:spacing w:val="3"/>
                <w:sz w:val="21"/>
                <w:szCs w:val="21"/>
                <w:highlight w:val="none"/>
              </w:rPr>
              <w:t>酯丙</w:t>
            </w:r>
            <w:r>
              <w:rPr>
                <w:rFonts w:ascii="Times New Roman" w:hAnsi="Times New Roman" w:eastAsia="宋体" w:cs="Times New Roman"/>
                <w:color w:val="auto"/>
                <w:spacing w:val="5"/>
                <w:sz w:val="21"/>
                <w:szCs w:val="21"/>
                <w:highlight w:val="none"/>
              </w:rPr>
              <w:t>烯酸</w:t>
            </w:r>
            <w:r>
              <w:rPr>
                <w:rFonts w:ascii="Times New Roman" w:hAnsi="Times New Roman" w:eastAsia="宋体" w:cs="Times New Roman"/>
                <w:color w:val="auto"/>
                <w:sz w:val="21"/>
                <w:szCs w:val="21"/>
                <w:highlight w:val="none"/>
              </w:rPr>
              <w:t>酯</w:t>
            </w:r>
          </w:p>
        </w:tc>
        <w:tc>
          <w:tcPr>
            <w:tcW w:w="1948" w:type="dxa"/>
            <w:tcBorders>
              <w:tl2br w:val="nil"/>
              <w:tr2bl w:val="nil"/>
            </w:tcBorders>
            <w:vAlign w:val="center"/>
          </w:tcPr>
          <w:p w14:paraId="64E86AF4">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丙烯酸酯树脂</w:t>
            </w:r>
          </w:p>
        </w:tc>
        <w:tc>
          <w:tcPr>
            <w:tcW w:w="966" w:type="dxa"/>
            <w:tcBorders>
              <w:tl2br w:val="nil"/>
              <w:tr2bl w:val="nil"/>
            </w:tcBorders>
            <w:vAlign w:val="center"/>
          </w:tcPr>
          <w:p w14:paraId="42810CB1">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液体</w:t>
            </w:r>
          </w:p>
        </w:tc>
        <w:tc>
          <w:tcPr>
            <w:tcW w:w="1198" w:type="dxa"/>
            <w:tcBorders>
              <w:tl2br w:val="nil"/>
              <w:tr2bl w:val="nil"/>
            </w:tcBorders>
            <w:vAlign w:val="center"/>
          </w:tcPr>
          <w:p w14:paraId="7FC6C6F0">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36.34</w:t>
            </w:r>
          </w:p>
        </w:tc>
        <w:tc>
          <w:tcPr>
            <w:tcW w:w="1588" w:type="dxa"/>
            <w:tcBorders>
              <w:tl2br w:val="nil"/>
              <w:tr2bl w:val="nil"/>
            </w:tcBorders>
            <w:vAlign w:val="center"/>
          </w:tcPr>
          <w:p w14:paraId="391771D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1"/>
                <w:sz w:val="21"/>
                <w:szCs w:val="21"/>
                <w:highlight w:val="none"/>
              </w:rPr>
              <w:t>50</w:t>
            </w:r>
            <w:r>
              <w:rPr>
                <w:rFonts w:hint="eastAsia" w:ascii="Times New Roman" w:hAnsi="Times New Roman" w:eastAsia="宋体" w:cs="Times New Roman"/>
                <w:color w:val="auto"/>
                <w:spacing w:val="1"/>
                <w:sz w:val="21"/>
                <w:szCs w:val="21"/>
                <w:highlight w:val="none"/>
                <w:lang w:eastAsia="zh-CN"/>
              </w:rPr>
              <w:t>**</w:t>
            </w:r>
          </w:p>
        </w:tc>
        <w:tc>
          <w:tcPr>
            <w:tcW w:w="1379" w:type="dxa"/>
            <w:tcBorders>
              <w:tl2br w:val="nil"/>
              <w:tr2bl w:val="nil"/>
            </w:tcBorders>
            <w:vAlign w:val="center"/>
          </w:tcPr>
          <w:p w14:paraId="3654637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0.7268</w:t>
            </w:r>
          </w:p>
        </w:tc>
      </w:tr>
      <w:tr w14:paraId="35318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6BB38C70">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5648F60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3E77599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8"/>
                <w:sz w:val="21"/>
                <w:szCs w:val="21"/>
                <w:highlight w:val="none"/>
                <w:lang w:eastAsia="zh-CN"/>
              </w:rPr>
              <w:t>异氰酸酯（六亚</w:t>
            </w:r>
            <w:r>
              <w:rPr>
                <w:rFonts w:ascii="Times New Roman" w:hAnsi="Times New Roman" w:eastAsia="宋体" w:cs="Times New Roman"/>
                <w:color w:val="auto"/>
                <w:spacing w:val="3"/>
                <w:sz w:val="21"/>
                <w:szCs w:val="21"/>
                <w:highlight w:val="none"/>
                <w:lang w:eastAsia="zh-CN"/>
              </w:rPr>
              <w:t>甲基-1,6-二异氰酸</w:t>
            </w:r>
            <w:r>
              <w:rPr>
                <w:rFonts w:ascii="Times New Roman" w:hAnsi="Times New Roman" w:eastAsia="宋体" w:cs="Times New Roman"/>
                <w:color w:val="auto"/>
                <w:spacing w:val="-1"/>
                <w:sz w:val="21"/>
                <w:szCs w:val="21"/>
                <w:highlight w:val="none"/>
                <w:lang w:eastAsia="zh-CN"/>
              </w:rPr>
              <w:t>酯）</w:t>
            </w:r>
          </w:p>
        </w:tc>
        <w:tc>
          <w:tcPr>
            <w:tcW w:w="966" w:type="dxa"/>
            <w:tcBorders>
              <w:tl2br w:val="nil"/>
              <w:tr2bl w:val="nil"/>
            </w:tcBorders>
            <w:vAlign w:val="center"/>
          </w:tcPr>
          <w:p w14:paraId="7C7156D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137089F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15.68</w:t>
            </w:r>
          </w:p>
        </w:tc>
        <w:tc>
          <w:tcPr>
            <w:tcW w:w="1588" w:type="dxa"/>
            <w:tcBorders>
              <w:tl2br w:val="nil"/>
              <w:tr2bl w:val="nil"/>
            </w:tcBorders>
            <w:vAlign w:val="center"/>
          </w:tcPr>
          <w:p w14:paraId="3B0DBF0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1"/>
                <w:sz w:val="21"/>
                <w:szCs w:val="21"/>
                <w:highlight w:val="none"/>
              </w:rPr>
              <w:t>50</w:t>
            </w:r>
            <w:r>
              <w:rPr>
                <w:rFonts w:hint="eastAsia" w:ascii="Times New Roman" w:hAnsi="Times New Roman" w:eastAsia="宋体" w:cs="Times New Roman"/>
                <w:color w:val="auto"/>
                <w:spacing w:val="1"/>
                <w:sz w:val="21"/>
                <w:szCs w:val="21"/>
                <w:highlight w:val="none"/>
                <w:lang w:eastAsia="zh-CN"/>
              </w:rPr>
              <w:t>**</w:t>
            </w:r>
          </w:p>
        </w:tc>
        <w:tc>
          <w:tcPr>
            <w:tcW w:w="1379" w:type="dxa"/>
            <w:tcBorders>
              <w:tl2br w:val="nil"/>
              <w:tr2bl w:val="nil"/>
            </w:tcBorders>
            <w:vAlign w:val="center"/>
          </w:tcPr>
          <w:p w14:paraId="2A9C211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0.3136</w:t>
            </w:r>
          </w:p>
        </w:tc>
      </w:tr>
      <w:tr w14:paraId="0B99C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B9343E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restart"/>
            <w:tcBorders>
              <w:tl2br w:val="nil"/>
              <w:tr2bl w:val="nil"/>
            </w:tcBorders>
            <w:vAlign w:val="center"/>
          </w:tcPr>
          <w:p w14:paraId="6CD7AC43">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2"/>
                <w:sz w:val="21"/>
                <w:szCs w:val="21"/>
                <w:highlight w:val="none"/>
              </w:rPr>
              <w:t>丙烯</w:t>
            </w:r>
            <w:r>
              <w:rPr>
                <w:rFonts w:ascii="Times New Roman" w:hAnsi="Times New Roman" w:eastAsia="宋体" w:cs="Times New Roman"/>
                <w:color w:val="auto"/>
                <w:spacing w:val="4"/>
                <w:sz w:val="21"/>
                <w:szCs w:val="21"/>
                <w:highlight w:val="none"/>
              </w:rPr>
              <w:t>酸酯</w:t>
            </w:r>
            <w:r>
              <w:rPr>
                <w:rFonts w:hint="eastAsia" w:ascii="Times New Roman" w:hAnsi="Times New Roman" w:eastAsia="宋体" w:cs="Times New Roman"/>
                <w:color w:val="auto"/>
                <w:spacing w:val="4"/>
                <w:sz w:val="21"/>
                <w:szCs w:val="21"/>
                <w:highlight w:val="none"/>
                <w:lang w:eastAsia="zh-CN"/>
              </w:rPr>
              <w:t>组成物</w:t>
            </w:r>
          </w:p>
        </w:tc>
        <w:tc>
          <w:tcPr>
            <w:tcW w:w="1948" w:type="dxa"/>
            <w:tcBorders>
              <w:tl2br w:val="nil"/>
              <w:tr2bl w:val="nil"/>
            </w:tcBorders>
            <w:vAlign w:val="center"/>
          </w:tcPr>
          <w:p w14:paraId="5E5AEABB">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聚氨酯丙烯酸酯</w:t>
            </w:r>
          </w:p>
        </w:tc>
        <w:tc>
          <w:tcPr>
            <w:tcW w:w="966" w:type="dxa"/>
            <w:tcBorders>
              <w:tl2br w:val="nil"/>
              <w:tr2bl w:val="nil"/>
            </w:tcBorders>
            <w:vAlign w:val="center"/>
          </w:tcPr>
          <w:p w14:paraId="40F53E71">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717BE7B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12.58</w:t>
            </w:r>
          </w:p>
        </w:tc>
        <w:tc>
          <w:tcPr>
            <w:tcW w:w="1588" w:type="dxa"/>
            <w:tcBorders>
              <w:tl2br w:val="nil"/>
              <w:tr2bl w:val="nil"/>
            </w:tcBorders>
            <w:vAlign w:val="center"/>
          </w:tcPr>
          <w:p w14:paraId="087B7C7B">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5C2E45E4">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0.1258</w:t>
            </w:r>
          </w:p>
        </w:tc>
      </w:tr>
      <w:tr w14:paraId="3C0C1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3F80DAAE">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7C47FFA3">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4F8D6BC3">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环氧丙烯酸树脂</w:t>
            </w:r>
          </w:p>
        </w:tc>
        <w:tc>
          <w:tcPr>
            <w:tcW w:w="966" w:type="dxa"/>
            <w:tcBorders>
              <w:tl2br w:val="nil"/>
              <w:tr2bl w:val="nil"/>
            </w:tcBorders>
            <w:vAlign w:val="center"/>
          </w:tcPr>
          <w:p w14:paraId="1DF21492">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097FB477">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23.42</w:t>
            </w:r>
          </w:p>
        </w:tc>
        <w:tc>
          <w:tcPr>
            <w:tcW w:w="1588" w:type="dxa"/>
            <w:tcBorders>
              <w:tl2br w:val="nil"/>
              <w:tr2bl w:val="nil"/>
            </w:tcBorders>
            <w:vAlign w:val="center"/>
          </w:tcPr>
          <w:p w14:paraId="1720CDC7">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179F7F5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0.2342</w:t>
            </w:r>
          </w:p>
        </w:tc>
      </w:tr>
      <w:tr w14:paraId="57AA92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38962EA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64321D9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4006972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8"/>
                <w:sz w:val="21"/>
                <w:szCs w:val="21"/>
                <w:highlight w:val="none"/>
                <w:lang w:eastAsia="zh-CN"/>
              </w:rPr>
            </w:pPr>
            <w:r>
              <w:rPr>
                <w:rFonts w:hint="eastAsia" w:ascii="Times New Roman" w:hAnsi="Times New Roman" w:eastAsia="宋体" w:cs="Times New Roman"/>
                <w:color w:val="auto"/>
                <w:spacing w:val="8"/>
                <w:sz w:val="21"/>
                <w:szCs w:val="21"/>
                <w:highlight w:val="none"/>
                <w:lang w:eastAsia="zh-CN"/>
              </w:rPr>
              <w:t>单体（二缩三丙二醇二丙烯酸酯）</w:t>
            </w:r>
          </w:p>
        </w:tc>
        <w:tc>
          <w:tcPr>
            <w:tcW w:w="966" w:type="dxa"/>
            <w:tcBorders>
              <w:tl2br w:val="nil"/>
              <w:tr2bl w:val="nil"/>
            </w:tcBorders>
            <w:vAlign w:val="center"/>
          </w:tcPr>
          <w:p w14:paraId="69F31F0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3"/>
                <w:sz w:val="21"/>
                <w:szCs w:val="21"/>
                <w:highlight w:val="none"/>
                <w:lang w:eastAsia="zh-CN"/>
              </w:rPr>
            </w:pPr>
            <w:r>
              <w:rPr>
                <w:rFonts w:hint="eastAsia" w:ascii="Times New Roman" w:hAnsi="Times New Roman" w:eastAsia="宋体" w:cs="Times New Roman"/>
                <w:color w:val="auto"/>
                <w:spacing w:val="3"/>
                <w:sz w:val="21"/>
                <w:szCs w:val="21"/>
                <w:highlight w:val="none"/>
                <w:lang w:eastAsia="zh-CN"/>
              </w:rPr>
              <w:t>液体</w:t>
            </w:r>
          </w:p>
        </w:tc>
        <w:tc>
          <w:tcPr>
            <w:tcW w:w="1198" w:type="dxa"/>
            <w:tcBorders>
              <w:tl2br w:val="nil"/>
              <w:tr2bl w:val="nil"/>
            </w:tcBorders>
            <w:vAlign w:val="center"/>
          </w:tcPr>
          <w:p w14:paraId="7B865CF8">
            <w:pPr>
              <w:keepNext w:val="0"/>
              <w:keepLines w:val="0"/>
              <w:widowControl/>
              <w:suppressLineNumbers w:val="0"/>
              <w:autoSpaceDE w:val="0"/>
              <w:autoSpaceDN w:val="0"/>
              <w:jc w:val="center"/>
              <w:textAlignment w:val="center"/>
              <w:rPr>
                <w:rFonts w:ascii="Times New Roman" w:hAnsi="Times New Roman" w:cs="Times New Roman"/>
                <w:color w:val="auto"/>
                <w:spacing w:val="3"/>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24.41</w:t>
            </w:r>
          </w:p>
        </w:tc>
        <w:tc>
          <w:tcPr>
            <w:tcW w:w="1588" w:type="dxa"/>
            <w:tcBorders>
              <w:tl2br w:val="nil"/>
              <w:tr2bl w:val="nil"/>
            </w:tcBorders>
            <w:vAlign w:val="center"/>
          </w:tcPr>
          <w:p w14:paraId="0666FDF6">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7558671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0.2441</w:t>
            </w:r>
          </w:p>
        </w:tc>
      </w:tr>
      <w:tr w14:paraId="0FCFD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51D9101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4702BC3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46E8F83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8"/>
                <w:sz w:val="21"/>
                <w:szCs w:val="21"/>
                <w:highlight w:val="none"/>
                <w:lang w:eastAsia="zh-CN"/>
              </w:rPr>
            </w:pPr>
            <w:r>
              <w:rPr>
                <w:rFonts w:hint="eastAsia" w:ascii="Times New Roman" w:hAnsi="Times New Roman" w:eastAsia="宋体" w:cs="Times New Roman"/>
                <w:color w:val="auto"/>
                <w:spacing w:val="8"/>
                <w:sz w:val="21"/>
                <w:szCs w:val="21"/>
                <w:highlight w:val="none"/>
                <w:lang w:eastAsia="zh-CN"/>
              </w:rPr>
              <w:t>光敏剂（1-羟环己基苯酮）</w:t>
            </w:r>
          </w:p>
        </w:tc>
        <w:tc>
          <w:tcPr>
            <w:tcW w:w="966" w:type="dxa"/>
            <w:tcBorders>
              <w:tl2br w:val="nil"/>
              <w:tr2bl w:val="nil"/>
            </w:tcBorders>
            <w:vAlign w:val="center"/>
          </w:tcPr>
          <w:p w14:paraId="613C690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3"/>
                <w:sz w:val="21"/>
                <w:szCs w:val="21"/>
                <w:highlight w:val="none"/>
                <w:lang w:eastAsia="zh-CN"/>
              </w:rPr>
            </w:pPr>
            <w:r>
              <w:rPr>
                <w:rFonts w:hint="eastAsia" w:ascii="Times New Roman" w:hAnsi="Times New Roman" w:eastAsia="宋体" w:cs="Times New Roman"/>
                <w:color w:val="auto"/>
                <w:spacing w:val="3"/>
                <w:sz w:val="21"/>
                <w:szCs w:val="21"/>
                <w:highlight w:val="none"/>
                <w:lang w:eastAsia="zh-CN"/>
              </w:rPr>
              <w:t>固体</w:t>
            </w:r>
          </w:p>
        </w:tc>
        <w:tc>
          <w:tcPr>
            <w:tcW w:w="1198" w:type="dxa"/>
            <w:tcBorders>
              <w:tl2br w:val="nil"/>
              <w:tr2bl w:val="nil"/>
            </w:tcBorders>
            <w:vAlign w:val="center"/>
          </w:tcPr>
          <w:p w14:paraId="38D5DCE0">
            <w:pPr>
              <w:keepNext w:val="0"/>
              <w:keepLines w:val="0"/>
              <w:widowControl/>
              <w:suppressLineNumbers w:val="0"/>
              <w:autoSpaceDE w:val="0"/>
              <w:autoSpaceDN w:val="0"/>
              <w:jc w:val="center"/>
              <w:textAlignment w:val="center"/>
              <w:rPr>
                <w:rFonts w:ascii="Times New Roman" w:hAnsi="Times New Roman" w:cs="Times New Roman"/>
                <w:color w:val="auto"/>
                <w:spacing w:val="3"/>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11.61</w:t>
            </w:r>
          </w:p>
        </w:tc>
        <w:tc>
          <w:tcPr>
            <w:tcW w:w="1588" w:type="dxa"/>
            <w:tcBorders>
              <w:tl2br w:val="nil"/>
              <w:tr2bl w:val="nil"/>
            </w:tcBorders>
            <w:vAlign w:val="center"/>
          </w:tcPr>
          <w:p w14:paraId="5ECB955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4B8D226A">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0.1161</w:t>
            </w:r>
          </w:p>
        </w:tc>
      </w:tr>
      <w:tr w14:paraId="16B21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8046FD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restart"/>
            <w:tcBorders>
              <w:tl2br w:val="nil"/>
              <w:tr2bl w:val="nil"/>
            </w:tcBorders>
            <w:vAlign w:val="center"/>
          </w:tcPr>
          <w:p w14:paraId="147B18F7">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4"/>
                <w:sz w:val="21"/>
                <w:szCs w:val="21"/>
                <w:highlight w:val="none"/>
              </w:rPr>
              <w:t>环氧</w:t>
            </w:r>
            <w:r>
              <w:rPr>
                <w:rFonts w:ascii="Times New Roman" w:hAnsi="Times New Roman" w:eastAsia="宋体" w:cs="Times New Roman"/>
                <w:color w:val="auto"/>
                <w:spacing w:val="2"/>
                <w:sz w:val="21"/>
                <w:szCs w:val="21"/>
                <w:highlight w:val="none"/>
              </w:rPr>
              <w:t>丙烯</w:t>
            </w:r>
            <w:r>
              <w:rPr>
                <w:rFonts w:ascii="Times New Roman" w:hAnsi="Times New Roman" w:eastAsia="宋体" w:cs="Times New Roman"/>
                <w:color w:val="auto"/>
                <w:spacing w:val="4"/>
                <w:sz w:val="21"/>
                <w:szCs w:val="21"/>
                <w:highlight w:val="none"/>
              </w:rPr>
              <w:t>酸</w:t>
            </w:r>
            <w:r>
              <w:rPr>
                <w:rFonts w:hint="eastAsia" w:ascii="Times New Roman" w:hAnsi="Times New Roman" w:eastAsia="宋体" w:cs="Times New Roman"/>
                <w:color w:val="auto"/>
                <w:spacing w:val="4"/>
                <w:sz w:val="21"/>
                <w:szCs w:val="21"/>
                <w:highlight w:val="none"/>
                <w:lang w:eastAsia="zh-CN"/>
              </w:rPr>
              <w:t>树脂</w:t>
            </w:r>
          </w:p>
        </w:tc>
        <w:tc>
          <w:tcPr>
            <w:tcW w:w="1948" w:type="dxa"/>
            <w:tcBorders>
              <w:tl2br w:val="nil"/>
              <w:tr2bl w:val="nil"/>
            </w:tcBorders>
            <w:vAlign w:val="center"/>
          </w:tcPr>
          <w:p w14:paraId="1DD7DE9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酚醛环氧树脂</w:t>
            </w:r>
          </w:p>
        </w:tc>
        <w:tc>
          <w:tcPr>
            <w:tcW w:w="966" w:type="dxa"/>
            <w:tcBorders>
              <w:tl2br w:val="nil"/>
              <w:tr2bl w:val="nil"/>
            </w:tcBorders>
            <w:vAlign w:val="center"/>
          </w:tcPr>
          <w:p w14:paraId="3DEBDCE0">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145BCC0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13.43</w:t>
            </w:r>
          </w:p>
        </w:tc>
        <w:tc>
          <w:tcPr>
            <w:tcW w:w="1588" w:type="dxa"/>
            <w:tcBorders>
              <w:tl2br w:val="nil"/>
              <w:tr2bl w:val="nil"/>
            </w:tcBorders>
            <w:vAlign w:val="center"/>
          </w:tcPr>
          <w:p w14:paraId="4AF2178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6F7210C7">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0.1343</w:t>
            </w:r>
          </w:p>
        </w:tc>
      </w:tr>
      <w:tr w14:paraId="244E3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193D87D">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6E475BA3">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p>
        </w:tc>
        <w:tc>
          <w:tcPr>
            <w:tcW w:w="1948" w:type="dxa"/>
            <w:tcBorders>
              <w:tl2br w:val="nil"/>
              <w:tr2bl w:val="nil"/>
            </w:tcBorders>
            <w:vAlign w:val="center"/>
          </w:tcPr>
          <w:p w14:paraId="412228B2">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丙烯酸</w:t>
            </w:r>
          </w:p>
        </w:tc>
        <w:tc>
          <w:tcPr>
            <w:tcW w:w="966" w:type="dxa"/>
            <w:tcBorders>
              <w:tl2br w:val="nil"/>
              <w:tr2bl w:val="nil"/>
            </w:tcBorders>
            <w:vAlign w:val="center"/>
          </w:tcPr>
          <w:p w14:paraId="52A9A11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17FF1F5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16.82</w:t>
            </w:r>
          </w:p>
        </w:tc>
        <w:tc>
          <w:tcPr>
            <w:tcW w:w="1588" w:type="dxa"/>
            <w:tcBorders>
              <w:tl2br w:val="nil"/>
              <w:tr2bl w:val="nil"/>
            </w:tcBorders>
            <w:vAlign w:val="center"/>
          </w:tcPr>
          <w:p w14:paraId="35B4C67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087E21C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0.1682</w:t>
            </w:r>
          </w:p>
        </w:tc>
      </w:tr>
      <w:tr w14:paraId="3917F7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91" w:type="dxa"/>
            <w:vMerge w:val="continue"/>
            <w:tcBorders>
              <w:tl2br w:val="nil"/>
              <w:tr2bl w:val="nil"/>
            </w:tcBorders>
            <w:vAlign w:val="center"/>
          </w:tcPr>
          <w:p w14:paraId="4D0C35B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06CBAF3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p>
        </w:tc>
        <w:tc>
          <w:tcPr>
            <w:tcW w:w="1948" w:type="dxa"/>
            <w:tcBorders>
              <w:tl2br w:val="nil"/>
              <w:tr2bl w:val="nil"/>
            </w:tcBorders>
            <w:vAlign w:val="center"/>
          </w:tcPr>
          <w:p w14:paraId="5C21199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5"/>
                <w:sz w:val="21"/>
                <w:szCs w:val="21"/>
                <w:highlight w:val="none"/>
                <w:lang w:eastAsia="zh-CN"/>
              </w:rPr>
            </w:pPr>
            <w:r>
              <w:rPr>
                <w:rFonts w:ascii="Times New Roman" w:hAnsi="Times New Roman" w:eastAsia="宋体" w:cs="Times New Roman"/>
                <w:color w:val="auto"/>
                <w:sz w:val="21"/>
                <w:szCs w:val="21"/>
                <w:highlight w:val="none"/>
                <w:lang w:eastAsia="zh-CN"/>
              </w:rPr>
              <w:t>2-乙二醇单乙醚醋 酸酯（溶剂）</w:t>
            </w:r>
          </w:p>
        </w:tc>
        <w:tc>
          <w:tcPr>
            <w:tcW w:w="966" w:type="dxa"/>
            <w:tcBorders>
              <w:tl2br w:val="nil"/>
              <w:tr2bl w:val="nil"/>
            </w:tcBorders>
            <w:vAlign w:val="center"/>
          </w:tcPr>
          <w:p w14:paraId="5840B7AC">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3"/>
                <w:sz w:val="21"/>
                <w:szCs w:val="21"/>
                <w:highlight w:val="none"/>
                <w:lang w:eastAsia="zh-CN"/>
              </w:rPr>
            </w:pPr>
            <w:r>
              <w:rPr>
                <w:rFonts w:hint="eastAsia" w:ascii="Times New Roman" w:hAnsi="Times New Roman" w:eastAsia="宋体" w:cs="Times New Roman"/>
                <w:color w:val="auto"/>
                <w:spacing w:val="3"/>
                <w:sz w:val="21"/>
                <w:szCs w:val="21"/>
                <w:highlight w:val="none"/>
                <w:lang w:eastAsia="zh-CN"/>
              </w:rPr>
              <w:t>液体</w:t>
            </w:r>
          </w:p>
        </w:tc>
        <w:tc>
          <w:tcPr>
            <w:tcW w:w="1198" w:type="dxa"/>
            <w:tcBorders>
              <w:tl2br w:val="nil"/>
              <w:tr2bl w:val="nil"/>
            </w:tcBorders>
            <w:vAlign w:val="center"/>
          </w:tcPr>
          <w:p w14:paraId="534B536D">
            <w:pPr>
              <w:keepNext w:val="0"/>
              <w:keepLines w:val="0"/>
              <w:widowControl/>
              <w:suppressLineNumbers w:val="0"/>
              <w:autoSpaceDE w:val="0"/>
              <w:autoSpaceDN w:val="0"/>
              <w:jc w:val="center"/>
              <w:textAlignment w:val="center"/>
              <w:rPr>
                <w:rFonts w:ascii="Times New Roman" w:hAnsi="Times New Roman" w:cs="Times New Roman"/>
                <w:color w:val="auto"/>
                <w:spacing w:val="-1"/>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23.12</w:t>
            </w:r>
          </w:p>
        </w:tc>
        <w:tc>
          <w:tcPr>
            <w:tcW w:w="1588" w:type="dxa"/>
            <w:tcBorders>
              <w:tl2br w:val="nil"/>
              <w:tr2bl w:val="nil"/>
            </w:tcBorders>
            <w:vAlign w:val="center"/>
          </w:tcPr>
          <w:p w14:paraId="2EB1158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7"/>
                <w:sz w:val="21"/>
                <w:szCs w:val="21"/>
                <w:highlight w:val="none"/>
                <w:lang w:eastAsia="zh-CN"/>
              </w:rPr>
            </w:pPr>
            <w:r>
              <w:rPr>
                <w:rFonts w:hint="eastAsia" w:ascii="Times New Roman" w:hAnsi="Times New Roman" w:eastAsia="宋体" w:cs="Times New Roman"/>
                <w:color w:val="auto"/>
                <w:spacing w:val="7"/>
                <w:sz w:val="21"/>
                <w:szCs w:val="21"/>
                <w:highlight w:val="none"/>
                <w:lang w:eastAsia="zh-CN"/>
              </w:rPr>
              <w:t>1</w:t>
            </w:r>
            <w:r>
              <w:rPr>
                <w:rFonts w:ascii="Times New Roman" w:hAnsi="Times New Roman" w:eastAsia="宋体" w:cs="Times New Roman"/>
                <w:color w:val="auto"/>
                <w:spacing w:val="7"/>
                <w:sz w:val="21"/>
                <w:szCs w:val="21"/>
                <w:highlight w:val="none"/>
              </w:rPr>
              <w:t>00</w:t>
            </w:r>
            <w:r>
              <w:rPr>
                <w:rFonts w:hint="eastAsia" w:ascii="Times New Roman" w:hAnsi="Times New Roman" w:eastAsia="宋体" w:cs="Times New Roman"/>
                <w:color w:val="auto"/>
                <w:spacing w:val="7"/>
                <w:sz w:val="21"/>
                <w:szCs w:val="21"/>
                <w:highlight w:val="none"/>
                <w:lang w:eastAsia="zh-CN"/>
              </w:rPr>
              <w:t>*</w:t>
            </w:r>
          </w:p>
        </w:tc>
        <w:tc>
          <w:tcPr>
            <w:tcW w:w="1379" w:type="dxa"/>
            <w:tcBorders>
              <w:tl2br w:val="nil"/>
              <w:tr2bl w:val="nil"/>
            </w:tcBorders>
            <w:vAlign w:val="center"/>
          </w:tcPr>
          <w:p w14:paraId="78841978">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0.2312</w:t>
            </w:r>
          </w:p>
        </w:tc>
      </w:tr>
      <w:tr w14:paraId="21289C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7A45FE3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27B0BF8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64175CA3">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重溶剂油（溶剂）</w:t>
            </w:r>
          </w:p>
        </w:tc>
        <w:tc>
          <w:tcPr>
            <w:tcW w:w="966" w:type="dxa"/>
            <w:tcBorders>
              <w:tl2br w:val="nil"/>
              <w:tr2bl w:val="nil"/>
            </w:tcBorders>
            <w:vAlign w:val="center"/>
          </w:tcPr>
          <w:p w14:paraId="7B29077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469B681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11.5</w:t>
            </w:r>
          </w:p>
        </w:tc>
        <w:tc>
          <w:tcPr>
            <w:tcW w:w="1588" w:type="dxa"/>
            <w:tcBorders>
              <w:tl2br w:val="nil"/>
              <w:tr2bl w:val="nil"/>
            </w:tcBorders>
            <w:vAlign w:val="center"/>
          </w:tcPr>
          <w:p w14:paraId="701D304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2500</w:t>
            </w:r>
            <w:r>
              <w:rPr>
                <w:rFonts w:hint="eastAsia" w:ascii="Times New Roman" w:hAnsi="Times New Roman" w:eastAsia="宋体" w:cs="Times New Roman"/>
                <w:color w:val="auto"/>
                <w:spacing w:val="1"/>
                <w:sz w:val="21"/>
                <w:szCs w:val="21"/>
                <w:highlight w:val="none"/>
                <w:lang w:eastAsia="zh-CN"/>
              </w:rPr>
              <w:t>***</w:t>
            </w:r>
          </w:p>
        </w:tc>
        <w:tc>
          <w:tcPr>
            <w:tcW w:w="1379" w:type="dxa"/>
            <w:tcBorders>
              <w:tl2br w:val="nil"/>
              <w:tr2bl w:val="nil"/>
            </w:tcBorders>
            <w:vAlign w:val="center"/>
          </w:tcPr>
          <w:p w14:paraId="36B7A79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0.0046</w:t>
            </w:r>
          </w:p>
        </w:tc>
      </w:tr>
      <w:tr w14:paraId="52C130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1129DADE">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0FB2130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08D0DCA1">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7"/>
                <w:sz w:val="21"/>
                <w:szCs w:val="21"/>
                <w:highlight w:val="none"/>
                <w:lang w:eastAsia="zh-CN"/>
              </w:rPr>
              <w:t>2-甲基对苯二酚</w:t>
            </w:r>
            <w:r>
              <w:rPr>
                <w:rFonts w:ascii="Times New Roman" w:hAnsi="Times New Roman" w:eastAsia="宋体" w:cs="Times New Roman"/>
                <w:color w:val="auto"/>
                <w:spacing w:val="4"/>
                <w:sz w:val="21"/>
                <w:szCs w:val="21"/>
                <w:highlight w:val="none"/>
                <w:lang w:eastAsia="zh-CN"/>
              </w:rPr>
              <w:t>（聚合阻止剂）</w:t>
            </w:r>
          </w:p>
        </w:tc>
        <w:tc>
          <w:tcPr>
            <w:tcW w:w="966" w:type="dxa"/>
            <w:tcBorders>
              <w:tl2br w:val="nil"/>
              <w:tr2bl w:val="nil"/>
            </w:tcBorders>
            <w:vAlign w:val="center"/>
          </w:tcPr>
          <w:p w14:paraId="0886E3F6">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257190D5">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1.0101</w:t>
            </w:r>
          </w:p>
        </w:tc>
        <w:tc>
          <w:tcPr>
            <w:tcW w:w="1588" w:type="dxa"/>
            <w:tcBorders>
              <w:tl2br w:val="nil"/>
              <w:tr2bl w:val="nil"/>
            </w:tcBorders>
            <w:vAlign w:val="center"/>
          </w:tcPr>
          <w:p w14:paraId="3514D2F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1CA509E4">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0.010101</w:t>
            </w:r>
          </w:p>
        </w:tc>
      </w:tr>
      <w:tr w14:paraId="731712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6321F2F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272300B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58E7564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三苯基膦（催化</w:t>
            </w:r>
            <w:r>
              <w:rPr>
                <w:rFonts w:ascii="Times New Roman" w:hAnsi="Times New Roman" w:eastAsia="宋体" w:cs="Times New Roman"/>
                <w:color w:val="auto"/>
                <w:sz w:val="21"/>
                <w:szCs w:val="21"/>
                <w:highlight w:val="none"/>
              </w:rPr>
              <w:t>剂）</w:t>
            </w:r>
          </w:p>
        </w:tc>
        <w:tc>
          <w:tcPr>
            <w:tcW w:w="966" w:type="dxa"/>
            <w:tcBorders>
              <w:tl2br w:val="nil"/>
              <w:tr2bl w:val="nil"/>
            </w:tcBorders>
            <w:vAlign w:val="center"/>
          </w:tcPr>
          <w:p w14:paraId="106C4DF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01A4D52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2.01</w:t>
            </w:r>
          </w:p>
        </w:tc>
        <w:tc>
          <w:tcPr>
            <w:tcW w:w="1588" w:type="dxa"/>
            <w:tcBorders>
              <w:tl2br w:val="nil"/>
              <w:tr2bl w:val="nil"/>
            </w:tcBorders>
            <w:vAlign w:val="center"/>
          </w:tcPr>
          <w:p w14:paraId="70D5872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5DE5E278">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0.0201</w:t>
            </w:r>
          </w:p>
        </w:tc>
      </w:tr>
      <w:tr w14:paraId="57734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035B02F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32F39CD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799004AD">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2、6-二叔丁基对甲</w:t>
            </w:r>
            <w:r>
              <w:rPr>
                <w:rFonts w:ascii="Times New Roman" w:hAnsi="Times New Roman" w:eastAsia="宋体" w:cs="Times New Roman"/>
                <w:color w:val="auto"/>
                <w:spacing w:val="8"/>
                <w:sz w:val="21"/>
                <w:szCs w:val="21"/>
                <w:highlight w:val="none"/>
                <w:lang w:eastAsia="zh-CN"/>
              </w:rPr>
              <w:t>基苯酚（聚合阻止</w:t>
            </w:r>
            <w:r>
              <w:rPr>
                <w:rFonts w:ascii="Times New Roman" w:hAnsi="Times New Roman" w:eastAsia="宋体" w:cs="Times New Roman"/>
                <w:color w:val="auto"/>
                <w:sz w:val="21"/>
                <w:szCs w:val="21"/>
                <w:highlight w:val="none"/>
                <w:lang w:eastAsia="zh-CN"/>
              </w:rPr>
              <w:t>剂）</w:t>
            </w:r>
          </w:p>
        </w:tc>
        <w:tc>
          <w:tcPr>
            <w:tcW w:w="966" w:type="dxa"/>
            <w:tcBorders>
              <w:tl2br w:val="nil"/>
              <w:tr2bl w:val="nil"/>
            </w:tcBorders>
            <w:vAlign w:val="center"/>
          </w:tcPr>
          <w:p w14:paraId="1C47EED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278AC03D">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2.01</w:t>
            </w:r>
          </w:p>
        </w:tc>
        <w:tc>
          <w:tcPr>
            <w:tcW w:w="1588" w:type="dxa"/>
            <w:tcBorders>
              <w:tl2br w:val="nil"/>
              <w:tr2bl w:val="nil"/>
            </w:tcBorders>
            <w:vAlign w:val="center"/>
          </w:tcPr>
          <w:p w14:paraId="13AE057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35D0010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0.0201</w:t>
            </w:r>
          </w:p>
        </w:tc>
      </w:tr>
      <w:tr w14:paraId="1CB02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51A35F6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l2br w:val="nil"/>
              <w:tr2bl w:val="nil"/>
            </w:tcBorders>
            <w:vAlign w:val="center"/>
          </w:tcPr>
          <w:p w14:paraId="20BCF67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tl2br w:val="nil"/>
              <w:tr2bl w:val="nil"/>
            </w:tcBorders>
            <w:vAlign w:val="center"/>
          </w:tcPr>
          <w:p w14:paraId="777E6FE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四氢化邻苯二甲</w:t>
            </w:r>
            <w:r>
              <w:rPr>
                <w:rFonts w:ascii="Times New Roman" w:hAnsi="Times New Roman" w:eastAsia="宋体" w:cs="Times New Roman"/>
                <w:color w:val="auto"/>
                <w:spacing w:val="4"/>
                <w:sz w:val="21"/>
                <w:szCs w:val="21"/>
                <w:highlight w:val="none"/>
              </w:rPr>
              <w:t>酸酐</w:t>
            </w:r>
          </w:p>
        </w:tc>
        <w:tc>
          <w:tcPr>
            <w:tcW w:w="966" w:type="dxa"/>
            <w:tcBorders>
              <w:tl2br w:val="nil"/>
              <w:tr2bl w:val="nil"/>
            </w:tcBorders>
            <w:vAlign w:val="center"/>
          </w:tcPr>
          <w:p w14:paraId="7B50897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2FAD616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12.12</w:t>
            </w:r>
          </w:p>
        </w:tc>
        <w:tc>
          <w:tcPr>
            <w:tcW w:w="1588" w:type="dxa"/>
            <w:tcBorders>
              <w:tl2br w:val="nil"/>
              <w:tr2bl w:val="nil"/>
            </w:tcBorders>
            <w:vAlign w:val="center"/>
          </w:tcPr>
          <w:p w14:paraId="6373264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07A59C67">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0.1212</w:t>
            </w:r>
          </w:p>
        </w:tc>
      </w:tr>
      <w:tr w14:paraId="65BCFB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42E4B2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restart"/>
            <w:tcBorders>
              <w:right w:val="single" w:color="auto" w:sz="4" w:space="0"/>
              <w:tl2br w:val="nil"/>
              <w:tr2bl w:val="nil"/>
            </w:tcBorders>
            <w:vAlign w:val="center"/>
          </w:tcPr>
          <w:p w14:paraId="504FDF9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剥离液</w:t>
            </w:r>
          </w:p>
        </w:tc>
        <w:tc>
          <w:tcPr>
            <w:tcW w:w="1948" w:type="dxa"/>
            <w:tcBorders>
              <w:left w:val="single" w:color="auto" w:sz="4" w:space="0"/>
              <w:tl2br w:val="nil"/>
              <w:tr2bl w:val="nil"/>
            </w:tcBorders>
            <w:vAlign w:val="center"/>
          </w:tcPr>
          <w:p w14:paraId="62BC2C7B">
            <w:pPr>
              <w:keepNext w:val="0"/>
              <w:keepLines w:val="0"/>
              <w:pageBreakBefore w:val="0"/>
              <w:widowControl/>
              <w:kinsoku/>
              <w:wordWrap/>
              <w:overflowPunct/>
              <w:topLinePunct w:val="0"/>
              <w:autoSpaceDE w:val="0"/>
              <w:autoSpaceDN w:val="0"/>
              <w:bidi w:val="0"/>
              <w:ind w:left="0" w:right="0"/>
              <w:jc w:val="center"/>
              <w:textAlignment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bCs/>
                <w:color w:val="auto"/>
                <w:kern w:val="2"/>
                <w:sz w:val="21"/>
                <w:szCs w:val="21"/>
                <w:highlight w:val="none"/>
                <w:lang w:eastAsia="en-US"/>
              </w:rPr>
              <w:t>二甲基亚砜</w:t>
            </w:r>
          </w:p>
        </w:tc>
        <w:tc>
          <w:tcPr>
            <w:tcW w:w="966" w:type="dxa"/>
            <w:tcBorders>
              <w:tl2br w:val="nil"/>
              <w:tr2bl w:val="nil"/>
            </w:tcBorders>
            <w:vAlign w:val="center"/>
          </w:tcPr>
          <w:p w14:paraId="42E342BF">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65E95A0C">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34.08</w:t>
            </w:r>
          </w:p>
        </w:tc>
        <w:tc>
          <w:tcPr>
            <w:tcW w:w="1588" w:type="dxa"/>
            <w:tcBorders>
              <w:tl2br w:val="nil"/>
              <w:tr2bl w:val="nil"/>
            </w:tcBorders>
            <w:vAlign w:val="center"/>
          </w:tcPr>
          <w:p w14:paraId="219BD90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7273272A">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0.3408</w:t>
            </w:r>
          </w:p>
        </w:tc>
      </w:tr>
      <w:tr w14:paraId="2F9389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7987565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09CD2B7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2626D4B5">
            <w:pPr>
              <w:keepNext w:val="0"/>
              <w:keepLines w:val="0"/>
              <w:pageBreakBefore w:val="0"/>
              <w:widowControl/>
              <w:kinsoku/>
              <w:wordWrap/>
              <w:overflowPunct/>
              <w:topLinePunct w:val="0"/>
              <w:autoSpaceDE w:val="0"/>
              <w:autoSpaceDN w:val="0"/>
              <w:bidi w:val="0"/>
              <w:ind w:left="0" w:right="0"/>
              <w:jc w:val="center"/>
              <w:textAlignment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bCs/>
                <w:color w:val="auto"/>
                <w:kern w:val="2"/>
                <w:sz w:val="21"/>
                <w:szCs w:val="21"/>
                <w:highlight w:val="none"/>
                <w:lang w:eastAsia="en-US"/>
              </w:rPr>
              <w:t>N-甲基吡咯烷酮</w:t>
            </w:r>
          </w:p>
        </w:tc>
        <w:tc>
          <w:tcPr>
            <w:tcW w:w="966" w:type="dxa"/>
            <w:tcBorders>
              <w:tl2br w:val="nil"/>
              <w:tr2bl w:val="nil"/>
            </w:tcBorders>
            <w:vAlign w:val="center"/>
          </w:tcPr>
          <w:p w14:paraId="63EFCFF3">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1963B5B6">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24.36</w:t>
            </w:r>
          </w:p>
        </w:tc>
        <w:tc>
          <w:tcPr>
            <w:tcW w:w="1588" w:type="dxa"/>
            <w:tcBorders>
              <w:tl2br w:val="nil"/>
              <w:tr2bl w:val="nil"/>
            </w:tcBorders>
            <w:vAlign w:val="center"/>
          </w:tcPr>
          <w:p w14:paraId="44271EC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65DC13D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0.2436</w:t>
            </w:r>
          </w:p>
        </w:tc>
      </w:tr>
      <w:tr w14:paraId="6F6B3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7FB43DE">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17AD438E">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3A3684FE">
            <w:pPr>
              <w:keepNext w:val="0"/>
              <w:keepLines w:val="0"/>
              <w:pageBreakBefore w:val="0"/>
              <w:widowControl/>
              <w:kinsoku/>
              <w:wordWrap/>
              <w:overflowPunct/>
              <w:topLinePunct w:val="0"/>
              <w:autoSpaceDE w:val="0"/>
              <w:autoSpaceDN w:val="0"/>
              <w:bidi w:val="0"/>
              <w:ind w:left="0" w:right="0"/>
              <w:jc w:val="center"/>
              <w:textAlignment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bCs/>
                <w:color w:val="auto"/>
                <w:kern w:val="2"/>
                <w:sz w:val="21"/>
                <w:szCs w:val="21"/>
                <w:highlight w:val="none"/>
                <w:lang w:eastAsia="en-US"/>
              </w:rPr>
              <w:t>四甲基氢氧化铵</w:t>
            </w:r>
          </w:p>
        </w:tc>
        <w:tc>
          <w:tcPr>
            <w:tcW w:w="966" w:type="dxa"/>
            <w:tcBorders>
              <w:tl2br w:val="nil"/>
              <w:tr2bl w:val="nil"/>
            </w:tcBorders>
            <w:vAlign w:val="center"/>
          </w:tcPr>
          <w:p w14:paraId="6A3A3DA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4C48C45D">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1.039</w:t>
            </w:r>
          </w:p>
        </w:tc>
        <w:tc>
          <w:tcPr>
            <w:tcW w:w="1588" w:type="dxa"/>
            <w:tcBorders>
              <w:tl2br w:val="nil"/>
              <w:tr2bl w:val="nil"/>
            </w:tcBorders>
            <w:vAlign w:val="center"/>
          </w:tcPr>
          <w:p w14:paraId="21D4BC4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698DD1B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0.01039</w:t>
            </w:r>
          </w:p>
        </w:tc>
      </w:tr>
      <w:tr w14:paraId="08B69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053DAC2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080154A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688E0291">
            <w:pPr>
              <w:keepNext w:val="0"/>
              <w:keepLines w:val="0"/>
              <w:pageBreakBefore w:val="0"/>
              <w:widowControl/>
              <w:kinsoku/>
              <w:wordWrap/>
              <w:overflowPunct/>
              <w:topLinePunct w:val="0"/>
              <w:autoSpaceDE w:val="0"/>
              <w:autoSpaceDN w:val="0"/>
              <w:bidi w:val="0"/>
              <w:ind w:left="0" w:right="0"/>
              <w:jc w:val="center"/>
              <w:textAlignment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bCs/>
                <w:color w:val="auto"/>
                <w:kern w:val="2"/>
                <w:sz w:val="21"/>
                <w:szCs w:val="21"/>
                <w:highlight w:val="none"/>
                <w:lang w:eastAsia="en-US"/>
              </w:rPr>
              <w:t>2-甲氨基乙醇</w:t>
            </w:r>
          </w:p>
        </w:tc>
        <w:tc>
          <w:tcPr>
            <w:tcW w:w="966" w:type="dxa"/>
            <w:tcBorders>
              <w:tl2br w:val="nil"/>
              <w:tr2bl w:val="nil"/>
            </w:tcBorders>
            <w:vAlign w:val="center"/>
          </w:tcPr>
          <w:p w14:paraId="7CD9212D">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0A40E185">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2.031</w:t>
            </w:r>
          </w:p>
        </w:tc>
        <w:tc>
          <w:tcPr>
            <w:tcW w:w="1588" w:type="dxa"/>
            <w:tcBorders>
              <w:tl2br w:val="nil"/>
              <w:tr2bl w:val="nil"/>
            </w:tcBorders>
            <w:vAlign w:val="center"/>
          </w:tcPr>
          <w:p w14:paraId="3E7142C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1E338F8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0.02031</w:t>
            </w:r>
          </w:p>
        </w:tc>
      </w:tr>
      <w:tr w14:paraId="43D719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2A26DD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3179141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686A9111">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bCs/>
                <w:color w:val="auto"/>
                <w:kern w:val="2"/>
                <w:sz w:val="21"/>
                <w:szCs w:val="21"/>
                <w:highlight w:val="none"/>
                <w:lang w:eastAsia="en-US"/>
              </w:rPr>
              <w:t>邻苯二酚</w:t>
            </w:r>
          </w:p>
        </w:tc>
        <w:tc>
          <w:tcPr>
            <w:tcW w:w="966" w:type="dxa"/>
            <w:tcBorders>
              <w:tl2br w:val="nil"/>
              <w:tr2bl w:val="nil"/>
            </w:tcBorders>
            <w:vAlign w:val="center"/>
          </w:tcPr>
          <w:p w14:paraId="76787BB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5"/>
                <w:sz w:val="21"/>
                <w:szCs w:val="21"/>
                <w:highlight w:val="none"/>
                <w:lang w:eastAsia="en-US"/>
              </w:rPr>
            </w:pPr>
            <w:r>
              <w:rPr>
                <w:rFonts w:hint="eastAsia" w:ascii="Times New Roman" w:hAnsi="Times New Roman" w:cs="Times New Roman"/>
                <w:color w:val="auto"/>
                <w:spacing w:val="3"/>
                <w:sz w:val="21"/>
                <w:szCs w:val="21"/>
                <w:highlight w:val="none"/>
                <w:lang w:eastAsia="en-US"/>
              </w:rPr>
              <w:t>固体</w:t>
            </w:r>
          </w:p>
        </w:tc>
        <w:tc>
          <w:tcPr>
            <w:tcW w:w="1198" w:type="dxa"/>
            <w:tcBorders>
              <w:tl2br w:val="nil"/>
              <w:tr2bl w:val="nil"/>
            </w:tcBorders>
            <w:vAlign w:val="center"/>
          </w:tcPr>
          <w:p w14:paraId="07378C68">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0.506</w:t>
            </w:r>
          </w:p>
        </w:tc>
        <w:tc>
          <w:tcPr>
            <w:tcW w:w="1588" w:type="dxa"/>
            <w:tcBorders>
              <w:tl2br w:val="nil"/>
              <w:tr2bl w:val="nil"/>
            </w:tcBorders>
            <w:vAlign w:val="center"/>
          </w:tcPr>
          <w:p w14:paraId="16B8A72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ascii="Times New Roman" w:hAnsi="Times New Roman" w:cs="Times New Roman"/>
                <w:color w:val="auto"/>
                <w:spacing w:val="1"/>
                <w:sz w:val="21"/>
                <w:szCs w:val="21"/>
                <w:highlight w:val="none"/>
                <w:lang w:eastAsia="en-US"/>
              </w:rPr>
              <w:t>50</w:t>
            </w:r>
            <w:r>
              <w:rPr>
                <w:rFonts w:hint="eastAsia" w:ascii="Times New Roman" w:hAnsi="Times New Roman" w:cs="Times New Roman"/>
                <w:color w:val="auto"/>
                <w:spacing w:val="1"/>
                <w:sz w:val="21"/>
                <w:szCs w:val="21"/>
                <w:highlight w:val="none"/>
                <w:lang w:eastAsia="en-US"/>
              </w:rPr>
              <w:t>**</w:t>
            </w:r>
          </w:p>
        </w:tc>
        <w:tc>
          <w:tcPr>
            <w:tcW w:w="1379" w:type="dxa"/>
            <w:tcBorders>
              <w:tl2br w:val="nil"/>
              <w:tr2bl w:val="nil"/>
            </w:tcBorders>
            <w:vAlign w:val="center"/>
          </w:tcPr>
          <w:p w14:paraId="71712C4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0.01012</w:t>
            </w:r>
          </w:p>
        </w:tc>
      </w:tr>
      <w:tr w14:paraId="3379C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6BD6793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50ECC9F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64D19653">
            <w:pPr>
              <w:keepNext w:val="0"/>
              <w:keepLines w:val="0"/>
              <w:pageBreakBefore w:val="0"/>
              <w:widowControl w:val="0"/>
              <w:kinsoku/>
              <w:wordWrap/>
              <w:overflowPunct/>
              <w:topLinePunct w:val="0"/>
              <w:autoSpaceDE w:val="0"/>
              <w:autoSpaceDN w:val="0"/>
              <w:bidi w:val="0"/>
              <w:ind w:left="0" w:leftChars="0" w:right="0" w:rightChars="0"/>
              <w:jc w:val="center"/>
              <w:rPr>
                <w:rFonts w:hint="eastAsia" w:ascii="Times New Roman" w:hAnsi="Times New Roman" w:eastAsia="宋体" w:cs="Times New Roman"/>
                <w:color w:val="auto"/>
                <w:spacing w:val="5"/>
                <w:sz w:val="21"/>
                <w:szCs w:val="21"/>
                <w:highlight w:val="none"/>
                <w:lang w:val="en-US" w:eastAsia="en-US" w:bidi="ar-SA"/>
              </w:rPr>
            </w:pPr>
            <w:r>
              <w:rPr>
                <w:rFonts w:hint="eastAsia" w:ascii="Times New Roman" w:hAnsi="Times New Roman" w:cs="Times New Roman"/>
                <w:bCs/>
                <w:color w:val="auto"/>
                <w:kern w:val="2"/>
                <w:sz w:val="21"/>
                <w:szCs w:val="21"/>
                <w:highlight w:val="none"/>
                <w:lang w:eastAsia="en-US"/>
              </w:rPr>
              <w:t>乙醇胺</w:t>
            </w:r>
          </w:p>
        </w:tc>
        <w:tc>
          <w:tcPr>
            <w:tcW w:w="966" w:type="dxa"/>
            <w:tcBorders>
              <w:tl2br w:val="nil"/>
              <w:tr2bl w:val="nil"/>
            </w:tcBorders>
            <w:vAlign w:val="center"/>
          </w:tcPr>
          <w:p w14:paraId="33EB8037">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pacing w:val="-5"/>
                <w:sz w:val="21"/>
                <w:szCs w:val="21"/>
                <w:highlight w:val="none"/>
                <w:lang w:val="en-US" w:eastAsia="en-US" w:bidi="ar-SA"/>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46B742A5">
            <w:pPr>
              <w:keepNext w:val="0"/>
              <w:keepLines w:val="0"/>
              <w:widowControl/>
              <w:suppressLineNumbers w:val="0"/>
              <w:autoSpaceDE w:val="0"/>
              <w:autoSpaceDN w:val="0"/>
              <w:jc w:val="center"/>
              <w:textAlignment w:val="center"/>
              <w:rPr>
                <w:rFonts w:hint="eastAsia" w:ascii="Times New Roman" w:hAnsi="Times New Roman" w:eastAsia="宋体" w:cs="Times New Roman"/>
                <w:color w:val="auto"/>
                <w:spacing w:val="-2"/>
                <w:sz w:val="21"/>
                <w:szCs w:val="21"/>
                <w:highlight w:val="none"/>
                <w:lang w:val="en-US" w:eastAsia="en-US" w:bidi="ar-SA"/>
              </w:rPr>
            </w:pPr>
            <w:r>
              <w:rPr>
                <w:rFonts w:hint="default" w:ascii="Times New Roman" w:hAnsi="Times New Roman" w:eastAsia="等线" w:cs="Times New Roman"/>
                <w:i w:val="0"/>
                <w:iCs w:val="0"/>
                <w:color w:val="auto"/>
                <w:kern w:val="0"/>
                <w:sz w:val="21"/>
                <w:szCs w:val="21"/>
                <w:highlight w:val="none"/>
                <w:u w:val="none"/>
                <w:lang w:val="en-US" w:eastAsia="zh-CN" w:bidi="ar"/>
              </w:rPr>
              <w:t>4.06</w:t>
            </w:r>
          </w:p>
        </w:tc>
        <w:tc>
          <w:tcPr>
            <w:tcW w:w="1588" w:type="dxa"/>
            <w:tcBorders>
              <w:tl2br w:val="nil"/>
              <w:tr2bl w:val="nil"/>
            </w:tcBorders>
            <w:vAlign w:val="center"/>
          </w:tcPr>
          <w:p w14:paraId="1A63A5E4">
            <w:pPr>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color w:val="auto"/>
                <w:spacing w:val="7"/>
                <w:sz w:val="21"/>
                <w:szCs w:val="21"/>
                <w:highlight w:val="none"/>
                <w:lang w:val="en-US" w:eastAsia="en-US" w:bidi="ar-SA"/>
              </w:rPr>
            </w:pPr>
            <w:r>
              <w:rPr>
                <w:rFonts w:ascii="Times New Roman" w:hAnsi="Times New Roman" w:cs="Times New Roman"/>
                <w:color w:val="auto"/>
                <w:spacing w:val="1"/>
                <w:sz w:val="21"/>
                <w:szCs w:val="21"/>
                <w:highlight w:val="none"/>
                <w:lang w:eastAsia="en-US"/>
              </w:rPr>
              <w:t>50</w:t>
            </w:r>
            <w:r>
              <w:rPr>
                <w:rFonts w:hint="eastAsia" w:ascii="Times New Roman" w:hAnsi="Times New Roman" w:cs="Times New Roman"/>
                <w:color w:val="auto"/>
                <w:spacing w:val="1"/>
                <w:sz w:val="21"/>
                <w:szCs w:val="21"/>
                <w:highlight w:val="none"/>
                <w:lang w:eastAsia="en-US"/>
              </w:rPr>
              <w:t>**</w:t>
            </w:r>
          </w:p>
        </w:tc>
        <w:tc>
          <w:tcPr>
            <w:tcW w:w="1379" w:type="dxa"/>
            <w:tcBorders>
              <w:tl2br w:val="nil"/>
              <w:tr2bl w:val="nil"/>
            </w:tcBorders>
            <w:vAlign w:val="center"/>
          </w:tcPr>
          <w:p w14:paraId="235D49E3">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0.0812</w:t>
            </w:r>
          </w:p>
        </w:tc>
      </w:tr>
      <w:tr w14:paraId="454264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7AD5EA7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right w:val="single" w:color="auto" w:sz="4" w:space="0"/>
              <w:tl2br w:val="nil"/>
              <w:tr2bl w:val="nil"/>
            </w:tcBorders>
            <w:vAlign w:val="center"/>
          </w:tcPr>
          <w:p w14:paraId="2151384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1948" w:type="dxa"/>
            <w:tcBorders>
              <w:left w:val="single" w:color="auto" w:sz="4" w:space="0"/>
              <w:tl2br w:val="nil"/>
              <w:tr2bl w:val="nil"/>
            </w:tcBorders>
            <w:vAlign w:val="center"/>
          </w:tcPr>
          <w:p w14:paraId="1ED285E5">
            <w:pPr>
              <w:keepNext w:val="0"/>
              <w:keepLines w:val="0"/>
              <w:pageBreakBefore w:val="0"/>
              <w:widowControl w:val="0"/>
              <w:kinsoku/>
              <w:wordWrap/>
              <w:overflowPunct/>
              <w:topLinePunct w:val="0"/>
              <w:autoSpaceDE w:val="0"/>
              <w:autoSpaceDN w:val="0"/>
              <w:bidi w:val="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丁酮</w:t>
            </w:r>
          </w:p>
        </w:tc>
        <w:tc>
          <w:tcPr>
            <w:tcW w:w="966" w:type="dxa"/>
            <w:tcBorders>
              <w:tl2br w:val="nil"/>
              <w:tr2bl w:val="nil"/>
            </w:tcBorders>
            <w:vAlign w:val="center"/>
          </w:tcPr>
          <w:p w14:paraId="4542F259">
            <w:pPr>
              <w:keepNext w:val="0"/>
              <w:keepLines w:val="0"/>
              <w:pageBreakBefore w:val="0"/>
              <w:widowControl/>
              <w:kinsoku/>
              <w:wordWrap/>
              <w:overflowPunct/>
              <w:topLinePunct w:val="0"/>
              <w:autoSpaceDE/>
              <w:autoSpaceDN/>
              <w:bidi w:val="0"/>
              <w:ind w:left="0" w:right="0"/>
              <w:jc w:val="center"/>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cs="Times New Roman"/>
                <w:color w:val="auto"/>
                <w:spacing w:val="-5"/>
                <w:sz w:val="21"/>
                <w:szCs w:val="21"/>
                <w:highlight w:val="none"/>
                <w:lang w:val="en-US" w:eastAsia="zh-CN"/>
              </w:rPr>
              <w:t>液体</w:t>
            </w:r>
          </w:p>
        </w:tc>
        <w:tc>
          <w:tcPr>
            <w:tcW w:w="1198" w:type="dxa"/>
            <w:tcBorders>
              <w:tl2br w:val="nil"/>
              <w:tr2bl w:val="nil"/>
            </w:tcBorders>
            <w:vAlign w:val="center"/>
          </w:tcPr>
          <w:p w14:paraId="615AC989">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0.5</w:t>
            </w:r>
          </w:p>
        </w:tc>
        <w:tc>
          <w:tcPr>
            <w:tcW w:w="1588" w:type="dxa"/>
            <w:tcBorders>
              <w:tl2br w:val="nil"/>
              <w:tr2bl w:val="nil"/>
            </w:tcBorders>
            <w:vAlign w:val="center"/>
          </w:tcPr>
          <w:p w14:paraId="7EC002EB">
            <w:pPr>
              <w:keepNext w:val="0"/>
              <w:keepLines w:val="0"/>
              <w:pageBreakBefore w:val="0"/>
              <w:widowControl/>
              <w:kinsoku/>
              <w:wordWrap/>
              <w:overflowPunct/>
              <w:topLinePunct w:val="0"/>
              <w:autoSpaceDE/>
              <w:autoSpaceDN/>
              <w:bidi w:val="0"/>
              <w:ind w:left="0" w:right="0"/>
              <w:jc w:val="center"/>
              <w:rPr>
                <w:rFonts w:hint="default" w:ascii="Times New Roman" w:hAnsi="Times New Roman" w:eastAsia="宋体" w:cs="Times New Roman"/>
                <w:color w:val="auto"/>
                <w:spacing w:val="7"/>
                <w:sz w:val="21"/>
                <w:szCs w:val="21"/>
                <w:highlight w:val="none"/>
                <w:lang w:val="en-US" w:eastAsia="zh-CN"/>
              </w:rPr>
            </w:pPr>
            <w:r>
              <w:rPr>
                <w:rFonts w:hint="eastAsia" w:ascii="Times New Roman" w:hAnsi="Times New Roman" w:cs="Times New Roman"/>
                <w:color w:val="auto"/>
                <w:spacing w:val="7"/>
                <w:sz w:val="21"/>
                <w:szCs w:val="21"/>
                <w:highlight w:val="none"/>
                <w:lang w:val="en-US" w:eastAsia="zh-CN"/>
              </w:rPr>
              <w:t>10</w:t>
            </w:r>
          </w:p>
        </w:tc>
        <w:tc>
          <w:tcPr>
            <w:tcW w:w="1379" w:type="dxa"/>
            <w:tcBorders>
              <w:tl2br w:val="nil"/>
              <w:tr2bl w:val="nil"/>
            </w:tcBorders>
            <w:vAlign w:val="center"/>
          </w:tcPr>
          <w:p w14:paraId="7987BEDE">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0.05</w:t>
            </w:r>
          </w:p>
        </w:tc>
      </w:tr>
      <w:tr w14:paraId="0B443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restart"/>
            <w:tcBorders>
              <w:top w:val="single" w:color="auto" w:sz="4" w:space="0"/>
              <w:tl2br w:val="nil"/>
              <w:tr2bl w:val="nil"/>
            </w:tcBorders>
            <w:vAlign w:val="center"/>
          </w:tcPr>
          <w:p w14:paraId="29F21893">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实验室</w:t>
            </w:r>
          </w:p>
        </w:tc>
        <w:tc>
          <w:tcPr>
            <w:tcW w:w="734" w:type="dxa"/>
            <w:vMerge w:val="restart"/>
            <w:tcBorders>
              <w:top w:val="single" w:color="auto" w:sz="4" w:space="0"/>
              <w:bottom w:val="single" w:color="auto" w:sz="4" w:space="0"/>
              <w:right w:val="single" w:color="auto" w:sz="4" w:space="0"/>
              <w:tl2br w:val="nil"/>
              <w:tr2bl w:val="nil"/>
            </w:tcBorders>
            <w:vAlign w:val="center"/>
          </w:tcPr>
          <w:p w14:paraId="024DEE14">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bCs/>
                <w:color w:val="auto"/>
                <w:kern w:val="2"/>
                <w:sz w:val="21"/>
                <w:szCs w:val="21"/>
                <w:highlight w:val="none"/>
                <w:lang w:eastAsia="en-US"/>
              </w:rPr>
            </w:pPr>
            <w:r>
              <w:rPr>
                <w:rFonts w:hint="eastAsia" w:ascii="Times New Roman" w:hAnsi="Times New Roman" w:cs="Times New Roman"/>
                <w:color w:val="auto"/>
                <w:sz w:val="21"/>
                <w:szCs w:val="21"/>
                <w:highlight w:val="none"/>
                <w:lang w:eastAsia="en-US"/>
              </w:rPr>
              <w:t>剥离液测试</w:t>
            </w:r>
          </w:p>
        </w:tc>
        <w:tc>
          <w:tcPr>
            <w:tcW w:w="1948" w:type="dxa"/>
            <w:tcBorders>
              <w:left w:val="single" w:color="auto" w:sz="4" w:space="0"/>
              <w:tl2br w:val="nil"/>
              <w:tr2bl w:val="nil"/>
            </w:tcBorders>
            <w:vAlign w:val="center"/>
          </w:tcPr>
          <w:p w14:paraId="750AA91C">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甲醇</w:t>
            </w:r>
          </w:p>
        </w:tc>
        <w:tc>
          <w:tcPr>
            <w:tcW w:w="966" w:type="dxa"/>
            <w:tcBorders>
              <w:tl2br w:val="nil"/>
              <w:tr2bl w:val="nil"/>
            </w:tcBorders>
            <w:vAlign w:val="center"/>
          </w:tcPr>
          <w:p w14:paraId="15842E04">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3"/>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086C0CA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0.001</w:t>
            </w:r>
          </w:p>
        </w:tc>
        <w:tc>
          <w:tcPr>
            <w:tcW w:w="1588" w:type="dxa"/>
            <w:tcBorders>
              <w:tl2br w:val="nil"/>
              <w:tr2bl w:val="nil"/>
            </w:tcBorders>
            <w:vAlign w:val="center"/>
          </w:tcPr>
          <w:p w14:paraId="5FB2BDC7">
            <w:pPr>
              <w:pStyle w:val="106"/>
              <w:keepNext w:val="0"/>
              <w:keepLines w:val="0"/>
              <w:pageBreakBefore w:val="0"/>
              <w:widowControl w:val="0"/>
              <w:kinsoku/>
              <w:wordWrap/>
              <w:overflowPunct/>
              <w:topLinePunct w:val="0"/>
              <w:autoSpaceDE w:val="0"/>
              <w:autoSpaceDN w:val="0"/>
              <w:bidi w:val="0"/>
              <w:ind w:left="0" w:right="0"/>
              <w:rPr>
                <w:color w:val="auto"/>
                <w:spacing w:val="1"/>
                <w:sz w:val="21"/>
                <w:szCs w:val="21"/>
                <w:highlight w:val="none"/>
                <w:lang w:eastAsia="en-US"/>
              </w:rPr>
            </w:pPr>
            <w:r>
              <w:rPr>
                <w:rFonts w:hint="eastAsia"/>
                <w:color w:val="auto"/>
                <w:sz w:val="21"/>
                <w:szCs w:val="21"/>
                <w:highlight w:val="none"/>
                <w:lang w:eastAsia="en-US"/>
              </w:rPr>
              <w:t>10</w:t>
            </w:r>
          </w:p>
        </w:tc>
        <w:tc>
          <w:tcPr>
            <w:tcW w:w="1379" w:type="dxa"/>
            <w:tcBorders>
              <w:tl2br w:val="nil"/>
              <w:tr2bl w:val="nil"/>
            </w:tcBorders>
            <w:vAlign w:val="center"/>
          </w:tcPr>
          <w:p w14:paraId="0D3EF4F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0.0001</w:t>
            </w:r>
          </w:p>
        </w:tc>
      </w:tr>
      <w:tr w14:paraId="1D6B3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op w:val="single" w:color="auto" w:sz="4" w:space="0"/>
              <w:bottom w:val="single" w:color="auto" w:sz="4" w:space="0"/>
              <w:tl2br w:val="nil"/>
              <w:tr2bl w:val="nil"/>
            </w:tcBorders>
            <w:vAlign w:val="center"/>
          </w:tcPr>
          <w:p w14:paraId="4436F68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op w:val="single" w:color="auto" w:sz="4" w:space="0"/>
              <w:bottom w:val="single" w:color="auto" w:sz="4" w:space="0"/>
              <w:right w:val="single" w:color="auto" w:sz="4" w:space="0"/>
              <w:tl2br w:val="nil"/>
              <w:tr2bl w:val="nil"/>
            </w:tcBorders>
            <w:vAlign w:val="center"/>
          </w:tcPr>
          <w:p w14:paraId="2746E293">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bCs/>
                <w:color w:val="auto"/>
                <w:kern w:val="2"/>
                <w:sz w:val="21"/>
                <w:szCs w:val="21"/>
                <w:highlight w:val="none"/>
                <w:lang w:eastAsia="en-US"/>
              </w:rPr>
            </w:pPr>
          </w:p>
        </w:tc>
        <w:tc>
          <w:tcPr>
            <w:tcW w:w="1948" w:type="dxa"/>
            <w:tcBorders>
              <w:left w:val="single" w:color="auto" w:sz="4" w:space="0"/>
              <w:tl2br w:val="nil"/>
              <w:tr2bl w:val="nil"/>
            </w:tcBorders>
            <w:vAlign w:val="center"/>
          </w:tcPr>
          <w:p w14:paraId="2DB9CA03">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硝酸</w:t>
            </w:r>
            <w:r>
              <w:rPr>
                <w:rFonts w:hint="eastAsia" w:ascii="Times New Roman" w:hAnsi="Times New Roman" w:cs="Times New Roman"/>
                <w:color w:val="auto"/>
                <w:sz w:val="21"/>
                <w:szCs w:val="21"/>
                <w:highlight w:val="none"/>
                <w:lang w:eastAsia="en-US"/>
              </w:rPr>
              <w:t>（55%）</w:t>
            </w:r>
          </w:p>
        </w:tc>
        <w:tc>
          <w:tcPr>
            <w:tcW w:w="966" w:type="dxa"/>
            <w:tcBorders>
              <w:tl2br w:val="nil"/>
              <w:tr2bl w:val="nil"/>
            </w:tcBorders>
            <w:vAlign w:val="center"/>
          </w:tcPr>
          <w:p w14:paraId="350E1B46">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3"/>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4CAFBAC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0.003</w:t>
            </w:r>
          </w:p>
        </w:tc>
        <w:tc>
          <w:tcPr>
            <w:tcW w:w="1588" w:type="dxa"/>
            <w:tcBorders>
              <w:tl2br w:val="nil"/>
              <w:tr2bl w:val="nil"/>
            </w:tcBorders>
            <w:vAlign w:val="center"/>
          </w:tcPr>
          <w:p w14:paraId="04467038">
            <w:pPr>
              <w:pStyle w:val="106"/>
              <w:keepNext w:val="0"/>
              <w:keepLines w:val="0"/>
              <w:pageBreakBefore w:val="0"/>
              <w:widowControl w:val="0"/>
              <w:kinsoku/>
              <w:wordWrap/>
              <w:overflowPunct/>
              <w:topLinePunct w:val="0"/>
              <w:autoSpaceDE w:val="0"/>
              <w:autoSpaceDN w:val="0"/>
              <w:bidi w:val="0"/>
              <w:ind w:left="0" w:right="0"/>
              <w:rPr>
                <w:color w:val="auto"/>
                <w:spacing w:val="1"/>
                <w:sz w:val="21"/>
                <w:szCs w:val="21"/>
                <w:highlight w:val="none"/>
                <w:lang w:eastAsia="en-US"/>
              </w:rPr>
            </w:pPr>
            <w:r>
              <w:rPr>
                <w:rFonts w:hint="eastAsia"/>
                <w:color w:val="auto"/>
                <w:sz w:val="21"/>
                <w:szCs w:val="21"/>
                <w:highlight w:val="none"/>
                <w:lang w:eastAsia="en-US"/>
              </w:rPr>
              <w:t>7.5</w:t>
            </w:r>
          </w:p>
        </w:tc>
        <w:tc>
          <w:tcPr>
            <w:tcW w:w="1379" w:type="dxa"/>
            <w:tcBorders>
              <w:tl2br w:val="nil"/>
              <w:tr2bl w:val="nil"/>
            </w:tcBorders>
            <w:vAlign w:val="center"/>
          </w:tcPr>
          <w:p w14:paraId="134B136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0.0004</w:t>
            </w:r>
          </w:p>
        </w:tc>
      </w:tr>
      <w:tr w14:paraId="5F6AA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op w:val="single" w:color="auto" w:sz="4" w:space="0"/>
              <w:bottom w:val="single" w:color="auto" w:sz="4" w:space="0"/>
              <w:tl2br w:val="nil"/>
              <w:tr2bl w:val="nil"/>
            </w:tcBorders>
            <w:vAlign w:val="center"/>
          </w:tcPr>
          <w:p w14:paraId="10E0DD9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op w:val="single" w:color="auto" w:sz="4" w:space="0"/>
              <w:bottom w:val="single" w:color="auto" w:sz="4" w:space="0"/>
              <w:right w:val="single" w:color="auto" w:sz="4" w:space="0"/>
              <w:tl2br w:val="nil"/>
              <w:tr2bl w:val="nil"/>
            </w:tcBorders>
            <w:vAlign w:val="center"/>
          </w:tcPr>
          <w:p w14:paraId="6860758B">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bCs/>
                <w:color w:val="auto"/>
                <w:kern w:val="2"/>
                <w:sz w:val="21"/>
                <w:szCs w:val="21"/>
                <w:highlight w:val="none"/>
                <w:lang w:eastAsia="en-US"/>
              </w:rPr>
            </w:pPr>
          </w:p>
        </w:tc>
        <w:tc>
          <w:tcPr>
            <w:tcW w:w="1948" w:type="dxa"/>
            <w:tcBorders>
              <w:left w:val="single" w:color="auto" w:sz="4" w:space="0"/>
              <w:tl2br w:val="nil"/>
              <w:tr2bl w:val="nil"/>
            </w:tcBorders>
            <w:vAlign w:val="center"/>
          </w:tcPr>
          <w:p w14:paraId="0E3392F7">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卡尔费休试剂</w:t>
            </w:r>
          </w:p>
        </w:tc>
        <w:tc>
          <w:tcPr>
            <w:tcW w:w="966" w:type="dxa"/>
            <w:tcBorders>
              <w:tl2br w:val="nil"/>
              <w:tr2bl w:val="nil"/>
            </w:tcBorders>
            <w:vAlign w:val="center"/>
          </w:tcPr>
          <w:p w14:paraId="67C42F3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3"/>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29051F5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0.0005</w:t>
            </w:r>
          </w:p>
        </w:tc>
        <w:tc>
          <w:tcPr>
            <w:tcW w:w="1588" w:type="dxa"/>
            <w:tcBorders>
              <w:tl2br w:val="nil"/>
              <w:tr2bl w:val="nil"/>
            </w:tcBorders>
            <w:vAlign w:val="center"/>
          </w:tcPr>
          <w:p w14:paraId="5420FF35">
            <w:pPr>
              <w:pStyle w:val="106"/>
              <w:keepNext w:val="0"/>
              <w:keepLines w:val="0"/>
              <w:pageBreakBefore w:val="0"/>
              <w:widowControl w:val="0"/>
              <w:kinsoku/>
              <w:wordWrap/>
              <w:overflowPunct/>
              <w:topLinePunct w:val="0"/>
              <w:autoSpaceDE w:val="0"/>
              <w:autoSpaceDN w:val="0"/>
              <w:bidi w:val="0"/>
              <w:ind w:left="0" w:right="0"/>
              <w:rPr>
                <w:color w:val="auto"/>
                <w:spacing w:val="1"/>
                <w:sz w:val="21"/>
                <w:szCs w:val="21"/>
                <w:highlight w:val="none"/>
                <w:lang w:eastAsia="en-US"/>
              </w:rPr>
            </w:pPr>
            <w:r>
              <w:rPr>
                <w:rFonts w:hint="eastAsia"/>
                <w:color w:val="auto"/>
                <w:sz w:val="21"/>
                <w:szCs w:val="21"/>
                <w:highlight w:val="none"/>
                <w:lang w:eastAsia="en-US"/>
              </w:rPr>
              <w:t>100*</w:t>
            </w:r>
          </w:p>
        </w:tc>
        <w:tc>
          <w:tcPr>
            <w:tcW w:w="1379" w:type="dxa"/>
            <w:tcBorders>
              <w:tl2br w:val="nil"/>
              <w:tr2bl w:val="nil"/>
            </w:tcBorders>
            <w:vAlign w:val="center"/>
          </w:tcPr>
          <w:p w14:paraId="11A2590A">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0.000005</w:t>
            </w:r>
          </w:p>
        </w:tc>
      </w:tr>
      <w:tr w14:paraId="025BD6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op w:val="single" w:color="auto" w:sz="4" w:space="0"/>
              <w:bottom w:val="single" w:color="auto" w:sz="4" w:space="0"/>
              <w:tl2br w:val="nil"/>
              <w:tr2bl w:val="nil"/>
            </w:tcBorders>
            <w:vAlign w:val="center"/>
          </w:tcPr>
          <w:p w14:paraId="382A6E4F">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734" w:type="dxa"/>
            <w:vMerge w:val="continue"/>
            <w:tcBorders>
              <w:top w:val="single" w:color="auto" w:sz="4" w:space="0"/>
              <w:bottom w:val="single" w:color="auto" w:sz="4" w:space="0"/>
              <w:right w:val="single" w:color="auto" w:sz="4" w:space="0"/>
              <w:tl2br w:val="nil"/>
              <w:tr2bl w:val="nil"/>
            </w:tcBorders>
            <w:vAlign w:val="center"/>
          </w:tcPr>
          <w:p w14:paraId="59B4D857">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bCs/>
                <w:color w:val="auto"/>
                <w:kern w:val="2"/>
                <w:sz w:val="21"/>
                <w:szCs w:val="21"/>
                <w:highlight w:val="none"/>
                <w:lang w:eastAsia="en-US"/>
              </w:rPr>
            </w:pPr>
          </w:p>
        </w:tc>
        <w:tc>
          <w:tcPr>
            <w:tcW w:w="1948" w:type="dxa"/>
            <w:tcBorders>
              <w:left w:val="single" w:color="auto" w:sz="4" w:space="0"/>
              <w:tl2br w:val="nil"/>
              <w:tr2bl w:val="nil"/>
            </w:tcBorders>
            <w:vAlign w:val="center"/>
          </w:tcPr>
          <w:p w14:paraId="693FE918">
            <w:pPr>
              <w:keepNext w:val="0"/>
              <w:keepLines w:val="0"/>
              <w:pageBreakBefore w:val="0"/>
              <w:widowControl w:val="0"/>
              <w:kinsoku/>
              <w:wordWrap/>
              <w:overflowPunct/>
              <w:topLinePunct w:val="0"/>
              <w:autoSpaceDE w:val="0"/>
              <w:autoSpaceDN w:val="0"/>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异丙醇</w:t>
            </w:r>
          </w:p>
        </w:tc>
        <w:tc>
          <w:tcPr>
            <w:tcW w:w="966" w:type="dxa"/>
            <w:tcBorders>
              <w:tl2br w:val="nil"/>
              <w:tr2bl w:val="nil"/>
            </w:tcBorders>
            <w:vAlign w:val="center"/>
          </w:tcPr>
          <w:p w14:paraId="1AEBFFB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3"/>
                <w:sz w:val="21"/>
                <w:szCs w:val="21"/>
                <w:highlight w:val="none"/>
                <w:lang w:eastAsia="en-US"/>
              </w:rPr>
            </w:pPr>
            <w:r>
              <w:rPr>
                <w:rFonts w:hint="eastAsia"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79827EC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0.001</w:t>
            </w:r>
          </w:p>
        </w:tc>
        <w:tc>
          <w:tcPr>
            <w:tcW w:w="1588" w:type="dxa"/>
            <w:tcBorders>
              <w:tl2br w:val="nil"/>
              <w:tr2bl w:val="nil"/>
            </w:tcBorders>
            <w:vAlign w:val="center"/>
          </w:tcPr>
          <w:p w14:paraId="6EA1A918">
            <w:pPr>
              <w:pStyle w:val="106"/>
              <w:keepNext w:val="0"/>
              <w:keepLines w:val="0"/>
              <w:pageBreakBefore w:val="0"/>
              <w:widowControl w:val="0"/>
              <w:kinsoku/>
              <w:wordWrap/>
              <w:overflowPunct/>
              <w:topLinePunct w:val="0"/>
              <w:autoSpaceDE w:val="0"/>
              <w:autoSpaceDN w:val="0"/>
              <w:bidi w:val="0"/>
              <w:ind w:left="0" w:right="0"/>
              <w:rPr>
                <w:color w:val="auto"/>
                <w:spacing w:val="1"/>
                <w:sz w:val="21"/>
                <w:szCs w:val="21"/>
                <w:highlight w:val="none"/>
                <w:lang w:eastAsia="en-US"/>
              </w:rPr>
            </w:pPr>
            <w:r>
              <w:rPr>
                <w:rFonts w:hint="eastAsia"/>
                <w:color w:val="auto"/>
                <w:sz w:val="21"/>
                <w:szCs w:val="21"/>
                <w:highlight w:val="none"/>
                <w:lang w:eastAsia="en-US"/>
              </w:rPr>
              <w:t>10</w:t>
            </w:r>
          </w:p>
        </w:tc>
        <w:tc>
          <w:tcPr>
            <w:tcW w:w="1379" w:type="dxa"/>
            <w:tcBorders>
              <w:tl2br w:val="nil"/>
              <w:tr2bl w:val="nil"/>
            </w:tcBorders>
            <w:vAlign w:val="center"/>
          </w:tcPr>
          <w:p w14:paraId="2151980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0.0001</w:t>
            </w:r>
          </w:p>
        </w:tc>
      </w:tr>
      <w:tr w14:paraId="50383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restart"/>
            <w:tcBorders>
              <w:tl2br w:val="nil"/>
              <w:tr2bl w:val="nil"/>
            </w:tcBorders>
            <w:vAlign w:val="center"/>
          </w:tcPr>
          <w:p w14:paraId="53E19AB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产品</w:t>
            </w:r>
          </w:p>
        </w:tc>
        <w:tc>
          <w:tcPr>
            <w:tcW w:w="2682" w:type="dxa"/>
            <w:gridSpan w:val="2"/>
            <w:tcBorders>
              <w:tl2br w:val="nil"/>
              <w:tr2bl w:val="nil"/>
            </w:tcBorders>
            <w:vAlign w:val="center"/>
          </w:tcPr>
          <w:p w14:paraId="6440994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聚氨酯丙烯酸酯</w:t>
            </w:r>
          </w:p>
        </w:tc>
        <w:tc>
          <w:tcPr>
            <w:tcW w:w="966" w:type="dxa"/>
            <w:tcBorders>
              <w:tl2br w:val="nil"/>
              <w:tr2bl w:val="nil"/>
            </w:tcBorders>
            <w:vAlign w:val="center"/>
          </w:tcPr>
          <w:p w14:paraId="1E355E60">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53149BD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72</w:t>
            </w:r>
          </w:p>
        </w:tc>
        <w:tc>
          <w:tcPr>
            <w:tcW w:w="1588" w:type="dxa"/>
            <w:tcBorders>
              <w:tl2br w:val="nil"/>
              <w:tr2bl w:val="nil"/>
            </w:tcBorders>
            <w:vAlign w:val="center"/>
          </w:tcPr>
          <w:p w14:paraId="5359DAB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0AFEA3C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0.72</w:t>
            </w:r>
          </w:p>
        </w:tc>
      </w:tr>
      <w:tr w14:paraId="6F95D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C07D7BD">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7D6E7A6D">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丙烯酸酯组成物</w:t>
            </w:r>
          </w:p>
        </w:tc>
        <w:tc>
          <w:tcPr>
            <w:tcW w:w="966" w:type="dxa"/>
            <w:tcBorders>
              <w:tl2br w:val="nil"/>
              <w:tr2bl w:val="nil"/>
            </w:tcBorders>
            <w:vAlign w:val="center"/>
          </w:tcPr>
          <w:p w14:paraId="4A5048A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3406C58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144</w:t>
            </w:r>
          </w:p>
        </w:tc>
        <w:tc>
          <w:tcPr>
            <w:tcW w:w="1588" w:type="dxa"/>
            <w:tcBorders>
              <w:tl2br w:val="nil"/>
              <w:tr2bl w:val="nil"/>
            </w:tcBorders>
            <w:vAlign w:val="center"/>
          </w:tcPr>
          <w:p w14:paraId="2E2385D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64B179A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1.44</w:t>
            </w:r>
          </w:p>
        </w:tc>
      </w:tr>
      <w:tr w14:paraId="6167BE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5A67B3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6A1C7F8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环氧丙烯酸树脂</w:t>
            </w:r>
          </w:p>
        </w:tc>
        <w:tc>
          <w:tcPr>
            <w:tcW w:w="966" w:type="dxa"/>
            <w:tcBorders>
              <w:tl2br w:val="nil"/>
              <w:tr2bl w:val="nil"/>
            </w:tcBorders>
            <w:vAlign w:val="center"/>
          </w:tcPr>
          <w:p w14:paraId="3FFB6912">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0C8A37A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45</w:t>
            </w:r>
          </w:p>
        </w:tc>
        <w:tc>
          <w:tcPr>
            <w:tcW w:w="1588" w:type="dxa"/>
            <w:tcBorders>
              <w:tl2br w:val="nil"/>
              <w:tr2bl w:val="nil"/>
            </w:tcBorders>
            <w:vAlign w:val="center"/>
          </w:tcPr>
          <w:p w14:paraId="6E82BCD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4E7A962F">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0.45</w:t>
            </w:r>
          </w:p>
        </w:tc>
      </w:tr>
      <w:tr w14:paraId="65608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51571F83">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30DCEC3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8"/>
                <w:sz w:val="21"/>
                <w:szCs w:val="21"/>
                <w:highlight w:val="none"/>
                <w:lang w:eastAsia="zh-CN"/>
              </w:rPr>
            </w:pPr>
            <w:r>
              <w:rPr>
                <w:rFonts w:hint="eastAsia" w:ascii="Times New Roman" w:hAnsi="Times New Roman" w:eastAsia="宋体" w:cs="Times New Roman"/>
                <w:color w:val="auto"/>
                <w:spacing w:val="8"/>
                <w:sz w:val="21"/>
                <w:szCs w:val="21"/>
                <w:highlight w:val="none"/>
                <w:lang w:eastAsia="zh-CN"/>
              </w:rPr>
              <w:t>剥离液</w:t>
            </w:r>
          </w:p>
        </w:tc>
        <w:tc>
          <w:tcPr>
            <w:tcW w:w="966" w:type="dxa"/>
            <w:tcBorders>
              <w:tl2br w:val="nil"/>
              <w:tr2bl w:val="nil"/>
            </w:tcBorders>
            <w:vAlign w:val="center"/>
          </w:tcPr>
          <w:p w14:paraId="730D9C2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3"/>
                <w:sz w:val="21"/>
                <w:szCs w:val="21"/>
                <w:highlight w:val="none"/>
                <w:lang w:eastAsia="zh-CN"/>
              </w:rPr>
            </w:pPr>
            <w:r>
              <w:rPr>
                <w:rFonts w:hint="eastAsia" w:ascii="Times New Roman" w:hAnsi="Times New Roman" w:eastAsia="宋体" w:cs="Times New Roman"/>
                <w:color w:val="auto"/>
                <w:spacing w:val="3"/>
                <w:sz w:val="21"/>
                <w:szCs w:val="21"/>
                <w:highlight w:val="none"/>
                <w:lang w:eastAsia="zh-CN"/>
              </w:rPr>
              <w:t>液体</w:t>
            </w:r>
          </w:p>
        </w:tc>
        <w:tc>
          <w:tcPr>
            <w:tcW w:w="1198" w:type="dxa"/>
            <w:tcBorders>
              <w:tl2br w:val="nil"/>
              <w:tr2bl w:val="nil"/>
            </w:tcBorders>
            <w:vAlign w:val="center"/>
          </w:tcPr>
          <w:p w14:paraId="19C63C7E">
            <w:pPr>
              <w:keepNext w:val="0"/>
              <w:keepLines w:val="0"/>
              <w:widowControl/>
              <w:suppressLineNumbers w:val="0"/>
              <w:autoSpaceDE w:val="0"/>
              <w:autoSpaceDN w:val="0"/>
              <w:jc w:val="center"/>
              <w:textAlignment w:val="center"/>
              <w:rPr>
                <w:rFonts w:ascii="Times New Roman" w:hAnsi="Times New Roman" w:cs="Times New Roman"/>
                <w:color w:val="auto"/>
                <w:spacing w:val="3"/>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50</w:t>
            </w:r>
          </w:p>
        </w:tc>
        <w:tc>
          <w:tcPr>
            <w:tcW w:w="1588" w:type="dxa"/>
            <w:tcBorders>
              <w:tl2br w:val="nil"/>
              <w:tr2bl w:val="nil"/>
            </w:tcBorders>
            <w:vAlign w:val="center"/>
          </w:tcPr>
          <w:p w14:paraId="748F5EB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277FD3FA">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0.5</w:t>
            </w:r>
          </w:p>
        </w:tc>
      </w:tr>
      <w:tr w14:paraId="227EA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tcBorders>
              <w:tl2br w:val="nil"/>
              <w:tr2bl w:val="nil"/>
            </w:tcBorders>
            <w:vAlign w:val="center"/>
          </w:tcPr>
          <w:p w14:paraId="11C50455">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辅助生产原料</w:t>
            </w:r>
          </w:p>
        </w:tc>
        <w:tc>
          <w:tcPr>
            <w:tcW w:w="734" w:type="dxa"/>
            <w:tcBorders>
              <w:tl2br w:val="nil"/>
              <w:tr2bl w:val="nil"/>
            </w:tcBorders>
            <w:vAlign w:val="center"/>
          </w:tcPr>
          <w:p w14:paraId="566A08D1">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4"/>
                <w:sz w:val="21"/>
                <w:szCs w:val="21"/>
                <w:highlight w:val="none"/>
                <w:lang w:eastAsia="zh-CN"/>
              </w:rPr>
              <w:t>铲车</w:t>
            </w:r>
          </w:p>
        </w:tc>
        <w:tc>
          <w:tcPr>
            <w:tcW w:w="1948" w:type="dxa"/>
            <w:tcBorders>
              <w:tl2br w:val="nil"/>
              <w:tr2bl w:val="nil"/>
            </w:tcBorders>
            <w:vAlign w:val="center"/>
          </w:tcPr>
          <w:p w14:paraId="67DBD97C">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柴油</w:t>
            </w:r>
          </w:p>
        </w:tc>
        <w:tc>
          <w:tcPr>
            <w:tcW w:w="966" w:type="dxa"/>
            <w:tcBorders>
              <w:tl2br w:val="nil"/>
              <w:tr2bl w:val="nil"/>
            </w:tcBorders>
            <w:vAlign w:val="center"/>
          </w:tcPr>
          <w:p w14:paraId="7472A49B">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1DCBCC8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10.65</w:t>
            </w:r>
          </w:p>
        </w:tc>
        <w:tc>
          <w:tcPr>
            <w:tcW w:w="1588" w:type="dxa"/>
            <w:tcBorders>
              <w:tl2br w:val="nil"/>
              <w:tr2bl w:val="nil"/>
            </w:tcBorders>
            <w:vAlign w:val="center"/>
          </w:tcPr>
          <w:p w14:paraId="356D1847">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2500</w:t>
            </w:r>
            <w:r>
              <w:rPr>
                <w:rFonts w:hint="eastAsia" w:ascii="Times New Roman" w:hAnsi="Times New Roman" w:eastAsia="宋体" w:cs="Times New Roman"/>
                <w:color w:val="auto"/>
                <w:spacing w:val="6"/>
                <w:sz w:val="21"/>
                <w:szCs w:val="21"/>
                <w:highlight w:val="none"/>
                <w:lang w:eastAsia="zh-CN"/>
              </w:rPr>
              <w:t>***</w:t>
            </w:r>
          </w:p>
        </w:tc>
        <w:tc>
          <w:tcPr>
            <w:tcW w:w="1379" w:type="dxa"/>
            <w:tcBorders>
              <w:tl2br w:val="nil"/>
              <w:tr2bl w:val="nil"/>
            </w:tcBorders>
            <w:vAlign w:val="center"/>
          </w:tcPr>
          <w:p w14:paraId="220C34EE">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0.00426</w:t>
            </w:r>
          </w:p>
        </w:tc>
      </w:tr>
      <w:tr w14:paraId="108936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restart"/>
            <w:tcBorders>
              <w:tl2br w:val="nil"/>
              <w:tr2bl w:val="nil"/>
            </w:tcBorders>
            <w:vAlign w:val="center"/>
          </w:tcPr>
          <w:p w14:paraId="2E78786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废气</w:t>
            </w:r>
          </w:p>
        </w:tc>
        <w:tc>
          <w:tcPr>
            <w:tcW w:w="2682" w:type="dxa"/>
            <w:gridSpan w:val="2"/>
            <w:tcBorders>
              <w:tl2br w:val="nil"/>
              <w:tr2bl w:val="nil"/>
            </w:tcBorders>
            <w:vAlign w:val="center"/>
          </w:tcPr>
          <w:p w14:paraId="22469B9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2-乙二醇单乙醚醋酸酯</w:t>
            </w:r>
          </w:p>
        </w:tc>
        <w:tc>
          <w:tcPr>
            <w:tcW w:w="966" w:type="dxa"/>
            <w:tcBorders>
              <w:tl2br w:val="nil"/>
              <w:tr2bl w:val="nil"/>
            </w:tcBorders>
            <w:vAlign w:val="center"/>
          </w:tcPr>
          <w:p w14:paraId="12BEAC8A">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气态</w:t>
            </w:r>
          </w:p>
        </w:tc>
        <w:tc>
          <w:tcPr>
            <w:tcW w:w="1198" w:type="dxa"/>
            <w:tcBorders>
              <w:tl2br w:val="nil"/>
              <w:tr2bl w:val="nil"/>
            </w:tcBorders>
            <w:vAlign w:val="center"/>
          </w:tcPr>
          <w:p w14:paraId="143D054D">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6698C58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5F26BA7A">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30C45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76A2E04">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5"/>
                <w:sz w:val="21"/>
                <w:szCs w:val="21"/>
                <w:highlight w:val="none"/>
              </w:rPr>
            </w:pPr>
          </w:p>
        </w:tc>
        <w:tc>
          <w:tcPr>
            <w:tcW w:w="2682" w:type="dxa"/>
            <w:gridSpan w:val="2"/>
            <w:tcBorders>
              <w:tl2br w:val="nil"/>
              <w:tr2bl w:val="nil"/>
            </w:tcBorders>
            <w:vAlign w:val="center"/>
          </w:tcPr>
          <w:p w14:paraId="3BC53D34">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丁酮</w:t>
            </w:r>
          </w:p>
        </w:tc>
        <w:tc>
          <w:tcPr>
            <w:tcW w:w="966" w:type="dxa"/>
            <w:tcBorders>
              <w:tl2br w:val="nil"/>
              <w:tr2bl w:val="nil"/>
            </w:tcBorders>
            <w:vAlign w:val="center"/>
          </w:tcPr>
          <w:p w14:paraId="3A2388D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气态</w:t>
            </w:r>
          </w:p>
        </w:tc>
        <w:tc>
          <w:tcPr>
            <w:tcW w:w="1198" w:type="dxa"/>
            <w:tcBorders>
              <w:tl2br w:val="nil"/>
              <w:tr2bl w:val="nil"/>
            </w:tcBorders>
            <w:vAlign w:val="center"/>
          </w:tcPr>
          <w:p w14:paraId="25EC1697">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0719B2E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40EC6DA5">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58838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D190A3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1EDC8F86">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异氰酸酯</w:t>
            </w:r>
          </w:p>
        </w:tc>
        <w:tc>
          <w:tcPr>
            <w:tcW w:w="966" w:type="dxa"/>
            <w:tcBorders>
              <w:tl2br w:val="nil"/>
              <w:tr2bl w:val="nil"/>
            </w:tcBorders>
            <w:vAlign w:val="center"/>
          </w:tcPr>
          <w:p w14:paraId="1F8458BD">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气态</w:t>
            </w:r>
          </w:p>
        </w:tc>
        <w:tc>
          <w:tcPr>
            <w:tcW w:w="1198" w:type="dxa"/>
            <w:tcBorders>
              <w:tl2br w:val="nil"/>
              <w:tr2bl w:val="nil"/>
            </w:tcBorders>
            <w:vAlign w:val="center"/>
          </w:tcPr>
          <w:p w14:paraId="70216F46">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0EB3AB2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0785347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720AF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BEF458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7B50023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丙烯酸</w:t>
            </w:r>
          </w:p>
        </w:tc>
        <w:tc>
          <w:tcPr>
            <w:tcW w:w="966" w:type="dxa"/>
            <w:tcBorders>
              <w:tl2br w:val="nil"/>
              <w:tr2bl w:val="nil"/>
            </w:tcBorders>
            <w:vAlign w:val="center"/>
          </w:tcPr>
          <w:p w14:paraId="5DE4FA12">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气态</w:t>
            </w:r>
          </w:p>
        </w:tc>
        <w:tc>
          <w:tcPr>
            <w:tcW w:w="1198" w:type="dxa"/>
            <w:tcBorders>
              <w:tl2br w:val="nil"/>
              <w:tr2bl w:val="nil"/>
            </w:tcBorders>
            <w:vAlign w:val="center"/>
          </w:tcPr>
          <w:p w14:paraId="49E3C33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3FAEE2B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4A20497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1237F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30EF9ED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740829A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5"/>
                <w:sz w:val="21"/>
                <w:szCs w:val="21"/>
                <w:highlight w:val="none"/>
                <w:lang w:eastAsia="zh-CN"/>
              </w:rPr>
            </w:pPr>
            <w:r>
              <w:rPr>
                <w:rFonts w:hint="eastAsia" w:ascii="Times New Roman" w:hAnsi="Times New Roman" w:eastAsia="宋体" w:cs="Times New Roman"/>
                <w:color w:val="auto"/>
                <w:spacing w:val="5"/>
                <w:sz w:val="21"/>
                <w:szCs w:val="21"/>
                <w:highlight w:val="none"/>
                <w:lang w:eastAsia="zh-CN"/>
              </w:rPr>
              <w:t>非甲烷总烃</w:t>
            </w:r>
          </w:p>
        </w:tc>
        <w:tc>
          <w:tcPr>
            <w:tcW w:w="966" w:type="dxa"/>
            <w:tcBorders>
              <w:tl2br w:val="nil"/>
              <w:tr2bl w:val="nil"/>
            </w:tcBorders>
            <w:vAlign w:val="center"/>
          </w:tcPr>
          <w:p w14:paraId="308EE74D">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4"/>
                <w:sz w:val="21"/>
                <w:szCs w:val="21"/>
                <w:highlight w:val="none"/>
                <w:lang w:eastAsia="zh-CN"/>
              </w:rPr>
            </w:pPr>
            <w:r>
              <w:rPr>
                <w:rFonts w:hint="eastAsia" w:ascii="Times New Roman" w:hAnsi="Times New Roman" w:eastAsia="宋体" w:cs="Times New Roman"/>
                <w:color w:val="auto"/>
                <w:spacing w:val="4"/>
                <w:sz w:val="21"/>
                <w:szCs w:val="21"/>
                <w:highlight w:val="none"/>
                <w:lang w:eastAsia="zh-CN"/>
              </w:rPr>
              <w:t>气态</w:t>
            </w:r>
          </w:p>
        </w:tc>
        <w:tc>
          <w:tcPr>
            <w:tcW w:w="1198" w:type="dxa"/>
            <w:tcBorders>
              <w:tl2br w:val="nil"/>
              <w:tr2bl w:val="nil"/>
            </w:tcBorders>
            <w:vAlign w:val="center"/>
          </w:tcPr>
          <w:p w14:paraId="6F33EF4C">
            <w:pPr>
              <w:keepNext w:val="0"/>
              <w:keepLines w:val="0"/>
              <w:widowControl/>
              <w:suppressLineNumbers w:val="0"/>
              <w:autoSpaceDE w:val="0"/>
              <w:autoSpaceDN w:val="0"/>
              <w:jc w:val="center"/>
              <w:textAlignment w:val="center"/>
              <w:rPr>
                <w:rFonts w:ascii="Times New Roman" w:hAnsi="Times New Roman" w:cs="Times New Roman"/>
                <w:color w:val="auto"/>
                <w:spacing w:val="2"/>
                <w:position w:val="1"/>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0A427527">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1CDF5D25">
            <w:pPr>
              <w:keepNext w:val="0"/>
              <w:keepLines w:val="0"/>
              <w:widowControl/>
              <w:suppressLineNumbers w:val="0"/>
              <w:autoSpaceDE w:val="0"/>
              <w:autoSpaceDN w:val="0"/>
              <w:jc w:val="center"/>
              <w:textAlignment w:val="center"/>
              <w:rPr>
                <w:rFonts w:ascii="Times New Roman" w:hAnsi="Times New Roman" w:cs="Times New Roman"/>
                <w:color w:val="auto"/>
                <w:spacing w:val="2"/>
                <w:position w:val="1"/>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538ED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47F8A43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736D86BF">
            <w:pPr>
              <w:pStyle w:val="236"/>
              <w:keepNext w:val="0"/>
              <w:keepLines w:val="0"/>
              <w:pageBreakBefore w:val="0"/>
              <w:widowControl/>
              <w:kinsoku/>
              <w:wordWrap/>
              <w:overflowPunct/>
              <w:topLinePunct w:val="0"/>
              <w:autoSpaceDE/>
              <w:autoSpaceDN/>
              <w:bidi w:val="0"/>
              <w:ind w:left="0" w:right="0"/>
              <w:jc w:val="center"/>
              <w:rPr>
                <w:rFonts w:hint="default"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甲醇</w:t>
            </w:r>
          </w:p>
        </w:tc>
        <w:tc>
          <w:tcPr>
            <w:tcW w:w="966" w:type="dxa"/>
            <w:tcBorders>
              <w:tl2br w:val="nil"/>
              <w:tr2bl w:val="nil"/>
            </w:tcBorders>
            <w:vAlign w:val="center"/>
          </w:tcPr>
          <w:p w14:paraId="0E795CD7">
            <w:pPr>
              <w:pStyle w:val="236"/>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pacing w:val="4"/>
                <w:sz w:val="21"/>
                <w:szCs w:val="21"/>
                <w:highlight w:val="none"/>
                <w:lang w:eastAsia="zh-CN"/>
              </w:rPr>
            </w:pPr>
            <w:r>
              <w:rPr>
                <w:rFonts w:hint="eastAsia" w:ascii="Times New Roman" w:hAnsi="Times New Roman" w:eastAsia="宋体" w:cs="Times New Roman"/>
                <w:color w:val="auto"/>
                <w:spacing w:val="4"/>
                <w:sz w:val="21"/>
                <w:szCs w:val="21"/>
                <w:highlight w:val="none"/>
                <w:lang w:eastAsia="zh-CN"/>
              </w:rPr>
              <w:t>气态</w:t>
            </w:r>
          </w:p>
        </w:tc>
        <w:tc>
          <w:tcPr>
            <w:tcW w:w="1198" w:type="dxa"/>
            <w:tcBorders>
              <w:tl2br w:val="nil"/>
              <w:tr2bl w:val="nil"/>
            </w:tcBorders>
            <w:vAlign w:val="center"/>
          </w:tcPr>
          <w:p w14:paraId="44478744">
            <w:pPr>
              <w:keepNext w:val="0"/>
              <w:keepLines w:val="0"/>
              <w:widowControl/>
              <w:suppressLineNumbers w:val="0"/>
              <w:autoSpaceDE w:val="0"/>
              <w:autoSpaceDN w:val="0"/>
              <w:jc w:val="center"/>
              <w:textAlignment w:val="center"/>
              <w:rPr>
                <w:rFonts w:hint="eastAsia" w:ascii="Times New Roman" w:hAnsi="Times New Roman" w:cs="Times New Roman"/>
                <w:color w:val="auto"/>
                <w:spacing w:val="2"/>
                <w:position w:val="1"/>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4672AA58">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2C0D9243">
            <w:pPr>
              <w:keepNext w:val="0"/>
              <w:keepLines w:val="0"/>
              <w:widowControl/>
              <w:suppressLineNumbers w:val="0"/>
              <w:autoSpaceDE w:val="0"/>
              <w:autoSpaceDN w:val="0"/>
              <w:jc w:val="center"/>
              <w:textAlignment w:val="center"/>
              <w:rPr>
                <w:rFonts w:ascii="Times New Roman" w:hAnsi="Times New Roman" w:eastAsia="等线" w:cs="Times New Roman"/>
                <w:color w:val="auto"/>
                <w:sz w:val="21"/>
                <w:szCs w:val="21"/>
                <w:highlight w:val="none"/>
                <w:lang w:eastAsia="en-US" w:bidi="ar"/>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3E88A3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177DA26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285F926C">
            <w:pPr>
              <w:pStyle w:val="236"/>
              <w:keepNext w:val="0"/>
              <w:keepLines w:val="0"/>
              <w:pageBreakBefore w:val="0"/>
              <w:widowControl/>
              <w:kinsoku/>
              <w:wordWrap/>
              <w:overflowPunct/>
              <w:topLinePunct w:val="0"/>
              <w:autoSpaceDE/>
              <w:autoSpaceDN/>
              <w:bidi w:val="0"/>
              <w:ind w:left="0" w:right="0"/>
              <w:jc w:val="center"/>
              <w:rPr>
                <w:rFonts w:hint="default"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氮氧化物</w:t>
            </w:r>
          </w:p>
        </w:tc>
        <w:tc>
          <w:tcPr>
            <w:tcW w:w="966" w:type="dxa"/>
            <w:tcBorders>
              <w:tl2br w:val="nil"/>
              <w:tr2bl w:val="nil"/>
            </w:tcBorders>
            <w:vAlign w:val="center"/>
          </w:tcPr>
          <w:p w14:paraId="1DE8D33F">
            <w:pPr>
              <w:pStyle w:val="236"/>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pacing w:val="4"/>
                <w:sz w:val="21"/>
                <w:szCs w:val="21"/>
                <w:highlight w:val="none"/>
                <w:lang w:eastAsia="zh-CN"/>
              </w:rPr>
            </w:pPr>
            <w:r>
              <w:rPr>
                <w:rFonts w:hint="eastAsia" w:ascii="Times New Roman" w:hAnsi="Times New Roman" w:eastAsia="宋体" w:cs="Times New Roman"/>
                <w:color w:val="auto"/>
                <w:spacing w:val="4"/>
                <w:sz w:val="21"/>
                <w:szCs w:val="21"/>
                <w:highlight w:val="none"/>
                <w:lang w:eastAsia="zh-CN"/>
              </w:rPr>
              <w:t>气态</w:t>
            </w:r>
          </w:p>
        </w:tc>
        <w:tc>
          <w:tcPr>
            <w:tcW w:w="1198" w:type="dxa"/>
            <w:tcBorders>
              <w:tl2br w:val="nil"/>
              <w:tr2bl w:val="nil"/>
            </w:tcBorders>
            <w:vAlign w:val="center"/>
          </w:tcPr>
          <w:p w14:paraId="5D81D7E2">
            <w:pPr>
              <w:keepNext w:val="0"/>
              <w:keepLines w:val="0"/>
              <w:widowControl/>
              <w:suppressLineNumbers w:val="0"/>
              <w:autoSpaceDE w:val="0"/>
              <w:autoSpaceDN w:val="0"/>
              <w:jc w:val="center"/>
              <w:textAlignment w:val="center"/>
              <w:rPr>
                <w:rFonts w:hint="eastAsia" w:ascii="Times New Roman" w:hAnsi="Times New Roman" w:cs="Times New Roman"/>
                <w:color w:val="auto"/>
                <w:spacing w:val="2"/>
                <w:position w:val="1"/>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c>
          <w:tcPr>
            <w:tcW w:w="1588" w:type="dxa"/>
            <w:tcBorders>
              <w:tl2br w:val="nil"/>
              <w:tr2bl w:val="nil"/>
            </w:tcBorders>
            <w:vAlign w:val="center"/>
          </w:tcPr>
          <w:p w14:paraId="223CCC80">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cs="Times New Roman"/>
                <w:color w:val="auto"/>
                <w:sz w:val="21"/>
                <w:szCs w:val="21"/>
                <w:highlight w:val="none"/>
                <w:lang w:eastAsia="en-US"/>
              </w:rPr>
            </w:pPr>
            <w:r>
              <w:rPr>
                <w:rFonts w:hint="eastAsia" w:ascii="Times New Roman" w:hAnsi="Times New Roman" w:cs="Times New Roman"/>
                <w:color w:val="auto"/>
                <w:sz w:val="21"/>
                <w:szCs w:val="21"/>
                <w:highlight w:val="none"/>
                <w:lang w:eastAsia="en-US"/>
              </w:rPr>
              <w:t>/</w:t>
            </w:r>
          </w:p>
        </w:tc>
        <w:tc>
          <w:tcPr>
            <w:tcW w:w="1379" w:type="dxa"/>
            <w:tcBorders>
              <w:tl2br w:val="nil"/>
              <w:tr2bl w:val="nil"/>
            </w:tcBorders>
            <w:vAlign w:val="center"/>
          </w:tcPr>
          <w:p w14:paraId="35167B6E">
            <w:pPr>
              <w:keepNext w:val="0"/>
              <w:keepLines w:val="0"/>
              <w:widowControl/>
              <w:suppressLineNumbers w:val="0"/>
              <w:autoSpaceDE w:val="0"/>
              <w:autoSpaceDN w:val="0"/>
              <w:jc w:val="center"/>
              <w:textAlignment w:val="center"/>
              <w:rPr>
                <w:rFonts w:ascii="Times New Roman" w:hAnsi="Times New Roman" w:eastAsia="等线" w:cs="Times New Roman"/>
                <w:color w:val="auto"/>
                <w:sz w:val="21"/>
                <w:szCs w:val="21"/>
                <w:highlight w:val="none"/>
                <w:lang w:eastAsia="en-US" w:bidi="ar"/>
              </w:rPr>
            </w:pPr>
            <w:r>
              <w:rPr>
                <w:rFonts w:hint="default" w:ascii="Times New Roman" w:hAnsi="Times New Roman" w:eastAsia="等线" w:cs="Times New Roman"/>
                <w:i w:val="0"/>
                <w:iCs w:val="0"/>
                <w:color w:val="auto"/>
                <w:kern w:val="0"/>
                <w:sz w:val="21"/>
                <w:szCs w:val="21"/>
                <w:highlight w:val="none"/>
                <w:u w:val="none"/>
                <w:lang w:val="en-US" w:eastAsia="zh-CN" w:bidi="ar"/>
              </w:rPr>
              <w:t>/</w:t>
            </w:r>
          </w:p>
        </w:tc>
      </w:tr>
      <w:tr w14:paraId="7EB8D8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restart"/>
            <w:tcBorders>
              <w:tl2br w:val="nil"/>
              <w:tr2bl w:val="nil"/>
            </w:tcBorders>
            <w:vAlign w:val="center"/>
          </w:tcPr>
          <w:p w14:paraId="7D614B11">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危废</w:t>
            </w:r>
          </w:p>
        </w:tc>
        <w:tc>
          <w:tcPr>
            <w:tcW w:w="2682" w:type="dxa"/>
            <w:gridSpan w:val="2"/>
            <w:tcBorders>
              <w:tl2br w:val="nil"/>
              <w:tr2bl w:val="nil"/>
            </w:tcBorders>
            <w:vAlign w:val="center"/>
          </w:tcPr>
          <w:p w14:paraId="5AF8F9D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过滤残渣、浸润废料</w:t>
            </w:r>
          </w:p>
        </w:tc>
        <w:tc>
          <w:tcPr>
            <w:tcW w:w="966" w:type="dxa"/>
            <w:tcBorders>
              <w:tl2br w:val="nil"/>
              <w:tr2bl w:val="nil"/>
            </w:tcBorders>
            <w:vAlign w:val="center"/>
          </w:tcPr>
          <w:p w14:paraId="4F396BE3">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5B7807C4">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3.4</w:t>
            </w:r>
          </w:p>
        </w:tc>
        <w:tc>
          <w:tcPr>
            <w:tcW w:w="1588" w:type="dxa"/>
            <w:tcBorders>
              <w:tl2br w:val="nil"/>
              <w:tr2bl w:val="nil"/>
            </w:tcBorders>
            <w:vAlign w:val="center"/>
          </w:tcPr>
          <w:p w14:paraId="07C84DE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207FFC74">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0.034</w:t>
            </w:r>
          </w:p>
        </w:tc>
      </w:tr>
      <w:tr w14:paraId="3A20F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6EEA098F">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05AC8AD7">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废滤芯</w:t>
            </w:r>
          </w:p>
        </w:tc>
        <w:tc>
          <w:tcPr>
            <w:tcW w:w="966" w:type="dxa"/>
            <w:tcBorders>
              <w:tl2br w:val="nil"/>
              <w:tr2bl w:val="nil"/>
            </w:tcBorders>
            <w:vAlign w:val="center"/>
          </w:tcPr>
          <w:p w14:paraId="6AEA2A3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4A393D43">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1.25</w:t>
            </w:r>
          </w:p>
        </w:tc>
        <w:tc>
          <w:tcPr>
            <w:tcW w:w="1588" w:type="dxa"/>
            <w:tcBorders>
              <w:tl2br w:val="nil"/>
              <w:tr2bl w:val="nil"/>
            </w:tcBorders>
            <w:vAlign w:val="center"/>
          </w:tcPr>
          <w:p w14:paraId="61D2AC1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43A28DBC">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0.0125</w:t>
            </w:r>
          </w:p>
        </w:tc>
      </w:tr>
      <w:tr w14:paraId="0D718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3B4AE90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15F196CE">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废丁酮</w:t>
            </w:r>
          </w:p>
        </w:tc>
        <w:tc>
          <w:tcPr>
            <w:tcW w:w="966" w:type="dxa"/>
            <w:tcBorders>
              <w:tl2br w:val="nil"/>
              <w:tr2bl w:val="nil"/>
            </w:tcBorders>
            <w:vAlign w:val="center"/>
          </w:tcPr>
          <w:p w14:paraId="31BCC46C">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654B58BB">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5</w:t>
            </w:r>
          </w:p>
        </w:tc>
        <w:tc>
          <w:tcPr>
            <w:tcW w:w="1588" w:type="dxa"/>
            <w:tcBorders>
              <w:tl2br w:val="nil"/>
              <w:tr2bl w:val="nil"/>
            </w:tcBorders>
            <w:vAlign w:val="center"/>
          </w:tcPr>
          <w:p w14:paraId="4B7E03E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10</w:t>
            </w:r>
          </w:p>
        </w:tc>
        <w:tc>
          <w:tcPr>
            <w:tcW w:w="1379" w:type="dxa"/>
            <w:tcBorders>
              <w:tl2br w:val="nil"/>
              <w:tr2bl w:val="nil"/>
            </w:tcBorders>
            <w:vAlign w:val="center"/>
          </w:tcPr>
          <w:p w14:paraId="5B4204F8">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0.5</w:t>
            </w:r>
          </w:p>
        </w:tc>
      </w:tr>
      <w:tr w14:paraId="1EA46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3481CA9">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01DC9989">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废活性炭</w:t>
            </w:r>
          </w:p>
        </w:tc>
        <w:tc>
          <w:tcPr>
            <w:tcW w:w="966" w:type="dxa"/>
            <w:tcBorders>
              <w:tl2br w:val="nil"/>
              <w:tr2bl w:val="nil"/>
            </w:tcBorders>
            <w:vAlign w:val="center"/>
          </w:tcPr>
          <w:p w14:paraId="61C395CC">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固体</w:t>
            </w:r>
          </w:p>
        </w:tc>
        <w:tc>
          <w:tcPr>
            <w:tcW w:w="1198" w:type="dxa"/>
            <w:tcBorders>
              <w:tl2br w:val="nil"/>
              <w:tr2bl w:val="nil"/>
            </w:tcBorders>
            <w:vAlign w:val="center"/>
          </w:tcPr>
          <w:p w14:paraId="726C652D">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18.4089</w:t>
            </w:r>
          </w:p>
        </w:tc>
        <w:tc>
          <w:tcPr>
            <w:tcW w:w="1588" w:type="dxa"/>
            <w:tcBorders>
              <w:tl2br w:val="nil"/>
              <w:tr2bl w:val="nil"/>
            </w:tcBorders>
            <w:vAlign w:val="center"/>
          </w:tcPr>
          <w:p w14:paraId="5582492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30056ED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0.184089</w:t>
            </w:r>
          </w:p>
        </w:tc>
      </w:tr>
      <w:tr w14:paraId="430D9B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3ED3B6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7C7FC42F">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7"/>
                <w:sz w:val="21"/>
                <w:szCs w:val="21"/>
                <w:highlight w:val="none"/>
                <w:lang w:eastAsia="zh-CN"/>
              </w:rPr>
            </w:pPr>
            <w:r>
              <w:rPr>
                <w:rFonts w:hint="eastAsia" w:ascii="Times New Roman" w:hAnsi="Times New Roman" w:eastAsia="宋体" w:cs="Times New Roman"/>
                <w:color w:val="auto"/>
                <w:spacing w:val="7"/>
                <w:sz w:val="21"/>
                <w:szCs w:val="21"/>
                <w:highlight w:val="none"/>
                <w:lang w:eastAsia="zh-CN"/>
              </w:rPr>
              <w:t>废包装桶（</w:t>
            </w:r>
            <w:r>
              <w:rPr>
                <w:rFonts w:hint="eastAsia" w:ascii="Times New Roman" w:hAnsi="Times New Roman" w:eastAsia="宋体" w:cs="Times New Roman"/>
                <w:color w:val="auto"/>
                <w:spacing w:val="7"/>
                <w:sz w:val="21"/>
                <w:szCs w:val="21"/>
                <w:highlight w:val="none"/>
                <w:lang w:val="en-US" w:eastAsia="zh-CN"/>
              </w:rPr>
              <w:t>瓶</w:t>
            </w:r>
            <w:r>
              <w:rPr>
                <w:rFonts w:hint="eastAsia" w:ascii="Times New Roman" w:hAnsi="Times New Roman" w:eastAsia="宋体" w:cs="Times New Roman"/>
                <w:color w:val="auto"/>
                <w:spacing w:val="7"/>
                <w:sz w:val="21"/>
                <w:szCs w:val="21"/>
                <w:highlight w:val="none"/>
                <w:lang w:eastAsia="zh-CN"/>
              </w:rPr>
              <w:t>）</w:t>
            </w:r>
          </w:p>
        </w:tc>
        <w:tc>
          <w:tcPr>
            <w:tcW w:w="966" w:type="dxa"/>
            <w:tcBorders>
              <w:tl2br w:val="nil"/>
              <w:tr2bl w:val="nil"/>
            </w:tcBorders>
            <w:vAlign w:val="center"/>
          </w:tcPr>
          <w:p w14:paraId="347EDC1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pacing w:val="-5"/>
                <w:sz w:val="21"/>
                <w:szCs w:val="21"/>
                <w:highlight w:val="none"/>
                <w:lang w:eastAsia="zh-CN"/>
              </w:rPr>
            </w:pPr>
            <w:r>
              <w:rPr>
                <w:rFonts w:hint="eastAsia" w:ascii="Times New Roman" w:hAnsi="Times New Roman" w:eastAsia="宋体" w:cs="Times New Roman"/>
                <w:color w:val="auto"/>
                <w:spacing w:val="-5"/>
                <w:sz w:val="21"/>
                <w:szCs w:val="21"/>
                <w:highlight w:val="none"/>
                <w:lang w:eastAsia="zh-CN"/>
              </w:rPr>
              <w:t>固体</w:t>
            </w:r>
          </w:p>
        </w:tc>
        <w:tc>
          <w:tcPr>
            <w:tcW w:w="1198" w:type="dxa"/>
            <w:tcBorders>
              <w:tl2br w:val="nil"/>
              <w:tr2bl w:val="nil"/>
            </w:tcBorders>
            <w:vAlign w:val="center"/>
          </w:tcPr>
          <w:p w14:paraId="4D9BA4FD">
            <w:pPr>
              <w:keepNext w:val="0"/>
              <w:keepLines w:val="0"/>
              <w:widowControl/>
              <w:suppressLineNumbers w:val="0"/>
              <w:autoSpaceDE w:val="0"/>
              <w:autoSpaceDN w:val="0"/>
              <w:jc w:val="center"/>
              <w:textAlignment w:val="center"/>
              <w:rPr>
                <w:rFonts w:ascii="Times New Roman" w:hAnsi="Times New Roman" w:cs="Times New Roman"/>
                <w:color w:val="auto"/>
                <w:spacing w:val="2"/>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15.35</w:t>
            </w:r>
          </w:p>
        </w:tc>
        <w:tc>
          <w:tcPr>
            <w:tcW w:w="1588" w:type="dxa"/>
            <w:tcBorders>
              <w:tl2br w:val="nil"/>
              <w:tr2bl w:val="nil"/>
            </w:tcBorders>
            <w:vAlign w:val="center"/>
          </w:tcPr>
          <w:p w14:paraId="47B5D3DA">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3D37F9E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0.1535</w:t>
            </w:r>
          </w:p>
        </w:tc>
      </w:tr>
      <w:tr w14:paraId="4F6D9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13013AB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5BC6ECE8">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喷淋废液</w:t>
            </w:r>
          </w:p>
        </w:tc>
        <w:tc>
          <w:tcPr>
            <w:tcW w:w="966" w:type="dxa"/>
            <w:tcBorders>
              <w:tl2br w:val="nil"/>
              <w:tr2bl w:val="nil"/>
            </w:tcBorders>
            <w:vAlign w:val="center"/>
          </w:tcPr>
          <w:p w14:paraId="1284BF7C">
            <w:pPr>
              <w:pStyle w:val="236"/>
              <w:keepNext w:val="0"/>
              <w:keepLines w:val="0"/>
              <w:pageBreakBefore w:val="0"/>
              <w:widowControl/>
              <w:kinsoku/>
              <w:wordWrap/>
              <w:overflowPunct/>
              <w:topLinePunct w:val="0"/>
              <w:autoSpaceDE/>
              <w:autoSpaceDN/>
              <w:bidi w:val="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液体</w:t>
            </w:r>
          </w:p>
        </w:tc>
        <w:tc>
          <w:tcPr>
            <w:tcW w:w="1198" w:type="dxa"/>
            <w:tcBorders>
              <w:tl2br w:val="nil"/>
              <w:tr2bl w:val="nil"/>
            </w:tcBorders>
            <w:vAlign w:val="center"/>
          </w:tcPr>
          <w:p w14:paraId="65D6C5A0">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55</w:t>
            </w:r>
          </w:p>
        </w:tc>
        <w:tc>
          <w:tcPr>
            <w:tcW w:w="1588" w:type="dxa"/>
            <w:tcBorders>
              <w:tl2br w:val="nil"/>
              <w:tr2bl w:val="nil"/>
            </w:tcBorders>
            <w:vAlign w:val="center"/>
          </w:tcPr>
          <w:p w14:paraId="2EA3EEF5">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09E738E2">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0.55</w:t>
            </w:r>
          </w:p>
        </w:tc>
      </w:tr>
      <w:tr w14:paraId="578420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6577425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009051AB">
            <w:pPr>
              <w:pStyle w:val="106"/>
              <w:keepNext w:val="0"/>
              <w:keepLines w:val="0"/>
              <w:pageBreakBefore w:val="0"/>
              <w:widowControl w:val="0"/>
              <w:kinsoku/>
              <w:wordWrap/>
              <w:overflowPunct/>
              <w:topLinePunct w:val="0"/>
              <w:autoSpaceDE w:val="0"/>
              <w:autoSpaceDN w:val="0"/>
              <w:bidi w:val="0"/>
              <w:ind w:left="0" w:right="0"/>
              <w:rPr>
                <w:color w:val="auto"/>
                <w:spacing w:val="5"/>
                <w:sz w:val="21"/>
                <w:szCs w:val="21"/>
                <w:highlight w:val="none"/>
                <w:lang w:eastAsia="en-US"/>
              </w:rPr>
            </w:pPr>
            <w:r>
              <w:rPr>
                <w:rFonts w:hint="eastAsia"/>
                <w:color w:val="auto"/>
                <w:sz w:val="21"/>
                <w:szCs w:val="21"/>
                <w:highlight w:val="none"/>
                <w:lang w:eastAsia="en-US"/>
              </w:rPr>
              <w:t>废包装袋</w:t>
            </w:r>
          </w:p>
        </w:tc>
        <w:tc>
          <w:tcPr>
            <w:tcW w:w="966" w:type="dxa"/>
            <w:tcBorders>
              <w:tl2br w:val="nil"/>
              <w:tr2bl w:val="nil"/>
            </w:tcBorders>
            <w:vAlign w:val="center"/>
          </w:tcPr>
          <w:p w14:paraId="165235B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3"/>
                <w:sz w:val="21"/>
                <w:szCs w:val="21"/>
                <w:highlight w:val="none"/>
                <w:lang w:eastAsia="en-US"/>
              </w:rPr>
            </w:pPr>
            <w:r>
              <w:rPr>
                <w:rFonts w:hint="eastAsia" w:ascii="Times New Roman" w:hAnsi="Times New Roman" w:cs="Times New Roman"/>
                <w:color w:val="auto"/>
                <w:spacing w:val="-5"/>
                <w:sz w:val="21"/>
                <w:szCs w:val="21"/>
                <w:highlight w:val="none"/>
                <w:lang w:eastAsia="en-US"/>
              </w:rPr>
              <w:t>固体</w:t>
            </w:r>
          </w:p>
        </w:tc>
        <w:tc>
          <w:tcPr>
            <w:tcW w:w="1198" w:type="dxa"/>
            <w:tcBorders>
              <w:tl2br w:val="nil"/>
              <w:tr2bl w:val="nil"/>
            </w:tcBorders>
            <w:vAlign w:val="center"/>
          </w:tcPr>
          <w:p w14:paraId="3064468E">
            <w:pPr>
              <w:keepNext w:val="0"/>
              <w:keepLines w:val="0"/>
              <w:widowControl/>
              <w:suppressLineNumbers w:val="0"/>
              <w:autoSpaceDE w:val="0"/>
              <w:autoSpaceDN w:val="0"/>
              <w:jc w:val="center"/>
              <w:textAlignment w:val="center"/>
              <w:rPr>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0.02</w:t>
            </w:r>
          </w:p>
        </w:tc>
        <w:tc>
          <w:tcPr>
            <w:tcW w:w="1588" w:type="dxa"/>
            <w:tcBorders>
              <w:tl2br w:val="nil"/>
              <w:tr2bl w:val="nil"/>
            </w:tcBorders>
            <w:vAlign w:val="center"/>
          </w:tcPr>
          <w:p w14:paraId="3CB7500D">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pacing w:val="7"/>
                <w:sz w:val="21"/>
                <w:szCs w:val="21"/>
                <w:highlight w:val="none"/>
                <w:lang w:eastAsia="en-US"/>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7C6579F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0.0002</w:t>
            </w:r>
          </w:p>
        </w:tc>
      </w:tr>
      <w:tr w14:paraId="748F6B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7611156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218811FB">
            <w:pPr>
              <w:pStyle w:val="106"/>
              <w:keepNext w:val="0"/>
              <w:keepLines w:val="0"/>
              <w:pageBreakBefore w:val="0"/>
              <w:widowControl w:val="0"/>
              <w:kinsoku/>
              <w:wordWrap/>
              <w:overflowPunct/>
              <w:topLinePunct w:val="0"/>
              <w:autoSpaceDE w:val="0"/>
              <w:autoSpaceDN w:val="0"/>
              <w:bidi w:val="0"/>
              <w:ind w:left="0" w:leftChars="0" w:right="0" w:rightChars="0"/>
              <w:rPr>
                <w:rFonts w:ascii="Times New Roman" w:hAnsi="Times New Roman" w:eastAsia="宋体" w:cs="Times New Roman"/>
                <w:color w:val="auto"/>
                <w:spacing w:val="5"/>
                <w:sz w:val="21"/>
                <w:szCs w:val="21"/>
                <w:highlight w:val="none"/>
                <w:lang w:val="en-US" w:eastAsia="en-US" w:bidi="ar-SA"/>
              </w:rPr>
            </w:pPr>
            <w:r>
              <w:rPr>
                <w:rFonts w:hint="eastAsia"/>
                <w:color w:val="auto"/>
                <w:sz w:val="21"/>
                <w:szCs w:val="21"/>
                <w:highlight w:val="none"/>
                <w:lang w:eastAsia="en-US"/>
              </w:rPr>
              <w:t>实验废液</w:t>
            </w:r>
          </w:p>
        </w:tc>
        <w:tc>
          <w:tcPr>
            <w:tcW w:w="966" w:type="dxa"/>
            <w:tcBorders>
              <w:tl2br w:val="nil"/>
              <w:tr2bl w:val="nil"/>
            </w:tcBorders>
            <w:vAlign w:val="center"/>
          </w:tcPr>
          <w:p w14:paraId="1066D9F1">
            <w:pPr>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color w:val="auto"/>
                <w:spacing w:val="3"/>
                <w:sz w:val="21"/>
                <w:szCs w:val="21"/>
                <w:highlight w:val="none"/>
                <w:lang w:val="en-US" w:eastAsia="en-US" w:bidi="ar-SA"/>
              </w:rPr>
            </w:pPr>
            <w:r>
              <w:rPr>
                <w:rFonts w:ascii="Times New Roman" w:hAnsi="Times New Roman" w:cs="Times New Roman"/>
                <w:color w:val="auto"/>
                <w:spacing w:val="3"/>
                <w:sz w:val="21"/>
                <w:szCs w:val="21"/>
                <w:highlight w:val="none"/>
                <w:lang w:eastAsia="en-US"/>
              </w:rPr>
              <w:t>液体</w:t>
            </w:r>
          </w:p>
        </w:tc>
        <w:tc>
          <w:tcPr>
            <w:tcW w:w="1198" w:type="dxa"/>
            <w:tcBorders>
              <w:tl2br w:val="nil"/>
              <w:tr2bl w:val="nil"/>
            </w:tcBorders>
            <w:vAlign w:val="center"/>
          </w:tcPr>
          <w:p w14:paraId="79CD1872">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en-US" w:bidi="ar-SA"/>
              </w:rPr>
            </w:pPr>
            <w:r>
              <w:rPr>
                <w:rFonts w:hint="eastAsia" w:ascii="Times New Roman" w:hAnsi="Times New Roman" w:eastAsia="等线" w:cs="Times New Roman"/>
                <w:i w:val="0"/>
                <w:iCs w:val="0"/>
                <w:color w:val="auto"/>
                <w:kern w:val="0"/>
                <w:sz w:val="21"/>
                <w:szCs w:val="21"/>
                <w:highlight w:val="none"/>
                <w:u w:val="none"/>
                <w:lang w:val="en-US" w:eastAsia="zh-CN" w:bidi="ar"/>
              </w:rPr>
              <w:t>0.02</w:t>
            </w:r>
          </w:p>
        </w:tc>
        <w:tc>
          <w:tcPr>
            <w:tcW w:w="1588" w:type="dxa"/>
            <w:tcBorders>
              <w:tl2br w:val="nil"/>
              <w:tr2bl w:val="nil"/>
            </w:tcBorders>
            <w:vAlign w:val="center"/>
          </w:tcPr>
          <w:p w14:paraId="4A99CD87">
            <w:pPr>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color w:val="auto"/>
                <w:spacing w:val="7"/>
                <w:sz w:val="21"/>
                <w:szCs w:val="21"/>
                <w:highlight w:val="none"/>
                <w:lang w:val="en-US" w:eastAsia="en-US" w:bidi="ar-SA"/>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41EEEE5F">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w:t>
            </w:r>
            <w:r>
              <w:rPr>
                <w:rFonts w:hint="eastAsia" w:ascii="Times New Roman" w:hAnsi="Times New Roman" w:eastAsia="等线" w:cs="Times New Roman"/>
                <w:i w:val="0"/>
                <w:iCs w:val="0"/>
                <w:color w:val="auto"/>
                <w:kern w:val="0"/>
                <w:sz w:val="21"/>
                <w:szCs w:val="21"/>
                <w:highlight w:val="none"/>
                <w:u w:val="none"/>
                <w:lang w:val="en-US" w:eastAsia="zh-CN" w:bidi="ar"/>
              </w:rPr>
              <w:t>02</w:t>
            </w:r>
          </w:p>
        </w:tc>
      </w:tr>
      <w:tr w14:paraId="1D1589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741C62A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18173349">
            <w:pPr>
              <w:pStyle w:val="106"/>
              <w:keepNext w:val="0"/>
              <w:keepLines w:val="0"/>
              <w:pageBreakBefore w:val="0"/>
              <w:widowControl w:val="0"/>
              <w:kinsoku/>
              <w:wordWrap/>
              <w:overflowPunct/>
              <w:topLinePunct w:val="0"/>
              <w:autoSpaceDE w:val="0"/>
              <w:autoSpaceDN w:val="0"/>
              <w:bidi w:val="0"/>
              <w:ind w:left="0" w:leftChars="0" w:right="0" w:rightChars="0"/>
              <w:rPr>
                <w:rFonts w:hint="eastAsia" w:ascii="Times New Roman" w:hAnsi="Times New Roman" w:eastAsia="宋体" w:cs="Times New Roman"/>
                <w:color w:val="auto"/>
                <w:spacing w:val="5"/>
                <w:sz w:val="21"/>
                <w:szCs w:val="21"/>
                <w:highlight w:val="none"/>
                <w:lang w:val="en-US" w:eastAsia="en-US" w:bidi="ar-SA"/>
              </w:rPr>
            </w:pPr>
            <w:r>
              <w:rPr>
                <w:rFonts w:hint="eastAsia"/>
                <w:color w:val="auto"/>
                <w:sz w:val="21"/>
                <w:szCs w:val="21"/>
                <w:highlight w:val="none"/>
                <w:lang w:eastAsia="en-US"/>
              </w:rPr>
              <w:t>废实验耗材</w:t>
            </w:r>
          </w:p>
        </w:tc>
        <w:tc>
          <w:tcPr>
            <w:tcW w:w="966" w:type="dxa"/>
            <w:tcBorders>
              <w:tl2br w:val="nil"/>
              <w:tr2bl w:val="nil"/>
            </w:tcBorders>
            <w:vAlign w:val="center"/>
          </w:tcPr>
          <w:p w14:paraId="3374DD54">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color w:val="auto"/>
                <w:spacing w:val="3"/>
                <w:sz w:val="21"/>
                <w:szCs w:val="21"/>
                <w:highlight w:val="none"/>
                <w:lang w:val="en-US" w:eastAsia="en-US" w:bidi="ar-SA"/>
              </w:rPr>
            </w:pPr>
            <w:r>
              <w:rPr>
                <w:rFonts w:hint="eastAsia" w:ascii="Times New Roman" w:hAnsi="Times New Roman" w:eastAsia="宋体" w:cs="Times New Roman"/>
                <w:color w:val="auto"/>
                <w:spacing w:val="-5"/>
                <w:sz w:val="21"/>
                <w:szCs w:val="21"/>
                <w:highlight w:val="none"/>
                <w:lang w:eastAsia="zh-CN"/>
              </w:rPr>
              <w:t>固体</w:t>
            </w:r>
          </w:p>
        </w:tc>
        <w:tc>
          <w:tcPr>
            <w:tcW w:w="1198" w:type="dxa"/>
            <w:tcBorders>
              <w:tl2br w:val="nil"/>
              <w:tr2bl w:val="nil"/>
            </w:tcBorders>
            <w:vAlign w:val="center"/>
          </w:tcPr>
          <w:p w14:paraId="4097F12D">
            <w:pPr>
              <w:keepNext w:val="0"/>
              <w:keepLines w:val="0"/>
              <w:widowControl/>
              <w:suppressLineNumbers w:val="0"/>
              <w:autoSpaceDE w:val="0"/>
              <w:autoSpaceDN w:val="0"/>
              <w:jc w:val="center"/>
              <w:textAlignment w:val="center"/>
              <w:rPr>
                <w:rFonts w:hint="eastAsia" w:ascii="Times New Roman" w:hAnsi="Times New Roman" w:eastAsia="宋体" w:cs="Times New Roman"/>
                <w:color w:val="auto"/>
                <w:sz w:val="21"/>
                <w:szCs w:val="21"/>
                <w:highlight w:val="none"/>
                <w:lang w:val="en-US" w:eastAsia="en-US" w:bidi="ar-SA"/>
              </w:rPr>
            </w:pPr>
            <w:r>
              <w:rPr>
                <w:rFonts w:hint="default" w:ascii="Times New Roman" w:hAnsi="Times New Roman" w:eastAsia="等线" w:cs="Times New Roman"/>
                <w:i w:val="0"/>
                <w:iCs w:val="0"/>
                <w:color w:val="auto"/>
                <w:kern w:val="0"/>
                <w:sz w:val="21"/>
                <w:szCs w:val="21"/>
                <w:highlight w:val="none"/>
                <w:u w:val="none"/>
                <w:lang w:val="en-US" w:eastAsia="zh-CN" w:bidi="ar"/>
              </w:rPr>
              <w:t>0.5</w:t>
            </w:r>
          </w:p>
        </w:tc>
        <w:tc>
          <w:tcPr>
            <w:tcW w:w="1588" w:type="dxa"/>
            <w:tcBorders>
              <w:tl2br w:val="nil"/>
              <w:tr2bl w:val="nil"/>
            </w:tcBorders>
            <w:vAlign w:val="center"/>
          </w:tcPr>
          <w:p w14:paraId="3D30B88D">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pacing w:val="7"/>
                <w:sz w:val="21"/>
                <w:szCs w:val="21"/>
                <w:highlight w:val="none"/>
                <w:lang w:val="en-US" w:eastAsia="en-US" w:bidi="ar-SA"/>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28986FB3">
            <w:pPr>
              <w:keepNext w:val="0"/>
              <w:keepLines w:val="0"/>
              <w:widowControl/>
              <w:suppressLineNumbers w:val="0"/>
              <w:autoSpaceDE w:val="0"/>
              <w:autoSpaceDN w:val="0"/>
              <w:jc w:val="center"/>
              <w:textAlignment w:val="center"/>
              <w:rPr>
                <w:rFonts w:ascii="Times New Roman" w:hAnsi="Times New Roman" w:eastAsia="宋体" w:cs="Times New Roman"/>
                <w:color w:val="auto"/>
                <w:sz w:val="21"/>
                <w:szCs w:val="21"/>
                <w:highlight w:val="none"/>
                <w:lang w:val="en-US" w:eastAsia="en-US"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0.005</w:t>
            </w:r>
          </w:p>
        </w:tc>
      </w:tr>
      <w:tr w14:paraId="1C042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1" w:type="dxa"/>
            <w:vMerge w:val="continue"/>
            <w:tcBorders>
              <w:tl2br w:val="nil"/>
              <w:tr2bl w:val="nil"/>
            </w:tcBorders>
            <w:vAlign w:val="center"/>
          </w:tcPr>
          <w:p w14:paraId="2999BAF8">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p>
        </w:tc>
        <w:tc>
          <w:tcPr>
            <w:tcW w:w="2682" w:type="dxa"/>
            <w:gridSpan w:val="2"/>
            <w:tcBorders>
              <w:tl2br w:val="nil"/>
              <w:tr2bl w:val="nil"/>
            </w:tcBorders>
            <w:vAlign w:val="center"/>
          </w:tcPr>
          <w:p w14:paraId="26F5BB14">
            <w:pPr>
              <w:pStyle w:val="106"/>
              <w:keepNext w:val="0"/>
              <w:keepLines w:val="0"/>
              <w:pageBreakBefore w:val="0"/>
              <w:widowControl w:val="0"/>
              <w:kinsoku/>
              <w:wordWrap/>
              <w:overflowPunct/>
              <w:topLinePunct w:val="0"/>
              <w:autoSpaceDE w:val="0"/>
              <w:autoSpaceDN w:val="0"/>
              <w:bidi w:val="0"/>
              <w:ind w:left="0" w:leftChars="0" w:right="0" w:rightChars="0"/>
              <w:rPr>
                <w:rFonts w:hint="eastAsia" w:ascii="Times New Roman" w:hAnsi="Times New Roman" w:eastAsia="宋体" w:cs="Times New Roman"/>
                <w:color w:val="auto"/>
                <w:spacing w:val="5"/>
                <w:sz w:val="21"/>
                <w:szCs w:val="21"/>
                <w:highlight w:val="none"/>
                <w:lang w:val="en-US" w:eastAsia="en-US" w:bidi="ar-SA"/>
              </w:rPr>
            </w:pPr>
            <w:r>
              <w:rPr>
                <w:rFonts w:hint="eastAsia" w:ascii="Times New Roman" w:hAnsi="Times New Roman" w:cs="Times New Roman"/>
                <w:color w:val="auto"/>
                <w:sz w:val="21"/>
                <w:szCs w:val="21"/>
                <w:highlight w:val="none"/>
                <w:lang w:val="en-US" w:eastAsia="zh-CN"/>
              </w:rPr>
              <w:t>实验清洗废水</w:t>
            </w:r>
          </w:p>
        </w:tc>
        <w:tc>
          <w:tcPr>
            <w:tcW w:w="966" w:type="dxa"/>
            <w:tcBorders>
              <w:tl2br w:val="nil"/>
              <w:tr2bl w:val="nil"/>
            </w:tcBorders>
            <w:vAlign w:val="center"/>
          </w:tcPr>
          <w:p w14:paraId="2986443D">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color w:val="auto"/>
                <w:spacing w:val="3"/>
                <w:sz w:val="21"/>
                <w:szCs w:val="21"/>
                <w:highlight w:val="none"/>
                <w:lang w:val="en-US" w:eastAsia="en-US" w:bidi="ar-SA"/>
              </w:rPr>
            </w:pPr>
            <w:r>
              <w:rPr>
                <w:rFonts w:hint="eastAsia" w:ascii="Times New Roman" w:hAnsi="Times New Roman" w:eastAsia="宋体" w:cs="Times New Roman"/>
                <w:color w:val="auto"/>
                <w:spacing w:val="3"/>
                <w:sz w:val="21"/>
                <w:szCs w:val="21"/>
                <w:highlight w:val="none"/>
                <w:lang w:val="en-US" w:eastAsia="en-US" w:bidi="ar-SA"/>
              </w:rPr>
              <w:t>液体</w:t>
            </w:r>
          </w:p>
        </w:tc>
        <w:tc>
          <w:tcPr>
            <w:tcW w:w="1198" w:type="dxa"/>
            <w:tcBorders>
              <w:tl2br w:val="nil"/>
              <w:tr2bl w:val="nil"/>
            </w:tcBorders>
            <w:vAlign w:val="center"/>
          </w:tcPr>
          <w:p w14:paraId="5B414ADF">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0.1</w:t>
            </w:r>
          </w:p>
        </w:tc>
        <w:tc>
          <w:tcPr>
            <w:tcW w:w="1588" w:type="dxa"/>
            <w:tcBorders>
              <w:tl2br w:val="nil"/>
              <w:tr2bl w:val="nil"/>
            </w:tcBorders>
            <w:vAlign w:val="center"/>
          </w:tcPr>
          <w:p w14:paraId="65F640C2">
            <w:pPr>
              <w:keepNext w:val="0"/>
              <w:keepLines w:val="0"/>
              <w:pageBreakBefore w:val="0"/>
              <w:widowControl/>
              <w:kinsoku/>
              <w:wordWrap/>
              <w:overflowPunct/>
              <w:topLinePunct w:val="0"/>
              <w:autoSpaceDE/>
              <w:autoSpaceDN/>
              <w:bidi w:val="0"/>
              <w:ind w:left="0" w:leftChars="0" w:right="0" w:rightChars="0"/>
              <w:jc w:val="center"/>
              <w:rPr>
                <w:rFonts w:hint="eastAsia" w:ascii="Times New Roman" w:hAnsi="Times New Roman" w:eastAsia="宋体" w:cs="Times New Roman"/>
                <w:color w:val="auto"/>
                <w:spacing w:val="7"/>
                <w:sz w:val="21"/>
                <w:szCs w:val="21"/>
                <w:highlight w:val="none"/>
                <w:lang w:val="en-US" w:eastAsia="en-US" w:bidi="ar-SA"/>
              </w:rPr>
            </w:pPr>
            <w:r>
              <w:rPr>
                <w:rFonts w:hint="eastAsia" w:ascii="Times New Roman" w:hAnsi="Times New Roman" w:cs="Times New Roman"/>
                <w:color w:val="auto"/>
                <w:spacing w:val="7"/>
                <w:sz w:val="21"/>
                <w:szCs w:val="21"/>
                <w:highlight w:val="none"/>
                <w:lang w:eastAsia="en-US"/>
              </w:rPr>
              <w:t>1</w:t>
            </w:r>
            <w:r>
              <w:rPr>
                <w:rFonts w:ascii="Times New Roman" w:hAnsi="Times New Roman" w:cs="Times New Roman"/>
                <w:color w:val="auto"/>
                <w:spacing w:val="7"/>
                <w:sz w:val="21"/>
                <w:szCs w:val="21"/>
                <w:highlight w:val="none"/>
                <w:lang w:eastAsia="en-US"/>
              </w:rPr>
              <w:t>00</w:t>
            </w:r>
            <w:r>
              <w:rPr>
                <w:rFonts w:hint="eastAsia" w:ascii="Times New Roman" w:hAnsi="Times New Roman" w:cs="Times New Roman"/>
                <w:color w:val="auto"/>
                <w:spacing w:val="7"/>
                <w:sz w:val="21"/>
                <w:szCs w:val="21"/>
                <w:highlight w:val="none"/>
                <w:lang w:eastAsia="en-US"/>
              </w:rPr>
              <w:t>*</w:t>
            </w:r>
          </w:p>
        </w:tc>
        <w:tc>
          <w:tcPr>
            <w:tcW w:w="1379" w:type="dxa"/>
            <w:tcBorders>
              <w:tl2br w:val="nil"/>
              <w:tr2bl w:val="nil"/>
            </w:tcBorders>
            <w:vAlign w:val="center"/>
          </w:tcPr>
          <w:p w14:paraId="57F1C450">
            <w:pPr>
              <w:keepNext w:val="0"/>
              <w:keepLines w:val="0"/>
              <w:widowControl/>
              <w:suppressLineNumbers w:val="0"/>
              <w:autoSpaceDE w:val="0"/>
              <w:autoSpaceDN w:val="0"/>
              <w:jc w:val="center"/>
              <w:textAlignment w:val="center"/>
              <w:rPr>
                <w:rFonts w:ascii="Times New Roman" w:hAnsi="Times New Roman" w:eastAsia="宋体" w:cs="Times New Roman"/>
                <w:color w:val="auto"/>
                <w:sz w:val="21"/>
                <w:szCs w:val="21"/>
                <w:highlight w:val="none"/>
                <w:lang w:val="en-US" w:eastAsia="en-US"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0.001</w:t>
            </w:r>
          </w:p>
        </w:tc>
      </w:tr>
      <w:tr w14:paraId="333E4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25" w:type="dxa"/>
            <w:gridSpan w:val="6"/>
            <w:tcBorders>
              <w:tl2br w:val="nil"/>
              <w:tr2bl w:val="nil"/>
            </w:tcBorders>
            <w:vAlign w:val="center"/>
          </w:tcPr>
          <w:p w14:paraId="18FC76C1">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Q</w:t>
            </w:r>
          </w:p>
        </w:tc>
        <w:tc>
          <w:tcPr>
            <w:tcW w:w="1379" w:type="dxa"/>
            <w:tcBorders>
              <w:tl2br w:val="nil"/>
              <w:tr2bl w:val="nil"/>
            </w:tcBorders>
            <w:vAlign w:val="center"/>
          </w:tcPr>
          <w:p w14:paraId="34085441">
            <w:pPr>
              <w:keepNext w:val="0"/>
              <w:keepLines w:val="0"/>
              <w:widowControl/>
              <w:suppressLineNumbers w:val="0"/>
              <w:autoSpaceDE w:val="0"/>
              <w:autoSpaceDN w:val="0"/>
              <w:jc w:val="center"/>
              <w:textAlignment w:val="center"/>
              <w:rPr>
                <w:rFonts w:ascii="Times New Roman" w:hAnsi="Times New Roman" w:cs="Times New Roman"/>
                <w:color w:val="auto"/>
                <w:sz w:val="21"/>
                <w:szCs w:val="21"/>
                <w:highlight w:val="none"/>
                <w:lang w:eastAsia="en-US"/>
              </w:rPr>
            </w:pPr>
            <w:r>
              <w:rPr>
                <w:rFonts w:hint="default" w:ascii="Times New Roman" w:hAnsi="Times New Roman" w:eastAsia="等线" w:cs="Times New Roman"/>
                <w:i w:val="0"/>
                <w:iCs w:val="0"/>
                <w:color w:val="auto"/>
                <w:kern w:val="0"/>
                <w:sz w:val="21"/>
                <w:szCs w:val="21"/>
                <w:highlight w:val="none"/>
                <w:u w:val="none"/>
                <w:lang w:val="en-US" w:eastAsia="zh-CN" w:bidi="ar"/>
              </w:rPr>
              <w:t>7.78</w:t>
            </w:r>
            <w:r>
              <w:rPr>
                <w:rFonts w:hint="eastAsia" w:ascii="Times New Roman" w:hAnsi="Times New Roman" w:eastAsia="等线" w:cs="Times New Roman"/>
                <w:i w:val="0"/>
                <w:iCs w:val="0"/>
                <w:color w:val="auto"/>
                <w:kern w:val="0"/>
                <w:sz w:val="21"/>
                <w:szCs w:val="21"/>
                <w:highlight w:val="none"/>
                <w:u w:val="none"/>
                <w:lang w:val="en-US" w:eastAsia="zh-CN" w:bidi="ar"/>
              </w:rPr>
              <w:t>21</w:t>
            </w:r>
            <w:r>
              <w:rPr>
                <w:rFonts w:hint="default" w:ascii="Times New Roman" w:hAnsi="Times New Roman" w:eastAsia="等线" w:cs="Times New Roman"/>
                <w:i w:val="0"/>
                <w:iCs w:val="0"/>
                <w:color w:val="auto"/>
                <w:kern w:val="0"/>
                <w:sz w:val="21"/>
                <w:szCs w:val="21"/>
                <w:highlight w:val="none"/>
                <w:u w:val="none"/>
                <w:lang w:val="en-US" w:eastAsia="zh-CN" w:bidi="ar"/>
              </w:rPr>
              <w:t>75</w:t>
            </w:r>
          </w:p>
        </w:tc>
      </w:tr>
    </w:tbl>
    <w:p w14:paraId="4B12B739">
      <w:pPr>
        <w:autoSpaceDE w:val="0"/>
        <w:autoSpaceDN w:val="0"/>
        <w:adjustRightInd w:val="0"/>
        <w:snapToGrid w:val="0"/>
        <w:spacing w:line="360" w:lineRule="auto"/>
        <w:ind w:left="-105" w:right="-105" w:firstLine="422"/>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注：</w:t>
      </w:r>
      <w:r>
        <w:rPr>
          <w:rFonts w:ascii="Times New Roman" w:hAnsi="Times New Roman" w:cs="Times New Roman"/>
          <w:b/>
          <w:bCs/>
          <w:color w:val="auto"/>
          <w:sz w:val="21"/>
          <w:szCs w:val="21"/>
          <w:highlight w:val="none"/>
        </w:rPr>
        <w:t>* 参照执行危害水环境物质（急性毒性类别1）</w:t>
      </w:r>
    </w:p>
    <w:p w14:paraId="0858606B">
      <w:pPr>
        <w:autoSpaceDE w:val="0"/>
        <w:autoSpaceDN w:val="0"/>
        <w:adjustRightInd w:val="0"/>
        <w:snapToGrid w:val="0"/>
        <w:spacing w:line="360" w:lineRule="auto"/>
        <w:ind w:left="-105" w:right="-105" w:firstLine="422" w:firstLineChars="200"/>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**参照执行健康危险急性毒性物质（类别2，类别3）</w:t>
      </w:r>
    </w:p>
    <w:p w14:paraId="296557BA">
      <w:pPr>
        <w:autoSpaceDE w:val="0"/>
        <w:autoSpaceDN w:val="0"/>
        <w:adjustRightInd w:val="0"/>
        <w:snapToGrid w:val="0"/>
        <w:spacing w:line="360" w:lineRule="auto"/>
        <w:ind w:left="-105" w:right="-105" w:firstLine="422" w:firstLineChars="200"/>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***参照执行</w:t>
      </w:r>
      <w:r>
        <w:rPr>
          <w:rFonts w:hint="eastAsia" w:ascii="Times New Roman" w:hAnsi="Times New Roman" w:cs="Times New Roman"/>
          <w:b/>
          <w:bCs/>
          <w:color w:val="auto"/>
          <w:sz w:val="21"/>
          <w:szCs w:val="21"/>
          <w:highlight w:val="none"/>
        </w:rPr>
        <w:t>参照油类物质</w:t>
      </w:r>
    </w:p>
    <w:p w14:paraId="6E1BC41F">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由上表计算结果可知，本项目</w:t>
      </w:r>
      <w:r>
        <w:rPr>
          <w:rFonts w:ascii="Times New Roman" w:hAnsi="Times New Roman" w:cs="Times New Roman"/>
          <w:color w:val="auto"/>
          <w:highlight w:val="none"/>
        </w:rPr>
        <w:t>1≤Q</w:t>
      </w:r>
      <w:r>
        <w:rPr>
          <w:rFonts w:hint="eastAsia" w:ascii="Times New Roman" w:hAnsi="Times New Roman" w:cs="Times New Roman"/>
          <w:color w:val="auto"/>
          <w:highlight w:val="none"/>
        </w:rPr>
        <w:t>=7.</w:t>
      </w:r>
      <w:r>
        <w:rPr>
          <w:rFonts w:hint="eastAsia" w:ascii="Times New Roman" w:hAnsi="Times New Roman" w:cs="Times New Roman"/>
          <w:color w:val="auto"/>
          <w:highlight w:val="none"/>
          <w:lang w:val="en-US" w:eastAsia="zh-CN"/>
        </w:rPr>
        <w:t>782175</w:t>
      </w:r>
      <w:r>
        <w:rPr>
          <w:rFonts w:ascii="Times New Roman" w:hAnsi="Times New Roman" w:cs="Times New Roman"/>
          <w:color w:val="auto"/>
          <w:highlight w:val="none"/>
        </w:rPr>
        <w:t>＜1</w:t>
      </w:r>
      <w:r>
        <w:rPr>
          <w:rFonts w:hint="eastAsia" w:ascii="Times New Roman" w:hAnsi="Times New Roman" w:cs="Times New Roman"/>
          <w:color w:val="auto"/>
          <w:highlight w:val="none"/>
        </w:rPr>
        <w:t>0</w:t>
      </w:r>
      <w:r>
        <w:rPr>
          <w:rFonts w:ascii="Times New Roman" w:hAnsi="Times New Roman" w:cs="Times New Roman"/>
          <w:color w:val="auto"/>
          <w:highlight w:val="none"/>
        </w:rPr>
        <w:t>。</w:t>
      </w:r>
    </w:p>
    <w:p w14:paraId="51FF3CFD">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（2）行业及生产工艺（M）</w:t>
      </w:r>
    </w:p>
    <w:p w14:paraId="6D01B3D6">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分析项目所属行业及生产工艺特点，按照表C.1评估生产工艺情况。具有多套工艺单元的项目，对每套生产工艺分别评分并求和。将M划分为（1）M＞20；（2）10＜M≤20；（3）5＜M≤10；（4）M=5，分别以M1、M2、M3和M4表示。</w:t>
      </w:r>
    </w:p>
    <w:p w14:paraId="424666F1">
      <w:pPr>
        <w:pStyle w:val="15"/>
        <w:ind w:left="-105" w:right="-105" w:firstLine="482"/>
        <w:rPr>
          <w:rFonts w:eastAsia="宋体"/>
          <w:b w:val="0"/>
          <w:bCs/>
          <w:color w:val="auto"/>
          <w:sz w:val="24"/>
          <w:szCs w:val="18"/>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9</w:t>
      </w:r>
      <w:r>
        <w:rPr>
          <w:rFonts w:eastAsia="宋体"/>
          <w:color w:val="auto"/>
          <w:sz w:val="24"/>
          <w:szCs w:val="18"/>
          <w:highlight w:val="none"/>
        </w:rPr>
        <w:fldChar w:fldCharType="end"/>
      </w:r>
      <w:r>
        <w:rPr>
          <w:rFonts w:eastAsia="宋体"/>
          <w:bCs/>
          <w:color w:val="auto"/>
          <w:sz w:val="24"/>
          <w:szCs w:val="18"/>
          <w:highlight w:val="none"/>
        </w:rPr>
        <w:t>行业及生产工艺（M）</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2"/>
        <w:gridCol w:w="5435"/>
        <w:gridCol w:w="992"/>
        <w:gridCol w:w="1085"/>
      </w:tblGrid>
      <w:tr w14:paraId="38B7B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tblHeader/>
          <w:jc w:val="center"/>
        </w:trPr>
        <w:tc>
          <w:tcPr>
            <w:tcW w:w="992" w:type="dxa"/>
            <w:vAlign w:val="center"/>
          </w:tcPr>
          <w:p w14:paraId="7EE3253B">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行业</w:t>
            </w:r>
          </w:p>
        </w:tc>
        <w:tc>
          <w:tcPr>
            <w:tcW w:w="5435" w:type="dxa"/>
            <w:vAlign w:val="center"/>
          </w:tcPr>
          <w:p w14:paraId="3F6A69E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评估依据</w:t>
            </w:r>
          </w:p>
        </w:tc>
        <w:tc>
          <w:tcPr>
            <w:tcW w:w="992" w:type="dxa"/>
            <w:vAlign w:val="center"/>
          </w:tcPr>
          <w:p w14:paraId="63147A91">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分值</w:t>
            </w:r>
          </w:p>
        </w:tc>
        <w:tc>
          <w:tcPr>
            <w:tcW w:w="1085" w:type="dxa"/>
            <w:vAlign w:val="center"/>
          </w:tcPr>
          <w:p w14:paraId="6438224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本项目分值</w:t>
            </w:r>
          </w:p>
        </w:tc>
      </w:tr>
      <w:tr w14:paraId="78379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92" w:type="dxa"/>
            <w:vMerge w:val="restart"/>
            <w:vAlign w:val="center"/>
          </w:tcPr>
          <w:p w14:paraId="54ECC113">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石化、化工、医药、轻工、化纤、有色冶炼等</w:t>
            </w:r>
          </w:p>
        </w:tc>
        <w:tc>
          <w:tcPr>
            <w:tcW w:w="5435" w:type="dxa"/>
            <w:vAlign w:val="center"/>
          </w:tcPr>
          <w:p w14:paraId="7C87F814">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92" w:type="dxa"/>
            <w:vAlign w:val="center"/>
          </w:tcPr>
          <w:p w14:paraId="0EC38586">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10/每套</w:t>
            </w:r>
          </w:p>
        </w:tc>
        <w:tc>
          <w:tcPr>
            <w:tcW w:w="1085" w:type="dxa"/>
            <w:vAlign w:val="center"/>
          </w:tcPr>
          <w:p w14:paraId="62FB01F0">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不涉及</w:t>
            </w:r>
          </w:p>
        </w:tc>
      </w:tr>
      <w:tr w14:paraId="0CF39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Merge w:val="continue"/>
            <w:vAlign w:val="center"/>
          </w:tcPr>
          <w:p w14:paraId="59C27E3B">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435" w:type="dxa"/>
            <w:vAlign w:val="center"/>
          </w:tcPr>
          <w:p w14:paraId="0B3231F6">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无机酸制酸工艺、焦化工艺</w:t>
            </w:r>
          </w:p>
        </w:tc>
        <w:tc>
          <w:tcPr>
            <w:tcW w:w="992" w:type="dxa"/>
            <w:vAlign w:val="center"/>
          </w:tcPr>
          <w:p w14:paraId="5CA5B93B">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5/每套</w:t>
            </w:r>
          </w:p>
        </w:tc>
        <w:tc>
          <w:tcPr>
            <w:tcW w:w="1085" w:type="dxa"/>
            <w:vAlign w:val="center"/>
          </w:tcPr>
          <w:p w14:paraId="6FD22ED0">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不涉及</w:t>
            </w:r>
          </w:p>
        </w:tc>
      </w:tr>
      <w:tr w14:paraId="3A55F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Merge w:val="continue"/>
            <w:vAlign w:val="center"/>
          </w:tcPr>
          <w:p w14:paraId="7E82EBE8">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435" w:type="dxa"/>
            <w:vAlign w:val="center"/>
          </w:tcPr>
          <w:p w14:paraId="52BC4D3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其他高温或高压，且涉及危险物质的工艺过程</w:t>
            </w:r>
            <w:r>
              <w:rPr>
                <w:rFonts w:ascii="Times New Roman" w:hAnsi="Times New Roman" w:cs="Times New Roman"/>
                <w:color w:val="auto"/>
                <w:sz w:val="21"/>
                <w:szCs w:val="21"/>
                <w:highlight w:val="none"/>
                <w:vertAlign w:val="superscript"/>
              </w:rPr>
              <w:t>a</w:t>
            </w:r>
            <w:r>
              <w:rPr>
                <w:rFonts w:ascii="Times New Roman" w:hAnsi="Times New Roman" w:cs="Times New Roman"/>
                <w:color w:val="auto"/>
                <w:sz w:val="21"/>
                <w:szCs w:val="21"/>
                <w:highlight w:val="none"/>
              </w:rPr>
              <w:t>、危险物质贮存罐区</w:t>
            </w:r>
          </w:p>
        </w:tc>
        <w:tc>
          <w:tcPr>
            <w:tcW w:w="992" w:type="dxa"/>
            <w:vAlign w:val="center"/>
          </w:tcPr>
          <w:p w14:paraId="5CB67395">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5/套(罐区)</w:t>
            </w:r>
          </w:p>
        </w:tc>
        <w:tc>
          <w:tcPr>
            <w:tcW w:w="1085" w:type="dxa"/>
            <w:vAlign w:val="center"/>
          </w:tcPr>
          <w:p w14:paraId="7593C563">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不涉及</w:t>
            </w:r>
          </w:p>
        </w:tc>
      </w:tr>
      <w:tr w14:paraId="5DB2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Align w:val="center"/>
          </w:tcPr>
          <w:p w14:paraId="6953266D">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管道、港口</w:t>
            </w:r>
            <w:r>
              <w:rPr>
                <w:rStyle w:val="110"/>
                <w:rFonts w:ascii="Times New Roman" w:hAnsi="Times New Roman" w:cs="Times New Roman"/>
                <w:color w:val="auto"/>
                <w:sz w:val="21"/>
                <w:szCs w:val="21"/>
                <w:highlight w:val="none"/>
              </w:rPr>
              <w:t>/</w:t>
            </w:r>
            <w:r>
              <w:rPr>
                <w:rStyle w:val="166"/>
                <w:b w:val="0"/>
                <w:color w:val="auto"/>
                <w:sz w:val="21"/>
                <w:szCs w:val="21"/>
                <w:highlight w:val="none"/>
              </w:rPr>
              <w:t>码头等</w:t>
            </w:r>
          </w:p>
        </w:tc>
        <w:tc>
          <w:tcPr>
            <w:tcW w:w="5435" w:type="dxa"/>
            <w:vAlign w:val="center"/>
          </w:tcPr>
          <w:p w14:paraId="5D39A1D8">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涉及危险物质管道运输项目、港口</w:t>
            </w:r>
            <w:r>
              <w:rPr>
                <w:rStyle w:val="110"/>
                <w:rFonts w:ascii="Times New Roman" w:hAnsi="Times New Roman" w:cs="Times New Roman"/>
                <w:color w:val="auto"/>
                <w:sz w:val="21"/>
                <w:szCs w:val="21"/>
                <w:highlight w:val="none"/>
              </w:rPr>
              <w:t>/</w:t>
            </w:r>
            <w:r>
              <w:rPr>
                <w:rStyle w:val="166"/>
                <w:b w:val="0"/>
                <w:color w:val="auto"/>
                <w:sz w:val="21"/>
                <w:szCs w:val="21"/>
                <w:highlight w:val="none"/>
              </w:rPr>
              <w:t>码头等</w:t>
            </w:r>
          </w:p>
        </w:tc>
        <w:tc>
          <w:tcPr>
            <w:tcW w:w="992" w:type="dxa"/>
            <w:vAlign w:val="center"/>
          </w:tcPr>
          <w:p w14:paraId="066813A0">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1085" w:type="dxa"/>
            <w:vAlign w:val="center"/>
          </w:tcPr>
          <w:p w14:paraId="48C19647">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不涉及</w:t>
            </w:r>
          </w:p>
        </w:tc>
      </w:tr>
      <w:tr w14:paraId="27286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Align w:val="center"/>
          </w:tcPr>
          <w:p w14:paraId="1F4DED6F">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石油天然气</w:t>
            </w:r>
          </w:p>
        </w:tc>
        <w:tc>
          <w:tcPr>
            <w:tcW w:w="5435" w:type="dxa"/>
            <w:vAlign w:val="center"/>
          </w:tcPr>
          <w:p w14:paraId="36D60B96">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石油、天然气、页岩气开采（含净化），气库（不含加气站的气库），油</w:t>
            </w:r>
            <w:r>
              <w:rPr>
                <w:rStyle w:val="133"/>
                <w:rFonts w:hint="default" w:ascii="Times New Roman" w:hAnsi="Times New Roman" w:eastAsia="宋体" w:cs="Times New Roman"/>
                <w:color w:val="auto"/>
                <w:sz w:val="21"/>
                <w:szCs w:val="21"/>
                <w:highlight w:val="none"/>
              </w:rPr>
              <w:t>库（不含加气站的油库）、油气管线</w:t>
            </w:r>
            <w:r>
              <w:rPr>
                <w:rStyle w:val="110"/>
                <w:rFonts w:ascii="Times New Roman" w:hAnsi="Times New Roman" w:cs="Times New Roman"/>
                <w:color w:val="auto"/>
                <w:sz w:val="21"/>
                <w:szCs w:val="21"/>
                <w:highlight w:val="none"/>
              </w:rPr>
              <w:t>b</w:t>
            </w:r>
            <w:r>
              <w:rPr>
                <w:rStyle w:val="133"/>
                <w:rFonts w:hint="default" w:ascii="Times New Roman" w:hAnsi="Times New Roman" w:eastAsia="宋体" w:cs="Times New Roman"/>
                <w:color w:val="auto"/>
                <w:sz w:val="21"/>
                <w:szCs w:val="21"/>
                <w:highlight w:val="none"/>
              </w:rPr>
              <w:t>（不含城镇燃气管线）</w:t>
            </w:r>
          </w:p>
        </w:tc>
        <w:tc>
          <w:tcPr>
            <w:tcW w:w="992" w:type="dxa"/>
            <w:vAlign w:val="center"/>
          </w:tcPr>
          <w:p w14:paraId="16B8CA03">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1085" w:type="dxa"/>
            <w:vAlign w:val="center"/>
          </w:tcPr>
          <w:p w14:paraId="7EB44413">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不涉及</w:t>
            </w:r>
          </w:p>
        </w:tc>
      </w:tr>
      <w:tr w14:paraId="3747A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Align w:val="center"/>
          </w:tcPr>
          <w:p w14:paraId="017F6420">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其他</w:t>
            </w:r>
          </w:p>
        </w:tc>
        <w:tc>
          <w:tcPr>
            <w:tcW w:w="5435" w:type="dxa"/>
            <w:vAlign w:val="center"/>
          </w:tcPr>
          <w:p w14:paraId="23EB101F">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涉及危险物质使用、贮存的项目</w:t>
            </w:r>
          </w:p>
        </w:tc>
        <w:tc>
          <w:tcPr>
            <w:tcW w:w="992" w:type="dxa"/>
            <w:vAlign w:val="center"/>
          </w:tcPr>
          <w:p w14:paraId="6550611A">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1085" w:type="dxa"/>
            <w:vAlign w:val="center"/>
          </w:tcPr>
          <w:p w14:paraId="2D5C1F07">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r>
      <w:tr w14:paraId="1E67A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7419" w:type="dxa"/>
            <w:gridSpan w:val="3"/>
            <w:vAlign w:val="center"/>
          </w:tcPr>
          <w:p w14:paraId="37260060">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总得分</w:t>
            </w:r>
          </w:p>
        </w:tc>
        <w:tc>
          <w:tcPr>
            <w:tcW w:w="1085" w:type="dxa"/>
            <w:vAlign w:val="center"/>
          </w:tcPr>
          <w:p w14:paraId="218791F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5（M4）</w:t>
            </w:r>
          </w:p>
        </w:tc>
      </w:tr>
      <w:tr w14:paraId="328E5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992" w:type="dxa"/>
            <w:vAlign w:val="center"/>
          </w:tcPr>
          <w:p w14:paraId="1B02BC98">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c>
          <w:tcPr>
            <w:tcW w:w="7512" w:type="dxa"/>
            <w:gridSpan w:val="3"/>
            <w:vAlign w:val="center"/>
          </w:tcPr>
          <w:p w14:paraId="3A9A3063">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a 高温指工艺温度≥300℃，高压指压力容器的设计压力（P）≥10.0 MPa；</w:t>
            </w:r>
          </w:p>
          <w:p w14:paraId="148EE515">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 长输管道运输项目应按站场、管线分段进行评价</w:t>
            </w:r>
          </w:p>
        </w:tc>
      </w:tr>
    </w:tbl>
    <w:p w14:paraId="21298220">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本项目行业类别为</w:t>
      </w:r>
      <w:r>
        <w:rPr>
          <w:rFonts w:hint="eastAsia" w:ascii="Times New Roman" w:hAnsi="Times New Roman" w:cs="Times New Roman"/>
          <w:color w:val="auto"/>
          <w:highlight w:val="none"/>
        </w:rPr>
        <w:t>电子专用材料制造</w:t>
      </w:r>
      <w:r>
        <w:rPr>
          <w:rFonts w:ascii="Times New Roman" w:hAnsi="Times New Roman" w:cs="Times New Roman"/>
          <w:color w:val="auto"/>
          <w:highlight w:val="none"/>
        </w:rPr>
        <w:t>，不属于石化、化工、医药、轻工、化纤、有色冶炼、管道、港口/码头、石油天然气等行业，为其他行业，本项目涉及危险物质使用、贮存，因此，企业得分为5分，为M4。</w:t>
      </w:r>
    </w:p>
    <w:p w14:paraId="4BCD3207">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（3）危险物质及工艺系统危险性（P）分级</w:t>
      </w:r>
    </w:p>
    <w:p w14:paraId="32627C88">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根据危险物质数量与临界量比值（Q）和行业及生产工艺（M），按照表C.2确定危险物质及工艺系统危险性等级（P），分别以P1、P2、P3、P4表示。</w:t>
      </w:r>
    </w:p>
    <w:p w14:paraId="02931098">
      <w:pPr>
        <w:pStyle w:val="15"/>
        <w:ind w:left="-105" w:right="-105" w:firstLine="482"/>
        <w:rPr>
          <w:rFonts w:eastAsia="宋体"/>
          <w:b w:val="0"/>
          <w:bCs/>
          <w:color w:val="auto"/>
          <w:sz w:val="24"/>
          <w:szCs w:val="18"/>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10</w:t>
      </w:r>
      <w:r>
        <w:rPr>
          <w:rFonts w:eastAsia="宋体"/>
          <w:color w:val="auto"/>
          <w:sz w:val="24"/>
          <w:szCs w:val="18"/>
          <w:highlight w:val="none"/>
        </w:rPr>
        <w:fldChar w:fldCharType="end"/>
      </w:r>
      <w:r>
        <w:rPr>
          <w:rFonts w:eastAsia="宋体"/>
          <w:bCs/>
          <w:color w:val="auto"/>
          <w:sz w:val="24"/>
          <w:szCs w:val="18"/>
          <w:highlight w:val="none"/>
        </w:rPr>
        <w:t>危险物质及工艺系统危险性等级判断（P）</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95"/>
        <w:gridCol w:w="1807"/>
        <w:gridCol w:w="1701"/>
        <w:gridCol w:w="1701"/>
        <w:gridCol w:w="1700"/>
      </w:tblGrid>
      <w:tr w14:paraId="01D7B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95" w:type="dxa"/>
            <w:vMerge w:val="restart"/>
            <w:vAlign w:val="center"/>
          </w:tcPr>
          <w:p w14:paraId="38EDB432">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危险物质数量与临界量比值（Q）</w:t>
            </w:r>
          </w:p>
        </w:tc>
        <w:tc>
          <w:tcPr>
            <w:tcW w:w="6909" w:type="dxa"/>
            <w:gridSpan w:val="4"/>
            <w:vAlign w:val="center"/>
          </w:tcPr>
          <w:p w14:paraId="3D2772BF">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行业及生产工艺（M）</w:t>
            </w:r>
          </w:p>
        </w:tc>
      </w:tr>
      <w:tr w14:paraId="3DC7B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95" w:type="dxa"/>
            <w:vMerge w:val="continue"/>
            <w:vAlign w:val="center"/>
          </w:tcPr>
          <w:p w14:paraId="261DE52C">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807" w:type="dxa"/>
            <w:vAlign w:val="center"/>
          </w:tcPr>
          <w:p w14:paraId="41D08F6F">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M1</w:t>
            </w:r>
          </w:p>
        </w:tc>
        <w:tc>
          <w:tcPr>
            <w:tcW w:w="1701" w:type="dxa"/>
            <w:vAlign w:val="center"/>
          </w:tcPr>
          <w:p w14:paraId="2BC76A7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M2</w:t>
            </w:r>
          </w:p>
        </w:tc>
        <w:tc>
          <w:tcPr>
            <w:tcW w:w="1701" w:type="dxa"/>
            <w:vAlign w:val="center"/>
          </w:tcPr>
          <w:p w14:paraId="292FCA3A">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M3</w:t>
            </w:r>
          </w:p>
        </w:tc>
        <w:tc>
          <w:tcPr>
            <w:tcW w:w="1700" w:type="dxa"/>
            <w:vAlign w:val="center"/>
          </w:tcPr>
          <w:p w14:paraId="79C84430">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M4</w:t>
            </w:r>
          </w:p>
        </w:tc>
      </w:tr>
      <w:tr w14:paraId="70AF9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95" w:type="dxa"/>
            <w:vAlign w:val="center"/>
          </w:tcPr>
          <w:p w14:paraId="53B13545">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Q≥100</w:t>
            </w:r>
          </w:p>
        </w:tc>
        <w:tc>
          <w:tcPr>
            <w:tcW w:w="1807" w:type="dxa"/>
            <w:vAlign w:val="center"/>
          </w:tcPr>
          <w:p w14:paraId="1636A87B">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P1</w:t>
            </w:r>
          </w:p>
        </w:tc>
        <w:tc>
          <w:tcPr>
            <w:tcW w:w="1701" w:type="dxa"/>
            <w:vAlign w:val="center"/>
          </w:tcPr>
          <w:p w14:paraId="4D2D78EC">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P1</w:t>
            </w:r>
          </w:p>
        </w:tc>
        <w:tc>
          <w:tcPr>
            <w:tcW w:w="1701" w:type="dxa"/>
            <w:vAlign w:val="center"/>
          </w:tcPr>
          <w:p w14:paraId="54EADC68">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P2</w:t>
            </w:r>
          </w:p>
        </w:tc>
        <w:tc>
          <w:tcPr>
            <w:tcW w:w="1700" w:type="dxa"/>
            <w:tcBorders>
              <w:bottom w:val="single" w:color="auto" w:sz="4" w:space="0"/>
            </w:tcBorders>
            <w:vAlign w:val="center"/>
          </w:tcPr>
          <w:p w14:paraId="5236EE47">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P3</w:t>
            </w:r>
          </w:p>
        </w:tc>
      </w:tr>
      <w:tr w14:paraId="67D12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95" w:type="dxa"/>
            <w:shd w:val="clear" w:color="auto" w:fill="auto"/>
            <w:vAlign w:val="center"/>
          </w:tcPr>
          <w:p w14:paraId="34618DAE">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10≤Q＜100</w:t>
            </w:r>
          </w:p>
        </w:tc>
        <w:tc>
          <w:tcPr>
            <w:tcW w:w="1807" w:type="dxa"/>
            <w:shd w:val="clear" w:color="auto" w:fill="auto"/>
            <w:vAlign w:val="center"/>
          </w:tcPr>
          <w:p w14:paraId="728C0128">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P1</w:t>
            </w:r>
          </w:p>
        </w:tc>
        <w:tc>
          <w:tcPr>
            <w:tcW w:w="1701" w:type="dxa"/>
            <w:shd w:val="clear" w:color="auto" w:fill="auto"/>
            <w:vAlign w:val="center"/>
          </w:tcPr>
          <w:p w14:paraId="6CBB379C">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P2</w:t>
            </w:r>
          </w:p>
        </w:tc>
        <w:tc>
          <w:tcPr>
            <w:tcW w:w="1701" w:type="dxa"/>
            <w:shd w:val="clear" w:color="auto" w:fill="auto"/>
            <w:vAlign w:val="center"/>
          </w:tcPr>
          <w:p w14:paraId="3331E346">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P3</w:t>
            </w:r>
          </w:p>
        </w:tc>
        <w:tc>
          <w:tcPr>
            <w:tcW w:w="1700" w:type="dxa"/>
            <w:tcBorders>
              <w:top w:val="single" w:color="auto" w:sz="4" w:space="0"/>
              <w:bottom w:val="single" w:color="auto" w:sz="4" w:space="0"/>
            </w:tcBorders>
            <w:shd w:val="clear" w:color="auto" w:fill="auto"/>
            <w:vAlign w:val="center"/>
          </w:tcPr>
          <w:p w14:paraId="4AAA7AAA">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P4</w:t>
            </w:r>
          </w:p>
        </w:tc>
      </w:tr>
      <w:tr w14:paraId="05AA0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95" w:type="dxa"/>
            <w:vAlign w:val="center"/>
          </w:tcPr>
          <w:p w14:paraId="6849E060">
            <w:pPr>
              <w:keepNext w:val="0"/>
              <w:keepLines w:val="0"/>
              <w:pageBreakBefore w:val="0"/>
              <w:widowControl/>
              <w:kinsoku/>
              <w:wordWrap/>
              <w:overflowPunct/>
              <w:topLinePunct w:val="0"/>
              <w:autoSpaceDE w:val="0"/>
              <w:autoSpaceDN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1≤Q＜10</w:t>
            </w:r>
          </w:p>
        </w:tc>
        <w:tc>
          <w:tcPr>
            <w:tcW w:w="1807" w:type="dxa"/>
            <w:vAlign w:val="center"/>
          </w:tcPr>
          <w:p w14:paraId="227723FF">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P2</w:t>
            </w:r>
          </w:p>
        </w:tc>
        <w:tc>
          <w:tcPr>
            <w:tcW w:w="1701" w:type="dxa"/>
            <w:vAlign w:val="center"/>
          </w:tcPr>
          <w:p w14:paraId="78FF5266">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P3</w:t>
            </w:r>
          </w:p>
        </w:tc>
        <w:tc>
          <w:tcPr>
            <w:tcW w:w="1701" w:type="dxa"/>
            <w:vAlign w:val="center"/>
          </w:tcPr>
          <w:p w14:paraId="3BBD79FB">
            <w:pPr>
              <w:keepNext w:val="0"/>
              <w:keepLines w:val="0"/>
              <w:pageBreakBefore w:val="0"/>
              <w:widowControl/>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P4</w:t>
            </w:r>
          </w:p>
        </w:tc>
        <w:tc>
          <w:tcPr>
            <w:tcW w:w="1700" w:type="dxa"/>
            <w:tcBorders>
              <w:top w:val="single" w:color="auto" w:sz="4" w:space="0"/>
              <w:bottom w:val="single" w:color="auto" w:sz="12" w:space="0"/>
            </w:tcBorders>
            <w:shd w:val="clear" w:color="auto" w:fill="D7D7D7" w:themeFill="background1" w:themeFillShade="D8"/>
            <w:vAlign w:val="center"/>
          </w:tcPr>
          <w:p w14:paraId="3BE565AF">
            <w:pPr>
              <w:keepNext w:val="0"/>
              <w:keepLines w:val="0"/>
              <w:pageBreakBefore w:val="0"/>
              <w:widowControl/>
              <w:shd w:val="clear" w:color="auto" w:fill="D7D7D7" w:themeFill="background1" w:themeFillShade="D8"/>
              <w:kinsoku/>
              <w:wordWrap/>
              <w:overflowPunct/>
              <w:topLinePunct w:val="0"/>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P4</w:t>
            </w:r>
          </w:p>
        </w:tc>
      </w:tr>
    </w:tbl>
    <w:p w14:paraId="6214DB79">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由上表可知，本项目危险物质及工艺系统危险性分级为P4级。</w:t>
      </w:r>
    </w:p>
    <w:p w14:paraId="737B4E11">
      <w:pPr>
        <w:adjustRightInd w:val="0"/>
        <w:snapToGrid w:val="0"/>
        <w:spacing w:line="360" w:lineRule="auto"/>
        <w:ind w:left="-105" w:right="-105" w:firstLine="480" w:firstLineChars="200"/>
        <w:rPr>
          <w:rFonts w:ascii="Times New Roman" w:hAnsi="Times New Roman" w:cs="Times New Roman"/>
          <w:color w:val="auto"/>
          <w:kern w:val="24"/>
          <w:highlight w:val="none"/>
        </w:rPr>
      </w:pPr>
      <w:r>
        <w:rPr>
          <w:rFonts w:ascii="Times New Roman" w:hAnsi="Times New Roman" w:cs="Times New Roman"/>
          <w:color w:val="auto"/>
          <w:kern w:val="24"/>
          <w:highlight w:val="none"/>
        </w:rPr>
        <w:t>3、E的分级确定</w:t>
      </w:r>
    </w:p>
    <w:p w14:paraId="709A9CE2">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分析危险物质在事故情形下的环境影响途径，如大气、地表水、地下水等，按照附录D对建设项目各要素环境敏感程度（E）等级进行判断。</w:t>
      </w:r>
    </w:p>
    <w:p w14:paraId="18837C94">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（1）大气环境</w:t>
      </w:r>
    </w:p>
    <w:p w14:paraId="481AF1D4">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依据环境敏感目标环境敏感性及人口密度划分环境风险受体的敏感性，共分为三种类型，E1为环境高度敏感区，E2为环境中度敏感区，E3为环境低度敏感区，分级原则见</w:t>
      </w:r>
      <w:r>
        <w:rPr>
          <w:rFonts w:hint="eastAsia" w:ascii="Times New Roman" w:hAnsi="Times New Roman" w:cs="Times New Roman"/>
          <w:color w:val="auto"/>
          <w:highlight w:val="none"/>
        </w:rPr>
        <w:t>下表</w:t>
      </w:r>
      <w:r>
        <w:rPr>
          <w:rFonts w:ascii="Times New Roman" w:hAnsi="Times New Roman" w:cs="Times New Roman"/>
          <w:color w:val="auto"/>
          <w:highlight w:val="none"/>
        </w:rPr>
        <w:t>。</w:t>
      </w:r>
    </w:p>
    <w:p w14:paraId="482F17F0">
      <w:pPr>
        <w:pStyle w:val="15"/>
        <w:ind w:left="-105" w:right="-105" w:firstLine="482"/>
        <w:rPr>
          <w:rFonts w:eastAsia="宋体"/>
          <w:b w:val="0"/>
          <w:bCs/>
          <w:color w:val="auto"/>
          <w:sz w:val="24"/>
          <w:szCs w:val="18"/>
          <w:highlight w:val="none"/>
        </w:rPr>
      </w:pPr>
      <w:bookmarkStart w:id="149" w:name="_Ref98330319"/>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11</w:t>
      </w:r>
      <w:r>
        <w:rPr>
          <w:rFonts w:eastAsia="宋体"/>
          <w:color w:val="auto"/>
          <w:sz w:val="24"/>
          <w:szCs w:val="18"/>
          <w:highlight w:val="none"/>
        </w:rPr>
        <w:fldChar w:fldCharType="end"/>
      </w:r>
      <w:bookmarkEnd w:id="149"/>
      <w:r>
        <w:rPr>
          <w:rFonts w:eastAsia="宋体"/>
          <w:bCs/>
          <w:color w:val="auto"/>
          <w:sz w:val="24"/>
          <w:szCs w:val="18"/>
          <w:highlight w:val="none"/>
        </w:rPr>
        <w:t>大气环境敏感程度分级</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1"/>
        <w:gridCol w:w="7653"/>
      </w:tblGrid>
      <w:tr w14:paraId="567A1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0" w:hRule="atLeast"/>
          <w:jc w:val="center"/>
        </w:trPr>
        <w:tc>
          <w:tcPr>
            <w:tcW w:w="851" w:type="dxa"/>
            <w:tcBorders>
              <w:bottom w:val="single" w:color="auto" w:sz="4" w:space="0"/>
            </w:tcBorders>
            <w:vAlign w:val="center"/>
          </w:tcPr>
          <w:p w14:paraId="63E1DF1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分级</w:t>
            </w:r>
          </w:p>
        </w:tc>
        <w:tc>
          <w:tcPr>
            <w:tcW w:w="7653" w:type="dxa"/>
            <w:tcBorders>
              <w:bottom w:val="single" w:color="auto" w:sz="4" w:space="0"/>
            </w:tcBorders>
            <w:vAlign w:val="center"/>
          </w:tcPr>
          <w:p w14:paraId="2E4ED6B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大气环境敏感性</w:t>
            </w:r>
          </w:p>
        </w:tc>
      </w:tr>
      <w:tr w14:paraId="7C6DA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70" w:hRule="atLeast"/>
          <w:jc w:val="center"/>
        </w:trPr>
        <w:tc>
          <w:tcPr>
            <w:tcW w:w="851" w:type="dxa"/>
            <w:tcBorders>
              <w:top w:val="single" w:color="auto" w:sz="4" w:space="0"/>
              <w:bottom w:val="single" w:color="auto" w:sz="4" w:space="0"/>
            </w:tcBorders>
            <w:shd w:val="clear" w:color="auto" w:fill="D9D9D9"/>
            <w:vAlign w:val="center"/>
          </w:tcPr>
          <w:p w14:paraId="16DA63D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E1</w:t>
            </w:r>
          </w:p>
        </w:tc>
        <w:tc>
          <w:tcPr>
            <w:tcW w:w="7653" w:type="dxa"/>
            <w:tcBorders>
              <w:top w:val="single" w:color="auto" w:sz="4" w:space="0"/>
              <w:bottom w:val="single" w:color="auto" w:sz="4" w:space="0"/>
            </w:tcBorders>
            <w:shd w:val="clear" w:color="auto" w:fill="D9D9D9"/>
            <w:vAlign w:val="center"/>
          </w:tcPr>
          <w:p w14:paraId="121A1D64">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周边</w:t>
            </w:r>
            <w:r>
              <w:rPr>
                <w:rStyle w:val="110"/>
                <w:rFonts w:ascii="Times New Roman" w:hAnsi="Times New Roman" w:cs="Times New Roman"/>
                <w:bCs/>
                <w:color w:val="auto"/>
                <w:sz w:val="21"/>
                <w:szCs w:val="21"/>
                <w:highlight w:val="none"/>
              </w:rPr>
              <w:t>5 km</w:t>
            </w:r>
            <w:r>
              <w:rPr>
                <w:rStyle w:val="166"/>
                <w:b w:val="0"/>
                <w:bCs/>
                <w:color w:val="auto"/>
                <w:sz w:val="21"/>
                <w:szCs w:val="21"/>
                <w:highlight w:val="none"/>
              </w:rPr>
              <w:t>范围内居住区、医疗卫生、文化教育、科研、行政办公等机构人口总数大于5万人，或其他需要特殊保护区域；或周边</w:t>
            </w:r>
            <w:r>
              <w:rPr>
                <w:rStyle w:val="110"/>
                <w:rFonts w:ascii="Times New Roman" w:hAnsi="Times New Roman" w:cs="Times New Roman"/>
                <w:bCs/>
                <w:color w:val="auto"/>
                <w:sz w:val="21"/>
                <w:szCs w:val="21"/>
                <w:highlight w:val="none"/>
              </w:rPr>
              <w:t>500 m</w:t>
            </w:r>
            <w:r>
              <w:rPr>
                <w:rStyle w:val="166"/>
                <w:b w:val="0"/>
                <w:bCs/>
                <w:color w:val="auto"/>
                <w:sz w:val="21"/>
                <w:szCs w:val="21"/>
                <w:highlight w:val="none"/>
              </w:rPr>
              <w:t>范围内人口总数大于</w:t>
            </w:r>
            <w:r>
              <w:rPr>
                <w:rStyle w:val="110"/>
                <w:rFonts w:ascii="Times New Roman" w:hAnsi="Times New Roman" w:cs="Times New Roman"/>
                <w:bCs/>
                <w:color w:val="auto"/>
                <w:sz w:val="21"/>
                <w:szCs w:val="21"/>
                <w:highlight w:val="none"/>
              </w:rPr>
              <w:t>1000</w:t>
            </w:r>
            <w:r>
              <w:rPr>
                <w:rStyle w:val="166"/>
                <w:b w:val="0"/>
                <w:bCs/>
                <w:color w:val="auto"/>
                <w:sz w:val="21"/>
                <w:szCs w:val="21"/>
                <w:highlight w:val="none"/>
              </w:rPr>
              <w:t>人；油气、化学品输送管线管段周边</w:t>
            </w:r>
            <w:r>
              <w:rPr>
                <w:rStyle w:val="110"/>
                <w:rFonts w:ascii="Times New Roman" w:hAnsi="Times New Roman" w:cs="Times New Roman"/>
                <w:bCs/>
                <w:color w:val="auto"/>
                <w:sz w:val="21"/>
                <w:szCs w:val="21"/>
                <w:highlight w:val="none"/>
              </w:rPr>
              <w:t>200 m</w:t>
            </w:r>
            <w:r>
              <w:rPr>
                <w:rStyle w:val="166"/>
                <w:b w:val="0"/>
                <w:bCs/>
                <w:color w:val="auto"/>
                <w:sz w:val="21"/>
                <w:szCs w:val="21"/>
                <w:highlight w:val="none"/>
              </w:rPr>
              <w:t>范围内，每千米管段人口数大于</w:t>
            </w:r>
            <w:r>
              <w:rPr>
                <w:rStyle w:val="110"/>
                <w:rFonts w:ascii="Times New Roman" w:hAnsi="Times New Roman" w:cs="Times New Roman"/>
                <w:bCs/>
                <w:color w:val="auto"/>
                <w:sz w:val="21"/>
                <w:szCs w:val="21"/>
                <w:highlight w:val="none"/>
              </w:rPr>
              <w:t>200</w:t>
            </w:r>
            <w:r>
              <w:rPr>
                <w:rStyle w:val="166"/>
                <w:b w:val="0"/>
                <w:bCs/>
                <w:color w:val="auto"/>
                <w:sz w:val="21"/>
                <w:szCs w:val="21"/>
                <w:highlight w:val="none"/>
              </w:rPr>
              <w:t>人</w:t>
            </w:r>
          </w:p>
        </w:tc>
      </w:tr>
      <w:tr w14:paraId="488BC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51" w:type="dxa"/>
            <w:tcBorders>
              <w:top w:val="single" w:color="auto" w:sz="4" w:space="0"/>
              <w:bottom w:val="single" w:color="auto" w:sz="4" w:space="0"/>
            </w:tcBorders>
            <w:vAlign w:val="center"/>
          </w:tcPr>
          <w:p w14:paraId="307F3FA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E2</w:t>
            </w:r>
          </w:p>
        </w:tc>
        <w:tc>
          <w:tcPr>
            <w:tcW w:w="7653" w:type="dxa"/>
            <w:tcBorders>
              <w:top w:val="single" w:color="auto" w:sz="4" w:space="0"/>
              <w:bottom w:val="single" w:color="auto" w:sz="4" w:space="0"/>
            </w:tcBorders>
            <w:vAlign w:val="center"/>
          </w:tcPr>
          <w:p w14:paraId="4E23D7C5">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周边</w:t>
            </w:r>
            <w:r>
              <w:rPr>
                <w:rStyle w:val="110"/>
                <w:rFonts w:ascii="Times New Roman" w:hAnsi="Times New Roman" w:cs="Times New Roman"/>
                <w:bCs/>
                <w:color w:val="auto"/>
                <w:sz w:val="21"/>
                <w:szCs w:val="21"/>
                <w:highlight w:val="none"/>
              </w:rPr>
              <w:t>5 km</w:t>
            </w:r>
            <w:r>
              <w:rPr>
                <w:rStyle w:val="166"/>
                <w:b w:val="0"/>
                <w:bCs/>
                <w:color w:val="auto"/>
                <w:sz w:val="21"/>
                <w:szCs w:val="21"/>
                <w:highlight w:val="none"/>
              </w:rPr>
              <w:t>范围内居住区、医疗卫生、文化教育、科研、行政办公等机构人口总数大于1万人，小于5万人；或周边</w:t>
            </w:r>
            <w:r>
              <w:rPr>
                <w:rStyle w:val="110"/>
                <w:rFonts w:ascii="Times New Roman" w:hAnsi="Times New Roman" w:cs="Times New Roman"/>
                <w:bCs/>
                <w:color w:val="auto"/>
                <w:sz w:val="21"/>
                <w:szCs w:val="21"/>
                <w:highlight w:val="none"/>
              </w:rPr>
              <w:t>500 m</w:t>
            </w:r>
            <w:r>
              <w:rPr>
                <w:rStyle w:val="166"/>
                <w:b w:val="0"/>
                <w:bCs/>
                <w:color w:val="auto"/>
                <w:sz w:val="21"/>
                <w:szCs w:val="21"/>
                <w:highlight w:val="none"/>
              </w:rPr>
              <w:t>范围内人口总数大于</w:t>
            </w:r>
            <w:r>
              <w:rPr>
                <w:rStyle w:val="110"/>
                <w:rFonts w:ascii="Times New Roman" w:hAnsi="Times New Roman" w:cs="Times New Roman"/>
                <w:bCs/>
                <w:color w:val="auto"/>
                <w:sz w:val="21"/>
                <w:szCs w:val="21"/>
                <w:highlight w:val="none"/>
              </w:rPr>
              <w:t>500</w:t>
            </w:r>
            <w:r>
              <w:rPr>
                <w:rStyle w:val="166"/>
                <w:b w:val="0"/>
                <w:bCs/>
                <w:color w:val="auto"/>
                <w:sz w:val="21"/>
                <w:szCs w:val="21"/>
                <w:highlight w:val="none"/>
              </w:rPr>
              <w:t>人，小于</w:t>
            </w:r>
            <w:r>
              <w:rPr>
                <w:rStyle w:val="110"/>
                <w:rFonts w:ascii="Times New Roman" w:hAnsi="Times New Roman" w:cs="Times New Roman"/>
                <w:bCs/>
                <w:color w:val="auto"/>
                <w:sz w:val="21"/>
                <w:szCs w:val="21"/>
                <w:highlight w:val="none"/>
              </w:rPr>
              <w:t>1000</w:t>
            </w:r>
            <w:r>
              <w:rPr>
                <w:rStyle w:val="166"/>
                <w:b w:val="0"/>
                <w:bCs/>
                <w:color w:val="auto"/>
                <w:sz w:val="21"/>
                <w:szCs w:val="21"/>
                <w:highlight w:val="none"/>
              </w:rPr>
              <w:t>人；油气、化学品输送管线管段周边</w:t>
            </w:r>
            <w:r>
              <w:rPr>
                <w:rStyle w:val="110"/>
                <w:rFonts w:ascii="Times New Roman" w:hAnsi="Times New Roman" w:cs="Times New Roman"/>
                <w:bCs/>
                <w:color w:val="auto"/>
                <w:sz w:val="21"/>
                <w:szCs w:val="21"/>
                <w:highlight w:val="none"/>
              </w:rPr>
              <w:t>200 m</w:t>
            </w:r>
            <w:r>
              <w:rPr>
                <w:rStyle w:val="166"/>
                <w:b w:val="0"/>
                <w:bCs/>
                <w:color w:val="auto"/>
                <w:sz w:val="21"/>
                <w:szCs w:val="21"/>
                <w:highlight w:val="none"/>
              </w:rPr>
              <w:t>范围内，每千米管段人口数大于</w:t>
            </w:r>
            <w:r>
              <w:rPr>
                <w:rStyle w:val="110"/>
                <w:rFonts w:ascii="Times New Roman" w:hAnsi="Times New Roman" w:cs="Times New Roman"/>
                <w:bCs/>
                <w:color w:val="auto"/>
                <w:sz w:val="21"/>
                <w:szCs w:val="21"/>
                <w:highlight w:val="none"/>
              </w:rPr>
              <w:t>100</w:t>
            </w:r>
            <w:r>
              <w:rPr>
                <w:rStyle w:val="166"/>
                <w:b w:val="0"/>
                <w:bCs/>
                <w:color w:val="auto"/>
                <w:sz w:val="21"/>
                <w:szCs w:val="21"/>
                <w:highlight w:val="none"/>
              </w:rPr>
              <w:t>人，小于</w:t>
            </w:r>
            <w:r>
              <w:rPr>
                <w:rStyle w:val="110"/>
                <w:rFonts w:ascii="Times New Roman" w:hAnsi="Times New Roman" w:cs="Times New Roman"/>
                <w:bCs/>
                <w:color w:val="auto"/>
                <w:sz w:val="21"/>
                <w:szCs w:val="21"/>
                <w:highlight w:val="none"/>
              </w:rPr>
              <w:t>200</w:t>
            </w:r>
            <w:r>
              <w:rPr>
                <w:rStyle w:val="166"/>
                <w:b w:val="0"/>
                <w:bCs/>
                <w:color w:val="auto"/>
                <w:sz w:val="21"/>
                <w:szCs w:val="21"/>
                <w:highlight w:val="none"/>
              </w:rPr>
              <w:t>人</w:t>
            </w:r>
          </w:p>
        </w:tc>
      </w:tr>
      <w:tr w14:paraId="779EB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51" w:type="dxa"/>
            <w:tcBorders>
              <w:top w:val="single" w:color="auto" w:sz="4" w:space="0"/>
              <w:bottom w:val="single" w:color="auto" w:sz="12" w:space="0"/>
            </w:tcBorders>
            <w:vAlign w:val="center"/>
          </w:tcPr>
          <w:p w14:paraId="0FD408F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E3</w:t>
            </w:r>
          </w:p>
        </w:tc>
        <w:tc>
          <w:tcPr>
            <w:tcW w:w="7653" w:type="dxa"/>
            <w:tcBorders>
              <w:top w:val="single" w:color="auto" w:sz="4" w:space="0"/>
              <w:bottom w:val="single" w:color="auto" w:sz="12" w:space="0"/>
            </w:tcBorders>
            <w:vAlign w:val="center"/>
          </w:tcPr>
          <w:p w14:paraId="5090E946">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周边</w:t>
            </w:r>
            <w:r>
              <w:rPr>
                <w:rStyle w:val="110"/>
                <w:rFonts w:ascii="Times New Roman" w:hAnsi="Times New Roman" w:cs="Times New Roman"/>
                <w:bCs/>
                <w:color w:val="auto"/>
                <w:sz w:val="21"/>
                <w:szCs w:val="21"/>
                <w:highlight w:val="none"/>
              </w:rPr>
              <w:t>5 km</w:t>
            </w:r>
            <w:r>
              <w:rPr>
                <w:rStyle w:val="166"/>
                <w:b w:val="0"/>
                <w:bCs/>
                <w:color w:val="auto"/>
                <w:sz w:val="21"/>
                <w:szCs w:val="21"/>
                <w:highlight w:val="none"/>
              </w:rPr>
              <w:t>范围内居住区、医疗卫生、文化教育、科研、行政办公等机构人口总数小于</w:t>
            </w:r>
            <w:r>
              <w:rPr>
                <w:rStyle w:val="110"/>
                <w:rFonts w:ascii="Times New Roman" w:hAnsi="Times New Roman" w:cs="Times New Roman"/>
                <w:bCs/>
                <w:color w:val="auto"/>
                <w:sz w:val="21"/>
                <w:szCs w:val="21"/>
                <w:highlight w:val="none"/>
              </w:rPr>
              <w:t>1</w:t>
            </w:r>
            <w:r>
              <w:rPr>
                <w:rStyle w:val="166"/>
                <w:b w:val="0"/>
                <w:bCs/>
                <w:color w:val="auto"/>
                <w:sz w:val="21"/>
                <w:szCs w:val="21"/>
                <w:highlight w:val="none"/>
              </w:rPr>
              <w:t>万人；或周边</w:t>
            </w:r>
            <w:r>
              <w:rPr>
                <w:rStyle w:val="110"/>
                <w:rFonts w:ascii="Times New Roman" w:hAnsi="Times New Roman" w:cs="Times New Roman"/>
                <w:bCs/>
                <w:color w:val="auto"/>
                <w:sz w:val="21"/>
                <w:szCs w:val="21"/>
                <w:highlight w:val="none"/>
              </w:rPr>
              <w:t>500 m</w:t>
            </w:r>
            <w:r>
              <w:rPr>
                <w:rStyle w:val="166"/>
                <w:b w:val="0"/>
                <w:bCs/>
                <w:color w:val="auto"/>
                <w:sz w:val="21"/>
                <w:szCs w:val="21"/>
                <w:highlight w:val="none"/>
              </w:rPr>
              <w:t>范围内人口总数小于</w:t>
            </w:r>
            <w:r>
              <w:rPr>
                <w:rStyle w:val="110"/>
                <w:rFonts w:ascii="Times New Roman" w:hAnsi="Times New Roman" w:cs="Times New Roman"/>
                <w:bCs/>
                <w:color w:val="auto"/>
                <w:sz w:val="21"/>
                <w:szCs w:val="21"/>
                <w:highlight w:val="none"/>
              </w:rPr>
              <w:t>500</w:t>
            </w:r>
            <w:r>
              <w:rPr>
                <w:rStyle w:val="166"/>
                <w:b w:val="0"/>
                <w:bCs/>
                <w:color w:val="auto"/>
                <w:sz w:val="21"/>
                <w:szCs w:val="21"/>
                <w:highlight w:val="none"/>
              </w:rPr>
              <w:t>人；油气、化学品输送管线管段周边</w:t>
            </w:r>
            <w:r>
              <w:rPr>
                <w:rStyle w:val="110"/>
                <w:rFonts w:ascii="Times New Roman" w:hAnsi="Times New Roman" w:cs="Times New Roman"/>
                <w:bCs/>
                <w:color w:val="auto"/>
                <w:sz w:val="21"/>
                <w:szCs w:val="21"/>
                <w:highlight w:val="none"/>
              </w:rPr>
              <w:t>200 m</w:t>
            </w:r>
            <w:r>
              <w:rPr>
                <w:rStyle w:val="166"/>
                <w:b w:val="0"/>
                <w:bCs/>
                <w:color w:val="auto"/>
                <w:sz w:val="21"/>
                <w:szCs w:val="21"/>
                <w:highlight w:val="none"/>
              </w:rPr>
              <w:t>范围内，每千米管段人口数小于</w:t>
            </w:r>
            <w:r>
              <w:rPr>
                <w:rStyle w:val="110"/>
                <w:rFonts w:ascii="Times New Roman" w:hAnsi="Times New Roman" w:cs="Times New Roman"/>
                <w:bCs/>
                <w:color w:val="auto"/>
                <w:sz w:val="21"/>
                <w:szCs w:val="21"/>
                <w:highlight w:val="none"/>
              </w:rPr>
              <w:t>100</w:t>
            </w:r>
            <w:r>
              <w:rPr>
                <w:rStyle w:val="166"/>
                <w:b w:val="0"/>
                <w:bCs/>
                <w:color w:val="auto"/>
                <w:sz w:val="21"/>
                <w:szCs w:val="21"/>
                <w:highlight w:val="none"/>
              </w:rPr>
              <w:t>人</w:t>
            </w:r>
          </w:p>
        </w:tc>
      </w:tr>
    </w:tbl>
    <w:p w14:paraId="4AE01BA1">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本项目位于</w:t>
      </w:r>
      <w:r>
        <w:rPr>
          <w:rFonts w:hint="eastAsia" w:ascii="Times New Roman" w:hAnsi="Times New Roman" w:cs="Times New Roman"/>
          <w:color w:val="auto"/>
          <w:highlight w:val="none"/>
        </w:rPr>
        <w:t>无锡市锡山区锡北镇新坝村新达路6号</w:t>
      </w:r>
      <w:r>
        <w:rPr>
          <w:rFonts w:ascii="Times New Roman" w:hAnsi="Times New Roman" w:cs="Times New Roman"/>
          <w:color w:val="auto"/>
          <w:highlight w:val="none"/>
        </w:rPr>
        <w:t>，周边5km范围内人口总数大于5万人，故大气环境敏感程度分级为E1。</w:t>
      </w:r>
    </w:p>
    <w:p w14:paraId="1BBF63B6">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（2）地表水环境</w:t>
      </w:r>
    </w:p>
    <w:p w14:paraId="3EA6DB7F">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根据《建设项目环境风险评价技术导则HJ 169—2018》附录D，地表水环境敏感程度（E）分级原则如下：</w:t>
      </w:r>
    </w:p>
    <w:p w14:paraId="7E1198E8">
      <w:pPr>
        <w:pStyle w:val="15"/>
        <w:spacing w:line="360" w:lineRule="auto"/>
        <w:ind w:left="-105" w:right="-105" w:firstLine="482"/>
        <w:rPr>
          <w:rFonts w:eastAsia="宋体"/>
          <w:color w:val="auto"/>
          <w:sz w:val="24"/>
          <w:szCs w:val="24"/>
          <w:highlight w:val="none"/>
        </w:rPr>
      </w:pPr>
      <w:bookmarkStart w:id="150" w:name="_Ref98330399"/>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12</w:t>
      </w:r>
      <w:r>
        <w:rPr>
          <w:rFonts w:eastAsia="宋体"/>
          <w:color w:val="auto"/>
          <w:sz w:val="24"/>
          <w:szCs w:val="18"/>
          <w:highlight w:val="none"/>
        </w:rPr>
        <w:fldChar w:fldCharType="end"/>
      </w:r>
      <w:bookmarkEnd w:id="150"/>
      <w:r>
        <w:rPr>
          <w:rFonts w:eastAsia="宋体"/>
          <w:color w:val="auto"/>
          <w:sz w:val="24"/>
          <w:szCs w:val="24"/>
          <w:highlight w:val="none"/>
        </w:rPr>
        <w:t>地表水功能敏感性分区</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3"/>
        <w:gridCol w:w="7511"/>
      </w:tblGrid>
      <w:tr w14:paraId="2884E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93" w:type="dxa"/>
            <w:tcBorders>
              <w:top w:val="single" w:color="auto" w:sz="12" w:space="0"/>
              <w:left w:val="nil"/>
              <w:bottom w:val="single" w:color="auto" w:sz="4" w:space="0"/>
              <w:right w:val="single" w:color="auto" w:sz="4" w:space="0"/>
            </w:tcBorders>
            <w:vAlign w:val="center"/>
          </w:tcPr>
          <w:p w14:paraId="3BA1E9B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敏感性</w:t>
            </w:r>
          </w:p>
        </w:tc>
        <w:tc>
          <w:tcPr>
            <w:tcW w:w="7511" w:type="dxa"/>
            <w:tcBorders>
              <w:top w:val="single" w:color="auto" w:sz="12" w:space="0"/>
              <w:left w:val="single" w:color="auto" w:sz="4" w:space="0"/>
              <w:bottom w:val="single" w:color="auto" w:sz="4" w:space="0"/>
              <w:right w:val="nil"/>
            </w:tcBorders>
            <w:vAlign w:val="center"/>
          </w:tcPr>
          <w:p w14:paraId="3542078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地表水环境敏感特征</w:t>
            </w:r>
          </w:p>
        </w:tc>
      </w:tr>
      <w:tr w14:paraId="4303B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3" w:type="dxa"/>
            <w:tcBorders>
              <w:top w:val="single" w:color="auto" w:sz="4" w:space="0"/>
              <w:left w:val="nil"/>
              <w:bottom w:val="single" w:color="auto" w:sz="4" w:space="0"/>
              <w:right w:val="single" w:color="auto" w:sz="4" w:space="0"/>
            </w:tcBorders>
            <w:vAlign w:val="center"/>
          </w:tcPr>
          <w:p w14:paraId="6C6EDF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敏感</w:t>
            </w:r>
            <w:r>
              <w:rPr>
                <w:rFonts w:ascii="Times New Roman" w:hAnsi="Times New Roman" w:cs="Times New Roman"/>
                <w:snapToGrid w:val="0"/>
                <w:color w:val="auto"/>
                <w:sz w:val="21"/>
                <w:szCs w:val="21"/>
                <w:highlight w:val="none"/>
                <w:lang w:eastAsia="en-US"/>
              </w:rPr>
              <w:t>F1</w:t>
            </w:r>
          </w:p>
        </w:tc>
        <w:tc>
          <w:tcPr>
            <w:tcW w:w="7511" w:type="dxa"/>
            <w:tcBorders>
              <w:top w:val="single" w:color="auto" w:sz="4" w:space="0"/>
              <w:left w:val="single" w:color="auto" w:sz="4" w:space="0"/>
              <w:bottom w:val="single" w:color="auto" w:sz="4" w:space="0"/>
              <w:right w:val="nil"/>
            </w:tcBorders>
            <w:vAlign w:val="center"/>
          </w:tcPr>
          <w:p w14:paraId="3DE55DB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排放点进入地表水水域环境功能为Ⅱ类及以上，或海水水质分类第一类；</w:t>
            </w:r>
          </w:p>
          <w:p w14:paraId="58D3572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或以发生事故时，危险物质泄漏到水体的排放点算起，排放进入受纳河流最大流速时，24 h流经范围内涉跨国界的</w:t>
            </w:r>
          </w:p>
        </w:tc>
      </w:tr>
      <w:tr w14:paraId="48BA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3" w:type="dxa"/>
            <w:tcBorders>
              <w:top w:val="single" w:color="auto" w:sz="4" w:space="0"/>
              <w:left w:val="nil"/>
              <w:bottom w:val="single" w:color="auto" w:sz="4" w:space="0"/>
              <w:right w:val="single" w:color="auto" w:sz="4" w:space="0"/>
            </w:tcBorders>
            <w:shd w:val="clear" w:color="auto" w:fill="D9D9D9"/>
            <w:vAlign w:val="center"/>
          </w:tcPr>
          <w:p w14:paraId="4112A4A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较敏感</w:t>
            </w:r>
            <w:r>
              <w:rPr>
                <w:rFonts w:ascii="Times New Roman" w:hAnsi="Times New Roman" w:cs="Times New Roman"/>
                <w:snapToGrid w:val="0"/>
                <w:color w:val="auto"/>
                <w:sz w:val="21"/>
                <w:szCs w:val="21"/>
                <w:highlight w:val="none"/>
                <w:lang w:eastAsia="en-US"/>
              </w:rPr>
              <w:t>F2</w:t>
            </w:r>
          </w:p>
        </w:tc>
        <w:tc>
          <w:tcPr>
            <w:tcW w:w="7511" w:type="dxa"/>
            <w:tcBorders>
              <w:top w:val="single" w:color="auto" w:sz="4" w:space="0"/>
              <w:left w:val="single" w:color="auto" w:sz="4" w:space="0"/>
              <w:bottom w:val="single" w:color="auto" w:sz="4" w:space="0"/>
              <w:right w:val="nil"/>
            </w:tcBorders>
            <w:shd w:val="clear" w:color="auto" w:fill="D9D9D9"/>
            <w:vAlign w:val="center"/>
          </w:tcPr>
          <w:p w14:paraId="41FCF7C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排放点进入地表水水域环境功能为Ⅲ类，或海水水质分类第二类；</w:t>
            </w:r>
          </w:p>
          <w:p w14:paraId="0CCF9B9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或以发生事故时，危险物质泄漏到水体的排放点算起，排放进入受纳河流最大流速时，24h流经范围内涉跨省界的</w:t>
            </w:r>
          </w:p>
        </w:tc>
      </w:tr>
      <w:tr w14:paraId="5CA00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3" w:type="dxa"/>
            <w:tcBorders>
              <w:top w:val="single" w:color="auto" w:sz="4" w:space="0"/>
              <w:left w:val="nil"/>
              <w:bottom w:val="single" w:color="auto" w:sz="12" w:space="0"/>
              <w:right w:val="single" w:color="auto" w:sz="4" w:space="0"/>
            </w:tcBorders>
            <w:vAlign w:val="center"/>
          </w:tcPr>
          <w:p w14:paraId="66E1F63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低敏感</w:t>
            </w:r>
            <w:r>
              <w:rPr>
                <w:rFonts w:ascii="Times New Roman" w:hAnsi="Times New Roman" w:cs="Times New Roman"/>
                <w:snapToGrid w:val="0"/>
                <w:color w:val="auto"/>
                <w:sz w:val="21"/>
                <w:szCs w:val="21"/>
                <w:highlight w:val="none"/>
                <w:lang w:eastAsia="en-US"/>
              </w:rPr>
              <w:t>F3</w:t>
            </w:r>
          </w:p>
        </w:tc>
        <w:tc>
          <w:tcPr>
            <w:tcW w:w="7511" w:type="dxa"/>
            <w:tcBorders>
              <w:top w:val="single" w:color="auto" w:sz="4" w:space="0"/>
              <w:left w:val="single" w:color="auto" w:sz="4" w:space="0"/>
              <w:bottom w:val="single" w:color="auto" w:sz="12" w:space="0"/>
              <w:right w:val="nil"/>
            </w:tcBorders>
            <w:vAlign w:val="center"/>
          </w:tcPr>
          <w:p w14:paraId="0BDD898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上述地区之外的其他地区</w:t>
            </w:r>
          </w:p>
        </w:tc>
      </w:tr>
    </w:tbl>
    <w:p w14:paraId="4BEAAC72">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本项目事故废水通过雨水管网排入</w:t>
      </w:r>
      <w:r>
        <w:rPr>
          <w:rFonts w:hint="eastAsia" w:ascii="Times New Roman" w:hAnsi="Times New Roman" w:cs="Times New Roman"/>
          <w:color w:val="auto"/>
          <w:highlight w:val="none"/>
        </w:rPr>
        <w:t>锡北运</w:t>
      </w:r>
      <w:r>
        <w:rPr>
          <w:rFonts w:ascii="Times New Roman" w:hAnsi="Times New Roman" w:cs="Times New Roman"/>
          <w:color w:val="auto"/>
          <w:highlight w:val="none"/>
        </w:rPr>
        <w:t>河，根据调查结果，</w:t>
      </w:r>
      <w:r>
        <w:rPr>
          <w:rFonts w:hint="eastAsia" w:ascii="Times New Roman" w:hAnsi="Times New Roman" w:cs="Times New Roman"/>
          <w:color w:val="auto"/>
          <w:highlight w:val="none"/>
        </w:rPr>
        <w:t>锡北运河</w:t>
      </w:r>
      <w:r>
        <w:rPr>
          <w:rFonts w:ascii="Times New Roman" w:hAnsi="Times New Roman" w:cs="Times New Roman"/>
          <w:color w:val="auto"/>
          <w:highlight w:val="none"/>
        </w:rPr>
        <w:t>为Ⅲ类水，24h流经范围不跨省界，故本项目地表水环境敏感性为较敏感F2。</w:t>
      </w:r>
    </w:p>
    <w:p w14:paraId="0A96617F">
      <w:pPr>
        <w:pStyle w:val="15"/>
        <w:ind w:left="-105" w:right="-105" w:firstLine="482"/>
        <w:rPr>
          <w:rFonts w:eastAsia="宋体"/>
          <w:b w:val="0"/>
          <w:color w:val="auto"/>
          <w:sz w:val="24"/>
          <w:szCs w:val="24"/>
          <w:highlight w:val="none"/>
        </w:rPr>
      </w:pPr>
      <w:bookmarkStart w:id="151" w:name="_Ref98330432"/>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13</w:t>
      </w:r>
      <w:r>
        <w:rPr>
          <w:rFonts w:eastAsia="宋体"/>
          <w:color w:val="auto"/>
          <w:sz w:val="24"/>
          <w:szCs w:val="18"/>
          <w:highlight w:val="none"/>
        </w:rPr>
        <w:fldChar w:fldCharType="end"/>
      </w:r>
      <w:bookmarkEnd w:id="151"/>
      <w:r>
        <w:rPr>
          <w:rFonts w:eastAsia="宋体"/>
          <w:bCs/>
          <w:color w:val="auto"/>
          <w:sz w:val="24"/>
          <w:szCs w:val="24"/>
          <w:highlight w:val="none"/>
        </w:rPr>
        <w:t>环境敏感目标分级</w:t>
      </w:r>
    </w:p>
    <w:tbl>
      <w:tblPr>
        <w:tblStyle w:val="45"/>
        <w:tblW w:w="5000" w:type="pct"/>
        <w:jc w:val="center"/>
        <w:tblLayout w:type="fixed"/>
        <w:tblCellMar>
          <w:top w:w="0" w:type="dxa"/>
          <w:left w:w="0" w:type="dxa"/>
          <w:bottom w:w="0" w:type="dxa"/>
          <w:right w:w="0" w:type="dxa"/>
        </w:tblCellMar>
      </w:tblPr>
      <w:tblGrid>
        <w:gridCol w:w="799"/>
        <w:gridCol w:w="7705"/>
      </w:tblGrid>
      <w:tr w14:paraId="3C145EAF">
        <w:tblPrEx>
          <w:tblCellMar>
            <w:top w:w="0" w:type="dxa"/>
            <w:left w:w="0" w:type="dxa"/>
            <w:bottom w:w="0" w:type="dxa"/>
            <w:right w:w="0" w:type="dxa"/>
          </w:tblCellMar>
        </w:tblPrEx>
        <w:trPr>
          <w:trHeight w:val="340" w:hRule="atLeast"/>
          <w:jc w:val="center"/>
        </w:trPr>
        <w:tc>
          <w:tcPr>
            <w:tcW w:w="851" w:type="dxa"/>
            <w:tcBorders>
              <w:top w:val="single" w:color="auto" w:sz="12" w:space="0"/>
              <w:left w:val="nil"/>
              <w:bottom w:val="single" w:color="auto" w:sz="4" w:space="0"/>
              <w:right w:val="nil"/>
            </w:tcBorders>
            <w:vAlign w:val="center"/>
          </w:tcPr>
          <w:p w14:paraId="145F3CC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分级</w:t>
            </w:r>
          </w:p>
        </w:tc>
        <w:tc>
          <w:tcPr>
            <w:tcW w:w="8220" w:type="dxa"/>
            <w:tcBorders>
              <w:top w:val="single" w:color="auto" w:sz="12" w:space="0"/>
              <w:left w:val="single" w:color="auto" w:sz="4" w:space="0"/>
              <w:bottom w:val="single" w:color="auto" w:sz="4" w:space="0"/>
              <w:right w:val="nil"/>
            </w:tcBorders>
            <w:vAlign w:val="center"/>
          </w:tcPr>
          <w:p w14:paraId="57E0481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环境敏感目标</w:t>
            </w:r>
          </w:p>
        </w:tc>
      </w:tr>
      <w:tr w14:paraId="522F8536">
        <w:tblPrEx>
          <w:tblCellMar>
            <w:top w:w="0" w:type="dxa"/>
            <w:left w:w="0" w:type="dxa"/>
            <w:bottom w:w="0" w:type="dxa"/>
            <w:right w:w="0" w:type="dxa"/>
          </w:tblCellMar>
        </w:tblPrEx>
        <w:trPr>
          <w:trHeight w:val="340" w:hRule="atLeast"/>
          <w:jc w:val="center"/>
        </w:trPr>
        <w:tc>
          <w:tcPr>
            <w:tcW w:w="851" w:type="dxa"/>
            <w:tcBorders>
              <w:top w:val="single" w:color="auto" w:sz="4" w:space="0"/>
              <w:left w:val="nil"/>
              <w:bottom w:val="single" w:color="auto" w:sz="4" w:space="0"/>
              <w:right w:val="nil"/>
            </w:tcBorders>
            <w:shd w:val="clear" w:color="auto" w:fill="D7D7D7" w:themeFill="background1" w:themeFillShade="D8"/>
            <w:vAlign w:val="center"/>
          </w:tcPr>
          <w:p w14:paraId="318F8EA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S1</w:t>
            </w:r>
          </w:p>
        </w:tc>
        <w:tc>
          <w:tcPr>
            <w:tcW w:w="8220" w:type="dxa"/>
            <w:tcBorders>
              <w:top w:val="single" w:color="auto" w:sz="4" w:space="0"/>
              <w:left w:val="single" w:color="auto" w:sz="4" w:space="0"/>
              <w:bottom w:val="single" w:color="auto" w:sz="4" w:space="0"/>
              <w:right w:val="nil"/>
            </w:tcBorders>
            <w:shd w:val="clear" w:color="auto" w:fill="D7D7D7" w:themeFill="background1" w:themeFillShade="D8"/>
            <w:vAlign w:val="center"/>
          </w:tcPr>
          <w:p w14:paraId="74C018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区域</w:t>
            </w:r>
          </w:p>
        </w:tc>
      </w:tr>
      <w:tr w14:paraId="31CA4557">
        <w:tblPrEx>
          <w:tblCellMar>
            <w:top w:w="0" w:type="dxa"/>
            <w:left w:w="0" w:type="dxa"/>
            <w:bottom w:w="0" w:type="dxa"/>
            <w:right w:w="0" w:type="dxa"/>
          </w:tblCellMar>
        </w:tblPrEx>
        <w:trPr>
          <w:trHeight w:val="340" w:hRule="atLeast"/>
          <w:jc w:val="center"/>
        </w:trPr>
        <w:tc>
          <w:tcPr>
            <w:tcW w:w="851" w:type="dxa"/>
            <w:tcBorders>
              <w:top w:val="single" w:color="auto" w:sz="4" w:space="0"/>
              <w:left w:val="nil"/>
              <w:bottom w:val="single" w:color="auto" w:sz="4" w:space="0"/>
              <w:right w:val="nil"/>
            </w:tcBorders>
            <w:vAlign w:val="center"/>
          </w:tcPr>
          <w:p w14:paraId="4215589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S2</w:t>
            </w:r>
          </w:p>
        </w:tc>
        <w:tc>
          <w:tcPr>
            <w:tcW w:w="8220" w:type="dxa"/>
            <w:tcBorders>
              <w:top w:val="single" w:color="auto" w:sz="4" w:space="0"/>
              <w:left w:val="single" w:color="auto" w:sz="4" w:space="0"/>
              <w:bottom w:val="single" w:color="auto" w:sz="4" w:space="0"/>
              <w:right w:val="nil"/>
            </w:tcBorders>
            <w:vAlign w:val="center"/>
          </w:tcPr>
          <w:p w14:paraId="0985DA9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具有重要经济价值的海洋生物生存区域</w:t>
            </w:r>
          </w:p>
        </w:tc>
      </w:tr>
      <w:tr w14:paraId="1B143020">
        <w:tblPrEx>
          <w:tblCellMar>
            <w:top w:w="0" w:type="dxa"/>
            <w:left w:w="0" w:type="dxa"/>
            <w:bottom w:w="0" w:type="dxa"/>
            <w:right w:w="0" w:type="dxa"/>
          </w:tblCellMar>
        </w:tblPrEx>
        <w:trPr>
          <w:trHeight w:val="340" w:hRule="atLeast"/>
          <w:jc w:val="center"/>
        </w:trPr>
        <w:tc>
          <w:tcPr>
            <w:tcW w:w="851" w:type="dxa"/>
            <w:tcBorders>
              <w:top w:val="single" w:color="auto" w:sz="4" w:space="0"/>
              <w:left w:val="nil"/>
              <w:bottom w:val="single" w:color="auto" w:sz="12" w:space="0"/>
              <w:right w:val="nil"/>
            </w:tcBorders>
            <w:shd w:val="clear" w:color="auto" w:fill="auto"/>
            <w:vAlign w:val="center"/>
          </w:tcPr>
          <w:p w14:paraId="196ED11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S3</w:t>
            </w:r>
          </w:p>
        </w:tc>
        <w:tc>
          <w:tcPr>
            <w:tcW w:w="8220" w:type="dxa"/>
            <w:tcBorders>
              <w:top w:val="single" w:color="auto" w:sz="4" w:space="0"/>
              <w:left w:val="single" w:color="auto" w:sz="4" w:space="0"/>
              <w:bottom w:val="single" w:color="auto" w:sz="12" w:space="0"/>
              <w:right w:val="nil"/>
            </w:tcBorders>
            <w:shd w:val="clear" w:color="auto" w:fill="auto"/>
            <w:vAlign w:val="center"/>
          </w:tcPr>
          <w:p w14:paraId="33286E1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排放点下游（顺水流向）10km范围、近岸海域一个潮周期水质点可能达到的最大水平距离的两倍范围内无上述类型1和类型2包括的敏感保护目标</w:t>
            </w:r>
          </w:p>
        </w:tc>
      </w:tr>
    </w:tbl>
    <w:p w14:paraId="25A1A891">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本项目事故废水排入</w:t>
      </w:r>
      <w:r>
        <w:rPr>
          <w:rFonts w:hint="eastAsia" w:ascii="Times New Roman" w:hAnsi="Times New Roman" w:cs="Times New Roman"/>
          <w:color w:val="auto"/>
          <w:highlight w:val="none"/>
        </w:rPr>
        <w:t>北兴塘河</w:t>
      </w:r>
      <w:r>
        <w:rPr>
          <w:rFonts w:ascii="Times New Roman" w:hAnsi="Times New Roman" w:cs="Times New Roman"/>
          <w:color w:val="auto"/>
          <w:highlight w:val="none"/>
        </w:rPr>
        <w:t>，根据调查结果，排放口下游10km范围内</w:t>
      </w:r>
      <w:r>
        <w:rPr>
          <w:rFonts w:hint="eastAsia" w:ascii="Times New Roman" w:hAnsi="Times New Roman" w:cs="Times New Roman"/>
          <w:color w:val="auto"/>
          <w:highlight w:val="none"/>
        </w:rPr>
        <w:t>涉及北兴塘湿地保护区等</w:t>
      </w:r>
      <w:r>
        <w:rPr>
          <w:rFonts w:ascii="Times New Roman" w:hAnsi="Times New Roman" w:cs="Times New Roman"/>
          <w:color w:val="auto"/>
          <w:highlight w:val="none"/>
        </w:rPr>
        <w:t>，故本项目地表水环境敏感目标为S1。</w:t>
      </w:r>
    </w:p>
    <w:p w14:paraId="74B6D14B">
      <w:pPr>
        <w:pStyle w:val="15"/>
        <w:ind w:left="-105" w:right="-105" w:firstLine="482"/>
        <w:rPr>
          <w:rFonts w:eastAsia="宋体"/>
          <w:b w:val="0"/>
          <w:color w:val="auto"/>
          <w:sz w:val="24"/>
          <w:szCs w:val="24"/>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14</w:t>
      </w:r>
      <w:r>
        <w:rPr>
          <w:rFonts w:eastAsia="宋体"/>
          <w:color w:val="auto"/>
          <w:sz w:val="24"/>
          <w:szCs w:val="18"/>
          <w:highlight w:val="none"/>
        </w:rPr>
        <w:fldChar w:fldCharType="end"/>
      </w:r>
      <w:r>
        <w:rPr>
          <w:rFonts w:eastAsia="宋体"/>
          <w:bCs/>
          <w:color w:val="auto"/>
          <w:sz w:val="24"/>
          <w:szCs w:val="24"/>
          <w:highlight w:val="none"/>
        </w:rPr>
        <w:t>地表水环境敏感程度分级</w:t>
      </w:r>
    </w:p>
    <w:tbl>
      <w:tblPr>
        <w:tblStyle w:val="45"/>
        <w:tblW w:w="5000" w:type="pct"/>
        <w:jc w:val="center"/>
        <w:tblLayout w:type="fixed"/>
        <w:tblCellMar>
          <w:top w:w="0" w:type="dxa"/>
          <w:left w:w="0" w:type="dxa"/>
          <w:bottom w:w="0" w:type="dxa"/>
          <w:right w:w="0" w:type="dxa"/>
        </w:tblCellMar>
      </w:tblPr>
      <w:tblGrid>
        <w:gridCol w:w="2518"/>
        <w:gridCol w:w="1908"/>
        <w:gridCol w:w="2100"/>
        <w:gridCol w:w="1978"/>
      </w:tblGrid>
      <w:tr w14:paraId="5F175568">
        <w:tblPrEx>
          <w:tblCellMar>
            <w:top w:w="0" w:type="dxa"/>
            <w:left w:w="0" w:type="dxa"/>
            <w:bottom w:w="0" w:type="dxa"/>
            <w:right w:w="0" w:type="dxa"/>
          </w:tblCellMar>
        </w:tblPrEx>
        <w:trPr>
          <w:trHeight w:val="340" w:hRule="atLeast"/>
          <w:jc w:val="center"/>
        </w:trPr>
        <w:tc>
          <w:tcPr>
            <w:tcW w:w="2686" w:type="dxa"/>
            <w:vMerge w:val="restart"/>
            <w:tcBorders>
              <w:top w:val="single" w:color="auto" w:sz="12" w:space="0"/>
              <w:left w:val="nil"/>
              <w:bottom w:val="single" w:color="auto" w:sz="4" w:space="0"/>
              <w:right w:val="nil"/>
            </w:tcBorders>
            <w:shd w:val="clear" w:color="auto" w:fill="auto"/>
            <w:vAlign w:val="center"/>
          </w:tcPr>
          <w:p w14:paraId="0E4D3B4F">
            <w:pPr>
              <w:ind w:left="-105" w:right="-105"/>
              <w:jc w:val="center"/>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环境敏感目标</w:t>
            </w:r>
          </w:p>
        </w:tc>
        <w:tc>
          <w:tcPr>
            <w:tcW w:w="6385" w:type="dxa"/>
            <w:gridSpan w:val="3"/>
            <w:tcBorders>
              <w:top w:val="single" w:color="auto" w:sz="12" w:space="0"/>
              <w:left w:val="single" w:color="auto" w:sz="4" w:space="0"/>
              <w:bottom w:val="single" w:color="auto" w:sz="4" w:space="0"/>
              <w:right w:val="nil"/>
            </w:tcBorders>
            <w:shd w:val="clear" w:color="auto" w:fill="auto"/>
            <w:vAlign w:val="center"/>
          </w:tcPr>
          <w:p w14:paraId="2E2FE1CD">
            <w:pPr>
              <w:ind w:left="-105" w:right="-105"/>
              <w:jc w:val="center"/>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地表水功能敏感性</w:t>
            </w:r>
          </w:p>
        </w:tc>
      </w:tr>
      <w:tr w14:paraId="5863D35D">
        <w:tblPrEx>
          <w:tblCellMar>
            <w:top w:w="0" w:type="dxa"/>
            <w:left w:w="0" w:type="dxa"/>
            <w:bottom w:w="0" w:type="dxa"/>
            <w:right w:w="0" w:type="dxa"/>
          </w:tblCellMar>
        </w:tblPrEx>
        <w:trPr>
          <w:trHeight w:val="289" w:hRule="atLeast"/>
          <w:jc w:val="center"/>
        </w:trPr>
        <w:tc>
          <w:tcPr>
            <w:tcW w:w="2686" w:type="dxa"/>
            <w:vMerge w:val="continue"/>
            <w:tcBorders>
              <w:top w:val="single" w:color="auto" w:sz="12" w:space="0"/>
              <w:left w:val="nil"/>
              <w:bottom w:val="single" w:color="auto" w:sz="4" w:space="0"/>
              <w:right w:val="nil"/>
            </w:tcBorders>
            <w:shd w:val="clear" w:color="auto" w:fill="auto"/>
            <w:vAlign w:val="center"/>
          </w:tcPr>
          <w:p w14:paraId="1D864BB0">
            <w:pPr>
              <w:ind w:left="-105" w:right="-105"/>
              <w:rPr>
                <w:rFonts w:ascii="Times New Roman" w:hAnsi="Times New Roman" w:cs="Times New Roman"/>
                <w:b/>
                <w:bCs/>
                <w:snapToGrid w:val="0"/>
                <w:color w:val="auto"/>
                <w:sz w:val="21"/>
                <w:szCs w:val="21"/>
                <w:highlight w:val="none"/>
              </w:rPr>
            </w:pPr>
          </w:p>
        </w:tc>
        <w:tc>
          <w:tcPr>
            <w:tcW w:w="2035" w:type="dxa"/>
            <w:tcBorders>
              <w:top w:val="single" w:color="auto" w:sz="4" w:space="0"/>
              <w:left w:val="single" w:color="auto" w:sz="4" w:space="0"/>
              <w:bottom w:val="single" w:color="auto" w:sz="4" w:space="0"/>
              <w:right w:val="nil"/>
            </w:tcBorders>
            <w:shd w:val="clear" w:color="auto" w:fill="auto"/>
            <w:vAlign w:val="center"/>
          </w:tcPr>
          <w:p w14:paraId="684ECFCD">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F1</w:t>
            </w:r>
          </w:p>
        </w:tc>
        <w:tc>
          <w:tcPr>
            <w:tcW w:w="2240" w:type="dxa"/>
            <w:tcBorders>
              <w:top w:val="single" w:color="auto" w:sz="4" w:space="0"/>
              <w:left w:val="single" w:color="auto" w:sz="4" w:space="0"/>
              <w:bottom w:val="single" w:color="auto" w:sz="4" w:space="0"/>
              <w:right w:val="nil"/>
            </w:tcBorders>
            <w:shd w:val="clear" w:color="auto" w:fill="auto"/>
            <w:vAlign w:val="center"/>
          </w:tcPr>
          <w:p w14:paraId="203E6785">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F2</w:t>
            </w:r>
          </w:p>
        </w:tc>
        <w:tc>
          <w:tcPr>
            <w:tcW w:w="2110" w:type="dxa"/>
            <w:tcBorders>
              <w:top w:val="single" w:color="auto" w:sz="4" w:space="0"/>
              <w:left w:val="single" w:color="auto" w:sz="4" w:space="0"/>
              <w:bottom w:val="single" w:color="auto" w:sz="4" w:space="0"/>
              <w:right w:val="nil"/>
            </w:tcBorders>
            <w:shd w:val="clear" w:color="auto" w:fill="auto"/>
            <w:vAlign w:val="center"/>
          </w:tcPr>
          <w:p w14:paraId="136604E7">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F3</w:t>
            </w:r>
          </w:p>
        </w:tc>
      </w:tr>
      <w:tr w14:paraId="18D648BA">
        <w:tblPrEx>
          <w:tblCellMar>
            <w:top w:w="0" w:type="dxa"/>
            <w:left w:w="0" w:type="dxa"/>
            <w:bottom w:w="0" w:type="dxa"/>
            <w:right w:w="0" w:type="dxa"/>
          </w:tblCellMar>
        </w:tblPrEx>
        <w:trPr>
          <w:trHeight w:val="340" w:hRule="atLeast"/>
          <w:jc w:val="center"/>
        </w:trPr>
        <w:tc>
          <w:tcPr>
            <w:tcW w:w="2686" w:type="dxa"/>
            <w:tcBorders>
              <w:top w:val="single" w:color="auto" w:sz="4" w:space="0"/>
              <w:left w:val="nil"/>
              <w:bottom w:val="single" w:color="auto" w:sz="4" w:space="0"/>
              <w:right w:val="nil"/>
            </w:tcBorders>
            <w:shd w:val="clear" w:color="auto" w:fill="auto"/>
            <w:vAlign w:val="center"/>
          </w:tcPr>
          <w:p w14:paraId="4C2BD34C">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S1</w:t>
            </w:r>
          </w:p>
        </w:tc>
        <w:tc>
          <w:tcPr>
            <w:tcW w:w="2035" w:type="dxa"/>
            <w:tcBorders>
              <w:top w:val="single" w:color="auto" w:sz="4" w:space="0"/>
              <w:left w:val="single" w:color="auto" w:sz="4" w:space="0"/>
              <w:bottom w:val="single" w:color="auto" w:sz="4" w:space="0"/>
              <w:right w:val="nil"/>
            </w:tcBorders>
            <w:shd w:val="clear" w:color="auto" w:fill="auto"/>
            <w:vAlign w:val="center"/>
          </w:tcPr>
          <w:p w14:paraId="671FA62F">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E1</w:t>
            </w:r>
          </w:p>
        </w:tc>
        <w:tc>
          <w:tcPr>
            <w:tcW w:w="2240" w:type="dxa"/>
            <w:tcBorders>
              <w:top w:val="single" w:color="auto" w:sz="4" w:space="0"/>
              <w:left w:val="single" w:color="auto" w:sz="4" w:space="0"/>
              <w:bottom w:val="single" w:color="auto" w:sz="4" w:space="0"/>
              <w:right w:val="nil"/>
            </w:tcBorders>
            <w:shd w:val="clear" w:color="auto" w:fill="D8D8D8" w:themeFill="background1" w:themeFillShade="D9"/>
            <w:vAlign w:val="center"/>
          </w:tcPr>
          <w:p w14:paraId="07F2D1C0">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E1</w:t>
            </w:r>
          </w:p>
        </w:tc>
        <w:tc>
          <w:tcPr>
            <w:tcW w:w="2110" w:type="dxa"/>
            <w:tcBorders>
              <w:top w:val="single" w:color="auto" w:sz="4" w:space="0"/>
              <w:left w:val="single" w:color="auto" w:sz="4" w:space="0"/>
              <w:bottom w:val="single" w:color="auto" w:sz="4" w:space="0"/>
              <w:right w:val="nil"/>
            </w:tcBorders>
            <w:shd w:val="clear" w:color="auto" w:fill="auto"/>
            <w:vAlign w:val="center"/>
          </w:tcPr>
          <w:p w14:paraId="0E7FA3EB">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E2</w:t>
            </w:r>
          </w:p>
        </w:tc>
      </w:tr>
      <w:tr w14:paraId="090D4128">
        <w:tblPrEx>
          <w:tblCellMar>
            <w:top w:w="0" w:type="dxa"/>
            <w:left w:w="0" w:type="dxa"/>
            <w:bottom w:w="0" w:type="dxa"/>
            <w:right w:w="0" w:type="dxa"/>
          </w:tblCellMar>
        </w:tblPrEx>
        <w:trPr>
          <w:trHeight w:val="340" w:hRule="atLeast"/>
          <w:jc w:val="center"/>
        </w:trPr>
        <w:tc>
          <w:tcPr>
            <w:tcW w:w="2686" w:type="dxa"/>
            <w:tcBorders>
              <w:top w:val="single" w:color="auto" w:sz="4" w:space="0"/>
              <w:left w:val="nil"/>
              <w:bottom w:val="single" w:color="auto" w:sz="4" w:space="0"/>
              <w:right w:val="nil"/>
            </w:tcBorders>
            <w:shd w:val="clear" w:color="auto" w:fill="auto"/>
            <w:vAlign w:val="center"/>
          </w:tcPr>
          <w:p w14:paraId="0B87C95C">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S2</w:t>
            </w:r>
          </w:p>
        </w:tc>
        <w:tc>
          <w:tcPr>
            <w:tcW w:w="2035" w:type="dxa"/>
            <w:tcBorders>
              <w:top w:val="single" w:color="auto" w:sz="4" w:space="0"/>
              <w:left w:val="single" w:color="auto" w:sz="4" w:space="0"/>
              <w:bottom w:val="single" w:color="auto" w:sz="4" w:space="0"/>
              <w:right w:val="nil"/>
            </w:tcBorders>
            <w:shd w:val="clear" w:color="auto" w:fill="auto"/>
            <w:vAlign w:val="center"/>
          </w:tcPr>
          <w:p w14:paraId="65F2E34B">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E1</w:t>
            </w:r>
          </w:p>
        </w:tc>
        <w:tc>
          <w:tcPr>
            <w:tcW w:w="2240" w:type="dxa"/>
            <w:tcBorders>
              <w:top w:val="single" w:color="auto" w:sz="4" w:space="0"/>
              <w:left w:val="single" w:color="auto" w:sz="4" w:space="0"/>
              <w:bottom w:val="single" w:color="auto" w:sz="4" w:space="0"/>
              <w:right w:val="nil"/>
            </w:tcBorders>
            <w:shd w:val="clear" w:color="auto" w:fill="auto"/>
            <w:vAlign w:val="center"/>
          </w:tcPr>
          <w:p w14:paraId="45AB365E">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E2</w:t>
            </w:r>
          </w:p>
        </w:tc>
        <w:tc>
          <w:tcPr>
            <w:tcW w:w="2110" w:type="dxa"/>
            <w:tcBorders>
              <w:top w:val="single" w:color="auto" w:sz="4" w:space="0"/>
              <w:left w:val="single" w:color="auto" w:sz="4" w:space="0"/>
              <w:bottom w:val="single" w:color="auto" w:sz="4" w:space="0"/>
              <w:right w:val="nil"/>
            </w:tcBorders>
            <w:shd w:val="clear" w:color="auto" w:fill="auto"/>
            <w:vAlign w:val="center"/>
          </w:tcPr>
          <w:p w14:paraId="7F8A9491">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E3</w:t>
            </w:r>
          </w:p>
        </w:tc>
      </w:tr>
      <w:tr w14:paraId="0B41CEFF">
        <w:tblPrEx>
          <w:tblCellMar>
            <w:top w:w="0" w:type="dxa"/>
            <w:left w:w="0" w:type="dxa"/>
            <w:bottom w:w="0" w:type="dxa"/>
            <w:right w:w="0" w:type="dxa"/>
          </w:tblCellMar>
        </w:tblPrEx>
        <w:trPr>
          <w:trHeight w:val="340" w:hRule="atLeast"/>
          <w:jc w:val="center"/>
        </w:trPr>
        <w:tc>
          <w:tcPr>
            <w:tcW w:w="2686" w:type="dxa"/>
            <w:tcBorders>
              <w:top w:val="single" w:color="auto" w:sz="4" w:space="0"/>
              <w:left w:val="nil"/>
              <w:bottom w:val="single" w:color="auto" w:sz="12" w:space="0"/>
              <w:right w:val="nil"/>
            </w:tcBorders>
            <w:shd w:val="clear" w:color="auto" w:fill="auto"/>
            <w:vAlign w:val="center"/>
          </w:tcPr>
          <w:p w14:paraId="79C20226">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S3</w:t>
            </w:r>
          </w:p>
        </w:tc>
        <w:tc>
          <w:tcPr>
            <w:tcW w:w="2035" w:type="dxa"/>
            <w:tcBorders>
              <w:top w:val="single" w:color="auto" w:sz="4" w:space="0"/>
              <w:left w:val="single" w:color="auto" w:sz="4" w:space="0"/>
              <w:bottom w:val="single" w:color="auto" w:sz="12" w:space="0"/>
              <w:right w:val="nil"/>
            </w:tcBorders>
            <w:shd w:val="clear" w:color="auto" w:fill="auto"/>
            <w:vAlign w:val="center"/>
          </w:tcPr>
          <w:p w14:paraId="5D7661AD">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E1</w:t>
            </w:r>
          </w:p>
        </w:tc>
        <w:tc>
          <w:tcPr>
            <w:tcW w:w="2240" w:type="dxa"/>
            <w:tcBorders>
              <w:top w:val="single" w:color="auto" w:sz="4" w:space="0"/>
              <w:left w:val="single" w:color="auto" w:sz="4" w:space="0"/>
              <w:bottom w:val="single" w:color="auto" w:sz="12" w:space="0"/>
              <w:right w:val="nil"/>
            </w:tcBorders>
            <w:shd w:val="clear" w:color="auto" w:fill="auto"/>
            <w:vAlign w:val="center"/>
          </w:tcPr>
          <w:p w14:paraId="1B647E16">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E2</w:t>
            </w:r>
          </w:p>
        </w:tc>
        <w:tc>
          <w:tcPr>
            <w:tcW w:w="2110" w:type="dxa"/>
            <w:tcBorders>
              <w:top w:val="single" w:color="auto" w:sz="4" w:space="0"/>
              <w:left w:val="single" w:color="auto" w:sz="4" w:space="0"/>
              <w:bottom w:val="single" w:color="auto" w:sz="12" w:space="0"/>
              <w:right w:val="nil"/>
            </w:tcBorders>
            <w:shd w:val="clear" w:color="auto" w:fill="auto"/>
            <w:vAlign w:val="center"/>
          </w:tcPr>
          <w:p w14:paraId="0F1805BA">
            <w:pPr>
              <w:ind w:left="-105" w:right="-105"/>
              <w:jc w:val="center"/>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lang w:eastAsia="en-US"/>
              </w:rPr>
              <w:t>E3</w:t>
            </w:r>
          </w:p>
        </w:tc>
      </w:tr>
    </w:tbl>
    <w:p w14:paraId="59881235">
      <w:pPr>
        <w:pStyle w:val="20"/>
        <w:adjustRightInd w:val="0"/>
        <w:snapToGrid w:val="0"/>
        <w:spacing w:line="360" w:lineRule="auto"/>
        <w:ind w:left="-105" w:right="-105" w:firstLine="480" w:firstLineChars="200"/>
        <w:rPr>
          <w:rFonts w:ascii="Times New Roman" w:hAnsi="Times New Roman" w:cs="Times New Roman"/>
          <w:color w:val="auto"/>
          <w:sz w:val="22"/>
          <w:szCs w:val="22"/>
          <w:highlight w:val="none"/>
        </w:rPr>
      </w:pPr>
      <w:r>
        <w:rPr>
          <w:rFonts w:ascii="Times New Roman" w:hAnsi="Times New Roman" w:cs="Times New Roman"/>
          <w:color w:val="auto"/>
          <w:sz w:val="24"/>
          <w:szCs w:val="24"/>
          <w:highlight w:val="none"/>
        </w:rPr>
        <w:t>根据上表判断，本项目地表水环境敏感程度为E1，环境</w:t>
      </w:r>
      <w:r>
        <w:rPr>
          <w:rFonts w:hint="eastAsia" w:ascii="Times New Roman" w:hAnsi="Times New Roman" w:cs="Times New Roman"/>
          <w:color w:val="auto"/>
          <w:sz w:val="24"/>
          <w:szCs w:val="24"/>
          <w:highlight w:val="none"/>
        </w:rPr>
        <w:t>高</w:t>
      </w:r>
      <w:r>
        <w:rPr>
          <w:rFonts w:ascii="Times New Roman" w:hAnsi="Times New Roman" w:cs="Times New Roman"/>
          <w:color w:val="auto"/>
          <w:sz w:val="24"/>
          <w:szCs w:val="24"/>
          <w:highlight w:val="none"/>
        </w:rPr>
        <w:t>度敏感区。</w:t>
      </w:r>
    </w:p>
    <w:p w14:paraId="77F6238B">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（3）地下水环境</w:t>
      </w:r>
    </w:p>
    <w:p w14:paraId="7513A760">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依据地下水功能敏感性与包气带防污性能，共分为三种类型，E1为环境高度敏感区，E2为环境中度敏感区，E3为环境低度敏感区，分级原则见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_Ref98330462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 xml:space="preserve">表 </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2.4</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15</w:t>
      </w:r>
      <w:r>
        <w:rPr>
          <w:rFonts w:ascii="Times New Roman" w:hAnsi="Times New Roman" w:cs="Times New Roman"/>
          <w:color w:val="auto"/>
          <w:highlight w:val="none"/>
        </w:rPr>
        <w:fldChar w:fldCharType="end"/>
      </w:r>
      <w:r>
        <w:rPr>
          <w:rFonts w:ascii="Times New Roman" w:hAnsi="Times New Roman" w:cs="Times New Roman"/>
          <w:color w:val="auto"/>
          <w:highlight w:val="none"/>
        </w:rPr>
        <w:t>。地下水功能敏感性分区和包气带防污性能分级分别见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_Ref98330531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 xml:space="preserve">表 </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2.4</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16</w:t>
      </w:r>
      <w:r>
        <w:rPr>
          <w:rFonts w:ascii="Times New Roman" w:hAnsi="Times New Roman" w:cs="Times New Roman"/>
          <w:color w:val="auto"/>
          <w:highlight w:val="none"/>
        </w:rPr>
        <w:fldChar w:fldCharType="end"/>
      </w:r>
      <w:r>
        <w:rPr>
          <w:rFonts w:ascii="Times New Roman" w:hAnsi="Times New Roman" w:cs="Times New Roman"/>
          <w:color w:val="auto"/>
          <w:highlight w:val="none"/>
        </w:rPr>
        <w:t>。当同一建设项目涉及两个G分区或D分级及以上时，取相对高值。</w:t>
      </w:r>
    </w:p>
    <w:p w14:paraId="4BC0B028">
      <w:pPr>
        <w:pStyle w:val="15"/>
        <w:ind w:left="-105" w:right="-105" w:firstLine="482"/>
        <w:rPr>
          <w:rFonts w:eastAsia="宋体"/>
          <w:b w:val="0"/>
          <w:bCs/>
          <w:color w:val="auto"/>
          <w:sz w:val="22"/>
          <w:szCs w:val="18"/>
          <w:highlight w:val="none"/>
        </w:rPr>
      </w:pPr>
      <w:bookmarkStart w:id="152" w:name="_Ref98330462"/>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15</w:t>
      </w:r>
      <w:r>
        <w:rPr>
          <w:rFonts w:eastAsia="宋体"/>
          <w:color w:val="auto"/>
          <w:sz w:val="24"/>
          <w:szCs w:val="18"/>
          <w:highlight w:val="none"/>
        </w:rPr>
        <w:fldChar w:fldCharType="end"/>
      </w:r>
      <w:bookmarkEnd w:id="152"/>
      <w:r>
        <w:rPr>
          <w:rFonts w:eastAsia="宋体"/>
          <w:bCs/>
          <w:color w:val="auto"/>
          <w:sz w:val="24"/>
          <w:szCs w:val="24"/>
          <w:highlight w:val="none"/>
        </w:rPr>
        <w:t>地下水功能敏感性分区</w:t>
      </w:r>
    </w:p>
    <w:tbl>
      <w:tblPr>
        <w:tblStyle w:val="45"/>
        <w:tblW w:w="5000" w:type="pct"/>
        <w:jc w:val="center"/>
        <w:tblLayout w:type="fixed"/>
        <w:tblCellMar>
          <w:top w:w="0" w:type="dxa"/>
          <w:left w:w="0" w:type="dxa"/>
          <w:bottom w:w="0" w:type="dxa"/>
          <w:right w:w="0" w:type="dxa"/>
        </w:tblCellMar>
      </w:tblPr>
      <w:tblGrid>
        <w:gridCol w:w="953"/>
        <w:gridCol w:w="7551"/>
      </w:tblGrid>
      <w:tr w14:paraId="031A54B3">
        <w:tblPrEx>
          <w:tblCellMar>
            <w:top w:w="0" w:type="dxa"/>
            <w:left w:w="0" w:type="dxa"/>
            <w:bottom w:w="0" w:type="dxa"/>
            <w:right w:w="0" w:type="dxa"/>
          </w:tblCellMar>
        </w:tblPrEx>
        <w:trPr>
          <w:trHeight w:val="340" w:hRule="atLeast"/>
          <w:jc w:val="center"/>
        </w:trPr>
        <w:tc>
          <w:tcPr>
            <w:tcW w:w="1015" w:type="dxa"/>
            <w:tcBorders>
              <w:top w:val="single" w:color="auto" w:sz="12" w:space="0"/>
              <w:left w:val="nil"/>
              <w:bottom w:val="single" w:color="auto" w:sz="4" w:space="0"/>
              <w:right w:val="single" w:color="auto" w:sz="4" w:space="0"/>
            </w:tcBorders>
            <w:vAlign w:val="center"/>
          </w:tcPr>
          <w:p w14:paraId="14FCF31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lang w:eastAsia="en-US"/>
              </w:rPr>
            </w:pPr>
            <w:r>
              <w:rPr>
                <w:rFonts w:ascii="Times New Roman" w:hAnsi="Times New Roman" w:cs="Times New Roman"/>
                <w:b/>
                <w:bCs/>
                <w:snapToGrid w:val="0"/>
                <w:color w:val="auto"/>
                <w:sz w:val="21"/>
                <w:szCs w:val="21"/>
                <w:highlight w:val="none"/>
                <w:lang w:eastAsia="en-US"/>
              </w:rPr>
              <w:t>敏感性</w:t>
            </w:r>
          </w:p>
        </w:tc>
        <w:tc>
          <w:tcPr>
            <w:tcW w:w="8056" w:type="dxa"/>
            <w:tcBorders>
              <w:top w:val="single" w:color="auto" w:sz="12" w:space="0"/>
              <w:left w:val="single" w:color="auto" w:sz="4" w:space="0"/>
              <w:bottom w:val="single" w:color="auto" w:sz="4" w:space="0"/>
              <w:right w:val="nil"/>
            </w:tcBorders>
            <w:vAlign w:val="center"/>
          </w:tcPr>
          <w:p w14:paraId="794AAB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snapToGrid w:val="0"/>
                <w:color w:val="auto"/>
                <w:sz w:val="21"/>
                <w:szCs w:val="21"/>
                <w:highlight w:val="none"/>
                <w:lang w:eastAsia="en-US"/>
              </w:rPr>
            </w:pPr>
            <w:r>
              <w:rPr>
                <w:rFonts w:ascii="Times New Roman" w:hAnsi="Times New Roman" w:cs="Times New Roman"/>
                <w:b/>
                <w:bCs/>
                <w:snapToGrid w:val="0"/>
                <w:color w:val="auto"/>
                <w:sz w:val="21"/>
                <w:szCs w:val="21"/>
                <w:highlight w:val="none"/>
                <w:lang w:eastAsia="en-US"/>
              </w:rPr>
              <w:t>地</w:t>
            </w:r>
            <w:r>
              <w:rPr>
                <w:rFonts w:ascii="Times New Roman" w:hAnsi="Times New Roman" w:cs="Times New Roman"/>
                <w:b/>
                <w:bCs/>
                <w:snapToGrid w:val="0"/>
                <w:color w:val="auto"/>
                <w:sz w:val="21"/>
                <w:szCs w:val="21"/>
                <w:highlight w:val="none"/>
              </w:rPr>
              <w:t>下</w:t>
            </w:r>
            <w:r>
              <w:rPr>
                <w:rFonts w:ascii="Times New Roman" w:hAnsi="Times New Roman" w:cs="Times New Roman"/>
                <w:b/>
                <w:bCs/>
                <w:snapToGrid w:val="0"/>
                <w:color w:val="auto"/>
                <w:sz w:val="21"/>
                <w:szCs w:val="21"/>
                <w:highlight w:val="none"/>
                <w:lang w:eastAsia="en-US"/>
              </w:rPr>
              <w:t>水环境敏感特征</w:t>
            </w:r>
          </w:p>
        </w:tc>
      </w:tr>
      <w:tr w14:paraId="0CA76508">
        <w:tblPrEx>
          <w:tblCellMar>
            <w:top w:w="0" w:type="dxa"/>
            <w:left w:w="0" w:type="dxa"/>
            <w:bottom w:w="0" w:type="dxa"/>
            <w:right w:w="0" w:type="dxa"/>
          </w:tblCellMar>
        </w:tblPrEx>
        <w:trPr>
          <w:trHeight w:val="340" w:hRule="atLeast"/>
          <w:jc w:val="center"/>
        </w:trPr>
        <w:tc>
          <w:tcPr>
            <w:tcW w:w="1015" w:type="dxa"/>
            <w:tcBorders>
              <w:top w:val="single" w:color="auto" w:sz="4" w:space="0"/>
              <w:left w:val="nil"/>
              <w:bottom w:val="single" w:color="auto" w:sz="4" w:space="0"/>
              <w:right w:val="single" w:color="auto" w:sz="4" w:space="0"/>
            </w:tcBorders>
            <w:vAlign w:val="center"/>
          </w:tcPr>
          <w:p w14:paraId="35F7050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敏感G1</w:t>
            </w:r>
          </w:p>
        </w:tc>
        <w:tc>
          <w:tcPr>
            <w:tcW w:w="8056" w:type="dxa"/>
            <w:tcBorders>
              <w:top w:val="single" w:color="auto" w:sz="4" w:space="0"/>
              <w:left w:val="single" w:color="auto" w:sz="4" w:space="0"/>
              <w:bottom w:val="single" w:color="auto" w:sz="4" w:space="0"/>
              <w:right w:val="nil"/>
            </w:tcBorders>
            <w:vAlign w:val="center"/>
          </w:tcPr>
          <w:p w14:paraId="13DC8CE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集中式饮用水水源（包括己建成的在用、备用、应急水源，在建和规划的饮用水水源）准保护区：除集中式饮用水水源以外的田家或地方政府设定的与地下水环境相关的其他保护区，如热水、矿泉水、温泉等特殊地卜水资源保护区</w:t>
            </w:r>
          </w:p>
        </w:tc>
      </w:tr>
      <w:tr w14:paraId="731F95BB">
        <w:tblPrEx>
          <w:tblCellMar>
            <w:top w:w="0" w:type="dxa"/>
            <w:left w:w="0" w:type="dxa"/>
            <w:bottom w:w="0" w:type="dxa"/>
            <w:right w:w="0" w:type="dxa"/>
          </w:tblCellMar>
        </w:tblPrEx>
        <w:trPr>
          <w:trHeight w:val="340" w:hRule="atLeast"/>
          <w:jc w:val="center"/>
        </w:trPr>
        <w:tc>
          <w:tcPr>
            <w:tcW w:w="1015" w:type="dxa"/>
            <w:tcBorders>
              <w:top w:val="single" w:color="auto" w:sz="4" w:space="0"/>
              <w:left w:val="nil"/>
              <w:bottom w:val="single" w:color="auto" w:sz="4" w:space="0"/>
              <w:right w:val="single" w:color="auto" w:sz="4" w:space="0"/>
            </w:tcBorders>
            <w:vAlign w:val="center"/>
          </w:tcPr>
          <w:p w14:paraId="467AEE2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较敏感G2</w:t>
            </w:r>
          </w:p>
        </w:tc>
        <w:tc>
          <w:tcPr>
            <w:tcW w:w="8056" w:type="dxa"/>
            <w:tcBorders>
              <w:top w:val="single" w:color="auto" w:sz="4" w:space="0"/>
              <w:left w:val="single" w:color="auto" w:sz="4" w:space="0"/>
              <w:bottom w:val="single" w:color="auto" w:sz="4" w:space="0"/>
              <w:right w:val="nil"/>
            </w:tcBorders>
            <w:vAlign w:val="center"/>
          </w:tcPr>
          <w:p w14:paraId="3626A44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集中式饮用水水源（包括己建成的在用、备用、应急水源，在建和规划的饮用水水源）准保护区以外的补给径流区：未划定准保护区的集中式饮用水水源，其保护区以外的补给径流区：分散式饮用水水源地：特殊地卜水资源（如热水、矿泉水、温泉等）保护区以外的分布区等其他未列入上述敏感分级的环境敏感区</w:t>
            </w:r>
            <w:r>
              <w:rPr>
                <w:rFonts w:ascii="Times New Roman" w:hAnsi="Times New Roman" w:cs="Times New Roman"/>
                <w:snapToGrid w:val="0"/>
                <w:color w:val="auto"/>
                <w:sz w:val="21"/>
                <w:szCs w:val="21"/>
                <w:highlight w:val="none"/>
                <w:vertAlign w:val="superscript"/>
              </w:rPr>
              <w:t>a</w:t>
            </w:r>
          </w:p>
        </w:tc>
      </w:tr>
      <w:tr w14:paraId="4323776E">
        <w:tblPrEx>
          <w:tblCellMar>
            <w:top w:w="0" w:type="dxa"/>
            <w:left w:w="0" w:type="dxa"/>
            <w:bottom w:w="0" w:type="dxa"/>
            <w:right w:w="0" w:type="dxa"/>
          </w:tblCellMar>
        </w:tblPrEx>
        <w:trPr>
          <w:trHeight w:val="340" w:hRule="atLeast"/>
          <w:jc w:val="center"/>
        </w:trPr>
        <w:tc>
          <w:tcPr>
            <w:tcW w:w="1015" w:type="dxa"/>
            <w:tcBorders>
              <w:top w:val="single" w:color="auto" w:sz="4" w:space="0"/>
              <w:left w:val="nil"/>
              <w:bottom w:val="single" w:color="auto" w:sz="4" w:space="0"/>
              <w:right w:val="single" w:color="auto" w:sz="4" w:space="0"/>
            </w:tcBorders>
            <w:shd w:val="clear" w:color="auto" w:fill="D9D9D9"/>
            <w:vAlign w:val="center"/>
          </w:tcPr>
          <w:p w14:paraId="2ECC6B3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不敏感G3</w:t>
            </w:r>
          </w:p>
        </w:tc>
        <w:tc>
          <w:tcPr>
            <w:tcW w:w="8056" w:type="dxa"/>
            <w:tcBorders>
              <w:top w:val="single" w:color="auto" w:sz="4" w:space="0"/>
              <w:left w:val="single" w:color="auto" w:sz="4" w:space="0"/>
              <w:bottom w:val="single" w:color="auto" w:sz="4" w:space="0"/>
              <w:right w:val="nil"/>
            </w:tcBorders>
            <w:shd w:val="clear" w:color="auto" w:fill="D9D9D9"/>
            <w:vAlign w:val="center"/>
          </w:tcPr>
          <w:p w14:paraId="6101C8A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上述地区之外的其他地区</w:t>
            </w:r>
          </w:p>
        </w:tc>
      </w:tr>
      <w:tr w14:paraId="06BFFC86">
        <w:tblPrEx>
          <w:tblCellMar>
            <w:top w:w="0" w:type="dxa"/>
            <w:left w:w="0" w:type="dxa"/>
            <w:bottom w:w="0" w:type="dxa"/>
            <w:right w:w="0" w:type="dxa"/>
          </w:tblCellMar>
        </w:tblPrEx>
        <w:trPr>
          <w:trHeight w:val="340" w:hRule="atLeast"/>
          <w:jc w:val="center"/>
        </w:trPr>
        <w:tc>
          <w:tcPr>
            <w:tcW w:w="9071" w:type="dxa"/>
            <w:gridSpan w:val="2"/>
            <w:tcBorders>
              <w:top w:val="single" w:color="auto" w:sz="4" w:space="0"/>
              <w:left w:val="nil"/>
              <w:bottom w:val="single" w:color="auto" w:sz="12" w:space="0"/>
              <w:right w:val="nil"/>
            </w:tcBorders>
            <w:vAlign w:val="center"/>
          </w:tcPr>
          <w:p w14:paraId="069FBDE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a“环境敏感区”是指(建设项目环境影响评价分类管理名录》中所界定的涉及地下水的环境敏感区</w:t>
            </w:r>
          </w:p>
        </w:tc>
      </w:tr>
    </w:tbl>
    <w:p w14:paraId="3A43671D">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项目所在地为锡山区锡北镇工业集聚区工业用地，地下水环境属于不敏感G3。</w:t>
      </w:r>
    </w:p>
    <w:p w14:paraId="1052F309">
      <w:pPr>
        <w:pStyle w:val="15"/>
        <w:spacing w:line="360" w:lineRule="auto"/>
        <w:ind w:left="-105" w:right="-105" w:firstLine="482"/>
        <w:rPr>
          <w:rFonts w:eastAsia="宋体"/>
          <w:bCs/>
          <w:color w:val="auto"/>
          <w:sz w:val="24"/>
          <w:szCs w:val="24"/>
          <w:highlight w:val="none"/>
        </w:rPr>
      </w:pPr>
      <w:bookmarkStart w:id="153" w:name="_Ref98330531"/>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16</w:t>
      </w:r>
      <w:r>
        <w:rPr>
          <w:rFonts w:eastAsia="宋体"/>
          <w:color w:val="auto"/>
          <w:sz w:val="24"/>
          <w:szCs w:val="18"/>
          <w:highlight w:val="none"/>
        </w:rPr>
        <w:fldChar w:fldCharType="end"/>
      </w:r>
      <w:bookmarkEnd w:id="153"/>
      <w:r>
        <w:rPr>
          <w:rFonts w:eastAsia="宋体"/>
          <w:bCs/>
          <w:color w:val="auto"/>
          <w:sz w:val="24"/>
          <w:szCs w:val="24"/>
          <w:highlight w:val="none"/>
        </w:rPr>
        <w:t>包气带防污性能分级</w:t>
      </w:r>
    </w:p>
    <w:tbl>
      <w:tblPr>
        <w:tblStyle w:val="45"/>
        <w:tblW w:w="5000" w:type="pct"/>
        <w:jc w:val="center"/>
        <w:tblLayout w:type="fixed"/>
        <w:tblCellMar>
          <w:top w:w="0" w:type="dxa"/>
          <w:left w:w="0" w:type="dxa"/>
          <w:bottom w:w="0" w:type="dxa"/>
          <w:right w:w="0" w:type="dxa"/>
        </w:tblCellMar>
      </w:tblPr>
      <w:tblGrid>
        <w:gridCol w:w="1120"/>
        <w:gridCol w:w="7384"/>
      </w:tblGrid>
      <w:tr w14:paraId="2D7570D8">
        <w:tblPrEx>
          <w:tblCellMar>
            <w:top w:w="0" w:type="dxa"/>
            <w:left w:w="0" w:type="dxa"/>
            <w:bottom w:w="0" w:type="dxa"/>
            <w:right w:w="0" w:type="dxa"/>
          </w:tblCellMar>
        </w:tblPrEx>
        <w:trPr>
          <w:trHeight w:val="340" w:hRule="atLeast"/>
          <w:jc w:val="center"/>
        </w:trPr>
        <w:tc>
          <w:tcPr>
            <w:tcW w:w="1120" w:type="dxa"/>
            <w:tcBorders>
              <w:top w:val="single" w:color="auto" w:sz="12" w:space="0"/>
              <w:left w:val="nil"/>
              <w:bottom w:val="single" w:color="auto" w:sz="4" w:space="0"/>
              <w:right w:val="single" w:color="auto" w:sz="4" w:space="0"/>
            </w:tcBorders>
            <w:vAlign w:val="center"/>
          </w:tcPr>
          <w:p w14:paraId="291483F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分级</w:t>
            </w:r>
          </w:p>
        </w:tc>
        <w:tc>
          <w:tcPr>
            <w:tcW w:w="7384" w:type="dxa"/>
            <w:tcBorders>
              <w:top w:val="single" w:color="auto" w:sz="12" w:space="0"/>
              <w:left w:val="single" w:color="auto" w:sz="4" w:space="0"/>
              <w:bottom w:val="single" w:color="auto" w:sz="4" w:space="0"/>
              <w:right w:val="nil"/>
            </w:tcBorders>
            <w:vAlign w:val="center"/>
          </w:tcPr>
          <w:p w14:paraId="276E654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包气带岩土的渗透性能</w:t>
            </w:r>
          </w:p>
        </w:tc>
      </w:tr>
      <w:tr w14:paraId="54BEAEFA">
        <w:tblPrEx>
          <w:tblCellMar>
            <w:top w:w="0" w:type="dxa"/>
            <w:left w:w="0" w:type="dxa"/>
            <w:bottom w:w="0" w:type="dxa"/>
            <w:right w:w="0" w:type="dxa"/>
          </w:tblCellMar>
        </w:tblPrEx>
        <w:trPr>
          <w:trHeight w:val="340" w:hRule="atLeast"/>
          <w:jc w:val="center"/>
        </w:trPr>
        <w:tc>
          <w:tcPr>
            <w:tcW w:w="1120" w:type="dxa"/>
            <w:tcBorders>
              <w:top w:val="single" w:color="auto" w:sz="4" w:space="0"/>
              <w:left w:val="nil"/>
              <w:bottom w:val="single" w:color="auto" w:sz="4" w:space="0"/>
              <w:right w:val="single" w:color="auto" w:sz="4" w:space="0"/>
            </w:tcBorders>
            <w:vAlign w:val="center"/>
          </w:tcPr>
          <w:p w14:paraId="0913EA3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D3</w:t>
            </w:r>
          </w:p>
        </w:tc>
        <w:tc>
          <w:tcPr>
            <w:tcW w:w="7384" w:type="dxa"/>
            <w:tcBorders>
              <w:top w:val="single" w:color="auto" w:sz="4" w:space="0"/>
              <w:left w:val="single" w:color="auto" w:sz="4" w:space="0"/>
              <w:bottom w:val="single" w:color="auto" w:sz="4" w:space="0"/>
              <w:right w:val="nil"/>
            </w:tcBorders>
            <w:vAlign w:val="center"/>
          </w:tcPr>
          <w:p w14:paraId="542A3B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Mb≥1.0m，K≤1.0×10</w:t>
            </w:r>
            <w:r>
              <w:rPr>
                <w:rFonts w:ascii="Times New Roman" w:hAnsi="Times New Roman" w:cs="Times New Roman"/>
                <w:snapToGrid w:val="0"/>
                <w:color w:val="auto"/>
                <w:sz w:val="21"/>
                <w:szCs w:val="21"/>
                <w:highlight w:val="none"/>
                <w:vertAlign w:val="superscript"/>
              </w:rPr>
              <w:t>-6</w:t>
            </w:r>
            <w:r>
              <w:rPr>
                <w:rFonts w:ascii="Times New Roman" w:hAnsi="Times New Roman" w:cs="Times New Roman"/>
                <w:snapToGrid w:val="0"/>
                <w:color w:val="auto"/>
                <w:sz w:val="21"/>
                <w:szCs w:val="21"/>
                <w:highlight w:val="none"/>
              </w:rPr>
              <w:t>cm/s，且分布连续、稳定</w:t>
            </w:r>
          </w:p>
        </w:tc>
      </w:tr>
      <w:tr w14:paraId="783A3DB7">
        <w:tblPrEx>
          <w:tblCellMar>
            <w:top w:w="0" w:type="dxa"/>
            <w:left w:w="0" w:type="dxa"/>
            <w:bottom w:w="0" w:type="dxa"/>
            <w:right w:w="0" w:type="dxa"/>
          </w:tblCellMar>
        </w:tblPrEx>
        <w:trPr>
          <w:trHeight w:val="340" w:hRule="atLeast"/>
          <w:jc w:val="center"/>
        </w:trPr>
        <w:tc>
          <w:tcPr>
            <w:tcW w:w="1120" w:type="dxa"/>
            <w:tcBorders>
              <w:top w:val="single" w:color="auto" w:sz="4" w:space="0"/>
              <w:left w:val="nil"/>
              <w:bottom w:val="single" w:color="auto" w:sz="4" w:space="0"/>
              <w:right w:val="single" w:color="auto" w:sz="4" w:space="0"/>
            </w:tcBorders>
            <w:shd w:val="clear" w:color="auto" w:fill="D9D9D9"/>
            <w:vAlign w:val="center"/>
          </w:tcPr>
          <w:p w14:paraId="0C54605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D2</w:t>
            </w:r>
          </w:p>
        </w:tc>
        <w:tc>
          <w:tcPr>
            <w:tcW w:w="7384" w:type="dxa"/>
            <w:tcBorders>
              <w:top w:val="single" w:color="auto" w:sz="4" w:space="0"/>
              <w:left w:val="single" w:color="auto" w:sz="4" w:space="0"/>
              <w:bottom w:val="single" w:color="auto" w:sz="4" w:space="0"/>
              <w:right w:val="nil"/>
            </w:tcBorders>
            <w:shd w:val="clear" w:color="auto" w:fill="D9D9D9"/>
            <w:vAlign w:val="center"/>
          </w:tcPr>
          <w:p w14:paraId="46F4185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0.5m≤Mb&lt;1.0m，K≤1.0×10</w:t>
            </w:r>
            <w:r>
              <w:rPr>
                <w:rFonts w:ascii="Times New Roman" w:hAnsi="Times New Roman" w:cs="Times New Roman"/>
                <w:snapToGrid w:val="0"/>
                <w:color w:val="auto"/>
                <w:sz w:val="21"/>
                <w:szCs w:val="21"/>
                <w:highlight w:val="none"/>
                <w:vertAlign w:val="superscript"/>
              </w:rPr>
              <w:t>-6</w:t>
            </w:r>
            <w:r>
              <w:rPr>
                <w:rFonts w:ascii="Times New Roman" w:hAnsi="Times New Roman" w:cs="Times New Roman"/>
                <w:snapToGrid w:val="0"/>
                <w:color w:val="auto"/>
                <w:sz w:val="21"/>
                <w:szCs w:val="21"/>
                <w:highlight w:val="none"/>
              </w:rPr>
              <w:t>cm/s，且分布连续、稳定</w:t>
            </w:r>
          </w:p>
          <w:p w14:paraId="14B931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Mb≥1.0m，1.0×10</w:t>
            </w:r>
            <w:r>
              <w:rPr>
                <w:rFonts w:ascii="Times New Roman" w:hAnsi="Times New Roman" w:cs="Times New Roman"/>
                <w:snapToGrid w:val="0"/>
                <w:color w:val="auto"/>
                <w:sz w:val="21"/>
                <w:szCs w:val="21"/>
                <w:highlight w:val="none"/>
                <w:vertAlign w:val="superscript"/>
              </w:rPr>
              <w:t>-6</w:t>
            </w:r>
            <w:r>
              <w:rPr>
                <w:rFonts w:ascii="Times New Roman" w:hAnsi="Times New Roman" w:cs="Times New Roman"/>
                <w:snapToGrid w:val="0"/>
                <w:color w:val="auto"/>
                <w:sz w:val="21"/>
                <w:szCs w:val="21"/>
                <w:highlight w:val="none"/>
              </w:rPr>
              <w:t>cm/s≤K≤1.0×10</w:t>
            </w:r>
            <w:r>
              <w:rPr>
                <w:rFonts w:ascii="Times New Roman" w:hAnsi="Times New Roman" w:cs="Times New Roman"/>
                <w:snapToGrid w:val="0"/>
                <w:color w:val="auto"/>
                <w:sz w:val="21"/>
                <w:szCs w:val="21"/>
                <w:highlight w:val="none"/>
                <w:vertAlign w:val="superscript"/>
              </w:rPr>
              <w:t>-4</w:t>
            </w:r>
            <w:r>
              <w:rPr>
                <w:rFonts w:ascii="Times New Roman" w:hAnsi="Times New Roman" w:cs="Times New Roman"/>
                <w:snapToGrid w:val="0"/>
                <w:color w:val="auto"/>
                <w:sz w:val="21"/>
                <w:szCs w:val="21"/>
                <w:highlight w:val="none"/>
              </w:rPr>
              <w:t>cm/s，且分布连续、稳定</w:t>
            </w:r>
          </w:p>
        </w:tc>
      </w:tr>
      <w:tr w14:paraId="7E9752FD">
        <w:tblPrEx>
          <w:tblCellMar>
            <w:top w:w="0" w:type="dxa"/>
            <w:left w:w="0" w:type="dxa"/>
            <w:bottom w:w="0" w:type="dxa"/>
            <w:right w:w="0" w:type="dxa"/>
          </w:tblCellMar>
        </w:tblPrEx>
        <w:trPr>
          <w:trHeight w:val="340" w:hRule="atLeast"/>
          <w:jc w:val="center"/>
        </w:trPr>
        <w:tc>
          <w:tcPr>
            <w:tcW w:w="1120" w:type="dxa"/>
            <w:tcBorders>
              <w:top w:val="single" w:color="auto" w:sz="4" w:space="0"/>
              <w:left w:val="nil"/>
              <w:bottom w:val="single" w:color="auto" w:sz="4" w:space="0"/>
              <w:right w:val="single" w:color="auto" w:sz="4" w:space="0"/>
            </w:tcBorders>
            <w:vAlign w:val="center"/>
          </w:tcPr>
          <w:p w14:paraId="587F2C8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D1</w:t>
            </w:r>
          </w:p>
        </w:tc>
        <w:tc>
          <w:tcPr>
            <w:tcW w:w="7384" w:type="dxa"/>
            <w:tcBorders>
              <w:top w:val="single" w:color="auto" w:sz="4" w:space="0"/>
              <w:left w:val="single" w:color="auto" w:sz="4" w:space="0"/>
              <w:bottom w:val="single" w:color="auto" w:sz="4" w:space="0"/>
              <w:right w:val="nil"/>
            </w:tcBorders>
            <w:vAlign w:val="center"/>
          </w:tcPr>
          <w:p w14:paraId="3CF0800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岩（土）层不满足上述D2和D3条件</w:t>
            </w:r>
          </w:p>
        </w:tc>
      </w:tr>
      <w:tr w14:paraId="02CE07D1">
        <w:tblPrEx>
          <w:tblCellMar>
            <w:top w:w="0" w:type="dxa"/>
            <w:left w:w="0" w:type="dxa"/>
            <w:bottom w:w="0" w:type="dxa"/>
            <w:right w:w="0" w:type="dxa"/>
          </w:tblCellMar>
        </w:tblPrEx>
        <w:trPr>
          <w:trHeight w:val="340" w:hRule="atLeast"/>
          <w:jc w:val="center"/>
        </w:trPr>
        <w:tc>
          <w:tcPr>
            <w:tcW w:w="8504" w:type="dxa"/>
            <w:gridSpan w:val="2"/>
            <w:tcBorders>
              <w:top w:val="single" w:color="auto" w:sz="4" w:space="0"/>
              <w:left w:val="nil"/>
              <w:bottom w:val="single" w:color="auto" w:sz="12" w:space="0"/>
              <w:right w:val="nil"/>
            </w:tcBorders>
            <w:vAlign w:val="center"/>
          </w:tcPr>
          <w:p w14:paraId="7777780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Mb：岩土层单层厚度。</w:t>
            </w:r>
          </w:p>
          <w:p w14:paraId="2E38435B">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K：渗透系数。</w:t>
            </w:r>
          </w:p>
        </w:tc>
      </w:tr>
    </w:tbl>
    <w:p w14:paraId="6B4DE061">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根据企业提供的《岩土工程</w:t>
      </w:r>
      <w:r>
        <w:rPr>
          <w:rFonts w:hint="eastAsia" w:ascii="Times New Roman" w:hAnsi="Times New Roman" w:cs="Times New Roman"/>
          <w:color w:val="auto"/>
          <w:highlight w:val="none"/>
        </w:rPr>
        <w:t>勘察</w:t>
      </w:r>
      <w:r>
        <w:rPr>
          <w:rFonts w:ascii="Times New Roman" w:hAnsi="Times New Roman" w:cs="Times New Roman"/>
          <w:color w:val="auto"/>
          <w:highlight w:val="none"/>
        </w:rPr>
        <w:t>报告》</w:t>
      </w:r>
      <w:r>
        <w:rPr>
          <w:rFonts w:hint="eastAsia" w:ascii="Times New Roman" w:hAnsi="Times New Roman" w:cs="Times New Roman"/>
          <w:color w:val="auto"/>
          <w:highlight w:val="none"/>
        </w:rPr>
        <w:t>及土壤现状监测结果。本项目所在地土壤渗透性在0.42~0.477mm/min</w:t>
      </w:r>
      <w:r>
        <w:rPr>
          <w:rFonts w:ascii="Times New Roman" w:hAnsi="Times New Roman" w:cs="Times New Roman"/>
          <w:color w:val="auto"/>
          <w:highlight w:val="none"/>
        </w:rPr>
        <w:t>，本项目所在地范围内岩（土）层满足上述D2中</w:t>
      </w:r>
      <w:r>
        <w:rPr>
          <w:rFonts w:hint="eastAsia" w:ascii="Times New Roman" w:hAnsi="Times New Roman" w:cs="Times New Roman"/>
          <w:color w:val="auto"/>
          <w:highlight w:val="none"/>
        </w:rPr>
        <w:t>“</w:t>
      </w:r>
      <w:r>
        <w:rPr>
          <w:rFonts w:ascii="Times New Roman" w:hAnsi="Times New Roman" w:cs="Times New Roman"/>
          <w:snapToGrid w:val="0"/>
          <w:color w:val="auto"/>
          <w:highlight w:val="none"/>
        </w:rPr>
        <w:t>Mb≥1.0m，1.0×10</w:t>
      </w:r>
      <w:r>
        <w:rPr>
          <w:rFonts w:ascii="Times New Roman" w:hAnsi="Times New Roman" w:cs="Times New Roman"/>
          <w:snapToGrid w:val="0"/>
          <w:color w:val="auto"/>
          <w:highlight w:val="none"/>
          <w:vertAlign w:val="superscript"/>
        </w:rPr>
        <w:t>-6</w:t>
      </w:r>
      <w:r>
        <w:rPr>
          <w:rFonts w:ascii="Times New Roman" w:hAnsi="Times New Roman" w:cs="Times New Roman"/>
          <w:snapToGrid w:val="0"/>
          <w:color w:val="auto"/>
          <w:highlight w:val="none"/>
        </w:rPr>
        <w:t>cm/s≤K≤1.0×10</w:t>
      </w:r>
      <w:r>
        <w:rPr>
          <w:rFonts w:ascii="Times New Roman" w:hAnsi="Times New Roman" w:cs="Times New Roman"/>
          <w:snapToGrid w:val="0"/>
          <w:color w:val="auto"/>
          <w:highlight w:val="none"/>
          <w:vertAlign w:val="superscript"/>
        </w:rPr>
        <w:t>-4</w:t>
      </w:r>
      <w:r>
        <w:rPr>
          <w:rFonts w:ascii="Times New Roman" w:hAnsi="Times New Roman" w:cs="Times New Roman"/>
          <w:snapToGrid w:val="0"/>
          <w:color w:val="auto"/>
          <w:highlight w:val="none"/>
        </w:rPr>
        <w:t>cm/s，且分布连续、稳定</w:t>
      </w:r>
      <w:r>
        <w:rPr>
          <w:rFonts w:hint="eastAsia" w:ascii="Times New Roman" w:hAnsi="Times New Roman" w:cs="Times New Roman"/>
          <w:color w:val="auto"/>
          <w:highlight w:val="none"/>
        </w:rPr>
        <w:t>”</w:t>
      </w:r>
      <w:r>
        <w:rPr>
          <w:rFonts w:ascii="Times New Roman" w:hAnsi="Times New Roman" w:cs="Times New Roman"/>
          <w:color w:val="auto"/>
          <w:highlight w:val="none"/>
        </w:rPr>
        <w:t>要求，以D2表示。</w:t>
      </w:r>
    </w:p>
    <w:p w14:paraId="3577DD89">
      <w:pPr>
        <w:pStyle w:val="15"/>
        <w:spacing w:line="360" w:lineRule="auto"/>
        <w:ind w:left="-105" w:right="-105" w:firstLine="482"/>
        <w:rPr>
          <w:rFonts w:eastAsia="宋体"/>
          <w:bCs/>
          <w:color w:val="auto"/>
          <w:sz w:val="24"/>
          <w:szCs w:val="24"/>
          <w:highlight w:val="none"/>
        </w:rPr>
      </w:pPr>
      <w:bookmarkStart w:id="154" w:name="_Ref98330710"/>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17</w:t>
      </w:r>
      <w:r>
        <w:rPr>
          <w:rFonts w:eastAsia="宋体"/>
          <w:color w:val="auto"/>
          <w:sz w:val="24"/>
          <w:szCs w:val="18"/>
          <w:highlight w:val="none"/>
        </w:rPr>
        <w:fldChar w:fldCharType="end"/>
      </w:r>
      <w:bookmarkEnd w:id="154"/>
      <w:r>
        <w:rPr>
          <w:rFonts w:eastAsia="宋体"/>
          <w:bCs/>
          <w:color w:val="auto"/>
          <w:sz w:val="24"/>
          <w:szCs w:val="24"/>
          <w:highlight w:val="none"/>
        </w:rPr>
        <w:t>地下水环境敏感程度分级</w:t>
      </w:r>
    </w:p>
    <w:tbl>
      <w:tblPr>
        <w:tblStyle w:val="45"/>
        <w:tblW w:w="5000" w:type="pct"/>
        <w:jc w:val="center"/>
        <w:tblLayout w:type="fixed"/>
        <w:tblCellMar>
          <w:top w:w="0" w:type="dxa"/>
          <w:left w:w="0" w:type="dxa"/>
          <w:bottom w:w="0" w:type="dxa"/>
          <w:right w:w="0" w:type="dxa"/>
        </w:tblCellMar>
      </w:tblPr>
      <w:tblGrid>
        <w:gridCol w:w="2727"/>
        <w:gridCol w:w="1516"/>
        <w:gridCol w:w="2125"/>
        <w:gridCol w:w="2136"/>
      </w:tblGrid>
      <w:tr w14:paraId="4CD95145">
        <w:tblPrEx>
          <w:tblCellMar>
            <w:top w:w="0" w:type="dxa"/>
            <w:left w:w="0" w:type="dxa"/>
            <w:bottom w:w="0" w:type="dxa"/>
            <w:right w:w="0" w:type="dxa"/>
          </w:tblCellMar>
        </w:tblPrEx>
        <w:trPr>
          <w:trHeight w:val="340" w:hRule="atLeast"/>
          <w:jc w:val="center"/>
        </w:trPr>
        <w:tc>
          <w:tcPr>
            <w:tcW w:w="2909" w:type="dxa"/>
            <w:vMerge w:val="restart"/>
            <w:tcBorders>
              <w:top w:val="single" w:color="auto" w:sz="12" w:space="0"/>
              <w:left w:val="nil"/>
              <w:bottom w:val="single" w:color="auto" w:sz="4" w:space="0"/>
              <w:right w:val="single" w:color="auto" w:sz="4" w:space="0"/>
            </w:tcBorders>
            <w:vAlign w:val="center"/>
          </w:tcPr>
          <w:p w14:paraId="68AB66E7">
            <w:pPr>
              <w:ind w:left="-105" w:right="-105"/>
              <w:jc w:val="center"/>
              <w:rPr>
                <w:rFonts w:ascii="Times New Roman" w:hAnsi="Times New Roman" w:cs="Times New Roman"/>
                <w:b/>
                <w:bCs/>
                <w:snapToGrid w:val="0"/>
                <w:color w:val="auto"/>
                <w:sz w:val="21"/>
                <w:szCs w:val="21"/>
                <w:highlight w:val="none"/>
                <w:lang w:eastAsia="en-US"/>
              </w:rPr>
            </w:pPr>
            <w:r>
              <w:rPr>
                <w:rFonts w:ascii="Times New Roman" w:hAnsi="Times New Roman" w:cs="Times New Roman"/>
                <w:b/>
                <w:bCs/>
                <w:snapToGrid w:val="0"/>
                <w:color w:val="auto"/>
                <w:sz w:val="21"/>
                <w:szCs w:val="21"/>
                <w:highlight w:val="none"/>
                <w:lang w:eastAsia="en-US"/>
              </w:rPr>
              <w:t>包气带防污性能</w:t>
            </w:r>
          </w:p>
        </w:tc>
        <w:tc>
          <w:tcPr>
            <w:tcW w:w="6162" w:type="dxa"/>
            <w:gridSpan w:val="3"/>
            <w:tcBorders>
              <w:top w:val="single" w:color="auto" w:sz="12" w:space="0"/>
              <w:left w:val="single" w:color="auto" w:sz="4" w:space="0"/>
              <w:bottom w:val="single" w:color="auto" w:sz="4" w:space="0"/>
              <w:right w:val="nil"/>
            </w:tcBorders>
            <w:vAlign w:val="center"/>
          </w:tcPr>
          <w:p w14:paraId="6EC4393D">
            <w:pPr>
              <w:ind w:left="-105" w:right="-105"/>
              <w:jc w:val="center"/>
              <w:rPr>
                <w:rFonts w:ascii="Times New Roman" w:hAnsi="Times New Roman" w:cs="Times New Roman"/>
                <w:b/>
                <w:bCs/>
                <w:snapToGrid w:val="0"/>
                <w:color w:val="auto"/>
                <w:sz w:val="21"/>
                <w:szCs w:val="21"/>
                <w:highlight w:val="none"/>
                <w:lang w:eastAsia="en-US"/>
              </w:rPr>
            </w:pPr>
            <w:r>
              <w:rPr>
                <w:rFonts w:ascii="Times New Roman" w:hAnsi="Times New Roman" w:cs="Times New Roman"/>
                <w:b/>
                <w:bCs/>
                <w:snapToGrid w:val="0"/>
                <w:color w:val="auto"/>
                <w:sz w:val="21"/>
                <w:szCs w:val="21"/>
                <w:highlight w:val="none"/>
                <w:lang w:eastAsia="en-US"/>
              </w:rPr>
              <w:t>地</w:t>
            </w:r>
            <w:r>
              <w:rPr>
                <w:rFonts w:hint="eastAsia" w:ascii="Times New Roman" w:hAnsi="Times New Roman" w:cs="Times New Roman"/>
                <w:b/>
                <w:bCs/>
                <w:snapToGrid w:val="0"/>
                <w:color w:val="auto"/>
                <w:sz w:val="21"/>
                <w:szCs w:val="21"/>
                <w:highlight w:val="none"/>
              </w:rPr>
              <w:t>下</w:t>
            </w:r>
            <w:r>
              <w:rPr>
                <w:rFonts w:ascii="Times New Roman" w:hAnsi="Times New Roman" w:cs="Times New Roman"/>
                <w:b/>
                <w:bCs/>
                <w:snapToGrid w:val="0"/>
                <w:color w:val="auto"/>
                <w:sz w:val="21"/>
                <w:szCs w:val="21"/>
                <w:highlight w:val="none"/>
                <w:lang w:eastAsia="en-US"/>
              </w:rPr>
              <w:t>水功能敏感性</w:t>
            </w:r>
          </w:p>
        </w:tc>
      </w:tr>
      <w:tr w14:paraId="75F6DB7B">
        <w:tblPrEx>
          <w:tblCellMar>
            <w:top w:w="0" w:type="dxa"/>
            <w:left w:w="0" w:type="dxa"/>
            <w:bottom w:w="0" w:type="dxa"/>
            <w:right w:w="0" w:type="dxa"/>
          </w:tblCellMar>
        </w:tblPrEx>
        <w:trPr>
          <w:trHeight w:val="340" w:hRule="atLeast"/>
          <w:jc w:val="center"/>
        </w:trPr>
        <w:tc>
          <w:tcPr>
            <w:tcW w:w="2909" w:type="dxa"/>
            <w:vMerge w:val="continue"/>
            <w:tcBorders>
              <w:top w:val="single" w:color="auto" w:sz="12" w:space="0"/>
              <w:left w:val="nil"/>
              <w:bottom w:val="single" w:color="auto" w:sz="4" w:space="0"/>
              <w:right w:val="single" w:color="auto" w:sz="4" w:space="0"/>
            </w:tcBorders>
            <w:vAlign w:val="center"/>
          </w:tcPr>
          <w:p w14:paraId="74D01E07">
            <w:pPr>
              <w:ind w:left="-105" w:right="-105"/>
              <w:rPr>
                <w:rFonts w:ascii="Times New Roman" w:hAnsi="Times New Roman" w:cs="Times New Roman"/>
                <w:b/>
                <w:bCs/>
                <w:snapToGrid w:val="0"/>
                <w:color w:val="auto"/>
                <w:sz w:val="21"/>
                <w:szCs w:val="21"/>
                <w:highlight w:val="none"/>
                <w:lang w:eastAsia="en-US"/>
              </w:rPr>
            </w:pPr>
          </w:p>
        </w:tc>
        <w:tc>
          <w:tcPr>
            <w:tcW w:w="1616" w:type="dxa"/>
            <w:tcBorders>
              <w:top w:val="single" w:color="auto" w:sz="4" w:space="0"/>
              <w:left w:val="single" w:color="auto" w:sz="4" w:space="0"/>
              <w:bottom w:val="single" w:color="auto" w:sz="4" w:space="0"/>
              <w:right w:val="single" w:color="auto" w:sz="4" w:space="0"/>
            </w:tcBorders>
            <w:vAlign w:val="center"/>
          </w:tcPr>
          <w:p w14:paraId="650D02B8">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G1</w:t>
            </w:r>
          </w:p>
        </w:tc>
        <w:tc>
          <w:tcPr>
            <w:tcW w:w="2267" w:type="dxa"/>
            <w:tcBorders>
              <w:top w:val="single" w:color="auto" w:sz="4" w:space="0"/>
              <w:left w:val="single" w:color="auto" w:sz="4" w:space="0"/>
              <w:bottom w:val="single" w:color="auto" w:sz="4" w:space="0"/>
              <w:right w:val="single" w:color="auto" w:sz="4" w:space="0"/>
            </w:tcBorders>
            <w:vAlign w:val="center"/>
          </w:tcPr>
          <w:p w14:paraId="3DDD5800">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G2</w:t>
            </w:r>
          </w:p>
        </w:tc>
        <w:tc>
          <w:tcPr>
            <w:tcW w:w="2279" w:type="dxa"/>
            <w:tcBorders>
              <w:top w:val="single" w:color="auto" w:sz="4" w:space="0"/>
              <w:left w:val="single" w:color="auto" w:sz="4" w:space="0"/>
              <w:bottom w:val="single" w:color="auto" w:sz="4" w:space="0"/>
              <w:right w:val="nil"/>
            </w:tcBorders>
            <w:vAlign w:val="center"/>
          </w:tcPr>
          <w:p w14:paraId="42F4679C">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G3</w:t>
            </w:r>
          </w:p>
        </w:tc>
      </w:tr>
      <w:tr w14:paraId="2D1D2399">
        <w:tblPrEx>
          <w:tblCellMar>
            <w:top w:w="0" w:type="dxa"/>
            <w:left w:w="0" w:type="dxa"/>
            <w:bottom w:w="0" w:type="dxa"/>
            <w:right w:w="0" w:type="dxa"/>
          </w:tblCellMar>
        </w:tblPrEx>
        <w:trPr>
          <w:trHeight w:val="340" w:hRule="atLeast"/>
          <w:jc w:val="center"/>
        </w:trPr>
        <w:tc>
          <w:tcPr>
            <w:tcW w:w="2909" w:type="dxa"/>
            <w:tcBorders>
              <w:top w:val="single" w:color="auto" w:sz="4" w:space="0"/>
              <w:left w:val="nil"/>
              <w:bottom w:val="single" w:color="auto" w:sz="4" w:space="0"/>
              <w:right w:val="single" w:color="auto" w:sz="4" w:space="0"/>
            </w:tcBorders>
            <w:vAlign w:val="center"/>
          </w:tcPr>
          <w:p w14:paraId="77E91B44">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D1</w:t>
            </w:r>
          </w:p>
        </w:tc>
        <w:tc>
          <w:tcPr>
            <w:tcW w:w="1616" w:type="dxa"/>
            <w:tcBorders>
              <w:top w:val="single" w:color="auto" w:sz="4" w:space="0"/>
              <w:left w:val="single" w:color="auto" w:sz="4" w:space="0"/>
              <w:bottom w:val="single" w:color="auto" w:sz="4" w:space="0"/>
              <w:right w:val="single" w:color="auto" w:sz="4" w:space="0"/>
            </w:tcBorders>
            <w:vAlign w:val="center"/>
          </w:tcPr>
          <w:p w14:paraId="36697D0C">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E1</w:t>
            </w:r>
          </w:p>
        </w:tc>
        <w:tc>
          <w:tcPr>
            <w:tcW w:w="2267" w:type="dxa"/>
            <w:tcBorders>
              <w:top w:val="single" w:color="auto" w:sz="4" w:space="0"/>
              <w:left w:val="single" w:color="auto" w:sz="4" w:space="0"/>
              <w:bottom w:val="single" w:color="auto" w:sz="4" w:space="0"/>
              <w:right w:val="single" w:color="auto" w:sz="4" w:space="0"/>
            </w:tcBorders>
            <w:vAlign w:val="center"/>
          </w:tcPr>
          <w:p w14:paraId="7810AB91">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E1</w:t>
            </w:r>
          </w:p>
        </w:tc>
        <w:tc>
          <w:tcPr>
            <w:tcW w:w="2279" w:type="dxa"/>
            <w:tcBorders>
              <w:top w:val="single" w:color="auto" w:sz="4" w:space="0"/>
              <w:left w:val="single" w:color="auto" w:sz="4" w:space="0"/>
              <w:bottom w:val="single" w:color="auto" w:sz="4" w:space="0"/>
              <w:right w:val="nil"/>
            </w:tcBorders>
            <w:vAlign w:val="center"/>
          </w:tcPr>
          <w:p w14:paraId="222E2004">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E2</w:t>
            </w:r>
          </w:p>
        </w:tc>
      </w:tr>
      <w:tr w14:paraId="0AAF49F8">
        <w:tblPrEx>
          <w:tblCellMar>
            <w:top w:w="0" w:type="dxa"/>
            <w:left w:w="0" w:type="dxa"/>
            <w:bottom w:w="0" w:type="dxa"/>
            <w:right w:w="0" w:type="dxa"/>
          </w:tblCellMar>
        </w:tblPrEx>
        <w:trPr>
          <w:trHeight w:val="340" w:hRule="atLeast"/>
          <w:jc w:val="center"/>
        </w:trPr>
        <w:tc>
          <w:tcPr>
            <w:tcW w:w="2909" w:type="dxa"/>
            <w:tcBorders>
              <w:top w:val="single" w:color="auto" w:sz="4" w:space="0"/>
              <w:left w:val="nil"/>
              <w:bottom w:val="single" w:color="auto" w:sz="4" w:space="0"/>
              <w:right w:val="single" w:color="auto" w:sz="4" w:space="0"/>
            </w:tcBorders>
            <w:shd w:val="clear" w:color="auto" w:fill="auto"/>
            <w:vAlign w:val="center"/>
          </w:tcPr>
          <w:p w14:paraId="7972C91D">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D2</w:t>
            </w:r>
          </w:p>
        </w:tc>
        <w:tc>
          <w:tcPr>
            <w:tcW w:w="1616" w:type="dxa"/>
            <w:tcBorders>
              <w:top w:val="single" w:color="auto" w:sz="4" w:space="0"/>
              <w:left w:val="single" w:color="auto" w:sz="4" w:space="0"/>
              <w:bottom w:val="single" w:color="auto" w:sz="4" w:space="0"/>
              <w:right w:val="single" w:color="auto" w:sz="4" w:space="0"/>
            </w:tcBorders>
            <w:shd w:val="clear" w:color="auto" w:fill="auto"/>
            <w:vAlign w:val="center"/>
          </w:tcPr>
          <w:p w14:paraId="4CDB908E">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E1</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14:paraId="26A67360">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E2</w:t>
            </w:r>
          </w:p>
        </w:tc>
        <w:tc>
          <w:tcPr>
            <w:tcW w:w="2279" w:type="dxa"/>
            <w:tcBorders>
              <w:top w:val="single" w:color="auto" w:sz="4" w:space="0"/>
              <w:left w:val="single" w:color="auto" w:sz="4" w:space="0"/>
              <w:bottom w:val="single" w:color="auto" w:sz="4" w:space="0"/>
              <w:right w:val="nil"/>
            </w:tcBorders>
            <w:shd w:val="clear" w:color="auto" w:fill="D8D8D8"/>
            <w:vAlign w:val="center"/>
          </w:tcPr>
          <w:p w14:paraId="43C23206">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E3</w:t>
            </w:r>
          </w:p>
        </w:tc>
      </w:tr>
      <w:tr w14:paraId="65FD1FD0">
        <w:tblPrEx>
          <w:tblCellMar>
            <w:top w:w="0" w:type="dxa"/>
            <w:left w:w="0" w:type="dxa"/>
            <w:bottom w:w="0" w:type="dxa"/>
            <w:right w:w="0" w:type="dxa"/>
          </w:tblCellMar>
        </w:tblPrEx>
        <w:trPr>
          <w:trHeight w:val="340" w:hRule="atLeast"/>
          <w:jc w:val="center"/>
        </w:trPr>
        <w:tc>
          <w:tcPr>
            <w:tcW w:w="2909" w:type="dxa"/>
            <w:tcBorders>
              <w:top w:val="single" w:color="auto" w:sz="4" w:space="0"/>
              <w:left w:val="nil"/>
              <w:bottom w:val="single" w:color="auto" w:sz="12" w:space="0"/>
              <w:right w:val="single" w:color="auto" w:sz="4" w:space="0"/>
            </w:tcBorders>
            <w:vAlign w:val="center"/>
          </w:tcPr>
          <w:p w14:paraId="6301E236">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D3</w:t>
            </w:r>
          </w:p>
        </w:tc>
        <w:tc>
          <w:tcPr>
            <w:tcW w:w="1616" w:type="dxa"/>
            <w:tcBorders>
              <w:top w:val="single" w:color="auto" w:sz="4" w:space="0"/>
              <w:left w:val="single" w:color="auto" w:sz="4" w:space="0"/>
              <w:bottom w:val="single" w:color="auto" w:sz="12" w:space="0"/>
              <w:right w:val="single" w:color="auto" w:sz="4" w:space="0"/>
            </w:tcBorders>
            <w:vAlign w:val="center"/>
          </w:tcPr>
          <w:p w14:paraId="4DA8618E">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E2</w:t>
            </w:r>
          </w:p>
        </w:tc>
        <w:tc>
          <w:tcPr>
            <w:tcW w:w="2267" w:type="dxa"/>
            <w:tcBorders>
              <w:top w:val="single" w:color="auto" w:sz="4" w:space="0"/>
              <w:left w:val="single" w:color="auto" w:sz="4" w:space="0"/>
              <w:bottom w:val="single" w:color="auto" w:sz="12" w:space="0"/>
              <w:right w:val="single" w:color="auto" w:sz="4" w:space="0"/>
            </w:tcBorders>
            <w:vAlign w:val="center"/>
          </w:tcPr>
          <w:p w14:paraId="731CA126">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E3</w:t>
            </w:r>
          </w:p>
        </w:tc>
        <w:tc>
          <w:tcPr>
            <w:tcW w:w="2279" w:type="dxa"/>
            <w:tcBorders>
              <w:top w:val="single" w:color="auto" w:sz="4" w:space="0"/>
              <w:left w:val="single" w:color="auto" w:sz="4" w:space="0"/>
              <w:bottom w:val="single" w:color="auto" w:sz="12" w:space="0"/>
              <w:right w:val="nil"/>
            </w:tcBorders>
            <w:vAlign w:val="center"/>
          </w:tcPr>
          <w:p w14:paraId="0632DD98">
            <w:pPr>
              <w:ind w:left="-105" w:right="-105"/>
              <w:jc w:val="center"/>
              <w:rPr>
                <w:rFonts w:ascii="Times New Roman" w:hAnsi="Times New Roman" w:cs="Times New Roman"/>
                <w:snapToGrid w:val="0"/>
                <w:color w:val="auto"/>
                <w:sz w:val="21"/>
                <w:szCs w:val="21"/>
                <w:highlight w:val="none"/>
                <w:lang w:eastAsia="en-US"/>
              </w:rPr>
            </w:pPr>
            <w:r>
              <w:rPr>
                <w:rFonts w:ascii="Times New Roman" w:hAnsi="Times New Roman" w:cs="Times New Roman"/>
                <w:snapToGrid w:val="0"/>
                <w:color w:val="auto"/>
                <w:sz w:val="21"/>
                <w:szCs w:val="21"/>
                <w:highlight w:val="none"/>
                <w:lang w:eastAsia="en-US"/>
              </w:rPr>
              <w:t>E3</w:t>
            </w:r>
          </w:p>
        </w:tc>
      </w:tr>
    </w:tbl>
    <w:p w14:paraId="65E91397">
      <w:pPr>
        <w:pStyle w:val="20"/>
        <w:adjustRightInd w:val="0"/>
        <w:snapToGrid w:val="0"/>
        <w:spacing w:line="360" w:lineRule="auto"/>
        <w:ind w:left="-105" w:right="-105"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根据上表判断，本项目地下水环境敏感程度为E3，环境低度敏感区。</w:t>
      </w:r>
    </w:p>
    <w:p w14:paraId="7E0B7096">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4、环境风险潜势判断</w:t>
      </w:r>
    </w:p>
    <w:p w14:paraId="462CCB97">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本项目环境风险潜势判断结果见下表。</w:t>
      </w:r>
    </w:p>
    <w:p w14:paraId="0A9D2BE1">
      <w:pPr>
        <w:pStyle w:val="15"/>
        <w:ind w:left="-105" w:right="-105" w:firstLine="482"/>
        <w:rPr>
          <w:rFonts w:eastAsia="宋体"/>
          <w:b w:val="0"/>
          <w:bCs/>
          <w:color w:val="auto"/>
          <w:sz w:val="24"/>
          <w:szCs w:val="18"/>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18</w:t>
      </w:r>
      <w:r>
        <w:rPr>
          <w:rFonts w:eastAsia="宋体"/>
          <w:color w:val="auto"/>
          <w:sz w:val="24"/>
          <w:szCs w:val="18"/>
          <w:highlight w:val="none"/>
        </w:rPr>
        <w:fldChar w:fldCharType="end"/>
      </w:r>
      <w:r>
        <w:rPr>
          <w:rFonts w:eastAsia="宋体"/>
          <w:bCs/>
          <w:color w:val="auto"/>
          <w:sz w:val="24"/>
          <w:szCs w:val="18"/>
          <w:highlight w:val="none"/>
        </w:rPr>
        <w:t>环境风险潜势判断表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27"/>
        <w:gridCol w:w="1710"/>
        <w:gridCol w:w="1671"/>
        <w:gridCol w:w="2996"/>
      </w:tblGrid>
      <w:tr w14:paraId="455D6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Merge w:val="restart"/>
            <w:vAlign w:val="center"/>
          </w:tcPr>
          <w:p w14:paraId="3DD32ED2">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环境要素</w:t>
            </w:r>
          </w:p>
        </w:tc>
        <w:tc>
          <w:tcPr>
            <w:tcW w:w="3873" w:type="dxa"/>
            <w:gridSpan w:val="2"/>
            <w:vAlign w:val="center"/>
          </w:tcPr>
          <w:p w14:paraId="373978D1">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color w:val="auto"/>
                <w:sz w:val="21"/>
                <w:szCs w:val="21"/>
                <w:highlight w:val="none"/>
              </w:rPr>
              <w:t>环境风险潜势初判</w:t>
            </w:r>
          </w:p>
        </w:tc>
        <w:tc>
          <w:tcPr>
            <w:tcW w:w="3436" w:type="dxa"/>
            <w:vMerge w:val="restart"/>
            <w:vAlign w:val="center"/>
          </w:tcPr>
          <w:p w14:paraId="5586CE9E">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color w:val="auto"/>
                <w:sz w:val="21"/>
                <w:szCs w:val="21"/>
                <w:highlight w:val="none"/>
              </w:rPr>
              <w:t>环境风险潜势判断</w:t>
            </w:r>
          </w:p>
        </w:tc>
      </w:tr>
      <w:tr w14:paraId="097B8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Merge w:val="continue"/>
            <w:vAlign w:val="center"/>
          </w:tcPr>
          <w:p w14:paraId="55207AD4">
            <w:pPr>
              <w:adjustRightInd w:val="0"/>
              <w:snapToGrid w:val="0"/>
              <w:ind w:left="-105" w:right="-105"/>
              <w:jc w:val="center"/>
              <w:rPr>
                <w:rFonts w:ascii="Times New Roman" w:hAnsi="Times New Roman" w:cs="Times New Roman"/>
                <w:b/>
                <w:bCs/>
                <w:color w:val="auto"/>
                <w:sz w:val="21"/>
                <w:szCs w:val="21"/>
                <w:highlight w:val="none"/>
              </w:rPr>
            </w:pPr>
          </w:p>
        </w:tc>
        <w:tc>
          <w:tcPr>
            <w:tcW w:w="1959" w:type="dxa"/>
            <w:vAlign w:val="center"/>
          </w:tcPr>
          <w:p w14:paraId="2B436743">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P</w:t>
            </w:r>
          </w:p>
        </w:tc>
        <w:tc>
          <w:tcPr>
            <w:tcW w:w="1914" w:type="dxa"/>
            <w:vAlign w:val="center"/>
          </w:tcPr>
          <w:p w14:paraId="1888D0C6">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E</w:t>
            </w:r>
          </w:p>
        </w:tc>
        <w:tc>
          <w:tcPr>
            <w:tcW w:w="3436" w:type="dxa"/>
            <w:vMerge w:val="continue"/>
            <w:vAlign w:val="center"/>
          </w:tcPr>
          <w:p w14:paraId="5F7CA271">
            <w:pPr>
              <w:adjustRightInd w:val="0"/>
              <w:snapToGrid w:val="0"/>
              <w:ind w:left="-105" w:right="-105"/>
              <w:jc w:val="center"/>
              <w:rPr>
                <w:rFonts w:ascii="Times New Roman" w:hAnsi="Times New Roman" w:cs="Times New Roman"/>
                <w:b/>
                <w:bCs/>
                <w:color w:val="auto"/>
                <w:sz w:val="21"/>
                <w:szCs w:val="21"/>
                <w:highlight w:val="none"/>
              </w:rPr>
            </w:pPr>
          </w:p>
        </w:tc>
      </w:tr>
      <w:tr w14:paraId="75C30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Align w:val="center"/>
          </w:tcPr>
          <w:p w14:paraId="0713ADA9">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大气</w:t>
            </w:r>
          </w:p>
        </w:tc>
        <w:tc>
          <w:tcPr>
            <w:tcW w:w="1959" w:type="dxa"/>
            <w:vAlign w:val="center"/>
          </w:tcPr>
          <w:p w14:paraId="5051223B">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P4</w:t>
            </w:r>
          </w:p>
        </w:tc>
        <w:tc>
          <w:tcPr>
            <w:tcW w:w="1914" w:type="dxa"/>
            <w:vAlign w:val="center"/>
          </w:tcPr>
          <w:p w14:paraId="64B7D3E5">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E1</w:t>
            </w:r>
          </w:p>
        </w:tc>
        <w:tc>
          <w:tcPr>
            <w:tcW w:w="3436" w:type="dxa"/>
            <w:vAlign w:val="center"/>
          </w:tcPr>
          <w:p w14:paraId="0533353C">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snapToGrid w:val="0"/>
                <w:color w:val="auto"/>
                <w:sz w:val="21"/>
                <w:szCs w:val="21"/>
                <w:highlight w:val="none"/>
                <w:lang w:eastAsia="en-US"/>
              </w:rPr>
              <w:t>III</w:t>
            </w:r>
          </w:p>
        </w:tc>
      </w:tr>
      <w:tr w14:paraId="12BA2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Align w:val="center"/>
          </w:tcPr>
          <w:p w14:paraId="7B22881E">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地表水</w:t>
            </w:r>
          </w:p>
        </w:tc>
        <w:tc>
          <w:tcPr>
            <w:tcW w:w="1959" w:type="dxa"/>
            <w:vAlign w:val="center"/>
          </w:tcPr>
          <w:p w14:paraId="47A8E244">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P4</w:t>
            </w:r>
          </w:p>
        </w:tc>
        <w:tc>
          <w:tcPr>
            <w:tcW w:w="1914" w:type="dxa"/>
            <w:vAlign w:val="center"/>
          </w:tcPr>
          <w:p w14:paraId="3F269851">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E1</w:t>
            </w:r>
          </w:p>
        </w:tc>
        <w:tc>
          <w:tcPr>
            <w:tcW w:w="3436" w:type="dxa"/>
            <w:vAlign w:val="center"/>
          </w:tcPr>
          <w:p w14:paraId="1D8D8754">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snapToGrid w:val="0"/>
                <w:color w:val="auto"/>
                <w:sz w:val="21"/>
                <w:szCs w:val="21"/>
                <w:highlight w:val="none"/>
                <w:lang w:eastAsia="en-US"/>
              </w:rPr>
              <w:t>III</w:t>
            </w:r>
          </w:p>
        </w:tc>
      </w:tr>
      <w:tr w14:paraId="3755C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Align w:val="center"/>
          </w:tcPr>
          <w:p w14:paraId="264AE63C">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地下水</w:t>
            </w:r>
          </w:p>
        </w:tc>
        <w:tc>
          <w:tcPr>
            <w:tcW w:w="1959" w:type="dxa"/>
            <w:vAlign w:val="center"/>
          </w:tcPr>
          <w:p w14:paraId="1D70778F">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P4</w:t>
            </w:r>
          </w:p>
        </w:tc>
        <w:tc>
          <w:tcPr>
            <w:tcW w:w="1914" w:type="dxa"/>
            <w:vAlign w:val="center"/>
          </w:tcPr>
          <w:p w14:paraId="73863473">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E3</w:t>
            </w:r>
          </w:p>
        </w:tc>
        <w:tc>
          <w:tcPr>
            <w:tcW w:w="3436" w:type="dxa"/>
            <w:vAlign w:val="center"/>
          </w:tcPr>
          <w:p w14:paraId="4E38C95D">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snapToGrid w:val="0"/>
                <w:color w:val="auto"/>
                <w:sz w:val="21"/>
                <w:szCs w:val="21"/>
                <w:highlight w:val="none"/>
                <w:lang w:eastAsia="en-US"/>
              </w:rPr>
              <w:t>I</w:t>
            </w:r>
          </w:p>
        </w:tc>
      </w:tr>
      <w:tr w14:paraId="4712B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37" w:type="dxa"/>
            <w:vAlign w:val="center"/>
          </w:tcPr>
          <w:p w14:paraId="776908D4">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综合</w:t>
            </w:r>
          </w:p>
        </w:tc>
        <w:tc>
          <w:tcPr>
            <w:tcW w:w="1959" w:type="dxa"/>
            <w:vAlign w:val="center"/>
          </w:tcPr>
          <w:p w14:paraId="2052CA83">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P4</w:t>
            </w:r>
          </w:p>
        </w:tc>
        <w:tc>
          <w:tcPr>
            <w:tcW w:w="1914" w:type="dxa"/>
            <w:vAlign w:val="center"/>
          </w:tcPr>
          <w:p w14:paraId="4ECDD860">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E1</w:t>
            </w:r>
          </w:p>
        </w:tc>
        <w:tc>
          <w:tcPr>
            <w:tcW w:w="3436" w:type="dxa"/>
            <w:vAlign w:val="center"/>
          </w:tcPr>
          <w:p w14:paraId="2BCC29CC">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snapToGrid w:val="0"/>
                <w:color w:val="auto"/>
                <w:sz w:val="21"/>
                <w:szCs w:val="21"/>
                <w:highlight w:val="none"/>
                <w:lang w:eastAsia="en-US"/>
              </w:rPr>
              <w:t>III</w:t>
            </w:r>
          </w:p>
        </w:tc>
      </w:tr>
    </w:tbl>
    <w:p w14:paraId="51D0A8FB">
      <w:pPr>
        <w:adjustRightInd w:val="0"/>
        <w:snapToGrid w:val="0"/>
        <w:spacing w:line="360" w:lineRule="auto"/>
        <w:ind w:left="-105" w:right="-105" w:firstLine="480" w:firstLineChars="200"/>
        <w:rPr>
          <w:rFonts w:ascii="Times New Roman" w:hAnsi="Times New Roman" w:cs="Times New Roman"/>
          <w:color w:val="auto"/>
          <w:kern w:val="24"/>
          <w:highlight w:val="none"/>
        </w:rPr>
      </w:pPr>
      <w:r>
        <w:rPr>
          <w:rFonts w:ascii="Times New Roman" w:hAnsi="Times New Roman" w:cs="Times New Roman"/>
          <w:color w:val="auto"/>
          <w:kern w:val="24"/>
          <w:highlight w:val="none"/>
        </w:rPr>
        <w:t>5、评价工作等级判定</w:t>
      </w:r>
    </w:p>
    <w:p w14:paraId="4FA2B07C">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根据《建设项目环境风险评价技术导则HJ 169—2018》规定，环境风险潜势综合等级取各要素等级的相对高值，故本项目环境风险潜势综合等级为Ⅲ。</w:t>
      </w:r>
    </w:p>
    <w:p w14:paraId="0BEC5EE5">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根据下表确定本项目的风险等级：</w:t>
      </w:r>
    </w:p>
    <w:p w14:paraId="6EF0C3E5">
      <w:pPr>
        <w:pStyle w:val="15"/>
        <w:ind w:left="-105" w:right="-105" w:firstLine="482"/>
        <w:rPr>
          <w:rFonts w:eastAsia="宋体"/>
          <w:b w:val="0"/>
          <w:color w:val="auto"/>
          <w:sz w:val="24"/>
          <w:szCs w:val="18"/>
          <w:highlight w:val="none"/>
        </w:rPr>
      </w:pPr>
      <w:r>
        <w:rPr>
          <w:rFonts w:eastAsia="宋体"/>
          <w:color w:val="auto"/>
          <w:sz w:val="24"/>
          <w:szCs w:val="18"/>
          <w:highlight w:val="none"/>
        </w:rPr>
        <w:t xml:space="preserve">表 </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19</w:t>
      </w:r>
      <w:r>
        <w:rPr>
          <w:rFonts w:eastAsia="宋体"/>
          <w:color w:val="auto"/>
          <w:sz w:val="24"/>
          <w:szCs w:val="18"/>
          <w:highlight w:val="none"/>
        </w:rPr>
        <w:fldChar w:fldCharType="end"/>
      </w:r>
      <w:r>
        <w:rPr>
          <w:rFonts w:eastAsia="宋体"/>
          <w:color w:val="auto"/>
          <w:sz w:val="24"/>
          <w:szCs w:val="18"/>
          <w:highlight w:val="none"/>
        </w:rPr>
        <w:t>评价工作等级划分</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01"/>
        <w:gridCol w:w="1701"/>
        <w:gridCol w:w="1701"/>
        <w:gridCol w:w="1701"/>
        <w:gridCol w:w="1700"/>
      </w:tblGrid>
      <w:tr w14:paraId="2DD80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01" w:type="dxa"/>
            <w:vAlign w:val="center"/>
          </w:tcPr>
          <w:p w14:paraId="3A05645D">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环境风险潜势</w:t>
            </w:r>
          </w:p>
        </w:tc>
        <w:tc>
          <w:tcPr>
            <w:tcW w:w="1701" w:type="dxa"/>
            <w:vAlign w:val="center"/>
          </w:tcPr>
          <w:p w14:paraId="6ED29037">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Ⅳ、Ⅳ</w:t>
            </w:r>
            <w:r>
              <w:rPr>
                <w:rFonts w:ascii="Times New Roman" w:hAnsi="Times New Roman" w:cs="Times New Roman"/>
                <w:b/>
                <w:color w:val="auto"/>
                <w:sz w:val="21"/>
                <w:szCs w:val="21"/>
                <w:highlight w:val="none"/>
                <w:vertAlign w:val="superscript"/>
              </w:rPr>
              <w:t>+</w:t>
            </w:r>
          </w:p>
        </w:tc>
        <w:tc>
          <w:tcPr>
            <w:tcW w:w="1701" w:type="dxa"/>
            <w:vAlign w:val="center"/>
          </w:tcPr>
          <w:p w14:paraId="7D5E27DF">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Ⅲ</w:t>
            </w:r>
          </w:p>
        </w:tc>
        <w:tc>
          <w:tcPr>
            <w:tcW w:w="1701" w:type="dxa"/>
            <w:vAlign w:val="center"/>
          </w:tcPr>
          <w:p w14:paraId="1786C244">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Ⅱ</w:t>
            </w:r>
          </w:p>
        </w:tc>
        <w:tc>
          <w:tcPr>
            <w:tcW w:w="1700" w:type="dxa"/>
            <w:vAlign w:val="center"/>
          </w:tcPr>
          <w:p w14:paraId="3FC28C99">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Ⅰ</w:t>
            </w:r>
          </w:p>
        </w:tc>
      </w:tr>
      <w:tr w14:paraId="761C0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701" w:type="dxa"/>
            <w:vAlign w:val="center"/>
          </w:tcPr>
          <w:p w14:paraId="05CBFBE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评价工作等级</w:t>
            </w:r>
          </w:p>
        </w:tc>
        <w:tc>
          <w:tcPr>
            <w:tcW w:w="1701" w:type="dxa"/>
            <w:vAlign w:val="center"/>
          </w:tcPr>
          <w:p w14:paraId="04D8C6A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w:t>
            </w:r>
          </w:p>
        </w:tc>
        <w:tc>
          <w:tcPr>
            <w:tcW w:w="1701" w:type="dxa"/>
            <w:vAlign w:val="center"/>
          </w:tcPr>
          <w:p w14:paraId="7FB06741">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w:t>
            </w:r>
          </w:p>
        </w:tc>
        <w:tc>
          <w:tcPr>
            <w:tcW w:w="1701" w:type="dxa"/>
            <w:vAlign w:val="center"/>
          </w:tcPr>
          <w:p w14:paraId="44AB1FA9">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三</w:t>
            </w:r>
          </w:p>
        </w:tc>
        <w:tc>
          <w:tcPr>
            <w:tcW w:w="1700" w:type="dxa"/>
            <w:vAlign w:val="center"/>
          </w:tcPr>
          <w:p w14:paraId="6EBDAFDE">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简单分析</w:t>
            </w:r>
          </w:p>
        </w:tc>
      </w:tr>
    </w:tbl>
    <w:p w14:paraId="75ED7F90">
      <w:pPr>
        <w:spacing w:line="360" w:lineRule="auto"/>
        <w:ind w:left="-105" w:right="-105" w:firstLine="480" w:firstLineChars="200"/>
        <w:rPr>
          <w:rFonts w:ascii="Times New Roman" w:hAnsi="Times New Roman"/>
          <w:color w:val="auto"/>
          <w:highlight w:val="none"/>
        </w:rPr>
      </w:pPr>
      <w:r>
        <w:rPr>
          <w:rFonts w:ascii="Times New Roman" w:hAnsi="Times New Roman" w:cs="Times New Roman"/>
          <w:color w:val="auto"/>
          <w:highlight w:val="none"/>
        </w:rPr>
        <w:t>由上表可见，</w:t>
      </w:r>
      <w:r>
        <w:rPr>
          <w:rFonts w:ascii="Times New Roman" w:hAnsi="Times New Roman" w:cs="Times New Roman"/>
          <w:b/>
          <w:bCs/>
          <w:color w:val="auto"/>
          <w:highlight w:val="none"/>
        </w:rPr>
        <w:t>本项目环境风险评价工作等级为二级</w:t>
      </w:r>
      <w:r>
        <w:rPr>
          <w:rFonts w:hint="eastAsia" w:ascii="Times New Roman" w:hAnsi="Times New Roman" w:cs="Times New Roman"/>
          <w:b/>
          <w:bCs/>
          <w:color w:val="auto"/>
          <w:highlight w:val="none"/>
        </w:rPr>
        <w:t>，</w:t>
      </w:r>
      <w:r>
        <w:rPr>
          <w:rFonts w:hint="eastAsia" w:ascii="Times New Roman" w:hAnsi="Times New Roman" w:cs="Times New Roman"/>
          <w:color w:val="auto"/>
          <w:highlight w:val="none"/>
        </w:rPr>
        <w:t>其中大气环境风险评价等级为二级，地表水环境风险评价等级为二级，地下水环境风险评价等级为简单分析</w:t>
      </w:r>
      <w:r>
        <w:rPr>
          <w:rFonts w:ascii="Times New Roman" w:hAnsi="Times New Roman" w:cs="Times New Roman"/>
          <w:color w:val="auto"/>
          <w:highlight w:val="none"/>
        </w:rPr>
        <w:t>。</w:t>
      </w:r>
    </w:p>
    <w:p w14:paraId="7F870293">
      <w:pPr>
        <w:pStyle w:val="6"/>
        <w:keepLines w:val="0"/>
        <w:widowControl/>
        <w:numPr>
          <w:ilvl w:val="0"/>
          <w:numId w:val="0"/>
        </w:numPr>
        <w:tabs>
          <w:tab w:val="left" w:pos="0"/>
          <w:tab w:val="left" w:pos="2550"/>
        </w:tabs>
        <w:spacing w:before="120" w:beforeLines="50" w:after="120" w:afterLines="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2.4.1.</w:t>
      </w:r>
      <w:r>
        <w:rPr>
          <w:rFonts w:hint="eastAsia" w:ascii="Times New Roman" w:hAnsi="Times New Roman"/>
          <w:color w:val="auto"/>
          <w:sz w:val="24"/>
          <w:szCs w:val="24"/>
          <w:highlight w:val="none"/>
        </w:rPr>
        <w:t>7</w:t>
      </w:r>
      <w:r>
        <w:rPr>
          <w:rFonts w:ascii="Times New Roman" w:hAnsi="Times New Roman"/>
          <w:color w:val="auto"/>
          <w:sz w:val="24"/>
          <w:szCs w:val="24"/>
          <w:highlight w:val="none"/>
        </w:rPr>
        <w:t>生态影响评价等级</w:t>
      </w:r>
    </w:p>
    <w:p w14:paraId="7DC10D44">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根据《环境影响评价技术导则 生态影响》（HJ19-2022）中：“6.1.8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本项目可不确定评价等级，直接进行生态影响简单分析。</w:t>
      </w:r>
    </w:p>
    <w:p w14:paraId="5141EEA0">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55" w:name="_Toc60653451"/>
      <w:r>
        <w:rPr>
          <w:rFonts w:eastAsia="宋体"/>
          <w:color w:val="auto"/>
          <w:sz w:val="28"/>
          <w:szCs w:val="28"/>
          <w:highlight w:val="none"/>
        </w:rPr>
        <w:t>评价工作内容及重点</w:t>
      </w:r>
      <w:bookmarkEnd w:id="155"/>
    </w:p>
    <w:p w14:paraId="482B0881">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根据项目地区环境状况以及项目污染特征，本项目评价重点为：</w:t>
      </w:r>
    </w:p>
    <w:p w14:paraId="049F106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（1）工程分析</w:t>
      </w:r>
    </w:p>
    <w:p w14:paraId="7B57F8B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（2）污染防治措施评述</w:t>
      </w:r>
    </w:p>
    <w:p w14:paraId="53604196">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（3）运营期环境影响预测与评价</w:t>
      </w:r>
    </w:p>
    <w:p w14:paraId="4BDFA663">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（4）总量控制分析</w:t>
      </w:r>
    </w:p>
    <w:p w14:paraId="3E5831A4">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（5）环境风险评价</w:t>
      </w:r>
      <w:r>
        <w:rPr>
          <w:rFonts w:ascii="Times New Roman" w:hAnsi="Times New Roman"/>
          <w:color w:val="auto"/>
          <w:highlight w:val="none"/>
        </w:rPr>
        <w:t>。</w:t>
      </w:r>
    </w:p>
    <w:p w14:paraId="568BDF4F">
      <w:pPr>
        <w:pStyle w:val="4"/>
        <w:numPr>
          <w:ilvl w:val="1"/>
          <w:numId w:val="6"/>
        </w:numPr>
        <w:tabs>
          <w:tab w:val="left" w:pos="426"/>
        </w:tabs>
        <w:spacing w:before="120" w:beforeLines="50" w:line="360" w:lineRule="auto"/>
        <w:ind w:left="-105" w:right="-105" w:firstLine="562"/>
        <w:rPr>
          <w:rFonts w:ascii="Times New Roman" w:eastAsia="宋体"/>
          <w:color w:val="auto"/>
          <w:sz w:val="28"/>
          <w:szCs w:val="28"/>
          <w:highlight w:val="none"/>
        </w:rPr>
        <w:sectPr>
          <w:headerReference r:id="rId11" w:type="default"/>
          <w:headerReference r:id="rId12" w:type="even"/>
          <w:pgSz w:w="11906" w:h="16838"/>
          <w:pgMar w:top="1440" w:right="1701" w:bottom="1440" w:left="1701" w:header="851" w:footer="992" w:gutter="0"/>
          <w:pgBorders>
            <w:top w:val="none" w:sz="0" w:space="0"/>
            <w:left w:val="none" w:sz="0" w:space="0"/>
            <w:bottom w:val="none" w:sz="0" w:space="0"/>
            <w:right w:val="none" w:sz="0" w:space="0"/>
          </w:pgBorders>
          <w:cols w:space="425" w:num="1"/>
          <w:docGrid w:linePitch="312" w:charSpace="0"/>
        </w:sectPr>
      </w:pPr>
      <w:bookmarkStart w:id="156" w:name="_Toc26567"/>
      <w:bookmarkStart w:id="157" w:name="_Toc327968202"/>
      <w:bookmarkStart w:id="158" w:name="_Toc352006407"/>
      <w:bookmarkStart w:id="159" w:name="_Toc125882614"/>
    </w:p>
    <w:p w14:paraId="118C72A1">
      <w:pPr>
        <w:pStyle w:val="4"/>
        <w:numPr>
          <w:ilvl w:val="1"/>
          <w:numId w:val="6"/>
        </w:numPr>
        <w:tabs>
          <w:tab w:val="left" w:pos="426"/>
        </w:tabs>
        <w:spacing w:before="120" w:beforeLines="50" w:line="360" w:lineRule="auto"/>
        <w:ind w:left="-105" w:right="-105"/>
        <w:rPr>
          <w:rFonts w:ascii="Times New Roman" w:eastAsia="宋体"/>
          <w:color w:val="auto"/>
          <w:sz w:val="28"/>
          <w:szCs w:val="28"/>
          <w:highlight w:val="none"/>
        </w:rPr>
      </w:pPr>
      <w:bookmarkStart w:id="160" w:name="_Toc10549"/>
      <w:bookmarkStart w:id="161" w:name="_Toc60653452"/>
      <w:r>
        <w:rPr>
          <w:rFonts w:ascii="Times New Roman" w:eastAsia="宋体"/>
          <w:color w:val="auto"/>
          <w:sz w:val="28"/>
          <w:szCs w:val="28"/>
          <w:highlight w:val="none"/>
        </w:rPr>
        <w:t>评价范围和环境</w:t>
      </w:r>
      <w:bookmarkEnd w:id="156"/>
      <w:bookmarkEnd w:id="157"/>
      <w:bookmarkEnd w:id="158"/>
      <w:r>
        <w:rPr>
          <w:rFonts w:ascii="Times New Roman" w:eastAsia="宋体"/>
          <w:color w:val="auto"/>
          <w:sz w:val="28"/>
          <w:szCs w:val="28"/>
          <w:highlight w:val="none"/>
        </w:rPr>
        <w:t>保护目标</w:t>
      </w:r>
      <w:bookmarkEnd w:id="160"/>
      <w:bookmarkEnd w:id="161"/>
    </w:p>
    <w:p w14:paraId="0A455F1E">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62" w:name="_Toc60653453"/>
      <w:r>
        <w:rPr>
          <w:rFonts w:eastAsia="宋体"/>
          <w:color w:val="auto"/>
          <w:sz w:val="28"/>
          <w:szCs w:val="28"/>
          <w:highlight w:val="none"/>
        </w:rPr>
        <w:t>评价范围</w:t>
      </w:r>
      <w:bookmarkEnd w:id="162"/>
    </w:p>
    <w:p w14:paraId="7BC4F490">
      <w:pPr>
        <w:tabs>
          <w:tab w:val="left" w:pos="993"/>
          <w:tab w:val="left" w:pos="1276"/>
        </w:tabs>
        <w:spacing w:line="360" w:lineRule="auto"/>
        <w:ind w:left="-105" w:right="-105" w:firstLine="480"/>
        <w:rPr>
          <w:rFonts w:ascii="Times New Roman" w:hAnsi="Times New Roman"/>
          <w:color w:val="auto"/>
          <w:highlight w:val="none"/>
        </w:rPr>
      </w:pPr>
      <w:r>
        <w:rPr>
          <w:rFonts w:ascii="Times New Roman" w:hAnsi="Times New Roman"/>
          <w:color w:val="auto"/>
          <w:highlight w:val="none"/>
        </w:rPr>
        <w:t>根据</w:t>
      </w:r>
      <w:r>
        <w:rPr>
          <w:rFonts w:hint="eastAsia" w:ascii="Times New Roman" w:hAnsi="Times New Roman"/>
          <w:color w:val="auto"/>
          <w:highlight w:val="none"/>
        </w:rPr>
        <w:t>本</w:t>
      </w:r>
      <w:r>
        <w:rPr>
          <w:rFonts w:ascii="Times New Roman" w:hAnsi="Times New Roman"/>
          <w:color w:val="auto"/>
          <w:highlight w:val="none"/>
        </w:rPr>
        <w:t>项目各环境因素环境影响评价等级，参照环境影响评价技术导则的要求，确定评价范围见</w:t>
      </w:r>
      <w:r>
        <w:rPr>
          <w:rFonts w:ascii="Times New Roman" w:hAnsi="Times New Roman"/>
          <w:color w:val="auto"/>
          <w:highlight w:val="none"/>
        </w:rPr>
        <w:fldChar w:fldCharType="begin"/>
      </w:r>
      <w:r>
        <w:rPr>
          <w:rFonts w:ascii="Times New Roman" w:hAnsi="Times New Roman"/>
          <w:color w:val="auto"/>
          <w:highlight w:val="none"/>
        </w:rPr>
        <w:instrText xml:space="preserve"> REF _Ref17892452 \h </w:instrText>
      </w:r>
      <w:r>
        <w:rPr>
          <w:rFonts w:ascii="Times New Roman" w:hAnsi="Times New Roman"/>
          <w:color w:val="auto"/>
          <w:highlight w:val="none"/>
        </w:rPr>
        <w:fldChar w:fldCharType="separate"/>
      </w:r>
      <w:r>
        <w:rPr>
          <w:rFonts w:ascii="Times New Roman" w:hAnsi="Times New Roman" w:cs="Times New Roman"/>
          <w:color w:val="auto"/>
          <w:highlight w:val="none"/>
        </w:rPr>
        <w:t xml:space="preserve">表 </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STYLEREF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2.5</w:t>
      </w:r>
      <w:r>
        <w:rPr>
          <w:rFonts w:ascii="Times New Roman" w:hAnsi="Times New Roman" w:cs="Times New Roman"/>
          <w:color w:val="auto"/>
          <w:highlight w:val="none"/>
        </w:rPr>
        <w:fldChar w:fldCharType="end"/>
      </w:r>
      <w:r>
        <w:rPr>
          <w:rFonts w:ascii="Times New Roman" w:hAnsi="Times New Roman" w:cs="Times New Roman"/>
          <w:color w:val="auto"/>
          <w:highlight w:val="none"/>
        </w:rPr>
        <w:t>-1</w:t>
      </w:r>
      <w:r>
        <w:rPr>
          <w:rFonts w:ascii="Times New Roman" w:hAnsi="Times New Roman"/>
          <w:color w:val="auto"/>
          <w:highlight w:val="none"/>
        </w:rPr>
        <w:fldChar w:fldCharType="end"/>
      </w:r>
      <w:r>
        <w:rPr>
          <w:rFonts w:ascii="Times New Roman" w:hAnsi="Times New Roman"/>
          <w:color w:val="auto"/>
          <w:highlight w:val="none"/>
        </w:rPr>
        <w:t>。</w:t>
      </w:r>
    </w:p>
    <w:p w14:paraId="7D69A0D0">
      <w:pPr>
        <w:pStyle w:val="15"/>
        <w:spacing w:line="360" w:lineRule="auto"/>
        <w:ind w:left="-105" w:right="-105" w:firstLine="482"/>
        <w:rPr>
          <w:rFonts w:eastAsia="宋体" w:cs="Times New Roman"/>
          <w:b w:val="0"/>
          <w:color w:val="auto"/>
          <w:sz w:val="24"/>
          <w:szCs w:val="24"/>
          <w:highlight w:val="none"/>
          <w:lang w:bidi="zh-CN"/>
        </w:rPr>
      </w:pPr>
      <w:bookmarkStart w:id="163" w:name="_Ref17892452"/>
      <w:r>
        <w:rPr>
          <w:rFonts w:eastAsia="宋体" w:cs="Times New Roman"/>
          <w:color w:val="auto"/>
          <w:sz w:val="24"/>
          <w:szCs w:val="24"/>
          <w:highlight w:val="none"/>
        </w:rPr>
        <w:t xml:space="preserve">表 </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2.5</w:t>
      </w:r>
      <w:r>
        <w:rPr>
          <w:rFonts w:eastAsia="宋体" w:cs="Times New Roman"/>
          <w:color w:val="auto"/>
          <w:sz w:val="24"/>
          <w:szCs w:val="24"/>
          <w:highlight w:val="none"/>
        </w:rPr>
        <w:fldChar w:fldCharType="end"/>
      </w:r>
      <w:r>
        <w:rPr>
          <w:rFonts w:eastAsia="宋体" w:cs="Times New Roman"/>
          <w:color w:val="auto"/>
          <w:sz w:val="24"/>
          <w:szCs w:val="24"/>
          <w:highlight w:val="none"/>
        </w:rPr>
        <w:t>-</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w:t>
      </w:r>
      <w:r>
        <w:rPr>
          <w:rFonts w:eastAsia="宋体" w:cs="Times New Roman"/>
          <w:color w:val="auto"/>
          <w:sz w:val="24"/>
          <w:szCs w:val="24"/>
          <w:highlight w:val="none"/>
        </w:rPr>
        <w:fldChar w:fldCharType="end"/>
      </w:r>
      <w:bookmarkEnd w:id="163"/>
      <w:r>
        <w:rPr>
          <w:rFonts w:eastAsia="宋体" w:cs="Times New Roman"/>
          <w:color w:val="auto"/>
          <w:sz w:val="24"/>
          <w:szCs w:val="24"/>
          <w:highlight w:val="none"/>
          <w:lang w:bidi="zh-CN"/>
        </w:rPr>
        <w:t>评价范围一览表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9"/>
        <w:gridCol w:w="702"/>
        <w:gridCol w:w="1545"/>
        <w:gridCol w:w="4978"/>
      </w:tblGrid>
      <w:tr w14:paraId="3810E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5B0343F9">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b/>
                <w:color w:val="auto"/>
                <w:sz w:val="21"/>
                <w:szCs w:val="21"/>
                <w:highlight w:val="none"/>
                <w:lang w:bidi="zh-CN"/>
              </w:rPr>
            </w:pPr>
            <w:r>
              <w:rPr>
                <w:rFonts w:ascii="Times New Roman" w:hAnsi="Times New Roman"/>
                <w:b/>
                <w:color w:val="auto"/>
                <w:sz w:val="21"/>
                <w:szCs w:val="21"/>
                <w:highlight w:val="none"/>
                <w:lang w:bidi="zh-CN"/>
              </w:rPr>
              <w:t>评价内容</w:t>
            </w:r>
          </w:p>
        </w:tc>
        <w:tc>
          <w:tcPr>
            <w:tcW w:w="2247" w:type="dxa"/>
            <w:gridSpan w:val="2"/>
            <w:tcBorders>
              <w:tl2br w:val="nil"/>
              <w:tr2bl w:val="nil"/>
            </w:tcBorders>
            <w:vAlign w:val="center"/>
          </w:tcPr>
          <w:p w14:paraId="1203E346">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b/>
                <w:color w:val="auto"/>
                <w:sz w:val="21"/>
                <w:szCs w:val="21"/>
                <w:highlight w:val="none"/>
                <w:lang w:bidi="zh-CN"/>
              </w:rPr>
            </w:pPr>
            <w:r>
              <w:rPr>
                <w:rFonts w:ascii="Times New Roman" w:hAnsi="Times New Roman"/>
                <w:b/>
                <w:color w:val="auto"/>
                <w:sz w:val="21"/>
                <w:szCs w:val="21"/>
                <w:highlight w:val="none"/>
                <w:lang w:bidi="zh-CN"/>
              </w:rPr>
              <w:t>评价等级</w:t>
            </w:r>
          </w:p>
        </w:tc>
        <w:tc>
          <w:tcPr>
            <w:tcW w:w="4978" w:type="dxa"/>
            <w:tcBorders>
              <w:tl2br w:val="nil"/>
              <w:tr2bl w:val="nil"/>
            </w:tcBorders>
            <w:vAlign w:val="center"/>
          </w:tcPr>
          <w:p w14:paraId="00B4AC86">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b/>
                <w:color w:val="auto"/>
                <w:sz w:val="21"/>
                <w:szCs w:val="21"/>
                <w:highlight w:val="none"/>
                <w:lang w:bidi="zh-CN"/>
              </w:rPr>
            </w:pPr>
            <w:r>
              <w:rPr>
                <w:rFonts w:ascii="Times New Roman" w:hAnsi="Times New Roman"/>
                <w:b/>
                <w:color w:val="auto"/>
                <w:sz w:val="21"/>
                <w:szCs w:val="21"/>
                <w:highlight w:val="none"/>
                <w:lang w:bidi="zh-CN"/>
              </w:rPr>
              <w:t>评价范围</w:t>
            </w:r>
          </w:p>
        </w:tc>
      </w:tr>
      <w:tr w14:paraId="0291E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13C5EECE">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大气环境</w:t>
            </w:r>
          </w:p>
        </w:tc>
        <w:tc>
          <w:tcPr>
            <w:tcW w:w="2247" w:type="dxa"/>
            <w:gridSpan w:val="2"/>
            <w:tcBorders>
              <w:tl2br w:val="nil"/>
              <w:tr2bl w:val="nil"/>
            </w:tcBorders>
            <w:vAlign w:val="center"/>
          </w:tcPr>
          <w:p w14:paraId="037DD6B4">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三</w:t>
            </w:r>
            <w:r>
              <w:rPr>
                <w:rFonts w:ascii="Times New Roman" w:hAnsi="Times New Roman"/>
                <w:color w:val="auto"/>
                <w:sz w:val="21"/>
                <w:szCs w:val="21"/>
                <w:highlight w:val="none"/>
                <w:lang w:bidi="zh-CN"/>
              </w:rPr>
              <w:t>级</w:t>
            </w:r>
          </w:p>
        </w:tc>
        <w:tc>
          <w:tcPr>
            <w:tcW w:w="4978" w:type="dxa"/>
            <w:tcBorders>
              <w:tl2br w:val="nil"/>
              <w:tr2bl w:val="nil"/>
            </w:tcBorders>
            <w:vAlign w:val="center"/>
          </w:tcPr>
          <w:p w14:paraId="7D394ACC">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不需设置大气环境影响评价范围</w:t>
            </w:r>
          </w:p>
        </w:tc>
      </w:tr>
      <w:tr w14:paraId="2BCE0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212F95DE">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水环境</w:t>
            </w:r>
          </w:p>
        </w:tc>
        <w:tc>
          <w:tcPr>
            <w:tcW w:w="2247" w:type="dxa"/>
            <w:gridSpan w:val="2"/>
            <w:tcBorders>
              <w:tl2br w:val="nil"/>
              <w:tr2bl w:val="nil"/>
            </w:tcBorders>
            <w:vAlign w:val="center"/>
          </w:tcPr>
          <w:p w14:paraId="7D0A0254">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三级B</w:t>
            </w:r>
          </w:p>
        </w:tc>
        <w:tc>
          <w:tcPr>
            <w:tcW w:w="4978" w:type="dxa"/>
            <w:tcBorders>
              <w:tl2br w:val="nil"/>
              <w:tr2bl w:val="nil"/>
            </w:tcBorders>
            <w:vAlign w:val="center"/>
          </w:tcPr>
          <w:p w14:paraId="1FD4FAA0">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s="Times New Roman"/>
                <w:color w:val="auto"/>
                <w:sz w:val="21"/>
                <w:szCs w:val="21"/>
                <w:highlight w:val="none"/>
              </w:rPr>
              <w:t>无锡市锡山云林污水处理有限公司</w:t>
            </w:r>
            <w:r>
              <w:rPr>
                <w:rFonts w:hint="eastAsia" w:ascii="Times New Roman" w:hAnsi="Times New Roman"/>
                <w:color w:val="auto"/>
                <w:sz w:val="21"/>
                <w:szCs w:val="21"/>
                <w:highlight w:val="none"/>
                <w:lang w:bidi="zh-CN"/>
              </w:rPr>
              <w:t>排水口上游500m至排污口下游1000m。</w:t>
            </w:r>
          </w:p>
        </w:tc>
      </w:tr>
      <w:tr w14:paraId="416F9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00412256">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噪声</w:t>
            </w:r>
          </w:p>
        </w:tc>
        <w:tc>
          <w:tcPr>
            <w:tcW w:w="2247" w:type="dxa"/>
            <w:gridSpan w:val="2"/>
            <w:tcBorders>
              <w:tl2br w:val="nil"/>
              <w:tr2bl w:val="nil"/>
            </w:tcBorders>
            <w:vAlign w:val="center"/>
          </w:tcPr>
          <w:p w14:paraId="1A6F17C6">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三级</w:t>
            </w:r>
          </w:p>
        </w:tc>
        <w:tc>
          <w:tcPr>
            <w:tcW w:w="4978" w:type="dxa"/>
            <w:tcBorders>
              <w:tl2br w:val="nil"/>
              <w:tr2bl w:val="nil"/>
            </w:tcBorders>
            <w:vAlign w:val="center"/>
          </w:tcPr>
          <w:p w14:paraId="66996135">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本项目厂界外200m</w:t>
            </w:r>
          </w:p>
        </w:tc>
      </w:tr>
      <w:tr w14:paraId="7F795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6DCE00AC">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土壤环境</w:t>
            </w:r>
          </w:p>
        </w:tc>
        <w:tc>
          <w:tcPr>
            <w:tcW w:w="2247" w:type="dxa"/>
            <w:gridSpan w:val="2"/>
            <w:tcBorders>
              <w:tl2br w:val="nil"/>
              <w:tr2bl w:val="nil"/>
            </w:tcBorders>
            <w:vAlign w:val="center"/>
          </w:tcPr>
          <w:p w14:paraId="586BFB25">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二级</w:t>
            </w:r>
          </w:p>
        </w:tc>
        <w:tc>
          <w:tcPr>
            <w:tcW w:w="4978" w:type="dxa"/>
            <w:tcBorders>
              <w:tl2br w:val="nil"/>
              <w:tr2bl w:val="nil"/>
            </w:tcBorders>
            <w:vAlign w:val="center"/>
          </w:tcPr>
          <w:p w14:paraId="621503C5">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本项目占地范围内，及厂界外0.2km范围内</w:t>
            </w:r>
          </w:p>
        </w:tc>
      </w:tr>
      <w:tr w14:paraId="11367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vMerge w:val="restart"/>
            <w:tcBorders>
              <w:tl2br w:val="nil"/>
              <w:tr2bl w:val="nil"/>
            </w:tcBorders>
            <w:vAlign w:val="center"/>
          </w:tcPr>
          <w:p w14:paraId="7814746C">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风险评价</w:t>
            </w:r>
          </w:p>
        </w:tc>
        <w:tc>
          <w:tcPr>
            <w:tcW w:w="702" w:type="dxa"/>
            <w:vMerge w:val="restart"/>
            <w:tcBorders>
              <w:tl2br w:val="nil"/>
              <w:tr2bl w:val="nil"/>
            </w:tcBorders>
            <w:vAlign w:val="center"/>
          </w:tcPr>
          <w:p w14:paraId="32A139D5">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olor w:val="auto"/>
                <w:sz w:val="21"/>
                <w:szCs w:val="21"/>
                <w:highlight w:val="none"/>
                <w:lang w:bidi="zh-CN"/>
              </w:rPr>
              <w:t>二级</w:t>
            </w:r>
          </w:p>
        </w:tc>
        <w:tc>
          <w:tcPr>
            <w:tcW w:w="1545" w:type="dxa"/>
            <w:tcBorders>
              <w:tl2br w:val="nil"/>
              <w:tr2bl w:val="nil"/>
            </w:tcBorders>
            <w:vAlign w:val="center"/>
          </w:tcPr>
          <w:p w14:paraId="74CCC633">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s="Times New Roman"/>
                <w:color w:val="auto"/>
                <w:sz w:val="21"/>
                <w:szCs w:val="21"/>
                <w:highlight w:val="none"/>
                <w:lang w:bidi="zh-CN"/>
              </w:rPr>
              <w:t>大气二级</w:t>
            </w:r>
          </w:p>
        </w:tc>
        <w:tc>
          <w:tcPr>
            <w:tcW w:w="4978" w:type="dxa"/>
            <w:tcBorders>
              <w:tl2br w:val="nil"/>
              <w:tr2bl w:val="nil"/>
            </w:tcBorders>
            <w:vAlign w:val="center"/>
          </w:tcPr>
          <w:p w14:paraId="359A93FF">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大气：项目边界5km范围内</w:t>
            </w:r>
          </w:p>
        </w:tc>
      </w:tr>
      <w:tr w14:paraId="47444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vMerge w:val="continue"/>
            <w:tcBorders>
              <w:tl2br w:val="nil"/>
              <w:tr2bl w:val="nil"/>
            </w:tcBorders>
            <w:vAlign w:val="center"/>
          </w:tcPr>
          <w:p w14:paraId="367AED47">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bookmarkStart w:id="164" w:name="_Toc60653454"/>
            <w:bookmarkStart w:id="165" w:name="_Toc352006408"/>
            <w:bookmarkStart w:id="166" w:name="_Toc327968203"/>
            <w:bookmarkStart w:id="167" w:name="_Toc5771"/>
          </w:p>
        </w:tc>
        <w:tc>
          <w:tcPr>
            <w:tcW w:w="702" w:type="dxa"/>
            <w:vMerge w:val="continue"/>
            <w:tcBorders>
              <w:tl2br w:val="nil"/>
              <w:tr2bl w:val="nil"/>
            </w:tcBorders>
            <w:vAlign w:val="center"/>
          </w:tcPr>
          <w:p w14:paraId="086FCD74">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p>
        </w:tc>
        <w:tc>
          <w:tcPr>
            <w:tcW w:w="1545" w:type="dxa"/>
            <w:tcBorders>
              <w:tl2br w:val="nil"/>
              <w:tr2bl w:val="nil"/>
            </w:tcBorders>
            <w:vAlign w:val="center"/>
          </w:tcPr>
          <w:p w14:paraId="73745FA5">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s="Times New Roman"/>
                <w:color w:val="auto"/>
                <w:sz w:val="21"/>
                <w:szCs w:val="21"/>
                <w:highlight w:val="none"/>
                <w:lang w:bidi="zh-CN"/>
              </w:rPr>
              <w:t>地表水二级</w:t>
            </w:r>
          </w:p>
        </w:tc>
        <w:tc>
          <w:tcPr>
            <w:tcW w:w="4978" w:type="dxa"/>
            <w:tcBorders>
              <w:tl2br w:val="nil"/>
              <w:tr2bl w:val="nil"/>
            </w:tcBorders>
            <w:vAlign w:val="center"/>
          </w:tcPr>
          <w:p w14:paraId="3542618B">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地表水*：排污口下游10km污染影响范围内</w:t>
            </w:r>
          </w:p>
        </w:tc>
      </w:tr>
      <w:tr w14:paraId="7BE07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vMerge w:val="continue"/>
            <w:tcBorders>
              <w:tl2br w:val="nil"/>
              <w:tr2bl w:val="nil"/>
            </w:tcBorders>
            <w:vAlign w:val="center"/>
          </w:tcPr>
          <w:p w14:paraId="2B01C101">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p>
        </w:tc>
        <w:tc>
          <w:tcPr>
            <w:tcW w:w="702" w:type="dxa"/>
            <w:vMerge w:val="continue"/>
            <w:tcBorders>
              <w:tl2br w:val="nil"/>
              <w:tr2bl w:val="nil"/>
            </w:tcBorders>
            <w:vAlign w:val="center"/>
          </w:tcPr>
          <w:p w14:paraId="4D9C02CC">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p>
        </w:tc>
        <w:tc>
          <w:tcPr>
            <w:tcW w:w="1545" w:type="dxa"/>
            <w:tcBorders>
              <w:tl2br w:val="nil"/>
              <w:tr2bl w:val="nil"/>
            </w:tcBorders>
            <w:vAlign w:val="center"/>
          </w:tcPr>
          <w:p w14:paraId="09DF48FC">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hint="eastAsia" w:ascii="Times New Roman" w:hAnsi="Times New Roman" w:cs="Times New Roman"/>
                <w:color w:val="auto"/>
                <w:sz w:val="21"/>
                <w:szCs w:val="21"/>
                <w:highlight w:val="none"/>
                <w:lang w:bidi="zh-CN"/>
              </w:rPr>
              <w:t>地下水简单分析</w:t>
            </w:r>
          </w:p>
        </w:tc>
        <w:tc>
          <w:tcPr>
            <w:tcW w:w="4978" w:type="dxa"/>
            <w:tcBorders>
              <w:tl2br w:val="nil"/>
              <w:tr2bl w:val="nil"/>
            </w:tcBorders>
            <w:vAlign w:val="center"/>
          </w:tcPr>
          <w:p w14:paraId="121AAD5D">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地下水：</w:t>
            </w:r>
            <w:r>
              <w:rPr>
                <w:rFonts w:hint="eastAsia" w:ascii="Times New Roman" w:hAnsi="Times New Roman" w:cs="Times New Roman"/>
                <w:color w:val="auto"/>
                <w:sz w:val="21"/>
                <w:szCs w:val="21"/>
                <w:highlight w:val="none"/>
                <w:lang w:bidi="zh-CN"/>
              </w:rPr>
              <w:t>＜</w:t>
            </w:r>
            <w:r>
              <w:rPr>
                <w:rFonts w:ascii="Times New Roman" w:hAnsi="Times New Roman" w:cs="Times New Roman"/>
                <w:color w:val="auto"/>
                <w:sz w:val="21"/>
                <w:szCs w:val="21"/>
                <w:highlight w:val="none"/>
                <w:lang w:bidi="zh-CN"/>
              </w:rPr>
              <w:t>6km</w:t>
            </w:r>
            <w:r>
              <w:rPr>
                <w:rFonts w:ascii="Times New Roman" w:hAnsi="Times New Roman" w:cs="Times New Roman"/>
                <w:color w:val="auto"/>
                <w:sz w:val="21"/>
                <w:szCs w:val="21"/>
                <w:highlight w:val="none"/>
                <w:vertAlign w:val="superscript"/>
                <w:lang w:bidi="zh-CN"/>
              </w:rPr>
              <w:t>2</w:t>
            </w:r>
          </w:p>
        </w:tc>
      </w:tr>
      <w:tr w14:paraId="29DEB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9" w:type="dxa"/>
            <w:tcBorders>
              <w:tl2br w:val="nil"/>
              <w:tr2bl w:val="nil"/>
            </w:tcBorders>
            <w:vAlign w:val="center"/>
          </w:tcPr>
          <w:p w14:paraId="342D4941">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生态评价</w:t>
            </w:r>
          </w:p>
        </w:tc>
        <w:tc>
          <w:tcPr>
            <w:tcW w:w="2247" w:type="dxa"/>
            <w:gridSpan w:val="2"/>
            <w:tcBorders>
              <w:tl2br w:val="nil"/>
              <w:tr2bl w:val="nil"/>
            </w:tcBorders>
            <w:vAlign w:val="center"/>
          </w:tcPr>
          <w:p w14:paraId="77BF6B03">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简单分析</w:t>
            </w:r>
          </w:p>
        </w:tc>
        <w:tc>
          <w:tcPr>
            <w:tcW w:w="4978" w:type="dxa"/>
            <w:tcBorders>
              <w:tl2br w:val="nil"/>
              <w:tr2bl w:val="nil"/>
            </w:tcBorders>
            <w:vAlign w:val="center"/>
          </w:tcPr>
          <w:p w14:paraId="65D9BF0F">
            <w:pPr>
              <w:keepNext w:val="0"/>
              <w:keepLines w:val="0"/>
              <w:pageBreakBefore w:val="0"/>
              <w:widowControl/>
              <w:tabs>
                <w:tab w:val="left" w:pos="993"/>
                <w:tab w:val="left" w:pos="1276"/>
              </w:tabs>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lang w:bidi="zh-CN"/>
              </w:rPr>
            </w:pPr>
            <w:r>
              <w:rPr>
                <w:rFonts w:ascii="Times New Roman" w:hAnsi="Times New Roman" w:cs="Times New Roman"/>
                <w:color w:val="auto"/>
                <w:sz w:val="21"/>
                <w:szCs w:val="21"/>
                <w:highlight w:val="none"/>
                <w:lang w:bidi="zh-CN"/>
              </w:rPr>
              <w:t>涵盖项目直接占用区域以及污染物排放产生的间接生态影响区域</w:t>
            </w:r>
          </w:p>
        </w:tc>
      </w:tr>
      <w:bookmarkEnd w:id="159"/>
    </w:tbl>
    <w:p w14:paraId="5ABC9589">
      <w:pPr>
        <w:ind w:left="-105" w:right="-105" w:firstLine="422"/>
        <w:rPr>
          <w:b/>
          <w:bCs/>
          <w:color w:val="auto"/>
          <w:highlight w:val="none"/>
        </w:rPr>
      </w:pPr>
      <w:r>
        <w:rPr>
          <w:rFonts w:ascii="Times New Roman" w:hAnsi="Times New Roman" w:cs="Times New Roman"/>
          <w:b/>
          <w:bCs/>
          <w:color w:val="auto"/>
          <w:sz w:val="21"/>
          <w:szCs w:val="21"/>
          <w:highlight w:val="none"/>
        </w:rPr>
        <w:t>*注:地表水环境风险评价范围参照HJ2.3确定，因《环境影响评价技术导则 地表水环境(HJ2.3- 2018)》无明确的确定方法，本报告地表水环境风险评价范围参照《环境影响评价技术导则地面水环境(HJT2.3-1993)》中表4不同污水排放量时河流环境现状调查范围参考表选取</w:t>
      </w:r>
      <w:r>
        <w:rPr>
          <w:rFonts w:hint="eastAsia" w:ascii="Times New Roman" w:hAnsi="Times New Roman" w:cs="Times New Roman"/>
          <w:b/>
          <w:bCs/>
          <w:color w:val="auto"/>
          <w:sz w:val="21"/>
          <w:szCs w:val="21"/>
          <w:highlight w:val="none"/>
        </w:rPr>
        <w:t>。</w:t>
      </w:r>
    </w:p>
    <w:p w14:paraId="50EDC61D">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r>
        <w:rPr>
          <w:rFonts w:eastAsia="宋体"/>
          <w:color w:val="auto"/>
          <w:sz w:val="28"/>
          <w:szCs w:val="28"/>
          <w:highlight w:val="none"/>
        </w:rPr>
        <w:t>环境保护目标</w:t>
      </w:r>
      <w:bookmarkEnd w:id="164"/>
    </w:p>
    <w:p w14:paraId="67D74469">
      <w:pPr>
        <w:tabs>
          <w:tab w:val="left" w:pos="993"/>
          <w:tab w:val="left" w:pos="1276"/>
        </w:tabs>
        <w:spacing w:line="360" w:lineRule="auto"/>
        <w:ind w:left="-105" w:right="-105" w:firstLine="480"/>
        <w:rPr>
          <w:rFonts w:ascii="Times New Roman" w:hAnsi="Times New Roman" w:cs="Times New Roman"/>
          <w:color w:val="auto"/>
          <w:highlight w:val="none"/>
        </w:rPr>
      </w:pPr>
      <w:r>
        <w:rPr>
          <w:rFonts w:ascii="Times New Roman" w:hAnsi="Times New Roman"/>
          <w:color w:val="auto"/>
          <w:highlight w:val="none"/>
        </w:rPr>
        <w:t>本项目位于江苏省</w:t>
      </w:r>
      <w:r>
        <w:rPr>
          <w:rFonts w:hint="eastAsia" w:ascii="Times New Roman" w:hAnsi="Times New Roman"/>
          <w:color w:val="auto"/>
          <w:highlight w:val="none"/>
        </w:rPr>
        <w:t>无锡市锡山区锡北镇新坝村新达路6号</w:t>
      </w:r>
      <w:r>
        <w:rPr>
          <w:rFonts w:ascii="Times New Roman" w:hAnsi="Times New Roman"/>
          <w:color w:val="auto"/>
          <w:highlight w:val="none"/>
        </w:rPr>
        <w:t>，</w:t>
      </w:r>
      <w:r>
        <w:rPr>
          <w:rFonts w:hint="eastAsia" w:ascii="Times New Roman" w:hAnsi="Times New Roman"/>
          <w:color w:val="auto"/>
          <w:highlight w:val="none"/>
        </w:rPr>
        <w:t>由于本</w:t>
      </w:r>
      <w:r>
        <w:rPr>
          <w:rFonts w:ascii="Times New Roman" w:hAnsi="Times New Roman"/>
          <w:color w:val="auto"/>
          <w:highlight w:val="none"/>
        </w:rPr>
        <w:t>项目</w:t>
      </w:r>
      <w:r>
        <w:rPr>
          <w:rFonts w:hint="eastAsia" w:ascii="Times New Roman" w:hAnsi="Times New Roman"/>
          <w:color w:val="auto"/>
          <w:highlight w:val="none"/>
        </w:rPr>
        <w:t>大气环境影响评价等级为三级，不需设置大气环境影响评价范围，故不列出大气环境敏感目标。其余要素环境保护目标见下表。</w:t>
      </w:r>
    </w:p>
    <w:p w14:paraId="593547D4">
      <w:pPr>
        <w:pStyle w:val="15"/>
        <w:spacing w:line="360" w:lineRule="auto"/>
        <w:ind w:left="-105" w:right="-105" w:firstLine="482"/>
        <w:rPr>
          <w:rFonts w:eastAsia="宋体" w:cs="Times New Roman"/>
          <w:color w:val="auto"/>
          <w:sz w:val="24"/>
          <w:szCs w:val="24"/>
          <w:highlight w:val="none"/>
        </w:rPr>
      </w:pPr>
      <w:bookmarkStart w:id="168" w:name="_Ref18338373"/>
      <w:r>
        <w:rPr>
          <w:rFonts w:eastAsia="宋体" w:cs="Times New Roman"/>
          <w:color w:val="auto"/>
          <w:sz w:val="24"/>
          <w:szCs w:val="18"/>
          <w:highlight w:val="none"/>
        </w:rPr>
        <w:t xml:space="preserve">表 </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2.5</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bookmarkEnd w:id="168"/>
      <w:r>
        <w:rPr>
          <w:rFonts w:eastAsia="宋体" w:cs="Times New Roman"/>
          <w:color w:val="auto"/>
          <w:sz w:val="24"/>
          <w:szCs w:val="24"/>
          <w:highlight w:val="none"/>
        </w:rPr>
        <w:t>地表水环境保护目标表</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1"/>
        <w:gridCol w:w="1069"/>
        <w:gridCol w:w="612"/>
        <w:gridCol w:w="836"/>
        <w:gridCol w:w="837"/>
        <w:gridCol w:w="739"/>
        <w:gridCol w:w="704"/>
        <w:gridCol w:w="789"/>
        <w:gridCol w:w="820"/>
        <w:gridCol w:w="1292"/>
      </w:tblGrid>
      <w:tr w14:paraId="7F29E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029" w:type="dxa"/>
            <w:vMerge w:val="restart"/>
            <w:tcBorders>
              <w:top w:val="single" w:color="auto" w:sz="12" w:space="0"/>
              <w:left w:val="nil"/>
            </w:tcBorders>
            <w:vAlign w:val="center"/>
          </w:tcPr>
          <w:p w14:paraId="63B7F7DC">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保护对象</w:t>
            </w:r>
          </w:p>
        </w:tc>
        <w:tc>
          <w:tcPr>
            <w:tcW w:w="1079" w:type="dxa"/>
            <w:vMerge w:val="restart"/>
            <w:tcBorders>
              <w:top w:val="single" w:color="auto" w:sz="12" w:space="0"/>
            </w:tcBorders>
            <w:vAlign w:val="center"/>
          </w:tcPr>
          <w:p w14:paraId="0CB4DB68">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保护内容</w:t>
            </w:r>
          </w:p>
        </w:tc>
        <w:tc>
          <w:tcPr>
            <w:tcW w:w="3039" w:type="dxa"/>
            <w:gridSpan w:val="4"/>
            <w:tcBorders>
              <w:top w:val="single" w:color="auto" w:sz="12" w:space="0"/>
            </w:tcBorders>
            <w:vAlign w:val="center"/>
          </w:tcPr>
          <w:p w14:paraId="63B9A9AE">
            <w:pPr>
              <w:ind w:left="-105" w:right="-105"/>
              <w:jc w:val="center"/>
              <w:rPr>
                <w:rFonts w:ascii="Times New Roman" w:hAnsi="Times New Roman"/>
                <w:b/>
                <w:color w:val="auto"/>
                <w:sz w:val="21"/>
                <w:szCs w:val="21"/>
                <w:highlight w:val="none"/>
                <w:lang w:bidi="zh-CN"/>
              </w:rPr>
            </w:pPr>
            <w:r>
              <w:rPr>
                <w:rFonts w:ascii="Times New Roman" w:hAnsi="Times New Roman"/>
                <w:b/>
                <w:color w:val="auto"/>
                <w:sz w:val="21"/>
                <w:szCs w:val="21"/>
                <w:highlight w:val="none"/>
                <w:lang w:val="zh-CN" w:bidi="zh-CN"/>
              </w:rPr>
              <w:t>相对厂界</w:t>
            </w:r>
            <w:r>
              <w:rPr>
                <w:rFonts w:hint="eastAsia" w:ascii="Times New Roman" w:hAnsi="Times New Roman"/>
                <w:b/>
                <w:color w:val="auto"/>
                <w:sz w:val="21"/>
                <w:szCs w:val="21"/>
                <w:highlight w:val="none"/>
                <w:lang w:bidi="zh-CN"/>
              </w:rPr>
              <w:t>m</w:t>
            </w:r>
          </w:p>
        </w:tc>
        <w:tc>
          <w:tcPr>
            <w:tcW w:w="2325" w:type="dxa"/>
            <w:gridSpan w:val="3"/>
            <w:tcBorders>
              <w:top w:val="single" w:color="auto" w:sz="12" w:space="0"/>
            </w:tcBorders>
            <w:vAlign w:val="center"/>
          </w:tcPr>
          <w:p w14:paraId="477DEC8F">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相对排放口</w:t>
            </w:r>
          </w:p>
        </w:tc>
        <w:tc>
          <w:tcPr>
            <w:tcW w:w="1305" w:type="dxa"/>
            <w:vMerge w:val="restart"/>
            <w:tcBorders>
              <w:top w:val="single" w:color="auto" w:sz="12" w:space="0"/>
              <w:right w:val="nil"/>
            </w:tcBorders>
            <w:vAlign w:val="center"/>
          </w:tcPr>
          <w:p w14:paraId="5935B6EE">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与本项目的水力联</w:t>
            </w:r>
          </w:p>
          <w:p w14:paraId="420BA4AD">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系</w:t>
            </w:r>
          </w:p>
        </w:tc>
      </w:tr>
      <w:tr w14:paraId="524F5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029" w:type="dxa"/>
            <w:vMerge w:val="continue"/>
            <w:tcBorders>
              <w:top w:val="nil"/>
              <w:left w:val="nil"/>
            </w:tcBorders>
            <w:vAlign w:val="center"/>
          </w:tcPr>
          <w:p w14:paraId="5B55E057">
            <w:pPr>
              <w:ind w:left="-105" w:right="-105"/>
              <w:jc w:val="center"/>
              <w:rPr>
                <w:rFonts w:ascii="Times New Roman" w:hAnsi="Times New Roman"/>
                <w:color w:val="auto"/>
                <w:sz w:val="21"/>
                <w:szCs w:val="21"/>
                <w:highlight w:val="none"/>
                <w:lang w:val="zh-CN" w:bidi="zh-CN"/>
              </w:rPr>
            </w:pPr>
          </w:p>
        </w:tc>
        <w:tc>
          <w:tcPr>
            <w:tcW w:w="1079" w:type="dxa"/>
            <w:vMerge w:val="continue"/>
            <w:tcBorders>
              <w:top w:val="nil"/>
            </w:tcBorders>
            <w:vAlign w:val="center"/>
          </w:tcPr>
          <w:p w14:paraId="4B02D48C">
            <w:pPr>
              <w:ind w:left="-105" w:right="-105"/>
              <w:jc w:val="center"/>
              <w:rPr>
                <w:rFonts w:ascii="Times New Roman" w:hAnsi="Times New Roman"/>
                <w:color w:val="auto"/>
                <w:sz w:val="21"/>
                <w:szCs w:val="21"/>
                <w:highlight w:val="none"/>
                <w:lang w:val="zh-CN" w:bidi="zh-CN"/>
              </w:rPr>
            </w:pPr>
          </w:p>
        </w:tc>
        <w:tc>
          <w:tcPr>
            <w:tcW w:w="613" w:type="dxa"/>
            <w:vMerge w:val="restart"/>
            <w:vAlign w:val="center"/>
          </w:tcPr>
          <w:p w14:paraId="4B763886">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距离</w:t>
            </w:r>
          </w:p>
        </w:tc>
        <w:tc>
          <w:tcPr>
            <w:tcW w:w="1683" w:type="dxa"/>
            <w:gridSpan w:val="2"/>
            <w:vAlign w:val="center"/>
          </w:tcPr>
          <w:p w14:paraId="44E9BD2E">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坐标</w:t>
            </w:r>
          </w:p>
        </w:tc>
        <w:tc>
          <w:tcPr>
            <w:tcW w:w="743" w:type="dxa"/>
            <w:vMerge w:val="restart"/>
            <w:vAlign w:val="center"/>
          </w:tcPr>
          <w:p w14:paraId="2C9B74E1">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高差</w:t>
            </w:r>
          </w:p>
        </w:tc>
        <w:tc>
          <w:tcPr>
            <w:tcW w:w="707" w:type="dxa"/>
            <w:vMerge w:val="restart"/>
            <w:vAlign w:val="center"/>
          </w:tcPr>
          <w:p w14:paraId="183EABFD">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距离</w:t>
            </w:r>
          </w:p>
        </w:tc>
        <w:tc>
          <w:tcPr>
            <w:tcW w:w="1618" w:type="dxa"/>
            <w:gridSpan w:val="2"/>
            <w:vAlign w:val="center"/>
          </w:tcPr>
          <w:p w14:paraId="6926EDB8">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坐标</w:t>
            </w:r>
          </w:p>
        </w:tc>
        <w:tc>
          <w:tcPr>
            <w:tcW w:w="1305" w:type="dxa"/>
            <w:vMerge w:val="continue"/>
            <w:tcBorders>
              <w:top w:val="nil"/>
              <w:right w:val="nil"/>
            </w:tcBorders>
            <w:vAlign w:val="center"/>
          </w:tcPr>
          <w:p w14:paraId="2D776964">
            <w:pPr>
              <w:ind w:left="-105" w:right="-105"/>
              <w:jc w:val="center"/>
              <w:rPr>
                <w:rFonts w:ascii="Times New Roman" w:hAnsi="Times New Roman"/>
                <w:color w:val="auto"/>
                <w:sz w:val="21"/>
                <w:szCs w:val="21"/>
                <w:highlight w:val="none"/>
                <w:lang w:val="zh-CN" w:bidi="zh-CN"/>
              </w:rPr>
            </w:pPr>
          </w:p>
        </w:tc>
      </w:tr>
      <w:tr w14:paraId="2E49D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029" w:type="dxa"/>
            <w:vMerge w:val="continue"/>
            <w:tcBorders>
              <w:top w:val="nil"/>
              <w:left w:val="nil"/>
            </w:tcBorders>
            <w:vAlign w:val="center"/>
          </w:tcPr>
          <w:p w14:paraId="46E548A4">
            <w:pPr>
              <w:ind w:left="-105" w:right="-105"/>
              <w:jc w:val="center"/>
              <w:rPr>
                <w:rFonts w:ascii="Times New Roman" w:hAnsi="Times New Roman"/>
                <w:color w:val="auto"/>
                <w:sz w:val="21"/>
                <w:szCs w:val="21"/>
                <w:highlight w:val="none"/>
                <w:lang w:val="zh-CN" w:bidi="zh-CN"/>
              </w:rPr>
            </w:pPr>
          </w:p>
        </w:tc>
        <w:tc>
          <w:tcPr>
            <w:tcW w:w="1079" w:type="dxa"/>
            <w:vMerge w:val="continue"/>
            <w:tcBorders>
              <w:top w:val="nil"/>
            </w:tcBorders>
            <w:vAlign w:val="center"/>
          </w:tcPr>
          <w:p w14:paraId="4C964E7D">
            <w:pPr>
              <w:ind w:left="-105" w:right="-105"/>
              <w:jc w:val="center"/>
              <w:rPr>
                <w:rFonts w:ascii="Times New Roman" w:hAnsi="Times New Roman"/>
                <w:color w:val="auto"/>
                <w:sz w:val="21"/>
                <w:szCs w:val="21"/>
                <w:highlight w:val="none"/>
                <w:lang w:val="zh-CN" w:bidi="zh-CN"/>
              </w:rPr>
            </w:pPr>
          </w:p>
        </w:tc>
        <w:tc>
          <w:tcPr>
            <w:tcW w:w="613" w:type="dxa"/>
            <w:vMerge w:val="continue"/>
            <w:tcBorders>
              <w:top w:val="nil"/>
            </w:tcBorders>
            <w:vAlign w:val="center"/>
          </w:tcPr>
          <w:p w14:paraId="11654351">
            <w:pPr>
              <w:ind w:left="-105" w:right="-105"/>
              <w:jc w:val="center"/>
              <w:rPr>
                <w:rFonts w:ascii="Times New Roman" w:hAnsi="Times New Roman"/>
                <w:color w:val="auto"/>
                <w:sz w:val="21"/>
                <w:szCs w:val="21"/>
                <w:highlight w:val="none"/>
                <w:lang w:val="zh-CN" w:bidi="zh-CN"/>
              </w:rPr>
            </w:pPr>
          </w:p>
        </w:tc>
        <w:tc>
          <w:tcPr>
            <w:tcW w:w="841" w:type="dxa"/>
            <w:vAlign w:val="center"/>
          </w:tcPr>
          <w:p w14:paraId="2CD666F0">
            <w:pPr>
              <w:ind w:left="-105" w:right="-105"/>
              <w:jc w:val="center"/>
              <w:rPr>
                <w:rFonts w:ascii="Times New Roman" w:hAnsi="Times New Roman"/>
                <w:b/>
                <w:color w:val="auto"/>
                <w:sz w:val="21"/>
                <w:szCs w:val="21"/>
                <w:highlight w:val="none"/>
                <w:lang w:bidi="zh-CN"/>
              </w:rPr>
            </w:pPr>
            <w:r>
              <w:rPr>
                <w:rFonts w:hint="eastAsia" w:ascii="Times New Roman" w:hAnsi="Times New Roman"/>
                <w:b/>
                <w:color w:val="auto"/>
                <w:sz w:val="21"/>
                <w:szCs w:val="21"/>
                <w:highlight w:val="none"/>
                <w:lang w:bidi="zh-CN"/>
              </w:rPr>
              <w:t>X</w:t>
            </w:r>
          </w:p>
        </w:tc>
        <w:tc>
          <w:tcPr>
            <w:tcW w:w="842" w:type="dxa"/>
            <w:vAlign w:val="center"/>
          </w:tcPr>
          <w:p w14:paraId="15180B6F">
            <w:pPr>
              <w:ind w:left="-105" w:right="-105"/>
              <w:jc w:val="center"/>
              <w:rPr>
                <w:rFonts w:ascii="Times New Roman" w:hAnsi="Times New Roman"/>
                <w:b/>
                <w:color w:val="auto"/>
                <w:sz w:val="21"/>
                <w:szCs w:val="21"/>
                <w:highlight w:val="none"/>
                <w:lang w:bidi="zh-CN"/>
              </w:rPr>
            </w:pPr>
            <w:r>
              <w:rPr>
                <w:rFonts w:hint="eastAsia" w:ascii="Times New Roman" w:hAnsi="Times New Roman"/>
                <w:b/>
                <w:color w:val="auto"/>
                <w:sz w:val="21"/>
                <w:szCs w:val="21"/>
                <w:highlight w:val="none"/>
                <w:lang w:bidi="zh-CN"/>
              </w:rPr>
              <w:t>Y</w:t>
            </w:r>
          </w:p>
        </w:tc>
        <w:tc>
          <w:tcPr>
            <w:tcW w:w="743" w:type="dxa"/>
            <w:vMerge w:val="continue"/>
            <w:tcBorders>
              <w:top w:val="nil"/>
            </w:tcBorders>
            <w:vAlign w:val="center"/>
          </w:tcPr>
          <w:p w14:paraId="10526E45">
            <w:pPr>
              <w:ind w:left="-105" w:right="-105"/>
              <w:jc w:val="center"/>
              <w:rPr>
                <w:rFonts w:ascii="Times New Roman" w:hAnsi="Times New Roman"/>
                <w:color w:val="auto"/>
                <w:sz w:val="21"/>
                <w:szCs w:val="21"/>
                <w:highlight w:val="none"/>
                <w:lang w:val="zh-CN" w:bidi="zh-CN"/>
              </w:rPr>
            </w:pPr>
          </w:p>
        </w:tc>
        <w:tc>
          <w:tcPr>
            <w:tcW w:w="707" w:type="dxa"/>
            <w:vMerge w:val="continue"/>
            <w:tcBorders>
              <w:top w:val="nil"/>
            </w:tcBorders>
            <w:vAlign w:val="center"/>
          </w:tcPr>
          <w:p w14:paraId="52F23023">
            <w:pPr>
              <w:ind w:left="-105" w:right="-105"/>
              <w:jc w:val="center"/>
              <w:rPr>
                <w:rFonts w:ascii="Times New Roman" w:hAnsi="Times New Roman"/>
                <w:color w:val="auto"/>
                <w:sz w:val="21"/>
                <w:szCs w:val="21"/>
                <w:highlight w:val="none"/>
                <w:lang w:val="zh-CN" w:bidi="zh-CN"/>
              </w:rPr>
            </w:pPr>
          </w:p>
        </w:tc>
        <w:tc>
          <w:tcPr>
            <w:tcW w:w="793" w:type="dxa"/>
            <w:vAlign w:val="center"/>
          </w:tcPr>
          <w:p w14:paraId="1F3CCF4A">
            <w:pPr>
              <w:ind w:left="-105" w:right="-105"/>
              <w:jc w:val="center"/>
              <w:rPr>
                <w:rFonts w:ascii="Times New Roman" w:hAnsi="Times New Roman"/>
                <w:b/>
                <w:color w:val="auto"/>
                <w:sz w:val="21"/>
                <w:szCs w:val="21"/>
                <w:highlight w:val="none"/>
                <w:lang w:val="zh-CN" w:bidi="zh-CN"/>
              </w:rPr>
            </w:pPr>
            <w:r>
              <w:rPr>
                <w:rFonts w:hint="eastAsia" w:ascii="Times New Roman" w:hAnsi="Times New Roman"/>
                <w:b/>
                <w:color w:val="auto"/>
                <w:sz w:val="21"/>
                <w:szCs w:val="21"/>
                <w:highlight w:val="none"/>
                <w:lang w:bidi="zh-CN"/>
              </w:rPr>
              <w:t>X</w:t>
            </w:r>
          </w:p>
        </w:tc>
        <w:tc>
          <w:tcPr>
            <w:tcW w:w="825" w:type="dxa"/>
            <w:vAlign w:val="center"/>
          </w:tcPr>
          <w:p w14:paraId="22A8C9FF">
            <w:pPr>
              <w:ind w:left="-105" w:right="-105"/>
              <w:jc w:val="center"/>
              <w:rPr>
                <w:rFonts w:ascii="Times New Roman" w:hAnsi="Times New Roman"/>
                <w:b/>
                <w:color w:val="auto"/>
                <w:sz w:val="21"/>
                <w:szCs w:val="21"/>
                <w:highlight w:val="none"/>
                <w:lang w:val="zh-CN" w:bidi="zh-CN"/>
              </w:rPr>
            </w:pPr>
            <w:r>
              <w:rPr>
                <w:rFonts w:hint="eastAsia" w:ascii="Times New Roman" w:hAnsi="Times New Roman"/>
                <w:b/>
                <w:color w:val="auto"/>
                <w:sz w:val="21"/>
                <w:szCs w:val="21"/>
                <w:highlight w:val="none"/>
                <w:lang w:bidi="zh-CN"/>
              </w:rPr>
              <w:t>Y</w:t>
            </w:r>
          </w:p>
        </w:tc>
        <w:tc>
          <w:tcPr>
            <w:tcW w:w="1305" w:type="dxa"/>
            <w:vMerge w:val="continue"/>
            <w:tcBorders>
              <w:top w:val="nil"/>
              <w:right w:val="nil"/>
            </w:tcBorders>
            <w:vAlign w:val="center"/>
          </w:tcPr>
          <w:p w14:paraId="5579DAB6">
            <w:pPr>
              <w:ind w:left="-105" w:right="-105"/>
              <w:jc w:val="center"/>
              <w:rPr>
                <w:rFonts w:ascii="Times New Roman" w:hAnsi="Times New Roman"/>
                <w:color w:val="auto"/>
                <w:sz w:val="21"/>
                <w:szCs w:val="21"/>
                <w:highlight w:val="none"/>
                <w:lang w:val="zh-CN" w:bidi="zh-CN"/>
              </w:rPr>
            </w:pPr>
          </w:p>
        </w:tc>
      </w:tr>
      <w:tr w14:paraId="7E04E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1029" w:type="dxa"/>
            <w:tcBorders>
              <w:left w:val="nil"/>
            </w:tcBorders>
            <w:vAlign w:val="center"/>
          </w:tcPr>
          <w:p w14:paraId="0BCA3EA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锡北运河</w:t>
            </w:r>
          </w:p>
        </w:tc>
        <w:tc>
          <w:tcPr>
            <w:tcW w:w="1079" w:type="dxa"/>
            <w:vAlign w:val="center"/>
          </w:tcPr>
          <w:p w14:paraId="63FBAA81">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地表水III类水体</w:t>
            </w:r>
          </w:p>
        </w:tc>
        <w:tc>
          <w:tcPr>
            <w:tcW w:w="613" w:type="dxa"/>
            <w:vAlign w:val="center"/>
          </w:tcPr>
          <w:p w14:paraId="0328988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343</w:t>
            </w:r>
          </w:p>
        </w:tc>
        <w:tc>
          <w:tcPr>
            <w:tcW w:w="841" w:type="dxa"/>
            <w:vAlign w:val="center"/>
          </w:tcPr>
          <w:p w14:paraId="462E3DA8">
            <w:pPr>
              <w:ind w:left="-105" w:right="-105"/>
              <w:jc w:val="center"/>
              <w:rPr>
                <w:rFonts w:ascii="Times New Roman" w:hAnsi="Times New Roman" w:eastAsia="Times New Roman" w:cs="Times New Roman"/>
                <w:color w:val="auto"/>
                <w:sz w:val="21"/>
                <w:szCs w:val="21"/>
                <w:highlight w:val="none"/>
                <w:lang w:val="zh-CN"/>
              </w:rPr>
            </w:pPr>
            <w:r>
              <w:rPr>
                <w:rFonts w:hint="eastAsia" w:ascii="Times New Roman" w:hAnsi="Times New Roman" w:eastAsia="Times New Roman" w:cs="Times New Roman"/>
                <w:color w:val="auto"/>
                <w:sz w:val="21"/>
                <w:szCs w:val="21"/>
                <w:highlight w:val="none"/>
              </w:rPr>
              <w:t>120.396634772</w:t>
            </w:r>
          </w:p>
        </w:tc>
        <w:tc>
          <w:tcPr>
            <w:tcW w:w="842" w:type="dxa"/>
            <w:vAlign w:val="center"/>
          </w:tcPr>
          <w:p w14:paraId="2A8CBDCF">
            <w:pPr>
              <w:ind w:left="-105" w:right="-105"/>
              <w:jc w:val="center"/>
              <w:rPr>
                <w:rFonts w:ascii="Times New Roman" w:hAnsi="Times New Roman" w:eastAsia="Times New Roman" w:cs="Times New Roman"/>
                <w:color w:val="auto"/>
                <w:sz w:val="21"/>
                <w:szCs w:val="21"/>
                <w:highlight w:val="none"/>
                <w:lang w:val="zh-CN"/>
              </w:rPr>
            </w:pPr>
            <w:r>
              <w:rPr>
                <w:rFonts w:hint="eastAsia" w:ascii="Times New Roman" w:hAnsi="Times New Roman" w:eastAsia="Times New Roman" w:cs="Times New Roman"/>
                <w:color w:val="auto"/>
                <w:sz w:val="21"/>
                <w:szCs w:val="21"/>
                <w:highlight w:val="none"/>
              </w:rPr>
              <w:t>31.644674533</w:t>
            </w:r>
          </w:p>
        </w:tc>
        <w:tc>
          <w:tcPr>
            <w:tcW w:w="743" w:type="dxa"/>
            <w:vAlign w:val="center"/>
          </w:tcPr>
          <w:p w14:paraId="34D1C33F">
            <w:pPr>
              <w:ind w:left="-105" w:right="-105"/>
              <w:jc w:val="center"/>
              <w:rPr>
                <w:rFonts w:ascii="Times New Roman" w:hAnsi="Times New Roman" w:eastAsia="Times New Roman" w:cs="Times New Roman"/>
                <w:color w:val="auto"/>
                <w:sz w:val="21"/>
                <w:szCs w:val="21"/>
                <w:highlight w:val="none"/>
                <w:lang w:val="zh-CN"/>
              </w:rPr>
            </w:pPr>
            <w:r>
              <w:rPr>
                <w:rFonts w:ascii="Times New Roman" w:hAnsi="Times New Roman" w:eastAsia="Times New Roman" w:cs="Times New Roman"/>
                <w:color w:val="auto"/>
                <w:sz w:val="21"/>
                <w:szCs w:val="21"/>
                <w:highlight w:val="none"/>
              </w:rPr>
              <w:t>0</w:t>
            </w:r>
          </w:p>
        </w:tc>
        <w:tc>
          <w:tcPr>
            <w:tcW w:w="707" w:type="dxa"/>
            <w:vAlign w:val="center"/>
          </w:tcPr>
          <w:p w14:paraId="3003EE71">
            <w:pPr>
              <w:ind w:left="-105" w:right="-105"/>
              <w:jc w:val="center"/>
              <w:rPr>
                <w:rFonts w:ascii="Times New Roman" w:hAnsi="Times New Roman" w:eastAsia="Times New Roman" w:cs="Times New Roman"/>
                <w:color w:val="auto"/>
                <w:sz w:val="21"/>
                <w:szCs w:val="21"/>
                <w:highlight w:val="none"/>
                <w:lang w:val="zh-CN"/>
              </w:rPr>
            </w:pPr>
            <w:r>
              <w:rPr>
                <w:rFonts w:hint="eastAsia" w:ascii="Times New Roman" w:hAnsi="Times New Roman" w:cs="Times New Roman"/>
                <w:color w:val="auto"/>
                <w:sz w:val="21"/>
                <w:szCs w:val="21"/>
                <w:highlight w:val="none"/>
              </w:rPr>
              <w:t>343</w:t>
            </w:r>
          </w:p>
        </w:tc>
        <w:tc>
          <w:tcPr>
            <w:tcW w:w="793" w:type="dxa"/>
            <w:vAlign w:val="center"/>
          </w:tcPr>
          <w:p w14:paraId="3177B0A6">
            <w:pPr>
              <w:ind w:left="-105" w:right="-105"/>
              <w:jc w:val="center"/>
              <w:rPr>
                <w:rFonts w:ascii="Times New Roman" w:hAnsi="Times New Roman" w:eastAsia="Times New Roman" w:cs="Times New Roman"/>
                <w:color w:val="auto"/>
                <w:sz w:val="21"/>
                <w:szCs w:val="21"/>
                <w:highlight w:val="none"/>
                <w:lang w:val="zh-CN"/>
              </w:rPr>
            </w:pPr>
            <w:r>
              <w:rPr>
                <w:rFonts w:hint="eastAsia" w:ascii="Times New Roman" w:hAnsi="Times New Roman" w:eastAsia="Times New Roman" w:cs="Times New Roman"/>
                <w:color w:val="auto"/>
                <w:sz w:val="21"/>
                <w:szCs w:val="21"/>
                <w:highlight w:val="none"/>
              </w:rPr>
              <w:t>120.396634772</w:t>
            </w:r>
          </w:p>
        </w:tc>
        <w:tc>
          <w:tcPr>
            <w:tcW w:w="825" w:type="dxa"/>
            <w:vAlign w:val="center"/>
          </w:tcPr>
          <w:p w14:paraId="56F678DA">
            <w:pPr>
              <w:ind w:left="-105" w:right="-105"/>
              <w:jc w:val="center"/>
              <w:rPr>
                <w:rFonts w:ascii="Times New Roman" w:hAnsi="Times New Roman" w:eastAsia="Times New Roman" w:cs="Times New Roman"/>
                <w:color w:val="auto"/>
                <w:sz w:val="21"/>
                <w:szCs w:val="21"/>
                <w:highlight w:val="none"/>
                <w:lang w:val="zh-CN"/>
              </w:rPr>
            </w:pPr>
            <w:r>
              <w:rPr>
                <w:rFonts w:hint="eastAsia" w:ascii="Times New Roman" w:hAnsi="Times New Roman" w:eastAsia="Times New Roman" w:cs="Times New Roman"/>
                <w:color w:val="auto"/>
                <w:sz w:val="21"/>
                <w:szCs w:val="21"/>
                <w:highlight w:val="none"/>
              </w:rPr>
              <w:t>31.644674533</w:t>
            </w:r>
          </w:p>
        </w:tc>
        <w:tc>
          <w:tcPr>
            <w:tcW w:w="1305" w:type="dxa"/>
            <w:tcBorders>
              <w:right w:val="nil"/>
            </w:tcBorders>
            <w:vAlign w:val="center"/>
          </w:tcPr>
          <w:p w14:paraId="3C6821D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雨水汇入</w:t>
            </w:r>
          </w:p>
        </w:tc>
      </w:tr>
      <w:tr w14:paraId="33F66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1029" w:type="dxa"/>
            <w:tcBorders>
              <w:left w:val="nil"/>
              <w:bottom w:val="single" w:color="auto" w:sz="12" w:space="0"/>
            </w:tcBorders>
            <w:vAlign w:val="center"/>
          </w:tcPr>
          <w:p w14:paraId="04062B4A">
            <w:pPr>
              <w:ind w:left="-105" w:right="-105"/>
              <w:jc w:val="center"/>
              <w:rPr>
                <w:rFonts w:ascii="Times New Roman" w:hAnsi="Times New Roman"/>
                <w:color w:val="auto"/>
                <w:sz w:val="21"/>
                <w:szCs w:val="21"/>
                <w:highlight w:val="none"/>
                <w:lang w:bidi="zh-CN"/>
              </w:rPr>
            </w:pPr>
            <w:bookmarkStart w:id="169" w:name="_Ref40981654"/>
            <w:r>
              <w:rPr>
                <w:rFonts w:hint="eastAsia"/>
                <w:color w:val="auto"/>
                <w:sz w:val="21"/>
                <w:szCs w:val="21"/>
                <w:highlight w:val="none"/>
              </w:rPr>
              <w:t>北兴塘</w:t>
            </w:r>
            <w:r>
              <w:rPr>
                <w:color w:val="auto"/>
                <w:sz w:val="21"/>
                <w:szCs w:val="21"/>
                <w:highlight w:val="none"/>
              </w:rPr>
              <w:t>河</w:t>
            </w:r>
          </w:p>
        </w:tc>
        <w:tc>
          <w:tcPr>
            <w:tcW w:w="1079" w:type="dxa"/>
            <w:tcBorders>
              <w:bottom w:val="single" w:color="auto" w:sz="12" w:space="0"/>
            </w:tcBorders>
            <w:vAlign w:val="center"/>
          </w:tcPr>
          <w:p w14:paraId="4D7C5D97">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地表水III类水体</w:t>
            </w:r>
          </w:p>
        </w:tc>
        <w:tc>
          <w:tcPr>
            <w:tcW w:w="613" w:type="dxa"/>
            <w:tcBorders>
              <w:bottom w:val="single" w:color="auto" w:sz="12" w:space="0"/>
            </w:tcBorders>
            <w:vAlign w:val="center"/>
          </w:tcPr>
          <w:p w14:paraId="4A51354A">
            <w:pPr>
              <w:ind w:left="-105" w:right="-105"/>
              <w:jc w:val="center"/>
              <w:rPr>
                <w:rFonts w:ascii="Times New Roman" w:hAnsi="Times New Roman"/>
                <w:color w:val="auto"/>
                <w:sz w:val="21"/>
                <w:szCs w:val="21"/>
                <w:highlight w:val="none"/>
                <w:lang w:bidi="zh-CN"/>
              </w:rPr>
            </w:pPr>
            <w:r>
              <w:rPr>
                <w:rFonts w:hint="eastAsia" w:ascii="Times New Roman" w:hAnsi="Times New Roman" w:cs="Times New Roman"/>
                <w:color w:val="auto"/>
                <w:sz w:val="21"/>
                <w:szCs w:val="21"/>
                <w:highlight w:val="none"/>
              </w:rPr>
              <w:t>2400</w:t>
            </w:r>
          </w:p>
        </w:tc>
        <w:tc>
          <w:tcPr>
            <w:tcW w:w="841" w:type="dxa"/>
            <w:tcBorders>
              <w:bottom w:val="single" w:color="auto" w:sz="12" w:space="0"/>
            </w:tcBorders>
            <w:vAlign w:val="center"/>
          </w:tcPr>
          <w:p w14:paraId="2F73D921">
            <w:pPr>
              <w:ind w:left="-105" w:right="-105"/>
              <w:jc w:val="center"/>
              <w:rPr>
                <w:rFonts w:ascii="Times New Roman" w:hAnsi="Times New Roman"/>
                <w:color w:val="auto"/>
                <w:sz w:val="21"/>
                <w:szCs w:val="21"/>
                <w:highlight w:val="none"/>
                <w:lang w:val="zh-CN" w:bidi="zh-CN"/>
              </w:rPr>
            </w:pPr>
            <w:r>
              <w:rPr>
                <w:rFonts w:hint="eastAsia" w:ascii="Times New Roman" w:hAnsi="Times New Roman" w:eastAsia="Times New Roman" w:cs="Times New Roman"/>
                <w:color w:val="auto"/>
                <w:sz w:val="21"/>
                <w:szCs w:val="21"/>
                <w:highlight w:val="none"/>
              </w:rPr>
              <w:t>120.395347311</w:t>
            </w:r>
          </w:p>
        </w:tc>
        <w:tc>
          <w:tcPr>
            <w:tcW w:w="842" w:type="dxa"/>
            <w:tcBorders>
              <w:bottom w:val="single" w:color="auto" w:sz="12" w:space="0"/>
            </w:tcBorders>
            <w:vAlign w:val="center"/>
          </w:tcPr>
          <w:p w14:paraId="146821F2">
            <w:pPr>
              <w:ind w:left="-105" w:right="-105"/>
              <w:jc w:val="center"/>
              <w:rPr>
                <w:rFonts w:ascii="Times New Roman" w:hAnsi="Times New Roman"/>
                <w:color w:val="auto"/>
                <w:sz w:val="21"/>
                <w:szCs w:val="21"/>
                <w:highlight w:val="none"/>
                <w:lang w:val="zh-CN" w:bidi="zh-CN"/>
              </w:rPr>
            </w:pPr>
            <w:r>
              <w:rPr>
                <w:rFonts w:hint="eastAsia" w:ascii="Times New Roman" w:hAnsi="Times New Roman" w:eastAsia="Times New Roman" w:cs="Times New Roman"/>
                <w:color w:val="auto"/>
                <w:sz w:val="21"/>
                <w:szCs w:val="21"/>
                <w:highlight w:val="none"/>
              </w:rPr>
              <w:t>31.626435511</w:t>
            </w:r>
          </w:p>
        </w:tc>
        <w:tc>
          <w:tcPr>
            <w:tcW w:w="743" w:type="dxa"/>
            <w:tcBorders>
              <w:bottom w:val="single" w:color="auto" w:sz="12" w:space="0"/>
            </w:tcBorders>
            <w:vAlign w:val="center"/>
          </w:tcPr>
          <w:p w14:paraId="69D23D4C">
            <w:pPr>
              <w:ind w:left="-105" w:right="-105"/>
              <w:jc w:val="center"/>
              <w:rPr>
                <w:rFonts w:ascii="Times New Roman" w:hAnsi="Times New Roman"/>
                <w:color w:val="auto"/>
                <w:sz w:val="21"/>
                <w:szCs w:val="21"/>
                <w:highlight w:val="none"/>
                <w:lang w:val="zh-CN" w:bidi="zh-CN"/>
              </w:rPr>
            </w:pPr>
            <w:r>
              <w:rPr>
                <w:rFonts w:ascii="Times New Roman" w:hAnsi="Times New Roman" w:eastAsia="Times New Roman" w:cs="Times New Roman"/>
                <w:color w:val="auto"/>
                <w:sz w:val="21"/>
                <w:szCs w:val="21"/>
                <w:highlight w:val="none"/>
              </w:rPr>
              <w:t>0</w:t>
            </w:r>
          </w:p>
        </w:tc>
        <w:tc>
          <w:tcPr>
            <w:tcW w:w="707" w:type="dxa"/>
            <w:tcBorders>
              <w:bottom w:val="single" w:color="auto" w:sz="12" w:space="0"/>
            </w:tcBorders>
            <w:vAlign w:val="center"/>
          </w:tcPr>
          <w:p w14:paraId="31404328">
            <w:pPr>
              <w:ind w:left="-105" w:right="-105"/>
              <w:jc w:val="center"/>
              <w:rPr>
                <w:rFonts w:ascii="Times New Roman" w:hAnsi="Times New Roman"/>
                <w:color w:val="auto"/>
                <w:sz w:val="21"/>
                <w:szCs w:val="21"/>
                <w:highlight w:val="none"/>
                <w:lang w:val="zh-CN" w:bidi="zh-CN"/>
              </w:rPr>
            </w:pPr>
            <w:r>
              <w:rPr>
                <w:rFonts w:hint="eastAsia" w:ascii="Times New Roman" w:hAnsi="Times New Roman" w:cs="Times New Roman"/>
                <w:color w:val="auto"/>
                <w:sz w:val="21"/>
                <w:szCs w:val="21"/>
                <w:highlight w:val="none"/>
              </w:rPr>
              <w:t>2400</w:t>
            </w:r>
          </w:p>
        </w:tc>
        <w:tc>
          <w:tcPr>
            <w:tcW w:w="793" w:type="dxa"/>
            <w:tcBorders>
              <w:bottom w:val="single" w:color="auto" w:sz="12" w:space="0"/>
            </w:tcBorders>
            <w:vAlign w:val="center"/>
          </w:tcPr>
          <w:p w14:paraId="6822889D">
            <w:pPr>
              <w:ind w:left="-105" w:right="-105"/>
              <w:jc w:val="center"/>
              <w:rPr>
                <w:rFonts w:ascii="Times New Roman" w:hAnsi="Times New Roman"/>
                <w:color w:val="auto"/>
                <w:sz w:val="21"/>
                <w:szCs w:val="21"/>
                <w:highlight w:val="none"/>
                <w:lang w:val="zh-CN" w:bidi="zh-CN"/>
              </w:rPr>
            </w:pPr>
            <w:r>
              <w:rPr>
                <w:rFonts w:hint="eastAsia" w:ascii="Times New Roman" w:hAnsi="Times New Roman" w:eastAsia="Times New Roman" w:cs="Times New Roman"/>
                <w:color w:val="auto"/>
                <w:sz w:val="21"/>
                <w:szCs w:val="21"/>
                <w:highlight w:val="none"/>
              </w:rPr>
              <w:t>120.395347311</w:t>
            </w:r>
          </w:p>
        </w:tc>
        <w:tc>
          <w:tcPr>
            <w:tcW w:w="825" w:type="dxa"/>
            <w:tcBorders>
              <w:bottom w:val="single" w:color="auto" w:sz="12" w:space="0"/>
            </w:tcBorders>
            <w:vAlign w:val="center"/>
          </w:tcPr>
          <w:p w14:paraId="59D0ABD2">
            <w:pPr>
              <w:ind w:left="-105" w:right="-105"/>
              <w:jc w:val="center"/>
              <w:rPr>
                <w:rFonts w:ascii="Times New Roman" w:hAnsi="Times New Roman"/>
                <w:color w:val="auto"/>
                <w:sz w:val="21"/>
                <w:szCs w:val="21"/>
                <w:highlight w:val="none"/>
                <w:lang w:val="zh-CN" w:bidi="zh-CN"/>
              </w:rPr>
            </w:pPr>
            <w:r>
              <w:rPr>
                <w:rFonts w:hint="eastAsia" w:ascii="Times New Roman" w:hAnsi="Times New Roman" w:eastAsia="Times New Roman" w:cs="Times New Roman"/>
                <w:color w:val="auto"/>
                <w:sz w:val="21"/>
                <w:szCs w:val="21"/>
                <w:highlight w:val="none"/>
              </w:rPr>
              <w:t>31.626435511</w:t>
            </w:r>
          </w:p>
        </w:tc>
        <w:tc>
          <w:tcPr>
            <w:tcW w:w="1305" w:type="dxa"/>
            <w:tcBorders>
              <w:bottom w:val="single" w:color="auto" w:sz="12" w:space="0"/>
              <w:right w:val="nil"/>
            </w:tcBorders>
            <w:vAlign w:val="center"/>
          </w:tcPr>
          <w:p w14:paraId="29D61E6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云林污水处理有限公司尾水汇入</w:t>
            </w:r>
          </w:p>
        </w:tc>
      </w:tr>
    </w:tbl>
    <w:p w14:paraId="2D8CD081">
      <w:pPr>
        <w:pStyle w:val="15"/>
        <w:spacing w:line="360" w:lineRule="auto"/>
        <w:ind w:left="-105" w:right="-105" w:firstLine="482"/>
        <w:rPr>
          <w:rFonts w:cs="Times New Roman"/>
          <w:color w:val="auto"/>
          <w:sz w:val="24"/>
          <w:szCs w:val="18"/>
          <w:highlight w:val="none"/>
        </w:rPr>
      </w:pPr>
      <w:r>
        <w:rPr>
          <w:rFonts w:eastAsia="宋体" w:cs="Times New Roman"/>
          <w:color w:val="auto"/>
          <w:sz w:val="24"/>
          <w:szCs w:val="18"/>
          <w:highlight w:val="none"/>
        </w:rPr>
        <w:t xml:space="preserve">表 </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2.5</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w:t>
      </w:r>
      <w:r>
        <w:rPr>
          <w:rFonts w:eastAsia="宋体" w:cs="Times New Roman"/>
          <w:color w:val="auto"/>
          <w:sz w:val="24"/>
          <w:szCs w:val="18"/>
          <w:highlight w:val="none"/>
        </w:rPr>
        <w:fldChar w:fldCharType="end"/>
      </w:r>
      <w:bookmarkEnd w:id="169"/>
      <w:r>
        <w:rPr>
          <w:rFonts w:eastAsia="宋体" w:cs="Times New Roman"/>
          <w:color w:val="auto"/>
          <w:sz w:val="24"/>
          <w:szCs w:val="18"/>
          <w:highlight w:val="none"/>
        </w:rPr>
        <w:t>声环境</w:t>
      </w:r>
      <w:r>
        <w:rPr>
          <w:rFonts w:hint="eastAsia" w:ascii="宋体" w:hAnsi="宋体" w:eastAsia="宋体" w:cs="宋体"/>
          <w:color w:val="auto"/>
          <w:sz w:val="24"/>
          <w:szCs w:val="18"/>
          <w:highlight w:val="none"/>
        </w:rPr>
        <w:t>保护目标表</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236"/>
        <w:gridCol w:w="753"/>
        <w:gridCol w:w="753"/>
        <w:gridCol w:w="752"/>
        <w:gridCol w:w="958"/>
        <w:gridCol w:w="696"/>
        <w:gridCol w:w="1663"/>
        <w:gridCol w:w="1345"/>
      </w:tblGrid>
      <w:tr w14:paraId="46818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dxa"/>
            <w:vMerge w:val="restart"/>
            <w:tcBorders>
              <w:tl2br w:val="nil"/>
              <w:tr2bl w:val="nil"/>
            </w:tcBorders>
            <w:vAlign w:val="center"/>
          </w:tcPr>
          <w:p w14:paraId="44573867">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序号</w:t>
            </w:r>
          </w:p>
        </w:tc>
        <w:tc>
          <w:tcPr>
            <w:tcW w:w="1236" w:type="dxa"/>
            <w:vMerge w:val="restart"/>
            <w:tcBorders>
              <w:tl2br w:val="nil"/>
              <w:tr2bl w:val="nil"/>
            </w:tcBorders>
            <w:vAlign w:val="center"/>
          </w:tcPr>
          <w:p w14:paraId="52D48B3E">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声环境保护目标名称</w:t>
            </w:r>
          </w:p>
        </w:tc>
        <w:tc>
          <w:tcPr>
            <w:tcW w:w="2258" w:type="dxa"/>
            <w:gridSpan w:val="3"/>
            <w:tcBorders>
              <w:tl2br w:val="nil"/>
              <w:tr2bl w:val="nil"/>
            </w:tcBorders>
            <w:vAlign w:val="center"/>
          </w:tcPr>
          <w:p w14:paraId="4990A369">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空间相对位置/m</w:t>
            </w:r>
          </w:p>
        </w:tc>
        <w:tc>
          <w:tcPr>
            <w:tcW w:w="958" w:type="dxa"/>
            <w:vMerge w:val="restart"/>
            <w:tcBorders>
              <w:tl2br w:val="nil"/>
              <w:tr2bl w:val="nil"/>
            </w:tcBorders>
            <w:vAlign w:val="center"/>
          </w:tcPr>
          <w:p w14:paraId="7D367B51">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距厂界最近距离/m</w:t>
            </w:r>
          </w:p>
        </w:tc>
        <w:tc>
          <w:tcPr>
            <w:tcW w:w="696" w:type="dxa"/>
            <w:vMerge w:val="restart"/>
            <w:tcBorders>
              <w:tl2br w:val="nil"/>
              <w:tr2bl w:val="nil"/>
            </w:tcBorders>
            <w:vAlign w:val="center"/>
          </w:tcPr>
          <w:p w14:paraId="3B16B0F7">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方位</w:t>
            </w:r>
          </w:p>
        </w:tc>
        <w:tc>
          <w:tcPr>
            <w:tcW w:w="1663" w:type="dxa"/>
            <w:vMerge w:val="restart"/>
            <w:tcBorders>
              <w:tl2br w:val="nil"/>
              <w:tr2bl w:val="nil"/>
            </w:tcBorders>
            <w:vAlign w:val="center"/>
          </w:tcPr>
          <w:p w14:paraId="1B790C81">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执行标准/功能区类别</w:t>
            </w:r>
          </w:p>
        </w:tc>
        <w:tc>
          <w:tcPr>
            <w:tcW w:w="1345" w:type="dxa"/>
            <w:vMerge w:val="restart"/>
            <w:tcBorders>
              <w:tl2br w:val="nil"/>
              <w:tr2bl w:val="nil"/>
            </w:tcBorders>
            <w:vAlign w:val="center"/>
          </w:tcPr>
          <w:p w14:paraId="4B2E7F3C">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声环境保护目标情况说明</w:t>
            </w:r>
          </w:p>
        </w:tc>
      </w:tr>
      <w:tr w14:paraId="67092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dxa"/>
            <w:vMerge w:val="continue"/>
            <w:tcBorders>
              <w:tl2br w:val="nil"/>
              <w:tr2bl w:val="nil"/>
            </w:tcBorders>
            <w:vAlign w:val="center"/>
          </w:tcPr>
          <w:p w14:paraId="0ED5F5C6">
            <w:pPr>
              <w:pStyle w:val="15"/>
              <w:ind w:left="-105" w:right="-105"/>
              <w:rPr>
                <w:rFonts w:eastAsia="宋体" w:cs="Times New Roman"/>
                <w:color w:val="auto"/>
                <w:sz w:val="21"/>
                <w:szCs w:val="21"/>
                <w:highlight w:val="none"/>
              </w:rPr>
            </w:pPr>
          </w:p>
        </w:tc>
        <w:tc>
          <w:tcPr>
            <w:tcW w:w="1236" w:type="dxa"/>
            <w:vMerge w:val="continue"/>
            <w:tcBorders>
              <w:tl2br w:val="nil"/>
              <w:tr2bl w:val="nil"/>
            </w:tcBorders>
            <w:vAlign w:val="center"/>
          </w:tcPr>
          <w:p w14:paraId="34776E16">
            <w:pPr>
              <w:pStyle w:val="15"/>
              <w:ind w:left="-105" w:right="-105"/>
              <w:rPr>
                <w:rFonts w:eastAsia="宋体" w:cs="Times New Roman"/>
                <w:color w:val="auto"/>
                <w:sz w:val="21"/>
                <w:szCs w:val="21"/>
                <w:highlight w:val="none"/>
              </w:rPr>
            </w:pPr>
          </w:p>
        </w:tc>
        <w:tc>
          <w:tcPr>
            <w:tcW w:w="753" w:type="dxa"/>
            <w:tcBorders>
              <w:tl2br w:val="nil"/>
              <w:tr2bl w:val="nil"/>
            </w:tcBorders>
            <w:vAlign w:val="center"/>
          </w:tcPr>
          <w:p w14:paraId="70E6AD92">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X</w:t>
            </w:r>
          </w:p>
        </w:tc>
        <w:tc>
          <w:tcPr>
            <w:tcW w:w="753" w:type="dxa"/>
            <w:tcBorders>
              <w:tl2br w:val="nil"/>
              <w:tr2bl w:val="nil"/>
            </w:tcBorders>
            <w:vAlign w:val="center"/>
          </w:tcPr>
          <w:p w14:paraId="4DE1D15C">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Y</w:t>
            </w:r>
          </w:p>
        </w:tc>
        <w:tc>
          <w:tcPr>
            <w:tcW w:w="752" w:type="dxa"/>
            <w:tcBorders>
              <w:tl2br w:val="nil"/>
              <w:tr2bl w:val="nil"/>
            </w:tcBorders>
            <w:vAlign w:val="center"/>
          </w:tcPr>
          <w:p w14:paraId="7C083AFA">
            <w:pPr>
              <w:pStyle w:val="15"/>
              <w:ind w:left="-105" w:right="-105"/>
              <w:rPr>
                <w:rFonts w:eastAsia="宋体" w:cs="Times New Roman"/>
                <w:color w:val="auto"/>
                <w:sz w:val="21"/>
                <w:szCs w:val="21"/>
                <w:highlight w:val="none"/>
              </w:rPr>
            </w:pPr>
            <w:r>
              <w:rPr>
                <w:rFonts w:hint="eastAsia" w:eastAsia="宋体" w:cs="Times New Roman"/>
                <w:color w:val="auto"/>
                <w:sz w:val="21"/>
                <w:szCs w:val="21"/>
                <w:highlight w:val="none"/>
              </w:rPr>
              <w:t>Z</w:t>
            </w:r>
          </w:p>
        </w:tc>
        <w:tc>
          <w:tcPr>
            <w:tcW w:w="958" w:type="dxa"/>
            <w:vMerge w:val="continue"/>
            <w:tcBorders>
              <w:tl2br w:val="nil"/>
              <w:tr2bl w:val="nil"/>
            </w:tcBorders>
            <w:vAlign w:val="center"/>
          </w:tcPr>
          <w:p w14:paraId="2807FB40">
            <w:pPr>
              <w:pStyle w:val="15"/>
              <w:ind w:left="-105" w:right="-105"/>
              <w:rPr>
                <w:rFonts w:eastAsia="宋体" w:cs="Times New Roman"/>
                <w:color w:val="auto"/>
                <w:sz w:val="21"/>
                <w:szCs w:val="21"/>
                <w:highlight w:val="none"/>
              </w:rPr>
            </w:pPr>
          </w:p>
        </w:tc>
        <w:tc>
          <w:tcPr>
            <w:tcW w:w="696" w:type="dxa"/>
            <w:vMerge w:val="continue"/>
            <w:tcBorders>
              <w:tl2br w:val="nil"/>
              <w:tr2bl w:val="nil"/>
            </w:tcBorders>
            <w:vAlign w:val="center"/>
          </w:tcPr>
          <w:p w14:paraId="560325E0">
            <w:pPr>
              <w:pStyle w:val="15"/>
              <w:ind w:left="-105" w:right="-105"/>
              <w:rPr>
                <w:rFonts w:eastAsia="宋体" w:cs="Times New Roman"/>
                <w:color w:val="auto"/>
                <w:sz w:val="21"/>
                <w:szCs w:val="21"/>
                <w:highlight w:val="none"/>
              </w:rPr>
            </w:pPr>
          </w:p>
        </w:tc>
        <w:tc>
          <w:tcPr>
            <w:tcW w:w="1663" w:type="dxa"/>
            <w:vMerge w:val="continue"/>
            <w:tcBorders>
              <w:tl2br w:val="nil"/>
              <w:tr2bl w:val="nil"/>
            </w:tcBorders>
            <w:vAlign w:val="center"/>
          </w:tcPr>
          <w:p w14:paraId="53C25D80">
            <w:pPr>
              <w:pStyle w:val="15"/>
              <w:ind w:left="-105" w:right="-105"/>
              <w:rPr>
                <w:rFonts w:eastAsia="宋体" w:cs="Times New Roman"/>
                <w:color w:val="auto"/>
                <w:sz w:val="21"/>
                <w:szCs w:val="21"/>
                <w:highlight w:val="none"/>
              </w:rPr>
            </w:pPr>
          </w:p>
        </w:tc>
        <w:tc>
          <w:tcPr>
            <w:tcW w:w="1345" w:type="dxa"/>
            <w:vMerge w:val="continue"/>
            <w:tcBorders>
              <w:tl2br w:val="nil"/>
              <w:tr2bl w:val="nil"/>
            </w:tcBorders>
            <w:vAlign w:val="center"/>
          </w:tcPr>
          <w:p w14:paraId="6397C715">
            <w:pPr>
              <w:pStyle w:val="15"/>
              <w:ind w:left="-105" w:right="-105"/>
              <w:rPr>
                <w:rFonts w:eastAsia="宋体" w:cs="Times New Roman"/>
                <w:color w:val="auto"/>
                <w:sz w:val="21"/>
                <w:szCs w:val="21"/>
                <w:highlight w:val="none"/>
              </w:rPr>
            </w:pPr>
          </w:p>
        </w:tc>
      </w:tr>
      <w:tr w14:paraId="4EAAD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dxa"/>
            <w:tcBorders>
              <w:tl2br w:val="nil"/>
              <w:tr2bl w:val="nil"/>
            </w:tcBorders>
            <w:vAlign w:val="center"/>
          </w:tcPr>
          <w:p w14:paraId="1AF75BAA">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w:t>
            </w:r>
          </w:p>
        </w:tc>
        <w:tc>
          <w:tcPr>
            <w:tcW w:w="1236" w:type="dxa"/>
            <w:tcBorders>
              <w:tl2br w:val="nil"/>
              <w:tr2bl w:val="nil"/>
            </w:tcBorders>
            <w:vAlign w:val="center"/>
          </w:tcPr>
          <w:p w14:paraId="0039DA79">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周巷头</w:t>
            </w:r>
          </w:p>
        </w:tc>
        <w:tc>
          <w:tcPr>
            <w:tcW w:w="753" w:type="dxa"/>
            <w:tcBorders>
              <w:tl2br w:val="nil"/>
              <w:tr2bl w:val="nil"/>
            </w:tcBorders>
            <w:vAlign w:val="center"/>
          </w:tcPr>
          <w:p w14:paraId="46C1D553">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185</w:t>
            </w:r>
          </w:p>
        </w:tc>
        <w:tc>
          <w:tcPr>
            <w:tcW w:w="753" w:type="dxa"/>
            <w:tcBorders>
              <w:tl2br w:val="nil"/>
              <w:tr2bl w:val="nil"/>
            </w:tcBorders>
            <w:vAlign w:val="center"/>
          </w:tcPr>
          <w:p w14:paraId="1410BB4F">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119</w:t>
            </w:r>
          </w:p>
        </w:tc>
        <w:tc>
          <w:tcPr>
            <w:tcW w:w="752" w:type="dxa"/>
            <w:tcBorders>
              <w:tl2br w:val="nil"/>
              <w:tr2bl w:val="nil"/>
            </w:tcBorders>
            <w:vAlign w:val="center"/>
          </w:tcPr>
          <w:p w14:paraId="05586B4A">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8</w:t>
            </w:r>
          </w:p>
        </w:tc>
        <w:tc>
          <w:tcPr>
            <w:tcW w:w="958" w:type="dxa"/>
            <w:tcBorders>
              <w:tl2br w:val="nil"/>
              <w:tr2bl w:val="nil"/>
            </w:tcBorders>
            <w:vAlign w:val="center"/>
          </w:tcPr>
          <w:p w14:paraId="442B60CE">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val="en-US" w:bidi="zh-CN"/>
              </w:rPr>
              <w:t>30</w:t>
            </w:r>
            <w:r>
              <w:rPr>
                <w:rFonts w:ascii="Times New Roman" w:hAnsi="Times New Roman"/>
                <w:color w:val="auto"/>
                <w:sz w:val="21"/>
                <w:szCs w:val="21"/>
                <w:highlight w:val="none"/>
                <w:lang w:val="zh-CN" w:bidi="zh-CN"/>
              </w:rPr>
              <w:softHyphen/>
            </w:r>
          </w:p>
        </w:tc>
        <w:tc>
          <w:tcPr>
            <w:tcW w:w="696" w:type="dxa"/>
            <w:tcBorders>
              <w:tl2br w:val="nil"/>
              <w:tr2bl w:val="nil"/>
            </w:tcBorders>
            <w:vAlign w:val="center"/>
          </w:tcPr>
          <w:p w14:paraId="2FCB22F2">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NE</w:t>
            </w:r>
            <w:r>
              <w:rPr>
                <w:rFonts w:ascii="Times New Roman" w:hAnsi="Times New Roman"/>
                <w:color w:val="auto"/>
                <w:sz w:val="21"/>
                <w:szCs w:val="21"/>
                <w:highlight w:val="none"/>
                <w:lang w:val="zh-CN" w:bidi="zh-CN"/>
              </w:rPr>
              <w:softHyphen/>
            </w:r>
          </w:p>
        </w:tc>
        <w:tc>
          <w:tcPr>
            <w:tcW w:w="1663" w:type="dxa"/>
            <w:vMerge w:val="restart"/>
            <w:tcBorders>
              <w:tl2br w:val="nil"/>
              <w:tr2bl w:val="nil"/>
            </w:tcBorders>
            <w:vAlign w:val="center"/>
          </w:tcPr>
          <w:p w14:paraId="727AAF3E">
            <w:pPr>
              <w:pStyle w:val="15"/>
              <w:ind w:left="-105" w:right="-105"/>
              <w:rPr>
                <w:rFonts w:eastAsia="宋体" w:cs="Times New Roman"/>
                <w:color w:val="auto"/>
                <w:sz w:val="21"/>
                <w:szCs w:val="21"/>
                <w:highlight w:val="none"/>
              </w:rPr>
            </w:pPr>
            <w:r>
              <w:rPr>
                <w:rFonts w:eastAsia="宋体" w:cs="Times New Roman"/>
                <w:b w:val="0"/>
                <w:bCs/>
                <w:color w:val="auto"/>
                <w:sz w:val="21"/>
                <w:szCs w:val="21"/>
                <w:highlight w:val="none"/>
                <w:lang w:val="zh-CN" w:bidi="zh-CN"/>
              </w:rPr>
              <w:t>《声环境质量标准》(GB3096-2008)2类标准</w:t>
            </w:r>
          </w:p>
        </w:tc>
        <w:tc>
          <w:tcPr>
            <w:tcW w:w="1345" w:type="dxa"/>
            <w:vMerge w:val="restart"/>
            <w:tcBorders>
              <w:tl2br w:val="nil"/>
              <w:tr2bl w:val="nil"/>
            </w:tcBorders>
            <w:vAlign w:val="center"/>
          </w:tcPr>
          <w:p w14:paraId="62CF5D5E">
            <w:pPr>
              <w:pStyle w:val="15"/>
              <w:ind w:left="-105" w:right="-105"/>
              <w:rPr>
                <w:rFonts w:eastAsia="宋体" w:cs="Times New Roman"/>
                <w:color w:val="auto"/>
                <w:sz w:val="21"/>
                <w:szCs w:val="21"/>
                <w:highlight w:val="none"/>
              </w:rPr>
            </w:pPr>
            <w:r>
              <w:rPr>
                <w:rFonts w:hint="eastAsia" w:eastAsia="宋体" w:cs="Times New Roman"/>
                <w:b w:val="0"/>
                <w:bCs/>
                <w:color w:val="auto"/>
                <w:sz w:val="21"/>
                <w:szCs w:val="21"/>
                <w:highlight w:val="none"/>
              </w:rPr>
              <w:t>居民点为混凝土结构，西南朝向，二层，周围为道路、厂房及绿化</w:t>
            </w:r>
          </w:p>
        </w:tc>
      </w:tr>
      <w:tr w14:paraId="5E219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dxa"/>
            <w:tcBorders>
              <w:tl2br w:val="nil"/>
              <w:tr2bl w:val="nil"/>
            </w:tcBorders>
            <w:vAlign w:val="center"/>
          </w:tcPr>
          <w:p w14:paraId="51A1AD56">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2</w:t>
            </w:r>
          </w:p>
        </w:tc>
        <w:tc>
          <w:tcPr>
            <w:tcW w:w="1236" w:type="dxa"/>
            <w:tcBorders>
              <w:tl2br w:val="nil"/>
              <w:tr2bl w:val="nil"/>
            </w:tcBorders>
            <w:vAlign w:val="center"/>
          </w:tcPr>
          <w:p w14:paraId="01BE6DC6">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浦巷上</w:t>
            </w:r>
          </w:p>
        </w:tc>
        <w:tc>
          <w:tcPr>
            <w:tcW w:w="753" w:type="dxa"/>
            <w:tcBorders>
              <w:tl2br w:val="nil"/>
              <w:tr2bl w:val="nil"/>
            </w:tcBorders>
            <w:vAlign w:val="center"/>
          </w:tcPr>
          <w:p w14:paraId="26357889">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-105</w:t>
            </w:r>
          </w:p>
        </w:tc>
        <w:tc>
          <w:tcPr>
            <w:tcW w:w="753" w:type="dxa"/>
            <w:tcBorders>
              <w:tl2br w:val="nil"/>
              <w:tr2bl w:val="nil"/>
            </w:tcBorders>
            <w:vAlign w:val="center"/>
          </w:tcPr>
          <w:p w14:paraId="13BE3FD5">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100</w:t>
            </w:r>
          </w:p>
        </w:tc>
        <w:tc>
          <w:tcPr>
            <w:tcW w:w="752" w:type="dxa"/>
            <w:tcBorders>
              <w:tl2br w:val="nil"/>
              <w:tr2bl w:val="nil"/>
            </w:tcBorders>
            <w:vAlign w:val="center"/>
          </w:tcPr>
          <w:p w14:paraId="38AC4B45">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5</w:t>
            </w:r>
          </w:p>
        </w:tc>
        <w:tc>
          <w:tcPr>
            <w:tcW w:w="958" w:type="dxa"/>
            <w:tcBorders>
              <w:tl2br w:val="nil"/>
              <w:tr2bl w:val="nil"/>
            </w:tcBorders>
            <w:vAlign w:val="center"/>
          </w:tcPr>
          <w:p w14:paraId="451957E2">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100</w:t>
            </w:r>
          </w:p>
        </w:tc>
        <w:tc>
          <w:tcPr>
            <w:tcW w:w="696" w:type="dxa"/>
            <w:tcBorders>
              <w:tl2br w:val="nil"/>
              <w:tr2bl w:val="nil"/>
            </w:tcBorders>
            <w:vAlign w:val="center"/>
          </w:tcPr>
          <w:p w14:paraId="52182F78">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W</w:t>
            </w:r>
          </w:p>
        </w:tc>
        <w:tc>
          <w:tcPr>
            <w:tcW w:w="1663" w:type="dxa"/>
            <w:vMerge w:val="continue"/>
            <w:tcBorders>
              <w:tl2br w:val="nil"/>
              <w:tr2bl w:val="nil"/>
            </w:tcBorders>
            <w:vAlign w:val="center"/>
          </w:tcPr>
          <w:p w14:paraId="3F0E158C">
            <w:pPr>
              <w:pStyle w:val="15"/>
              <w:ind w:left="-105" w:right="-105"/>
              <w:rPr>
                <w:rFonts w:eastAsia="宋体" w:cs="Times New Roman"/>
                <w:color w:val="auto"/>
                <w:sz w:val="21"/>
                <w:szCs w:val="21"/>
                <w:highlight w:val="none"/>
              </w:rPr>
            </w:pPr>
          </w:p>
        </w:tc>
        <w:tc>
          <w:tcPr>
            <w:tcW w:w="1345" w:type="dxa"/>
            <w:vMerge w:val="continue"/>
            <w:tcBorders>
              <w:tl2br w:val="nil"/>
              <w:tr2bl w:val="nil"/>
            </w:tcBorders>
            <w:vAlign w:val="center"/>
          </w:tcPr>
          <w:p w14:paraId="0D8D51C6">
            <w:pPr>
              <w:pStyle w:val="15"/>
              <w:ind w:left="-105" w:right="-105"/>
              <w:rPr>
                <w:rFonts w:eastAsia="宋体" w:cs="Times New Roman"/>
                <w:color w:val="auto"/>
                <w:sz w:val="21"/>
                <w:szCs w:val="21"/>
                <w:highlight w:val="none"/>
              </w:rPr>
            </w:pPr>
          </w:p>
        </w:tc>
      </w:tr>
      <w:tr w14:paraId="32E1C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dxa"/>
            <w:tcBorders>
              <w:tl2br w:val="nil"/>
              <w:tr2bl w:val="nil"/>
            </w:tcBorders>
            <w:vAlign w:val="center"/>
          </w:tcPr>
          <w:p w14:paraId="4DC067EC">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3</w:t>
            </w:r>
          </w:p>
        </w:tc>
        <w:tc>
          <w:tcPr>
            <w:tcW w:w="1236" w:type="dxa"/>
            <w:tcBorders>
              <w:tl2br w:val="nil"/>
              <w:tr2bl w:val="nil"/>
            </w:tcBorders>
            <w:vAlign w:val="center"/>
          </w:tcPr>
          <w:p w14:paraId="162F4634">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朱巷村</w:t>
            </w:r>
          </w:p>
        </w:tc>
        <w:tc>
          <w:tcPr>
            <w:tcW w:w="753" w:type="dxa"/>
            <w:tcBorders>
              <w:tl2br w:val="nil"/>
              <w:tr2bl w:val="nil"/>
            </w:tcBorders>
            <w:vAlign w:val="center"/>
          </w:tcPr>
          <w:p w14:paraId="0C80C023">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-60</w:t>
            </w:r>
          </w:p>
        </w:tc>
        <w:tc>
          <w:tcPr>
            <w:tcW w:w="753" w:type="dxa"/>
            <w:tcBorders>
              <w:tl2br w:val="nil"/>
              <w:tr2bl w:val="nil"/>
            </w:tcBorders>
            <w:vAlign w:val="center"/>
          </w:tcPr>
          <w:p w14:paraId="01A56A87">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-105</w:t>
            </w:r>
          </w:p>
        </w:tc>
        <w:tc>
          <w:tcPr>
            <w:tcW w:w="752" w:type="dxa"/>
            <w:tcBorders>
              <w:tl2br w:val="nil"/>
              <w:tr2bl w:val="nil"/>
            </w:tcBorders>
            <w:vAlign w:val="center"/>
          </w:tcPr>
          <w:p w14:paraId="5B2D62BC">
            <w:pPr>
              <w:pStyle w:val="15"/>
              <w:ind w:left="-105" w:right="-105"/>
              <w:rPr>
                <w:rFonts w:eastAsia="宋体" w:cs="Times New Roman"/>
                <w:b w:val="0"/>
                <w:bCs/>
                <w:color w:val="auto"/>
                <w:sz w:val="21"/>
                <w:szCs w:val="21"/>
                <w:highlight w:val="none"/>
              </w:rPr>
            </w:pPr>
            <w:r>
              <w:rPr>
                <w:rFonts w:hint="eastAsia" w:eastAsia="宋体" w:cs="Times New Roman"/>
                <w:b w:val="0"/>
                <w:bCs/>
                <w:color w:val="auto"/>
                <w:sz w:val="21"/>
                <w:szCs w:val="21"/>
                <w:highlight w:val="none"/>
              </w:rPr>
              <w:t>10</w:t>
            </w:r>
          </w:p>
        </w:tc>
        <w:tc>
          <w:tcPr>
            <w:tcW w:w="958" w:type="dxa"/>
            <w:tcBorders>
              <w:tl2br w:val="nil"/>
              <w:tr2bl w:val="nil"/>
            </w:tcBorders>
            <w:vAlign w:val="center"/>
          </w:tcPr>
          <w:p w14:paraId="1E19B8F0">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140</w:t>
            </w:r>
          </w:p>
        </w:tc>
        <w:tc>
          <w:tcPr>
            <w:tcW w:w="696" w:type="dxa"/>
            <w:tcBorders>
              <w:tl2br w:val="nil"/>
              <w:tr2bl w:val="nil"/>
            </w:tcBorders>
            <w:vAlign w:val="center"/>
          </w:tcPr>
          <w:p w14:paraId="5A3D3CA1">
            <w:pPr>
              <w:ind w:left="-105" w:right="-105"/>
              <w:jc w:val="center"/>
              <w:rPr>
                <w:rFonts w:cs="Times New Roman"/>
                <w:color w:val="auto"/>
                <w:sz w:val="21"/>
                <w:szCs w:val="21"/>
                <w:highlight w:val="none"/>
              </w:rPr>
            </w:pPr>
            <w:r>
              <w:rPr>
                <w:rFonts w:hint="eastAsia" w:ascii="Times New Roman" w:hAnsi="Times New Roman"/>
                <w:color w:val="auto"/>
                <w:sz w:val="21"/>
                <w:szCs w:val="21"/>
                <w:highlight w:val="none"/>
                <w:lang w:bidi="zh-CN"/>
              </w:rPr>
              <w:t>SW</w:t>
            </w:r>
          </w:p>
        </w:tc>
        <w:tc>
          <w:tcPr>
            <w:tcW w:w="1663" w:type="dxa"/>
            <w:vMerge w:val="continue"/>
            <w:tcBorders>
              <w:tl2br w:val="nil"/>
              <w:tr2bl w:val="nil"/>
            </w:tcBorders>
            <w:vAlign w:val="center"/>
          </w:tcPr>
          <w:p w14:paraId="6EB5DBF0">
            <w:pPr>
              <w:pStyle w:val="15"/>
              <w:ind w:left="-105" w:right="-105"/>
              <w:rPr>
                <w:rFonts w:eastAsia="宋体" w:cs="Times New Roman"/>
                <w:color w:val="auto"/>
                <w:sz w:val="21"/>
                <w:szCs w:val="21"/>
                <w:highlight w:val="none"/>
              </w:rPr>
            </w:pPr>
          </w:p>
        </w:tc>
        <w:tc>
          <w:tcPr>
            <w:tcW w:w="1345" w:type="dxa"/>
            <w:vMerge w:val="continue"/>
            <w:tcBorders>
              <w:tl2br w:val="nil"/>
              <w:tr2bl w:val="nil"/>
            </w:tcBorders>
            <w:vAlign w:val="center"/>
          </w:tcPr>
          <w:p w14:paraId="46194A68">
            <w:pPr>
              <w:pStyle w:val="15"/>
              <w:ind w:left="-105" w:right="-105"/>
              <w:rPr>
                <w:rFonts w:eastAsia="宋体" w:cs="Times New Roman"/>
                <w:color w:val="auto"/>
                <w:sz w:val="21"/>
                <w:szCs w:val="21"/>
                <w:highlight w:val="none"/>
              </w:rPr>
            </w:pPr>
          </w:p>
        </w:tc>
      </w:tr>
    </w:tbl>
    <w:p w14:paraId="18EBB7EC">
      <w:pPr>
        <w:pStyle w:val="15"/>
        <w:spacing w:line="360" w:lineRule="auto"/>
        <w:ind w:left="-105" w:right="-105"/>
        <w:jc w:val="both"/>
        <w:rPr>
          <w:rFonts w:eastAsia="宋体" w:cs="Times New Roman"/>
          <w:color w:val="auto"/>
          <w:sz w:val="21"/>
          <w:szCs w:val="15"/>
          <w:highlight w:val="none"/>
        </w:rPr>
      </w:pPr>
      <w:r>
        <w:rPr>
          <w:rFonts w:hint="eastAsia" w:eastAsia="宋体" w:cs="Times New Roman"/>
          <w:color w:val="auto"/>
          <w:sz w:val="21"/>
          <w:szCs w:val="15"/>
          <w:highlight w:val="none"/>
        </w:rPr>
        <w:t>注：以厂界西南角为原点。</w:t>
      </w:r>
    </w:p>
    <w:p w14:paraId="37F09115">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18"/>
          <w:highlight w:val="none"/>
        </w:rPr>
        <w:t xml:space="preserve">表 </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2.5</w:t>
      </w:r>
      <w:r>
        <w:rPr>
          <w:rFonts w:eastAsia="宋体" w:cs="Times New Roman"/>
          <w:color w:val="auto"/>
          <w:sz w:val="24"/>
          <w:szCs w:val="18"/>
          <w:highlight w:val="none"/>
        </w:rPr>
        <w:fldChar w:fldCharType="end"/>
      </w:r>
      <w:r>
        <w:rPr>
          <w:rFonts w:hint="eastAsia" w:eastAsia="宋体" w:cs="Times New Roman"/>
          <w:color w:val="auto"/>
          <w:sz w:val="24"/>
          <w:szCs w:val="18"/>
          <w:highlight w:val="none"/>
        </w:rPr>
        <w:t>-</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w:t>
      </w:r>
      <w:r>
        <w:rPr>
          <w:rFonts w:eastAsia="宋体" w:cs="Times New Roman"/>
          <w:color w:val="auto"/>
          <w:sz w:val="24"/>
          <w:szCs w:val="18"/>
          <w:highlight w:val="none"/>
        </w:rPr>
        <w:fldChar w:fldCharType="end"/>
      </w:r>
      <w:r>
        <w:rPr>
          <w:rFonts w:eastAsia="宋体" w:cs="Times New Roman"/>
          <w:color w:val="auto"/>
          <w:sz w:val="24"/>
          <w:szCs w:val="18"/>
          <w:highlight w:val="none"/>
        </w:rPr>
        <w:t>地下水</w:t>
      </w:r>
      <w:r>
        <w:rPr>
          <w:rFonts w:hint="eastAsia" w:eastAsia="宋体" w:cs="Times New Roman"/>
          <w:color w:val="auto"/>
          <w:sz w:val="24"/>
          <w:szCs w:val="18"/>
          <w:highlight w:val="none"/>
        </w:rPr>
        <w:t>、土壤</w:t>
      </w:r>
      <w:r>
        <w:rPr>
          <w:rFonts w:eastAsia="宋体" w:cs="Times New Roman"/>
          <w:color w:val="auto"/>
          <w:sz w:val="24"/>
          <w:szCs w:val="18"/>
          <w:highlight w:val="none"/>
        </w:rPr>
        <w:t>及生态环境保护目标表</w:t>
      </w:r>
    </w:p>
    <w:tbl>
      <w:tblPr>
        <w:tblStyle w:val="45"/>
        <w:tblW w:w="906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1698"/>
        <w:gridCol w:w="828"/>
        <w:gridCol w:w="1682"/>
        <w:gridCol w:w="1466"/>
        <w:gridCol w:w="2353"/>
      </w:tblGrid>
      <w:tr w14:paraId="355EA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tcBorders>
              <w:tl2br w:val="nil"/>
              <w:tr2bl w:val="nil"/>
            </w:tcBorders>
            <w:vAlign w:val="center"/>
          </w:tcPr>
          <w:p w14:paraId="2A6C60C9">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环境类别</w:t>
            </w:r>
          </w:p>
        </w:tc>
        <w:tc>
          <w:tcPr>
            <w:tcW w:w="1698" w:type="dxa"/>
            <w:tcBorders>
              <w:tl2br w:val="nil"/>
              <w:tr2bl w:val="nil"/>
            </w:tcBorders>
            <w:vAlign w:val="center"/>
          </w:tcPr>
          <w:p w14:paraId="1D1A3AFE">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环境保护目标</w:t>
            </w:r>
          </w:p>
        </w:tc>
        <w:tc>
          <w:tcPr>
            <w:tcW w:w="828" w:type="dxa"/>
            <w:tcBorders>
              <w:tl2br w:val="nil"/>
              <w:tr2bl w:val="nil"/>
            </w:tcBorders>
            <w:vAlign w:val="center"/>
          </w:tcPr>
          <w:p w14:paraId="7A391755">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方位</w:t>
            </w:r>
          </w:p>
        </w:tc>
        <w:tc>
          <w:tcPr>
            <w:tcW w:w="1682" w:type="dxa"/>
            <w:tcBorders>
              <w:tl2br w:val="nil"/>
              <w:tr2bl w:val="nil"/>
            </w:tcBorders>
            <w:vAlign w:val="center"/>
          </w:tcPr>
          <w:p w14:paraId="278CE41B">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距本项目厂界距离（m）</w:t>
            </w:r>
          </w:p>
        </w:tc>
        <w:tc>
          <w:tcPr>
            <w:tcW w:w="1466" w:type="dxa"/>
            <w:tcBorders>
              <w:tl2br w:val="nil"/>
              <w:tr2bl w:val="nil"/>
            </w:tcBorders>
            <w:vAlign w:val="center"/>
          </w:tcPr>
          <w:p w14:paraId="7DF21E03">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户数/人数</w:t>
            </w:r>
          </w:p>
        </w:tc>
        <w:tc>
          <w:tcPr>
            <w:tcW w:w="2353" w:type="dxa"/>
            <w:tcBorders>
              <w:tl2br w:val="nil"/>
              <w:tr2bl w:val="nil"/>
            </w:tcBorders>
            <w:vAlign w:val="center"/>
          </w:tcPr>
          <w:p w14:paraId="43DAC6AA">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环境质量控制目标</w:t>
            </w:r>
          </w:p>
        </w:tc>
      </w:tr>
      <w:tr w14:paraId="2AFF6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tcBorders>
              <w:tl2br w:val="nil"/>
              <w:tr2bl w:val="nil"/>
            </w:tcBorders>
            <w:vAlign w:val="center"/>
          </w:tcPr>
          <w:p w14:paraId="79ADAF7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地下水</w:t>
            </w:r>
          </w:p>
        </w:tc>
        <w:tc>
          <w:tcPr>
            <w:tcW w:w="5674" w:type="dxa"/>
            <w:gridSpan w:val="4"/>
            <w:tcBorders>
              <w:tl2br w:val="nil"/>
              <w:tr2bl w:val="nil"/>
            </w:tcBorders>
            <w:vAlign w:val="center"/>
          </w:tcPr>
          <w:p w14:paraId="2CC067D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拟建项目周围6</w:t>
            </w:r>
            <w:r>
              <w:rPr>
                <w:rFonts w:hint="eastAsia" w:ascii="Times New Roman" w:hAnsi="Times New Roman"/>
                <w:color w:val="auto"/>
                <w:sz w:val="21"/>
                <w:szCs w:val="21"/>
                <w:highlight w:val="none"/>
                <w:lang w:bidi="zh-CN"/>
              </w:rPr>
              <w:t>k</w:t>
            </w:r>
            <w:r>
              <w:rPr>
                <w:rFonts w:ascii="Times New Roman" w:hAnsi="Times New Roman"/>
                <w:color w:val="auto"/>
                <w:sz w:val="21"/>
                <w:szCs w:val="21"/>
                <w:highlight w:val="none"/>
                <w:lang w:val="zh-CN" w:bidi="zh-CN"/>
              </w:rPr>
              <w:t>m</w:t>
            </w:r>
            <w:r>
              <w:rPr>
                <w:rFonts w:ascii="Times New Roman" w:hAnsi="Times New Roman"/>
                <w:color w:val="auto"/>
                <w:sz w:val="21"/>
                <w:szCs w:val="21"/>
                <w:highlight w:val="none"/>
                <w:vertAlign w:val="superscript"/>
                <w:lang w:val="zh-CN" w:bidi="zh-CN"/>
              </w:rPr>
              <w:t>2</w:t>
            </w:r>
            <w:r>
              <w:rPr>
                <w:rFonts w:ascii="Times New Roman" w:hAnsi="Times New Roman"/>
                <w:color w:val="auto"/>
                <w:sz w:val="21"/>
                <w:szCs w:val="21"/>
                <w:highlight w:val="none"/>
                <w:lang w:val="zh-CN" w:bidi="zh-CN"/>
              </w:rPr>
              <w:t>范围内无饮用水井</w:t>
            </w:r>
          </w:p>
        </w:tc>
        <w:tc>
          <w:tcPr>
            <w:tcW w:w="2353" w:type="dxa"/>
            <w:tcBorders>
              <w:tl2br w:val="nil"/>
              <w:tr2bl w:val="nil"/>
            </w:tcBorders>
            <w:vAlign w:val="center"/>
          </w:tcPr>
          <w:p w14:paraId="62A8012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《地下水环境质量标准》(GB/T14848-2017)</w:t>
            </w:r>
          </w:p>
        </w:tc>
      </w:tr>
      <w:tr w14:paraId="44701F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restart"/>
            <w:tcBorders>
              <w:tl2br w:val="nil"/>
              <w:tr2bl w:val="nil"/>
            </w:tcBorders>
            <w:vAlign w:val="center"/>
          </w:tcPr>
          <w:p w14:paraId="6511552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土壤</w:t>
            </w:r>
          </w:p>
        </w:tc>
        <w:tc>
          <w:tcPr>
            <w:tcW w:w="1698" w:type="dxa"/>
            <w:tcBorders>
              <w:tl2br w:val="nil"/>
              <w:tr2bl w:val="nil"/>
            </w:tcBorders>
            <w:vAlign w:val="center"/>
          </w:tcPr>
          <w:p w14:paraId="14B56D9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周巷头</w:t>
            </w:r>
          </w:p>
        </w:tc>
        <w:tc>
          <w:tcPr>
            <w:tcW w:w="828" w:type="dxa"/>
            <w:tcBorders>
              <w:tl2br w:val="nil"/>
              <w:tr2bl w:val="nil"/>
            </w:tcBorders>
            <w:vAlign w:val="center"/>
          </w:tcPr>
          <w:p w14:paraId="07C88DC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NE</w:t>
            </w:r>
            <w:r>
              <w:rPr>
                <w:rFonts w:ascii="Times New Roman" w:hAnsi="Times New Roman"/>
                <w:color w:val="auto"/>
                <w:sz w:val="21"/>
                <w:szCs w:val="21"/>
                <w:highlight w:val="none"/>
                <w:lang w:val="zh-CN" w:bidi="zh-CN"/>
              </w:rPr>
              <w:softHyphen/>
            </w:r>
          </w:p>
        </w:tc>
        <w:tc>
          <w:tcPr>
            <w:tcW w:w="1682" w:type="dxa"/>
            <w:tcBorders>
              <w:tl2br w:val="nil"/>
              <w:tr2bl w:val="nil"/>
            </w:tcBorders>
            <w:vAlign w:val="center"/>
          </w:tcPr>
          <w:p w14:paraId="3860267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val="en-US" w:bidi="zh-CN"/>
              </w:rPr>
              <w:t>30</w:t>
            </w:r>
            <w:r>
              <w:rPr>
                <w:rFonts w:ascii="Times New Roman" w:hAnsi="Times New Roman"/>
                <w:color w:val="auto"/>
                <w:sz w:val="21"/>
                <w:szCs w:val="21"/>
                <w:highlight w:val="none"/>
                <w:lang w:val="zh-CN" w:bidi="zh-CN"/>
              </w:rPr>
              <w:softHyphen/>
            </w:r>
          </w:p>
        </w:tc>
        <w:tc>
          <w:tcPr>
            <w:tcW w:w="1466" w:type="dxa"/>
            <w:tcBorders>
              <w:tl2br w:val="nil"/>
              <w:tr2bl w:val="nil"/>
            </w:tcBorders>
            <w:vAlign w:val="center"/>
          </w:tcPr>
          <w:p w14:paraId="0FD79AE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150户/450人</w:t>
            </w:r>
            <w:r>
              <w:rPr>
                <w:rFonts w:ascii="Times New Roman" w:hAnsi="Times New Roman"/>
                <w:color w:val="auto"/>
                <w:sz w:val="21"/>
                <w:szCs w:val="21"/>
                <w:highlight w:val="none"/>
                <w:lang w:val="zh-CN" w:bidi="zh-CN"/>
              </w:rPr>
              <w:softHyphen/>
            </w:r>
          </w:p>
        </w:tc>
        <w:tc>
          <w:tcPr>
            <w:tcW w:w="2353" w:type="dxa"/>
            <w:vMerge w:val="restart"/>
            <w:tcBorders>
              <w:tl2br w:val="nil"/>
              <w:tr2bl w:val="nil"/>
            </w:tcBorders>
            <w:vAlign w:val="center"/>
          </w:tcPr>
          <w:p w14:paraId="5431056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val="zh-CN" w:bidi="zh-CN"/>
              </w:rPr>
              <w:t>《土壤环境质量建设用地土壤污染风险管控标准》（GB36600-2018）</w:t>
            </w:r>
          </w:p>
        </w:tc>
      </w:tr>
      <w:tr w14:paraId="5FAFF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continue"/>
            <w:tcBorders>
              <w:tl2br w:val="nil"/>
              <w:tr2bl w:val="nil"/>
            </w:tcBorders>
            <w:vAlign w:val="center"/>
          </w:tcPr>
          <w:p w14:paraId="47896F0B">
            <w:pPr>
              <w:ind w:left="-105" w:right="-105"/>
              <w:jc w:val="center"/>
              <w:rPr>
                <w:rFonts w:ascii="Times New Roman" w:hAnsi="Times New Roman"/>
                <w:color w:val="auto"/>
                <w:sz w:val="21"/>
                <w:szCs w:val="21"/>
                <w:highlight w:val="none"/>
                <w:lang w:bidi="zh-CN"/>
              </w:rPr>
            </w:pPr>
          </w:p>
        </w:tc>
        <w:tc>
          <w:tcPr>
            <w:tcW w:w="1698" w:type="dxa"/>
            <w:tcBorders>
              <w:tl2br w:val="nil"/>
              <w:tr2bl w:val="nil"/>
            </w:tcBorders>
            <w:vAlign w:val="center"/>
          </w:tcPr>
          <w:p w14:paraId="16C7E73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浦巷上</w:t>
            </w:r>
          </w:p>
        </w:tc>
        <w:tc>
          <w:tcPr>
            <w:tcW w:w="828" w:type="dxa"/>
            <w:tcBorders>
              <w:tl2br w:val="nil"/>
              <w:tr2bl w:val="nil"/>
            </w:tcBorders>
            <w:vAlign w:val="center"/>
          </w:tcPr>
          <w:p w14:paraId="6E8B94C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W</w:t>
            </w:r>
          </w:p>
        </w:tc>
        <w:tc>
          <w:tcPr>
            <w:tcW w:w="1682" w:type="dxa"/>
            <w:tcBorders>
              <w:tl2br w:val="nil"/>
              <w:tr2bl w:val="nil"/>
            </w:tcBorders>
            <w:vAlign w:val="center"/>
          </w:tcPr>
          <w:p w14:paraId="16E615C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100</w:t>
            </w:r>
          </w:p>
        </w:tc>
        <w:tc>
          <w:tcPr>
            <w:tcW w:w="1466" w:type="dxa"/>
            <w:tcBorders>
              <w:tl2br w:val="nil"/>
              <w:tr2bl w:val="nil"/>
            </w:tcBorders>
            <w:vAlign w:val="center"/>
          </w:tcPr>
          <w:p w14:paraId="7A7CAFC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40户/120人</w:t>
            </w:r>
          </w:p>
        </w:tc>
        <w:tc>
          <w:tcPr>
            <w:tcW w:w="2353" w:type="dxa"/>
            <w:vMerge w:val="continue"/>
            <w:tcBorders>
              <w:tl2br w:val="nil"/>
              <w:tr2bl w:val="nil"/>
            </w:tcBorders>
            <w:vAlign w:val="center"/>
          </w:tcPr>
          <w:p w14:paraId="10EC1C62">
            <w:pPr>
              <w:ind w:left="-105" w:right="-105"/>
              <w:jc w:val="center"/>
              <w:rPr>
                <w:rFonts w:ascii="Times New Roman" w:hAnsi="Times New Roman"/>
                <w:color w:val="auto"/>
                <w:sz w:val="21"/>
                <w:szCs w:val="21"/>
                <w:highlight w:val="none"/>
                <w:lang w:val="zh-CN" w:bidi="zh-CN"/>
              </w:rPr>
            </w:pPr>
          </w:p>
        </w:tc>
      </w:tr>
      <w:tr w14:paraId="0B169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continue"/>
            <w:tcBorders>
              <w:tl2br w:val="nil"/>
              <w:tr2bl w:val="nil"/>
            </w:tcBorders>
            <w:vAlign w:val="center"/>
          </w:tcPr>
          <w:p w14:paraId="3887CD66">
            <w:pPr>
              <w:ind w:left="-105" w:right="-105"/>
              <w:jc w:val="center"/>
              <w:rPr>
                <w:rFonts w:ascii="Times New Roman" w:hAnsi="Times New Roman"/>
                <w:color w:val="auto"/>
                <w:sz w:val="21"/>
                <w:szCs w:val="21"/>
                <w:highlight w:val="none"/>
                <w:lang w:bidi="zh-CN"/>
              </w:rPr>
            </w:pPr>
          </w:p>
        </w:tc>
        <w:tc>
          <w:tcPr>
            <w:tcW w:w="1698" w:type="dxa"/>
            <w:tcBorders>
              <w:tl2br w:val="nil"/>
              <w:tr2bl w:val="nil"/>
            </w:tcBorders>
            <w:vAlign w:val="center"/>
          </w:tcPr>
          <w:p w14:paraId="2459FE3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朱巷村</w:t>
            </w:r>
          </w:p>
        </w:tc>
        <w:tc>
          <w:tcPr>
            <w:tcW w:w="828" w:type="dxa"/>
            <w:tcBorders>
              <w:tl2br w:val="nil"/>
              <w:tr2bl w:val="nil"/>
            </w:tcBorders>
            <w:vAlign w:val="center"/>
          </w:tcPr>
          <w:p w14:paraId="7BD5EF6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SW</w:t>
            </w:r>
          </w:p>
        </w:tc>
        <w:tc>
          <w:tcPr>
            <w:tcW w:w="1682" w:type="dxa"/>
            <w:tcBorders>
              <w:tl2br w:val="nil"/>
              <w:tr2bl w:val="nil"/>
            </w:tcBorders>
            <w:vAlign w:val="center"/>
          </w:tcPr>
          <w:p w14:paraId="7BAD382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140</w:t>
            </w:r>
          </w:p>
        </w:tc>
        <w:tc>
          <w:tcPr>
            <w:tcW w:w="1466" w:type="dxa"/>
            <w:tcBorders>
              <w:tl2br w:val="nil"/>
              <w:tr2bl w:val="nil"/>
            </w:tcBorders>
            <w:vAlign w:val="center"/>
          </w:tcPr>
          <w:p w14:paraId="4E51971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30户/90人</w:t>
            </w:r>
          </w:p>
        </w:tc>
        <w:tc>
          <w:tcPr>
            <w:tcW w:w="2353" w:type="dxa"/>
            <w:vMerge w:val="continue"/>
            <w:tcBorders>
              <w:tl2br w:val="nil"/>
              <w:tr2bl w:val="nil"/>
            </w:tcBorders>
            <w:vAlign w:val="center"/>
          </w:tcPr>
          <w:p w14:paraId="16AA17E6">
            <w:pPr>
              <w:ind w:left="-105" w:right="-105"/>
              <w:jc w:val="center"/>
              <w:rPr>
                <w:rFonts w:ascii="Times New Roman" w:hAnsi="Times New Roman"/>
                <w:color w:val="auto"/>
                <w:sz w:val="21"/>
                <w:szCs w:val="21"/>
                <w:highlight w:val="none"/>
                <w:lang w:val="zh-CN" w:bidi="zh-CN"/>
              </w:rPr>
            </w:pPr>
          </w:p>
        </w:tc>
      </w:tr>
      <w:tr w14:paraId="435545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continue"/>
            <w:tcBorders>
              <w:tl2br w:val="nil"/>
              <w:tr2bl w:val="nil"/>
            </w:tcBorders>
            <w:vAlign w:val="center"/>
          </w:tcPr>
          <w:p w14:paraId="2831A9AB">
            <w:pPr>
              <w:ind w:left="-105" w:right="-105"/>
              <w:jc w:val="center"/>
              <w:rPr>
                <w:rFonts w:ascii="Times New Roman" w:hAnsi="Times New Roman"/>
                <w:color w:val="auto"/>
                <w:sz w:val="21"/>
                <w:szCs w:val="21"/>
                <w:highlight w:val="none"/>
                <w:lang w:bidi="zh-CN"/>
              </w:rPr>
            </w:pPr>
          </w:p>
        </w:tc>
        <w:tc>
          <w:tcPr>
            <w:tcW w:w="1698" w:type="dxa"/>
            <w:tcBorders>
              <w:tl2br w:val="nil"/>
              <w:tr2bl w:val="nil"/>
            </w:tcBorders>
            <w:vAlign w:val="center"/>
          </w:tcPr>
          <w:p w14:paraId="0DC0F56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农用耕地</w:t>
            </w:r>
          </w:p>
        </w:tc>
        <w:tc>
          <w:tcPr>
            <w:tcW w:w="828" w:type="dxa"/>
            <w:tcBorders>
              <w:tl2br w:val="nil"/>
              <w:tr2bl w:val="nil"/>
            </w:tcBorders>
            <w:vAlign w:val="center"/>
          </w:tcPr>
          <w:p w14:paraId="7A0A6C7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682" w:type="dxa"/>
            <w:tcBorders>
              <w:tl2br w:val="nil"/>
              <w:tr2bl w:val="nil"/>
            </w:tcBorders>
            <w:vAlign w:val="center"/>
          </w:tcPr>
          <w:p w14:paraId="403E0BF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133</w:t>
            </w:r>
          </w:p>
        </w:tc>
        <w:tc>
          <w:tcPr>
            <w:tcW w:w="1466" w:type="dxa"/>
            <w:tcBorders>
              <w:tl2br w:val="nil"/>
              <w:tr2bl w:val="nil"/>
            </w:tcBorders>
            <w:vAlign w:val="center"/>
          </w:tcPr>
          <w:p w14:paraId="42EAC7B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t>
            </w:r>
          </w:p>
        </w:tc>
        <w:tc>
          <w:tcPr>
            <w:tcW w:w="2353" w:type="dxa"/>
            <w:vMerge w:val="continue"/>
            <w:tcBorders>
              <w:tl2br w:val="nil"/>
              <w:tr2bl w:val="nil"/>
            </w:tcBorders>
            <w:vAlign w:val="center"/>
          </w:tcPr>
          <w:p w14:paraId="3D2C50EE">
            <w:pPr>
              <w:ind w:left="-105" w:right="-105"/>
              <w:jc w:val="center"/>
              <w:rPr>
                <w:rFonts w:ascii="Times New Roman" w:hAnsi="Times New Roman"/>
                <w:color w:val="auto"/>
                <w:sz w:val="21"/>
                <w:szCs w:val="21"/>
                <w:highlight w:val="none"/>
                <w:lang w:val="zh-CN" w:bidi="zh-CN"/>
              </w:rPr>
            </w:pPr>
          </w:p>
        </w:tc>
      </w:tr>
      <w:tr w14:paraId="48F0A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restart"/>
            <w:tcBorders>
              <w:tl2br w:val="nil"/>
              <w:tr2bl w:val="nil"/>
            </w:tcBorders>
            <w:vAlign w:val="center"/>
          </w:tcPr>
          <w:p w14:paraId="4A018E0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生态环境</w:t>
            </w:r>
          </w:p>
        </w:tc>
        <w:tc>
          <w:tcPr>
            <w:tcW w:w="1698" w:type="dxa"/>
            <w:tcBorders>
              <w:tl2br w:val="nil"/>
              <w:tr2bl w:val="nil"/>
            </w:tcBorders>
            <w:vAlign w:val="center"/>
          </w:tcPr>
          <w:p w14:paraId="247CE59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val="zh-CN" w:bidi="zh-CN"/>
              </w:rPr>
              <w:t>无锡宛山荡省级湿地公园</w:t>
            </w:r>
          </w:p>
        </w:tc>
        <w:tc>
          <w:tcPr>
            <w:tcW w:w="828" w:type="dxa"/>
            <w:tcBorders>
              <w:tl2br w:val="nil"/>
              <w:tr2bl w:val="nil"/>
            </w:tcBorders>
            <w:vAlign w:val="center"/>
          </w:tcPr>
          <w:p w14:paraId="53CB3D9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682" w:type="dxa"/>
            <w:tcBorders>
              <w:tl2br w:val="nil"/>
              <w:tr2bl w:val="nil"/>
            </w:tcBorders>
            <w:vAlign w:val="center"/>
          </w:tcPr>
          <w:p w14:paraId="659EF61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10500</w:t>
            </w:r>
          </w:p>
        </w:tc>
        <w:tc>
          <w:tcPr>
            <w:tcW w:w="1466" w:type="dxa"/>
            <w:tcBorders>
              <w:tl2br w:val="nil"/>
              <w:tr2bl w:val="nil"/>
            </w:tcBorders>
            <w:vAlign w:val="center"/>
          </w:tcPr>
          <w:p w14:paraId="4544F42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2.43</w:t>
            </w:r>
            <w:r>
              <w:rPr>
                <w:rFonts w:ascii="Times New Roman" w:hAnsi="Times New Roman"/>
                <w:color w:val="auto"/>
                <w:sz w:val="21"/>
                <w:szCs w:val="21"/>
                <w:highlight w:val="none"/>
                <w:lang w:val="zh-CN" w:bidi="zh-CN"/>
              </w:rPr>
              <w:t>km</w:t>
            </w:r>
            <w:r>
              <w:rPr>
                <w:rFonts w:ascii="Times New Roman" w:hAnsi="Times New Roman"/>
                <w:color w:val="auto"/>
                <w:sz w:val="21"/>
                <w:szCs w:val="21"/>
                <w:highlight w:val="none"/>
                <w:vertAlign w:val="superscript"/>
                <w:lang w:val="zh-CN" w:bidi="zh-CN"/>
              </w:rPr>
              <w:t>2</w:t>
            </w:r>
          </w:p>
        </w:tc>
        <w:tc>
          <w:tcPr>
            <w:tcW w:w="2353" w:type="dxa"/>
            <w:tcBorders>
              <w:tl2br w:val="nil"/>
              <w:tr2bl w:val="nil"/>
            </w:tcBorders>
            <w:vAlign w:val="center"/>
          </w:tcPr>
          <w:p w14:paraId="7D9E9D9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val="zh-CN" w:bidi="zh-CN"/>
              </w:rPr>
              <w:t>湿地生态系统保护</w:t>
            </w:r>
          </w:p>
        </w:tc>
      </w:tr>
      <w:tr w14:paraId="14875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continue"/>
            <w:tcBorders>
              <w:tl2br w:val="nil"/>
              <w:tr2bl w:val="nil"/>
            </w:tcBorders>
            <w:vAlign w:val="center"/>
          </w:tcPr>
          <w:p w14:paraId="66633282">
            <w:pPr>
              <w:ind w:left="-105" w:right="-105"/>
              <w:jc w:val="center"/>
              <w:rPr>
                <w:rFonts w:ascii="Times New Roman" w:hAnsi="Times New Roman"/>
                <w:color w:val="auto"/>
                <w:sz w:val="21"/>
                <w:szCs w:val="21"/>
                <w:highlight w:val="none"/>
              </w:rPr>
            </w:pPr>
          </w:p>
        </w:tc>
        <w:tc>
          <w:tcPr>
            <w:tcW w:w="1698" w:type="dxa"/>
            <w:tcBorders>
              <w:tl2br w:val="nil"/>
              <w:tr2bl w:val="nil"/>
            </w:tcBorders>
            <w:vAlign w:val="center"/>
          </w:tcPr>
          <w:p w14:paraId="09DCCE1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马镇河流重要湿地</w:t>
            </w:r>
          </w:p>
        </w:tc>
        <w:tc>
          <w:tcPr>
            <w:tcW w:w="828" w:type="dxa"/>
            <w:tcBorders>
              <w:tl2br w:val="nil"/>
              <w:tr2bl w:val="nil"/>
            </w:tcBorders>
            <w:vAlign w:val="center"/>
          </w:tcPr>
          <w:p w14:paraId="0E1201BC">
            <w:pPr>
              <w:pStyle w:val="98"/>
              <w:ind w:left="-105" w:right="-105"/>
              <w:rPr>
                <w:rFonts w:eastAsia="宋体"/>
                <w:color w:val="auto"/>
                <w:sz w:val="21"/>
                <w:szCs w:val="21"/>
                <w:highlight w:val="none"/>
              </w:rPr>
            </w:pPr>
            <w:r>
              <w:rPr>
                <w:rFonts w:hint="eastAsia" w:eastAsia="宋体"/>
                <w:color w:val="auto"/>
                <w:sz w:val="21"/>
                <w:szCs w:val="21"/>
                <w:highlight w:val="none"/>
                <w:lang w:val="en-US"/>
              </w:rPr>
              <w:t>N</w:t>
            </w:r>
          </w:p>
        </w:tc>
        <w:tc>
          <w:tcPr>
            <w:tcW w:w="1682" w:type="dxa"/>
            <w:tcBorders>
              <w:tl2br w:val="nil"/>
              <w:tr2bl w:val="nil"/>
            </w:tcBorders>
            <w:vAlign w:val="center"/>
          </w:tcPr>
          <w:p w14:paraId="1F6C573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6100</w:t>
            </w:r>
          </w:p>
        </w:tc>
        <w:tc>
          <w:tcPr>
            <w:tcW w:w="1466" w:type="dxa"/>
            <w:tcBorders>
              <w:tl2br w:val="nil"/>
              <w:tr2bl w:val="nil"/>
            </w:tcBorders>
            <w:vAlign w:val="center"/>
          </w:tcPr>
          <w:p w14:paraId="38E655EF">
            <w:pPr>
              <w:pStyle w:val="98"/>
              <w:ind w:left="-105" w:right="-105"/>
              <w:rPr>
                <w:rFonts w:eastAsia="宋体"/>
                <w:color w:val="auto"/>
                <w:sz w:val="21"/>
                <w:szCs w:val="21"/>
                <w:highlight w:val="none"/>
              </w:rPr>
            </w:pPr>
            <w:r>
              <w:rPr>
                <w:rFonts w:hint="eastAsia" w:eastAsia="宋体"/>
                <w:color w:val="auto"/>
                <w:sz w:val="21"/>
                <w:szCs w:val="21"/>
                <w:highlight w:val="none"/>
                <w:lang w:val="en-US"/>
              </w:rPr>
              <w:t>63.8</w:t>
            </w:r>
            <w:r>
              <w:rPr>
                <w:rFonts w:eastAsia="宋体"/>
                <w:color w:val="auto"/>
                <w:sz w:val="21"/>
                <w:szCs w:val="21"/>
                <w:highlight w:val="none"/>
              </w:rPr>
              <w:t>km</w:t>
            </w:r>
            <w:r>
              <w:rPr>
                <w:rFonts w:eastAsia="宋体"/>
                <w:color w:val="auto"/>
                <w:sz w:val="21"/>
                <w:szCs w:val="21"/>
                <w:highlight w:val="none"/>
                <w:vertAlign w:val="superscript"/>
              </w:rPr>
              <w:t>2</w:t>
            </w:r>
          </w:p>
        </w:tc>
        <w:tc>
          <w:tcPr>
            <w:tcW w:w="2353" w:type="dxa"/>
            <w:tcBorders>
              <w:tl2br w:val="nil"/>
              <w:tr2bl w:val="nil"/>
            </w:tcBorders>
            <w:vAlign w:val="center"/>
          </w:tcPr>
          <w:p w14:paraId="5E134346">
            <w:pPr>
              <w:ind w:left="-105" w:right="-105"/>
              <w:jc w:val="center"/>
              <w:rPr>
                <w:rFonts w:ascii="Times New Roman" w:hAnsi="Times New Roman"/>
                <w:color w:val="auto"/>
                <w:sz w:val="21"/>
                <w:szCs w:val="21"/>
                <w:highlight w:val="none"/>
                <w:lang w:val="zh-CN" w:bidi="zh-CN"/>
              </w:rPr>
            </w:pPr>
            <w:r>
              <w:rPr>
                <w:color w:val="auto"/>
                <w:spacing w:val="4"/>
                <w:sz w:val="21"/>
                <w:szCs w:val="21"/>
                <w:highlight w:val="none"/>
              </w:rPr>
              <w:t>湿地生态系统保护</w:t>
            </w:r>
          </w:p>
        </w:tc>
      </w:tr>
      <w:tr w14:paraId="55F4AD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037" w:type="dxa"/>
            <w:vMerge w:val="continue"/>
            <w:tcBorders>
              <w:tl2br w:val="nil"/>
              <w:tr2bl w:val="nil"/>
            </w:tcBorders>
            <w:vAlign w:val="center"/>
          </w:tcPr>
          <w:p w14:paraId="4143A40F">
            <w:pPr>
              <w:ind w:left="-105" w:right="-105"/>
              <w:jc w:val="center"/>
              <w:rPr>
                <w:rFonts w:ascii="Times New Roman" w:hAnsi="Times New Roman"/>
                <w:color w:val="auto"/>
                <w:sz w:val="21"/>
                <w:szCs w:val="21"/>
                <w:highlight w:val="none"/>
              </w:rPr>
            </w:pPr>
          </w:p>
        </w:tc>
        <w:tc>
          <w:tcPr>
            <w:tcW w:w="1698" w:type="dxa"/>
            <w:tcBorders>
              <w:tl2br w:val="nil"/>
              <w:tr2bl w:val="nil"/>
            </w:tcBorders>
            <w:vAlign w:val="center"/>
          </w:tcPr>
          <w:p w14:paraId="7D289F21">
            <w:pPr>
              <w:ind w:left="-105" w:right="-105"/>
              <w:jc w:val="center"/>
              <w:rPr>
                <w:rFonts w:ascii="Times New Roman" w:hAnsi="Times New Roman"/>
                <w:color w:val="auto"/>
                <w:sz w:val="21"/>
                <w:szCs w:val="21"/>
                <w:highlight w:val="none"/>
                <w:lang w:val="zh-CN" w:bidi="zh-CN"/>
              </w:rPr>
            </w:pPr>
            <w:r>
              <w:rPr>
                <w:rFonts w:hint="eastAsia"/>
                <w:color w:val="auto"/>
                <w:sz w:val="21"/>
                <w:szCs w:val="21"/>
                <w:highlight w:val="none"/>
              </w:rPr>
              <w:t>京沪高铁锡山段沿线生态防护林</w:t>
            </w:r>
          </w:p>
        </w:tc>
        <w:tc>
          <w:tcPr>
            <w:tcW w:w="828" w:type="dxa"/>
            <w:tcBorders>
              <w:tl2br w:val="nil"/>
              <w:tr2bl w:val="nil"/>
            </w:tcBorders>
            <w:vAlign w:val="center"/>
          </w:tcPr>
          <w:p w14:paraId="6BFE0A7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682" w:type="dxa"/>
            <w:tcBorders>
              <w:tl2br w:val="nil"/>
              <w:tr2bl w:val="nil"/>
            </w:tcBorders>
            <w:vAlign w:val="center"/>
          </w:tcPr>
          <w:p w14:paraId="7FD96BF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733</w:t>
            </w:r>
          </w:p>
        </w:tc>
        <w:tc>
          <w:tcPr>
            <w:tcW w:w="1466" w:type="dxa"/>
            <w:tcBorders>
              <w:tl2br w:val="nil"/>
              <w:tr2bl w:val="nil"/>
            </w:tcBorders>
            <w:vAlign w:val="center"/>
          </w:tcPr>
          <w:p w14:paraId="1DB15A3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4.29</w:t>
            </w:r>
            <w:r>
              <w:rPr>
                <w:color w:val="auto"/>
                <w:sz w:val="21"/>
                <w:szCs w:val="21"/>
                <w:highlight w:val="none"/>
              </w:rPr>
              <w:t>km</w:t>
            </w:r>
            <w:r>
              <w:rPr>
                <w:color w:val="auto"/>
                <w:sz w:val="21"/>
                <w:szCs w:val="21"/>
                <w:highlight w:val="none"/>
                <w:vertAlign w:val="superscript"/>
              </w:rPr>
              <w:t>2</w:t>
            </w:r>
          </w:p>
        </w:tc>
        <w:tc>
          <w:tcPr>
            <w:tcW w:w="2353" w:type="dxa"/>
            <w:tcBorders>
              <w:tl2br w:val="nil"/>
              <w:tr2bl w:val="nil"/>
            </w:tcBorders>
            <w:vAlign w:val="center"/>
          </w:tcPr>
          <w:p w14:paraId="5E948CF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水土保持</w:t>
            </w:r>
          </w:p>
        </w:tc>
      </w:tr>
    </w:tbl>
    <w:p w14:paraId="25A4646B">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 xml:space="preserve">表 </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2.5</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w:t>
      </w:r>
      <w:r>
        <w:rPr>
          <w:rFonts w:eastAsia="宋体" w:cs="Times New Roman"/>
          <w:color w:val="auto"/>
          <w:sz w:val="24"/>
          <w:szCs w:val="18"/>
          <w:highlight w:val="none"/>
        </w:rPr>
        <w:fldChar w:fldCharType="end"/>
      </w:r>
      <w:r>
        <w:rPr>
          <w:rFonts w:eastAsia="宋体" w:cs="Times New Roman"/>
          <w:color w:val="auto"/>
          <w:sz w:val="24"/>
          <w:szCs w:val="18"/>
          <w:highlight w:val="none"/>
        </w:rPr>
        <w:t>本项目环境敏感特征表（风险）</w:t>
      </w:r>
    </w:p>
    <w:tbl>
      <w:tblPr>
        <w:tblStyle w:val="45"/>
        <w:tblW w:w="905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704"/>
        <w:gridCol w:w="1405"/>
        <w:gridCol w:w="358"/>
        <w:gridCol w:w="368"/>
        <w:gridCol w:w="230"/>
        <w:gridCol w:w="478"/>
        <w:gridCol w:w="392"/>
        <w:gridCol w:w="327"/>
        <w:gridCol w:w="526"/>
        <w:gridCol w:w="425"/>
        <w:gridCol w:w="247"/>
        <w:gridCol w:w="597"/>
        <w:gridCol w:w="394"/>
        <w:gridCol w:w="1748"/>
      </w:tblGrid>
      <w:tr w14:paraId="6BB8C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tcBorders>
              <w:tl2br w:val="nil"/>
              <w:tr2bl w:val="nil"/>
            </w:tcBorders>
            <w:vAlign w:val="center"/>
          </w:tcPr>
          <w:p w14:paraId="320196A1">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类别</w:t>
            </w:r>
          </w:p>
        </w:tc>
        <w:tc>
          <w:tcPr>
            <w:tcW w:w="8199" w:type="dxa"/>
            <w:gridSpan w:val="14"/>
            <w:tcBorders>
              <w:tl2br w:val="nil"/>
              <w:tr2bl w:val="nil"/>
            </w:tcBorders>
            <w:vAlign w:val="center"/>
          </w:tcPr>
          <w:p w14:paraId="62C0126B">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环境敏感特征</w:t>
            </w:r>
          </w:p>
        </w:tc>
      </w:tr>
      <w:tr w14:paraId="4DD6E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restart"/>
            <w:tcBorders>
              <w:tl2br w:val="nil"/>
              <w:tr2bl w:val="nil"/>
            </w:tcBorders>
            <w:vAlign w:val="center"/>
          </w:tcPr>
          <w:p w14:paraId="7698573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环境空气</w:t>
            </w:r>
          </w:p>
        </w:tc>
        <w:tc>
          <w:tcPr>
            <w:tcW w:w="8199" w:type="dxa"/>
            <w:gridSpan w:val="14"/>
            <w:tcBorders>
              <w:tl2br w:val="nil"/>
              <w:tr2bl w:val="nil"/>
            </w:tcBorders>
            <w:vAlign w:val="center"/>
          </w:tcPr>
          <w:p w14:paraId="098FF371">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厂址周边</w:t>
            </w:r>
            <w:r>
              <w:rPr>
                <w:rFonts w:hint="eastAsia" w:ascii="Times New Roman" w:hAnsi="Times New Roman"/>
                <w:b/>
                <w:color w:val="auto"/>
                <w:sz w:val="21"/>
                <w:szCs w:val="21"/>
                <w:highlight w:val="none"/>
                <w:lang w:bidi="zh-CN"/>
              </w:rPr>
              <w:t>5</w:t>
            </w:r>
            <w:r>
              <w:rPr>
                <w:rFonts w:ascii="Times New Roman" w:hAnsi="Times New Roman"/>
                <w:b/>
                <w:color w:val="auto"/>
                <w:sz w:val="21"/>
                <w:szCs w:val="21"/>
                <w:highlight w:val="none"/>
                <w:lang w:val="zh-CN" w:bidi="zh-CN"/>
              </w:rPr>
              <w:t>km范围内</w:t>
            </w:r>
          </w:p>
        </w:tc>
      </w:tr>
      <w:tr w14:paraId="0EF89F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1622DB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C21C000">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序号</w:t>
            </w:r>
          </w:p>
        </w:tc>
        <w:tc>
          <w:tcPr>
            <w:tcW w:w="2131" w:type="dxa"/>
            <w:gridSpan w:val="3"/>
            <w:tcBorders>
              <w:tl2br w:val="nil"/>
              <w:tr2bl w:val="nil"/>
            </w:tcBorders>
            <w:vAlign w:val="center"/>
          </w:tcPr>
          <w:p w14:paraId="650BDF29">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敏感目标名称</w:t>
            </w:r>
          </w:p>
        </w:tc>
        <w:tc>
          <w:tcPr>
            <w:tcW w:w="1100" w:type="dxa"/>
            <w:gridSpan w:val="3"/>
            <w:tcBorders>
              <w:tl2br w:val="nil"/>
              <w:tr2bl w:val="nil"/>
            </w:tcBorders>
            <w:vAlign w:val="center"/>
          </w:tcPr>
          <w:p w14:paraId="19B90FC8">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相对方位</w:t>
            </w:r>
          </w:p>
        </w:tc>
        <w:tc>
          <w:tcPr>
            <w:tcW w:w="1278" w:type="dxa"/>
            <w:gridSpan w:val="3"/>
            <w:tcBorders>
              <w:tl2br w:val="nil"/>
              <w:tr2bl w:val="nil"/>
            </w:tcBorders>
            <w:vAlign w:val="center"/>
          </w:tcPr>
          <w:p w14:paraId="37109D6D">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距离/m</w:t>
            </w:r>
          </w:p>
        </w:tc>
        <w:tc>
          <w:tcPr>
            <w:tcW w:w="1238" w:type="dxa"/>
            <w:gridSpan w:val="3"/>
            <w:tcBorders>
              <w:tl2br w:val="nil"/>
              <w:tr2bl w:val="nil"/>
            </w:tcBorders>
            <w:vAlign w:val="center"/>
          </w:tcPr>
          <w:p w14:paraId="6DA06BF6">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属性</w:t>
            </w:r>
          </w:p>
        </w:tc>
        <w:tc>
          <w:tcPr>
            <w:tcW w:w="1748" w:type="dxa"/>
            <w:tcBorders>
              <w:tl2br w:val="nil"/>
              <w:tr2bl w:val="nil"/>
            </w:tcBorders>
            <w:vAlign w:val="center"/>
          </w:tcPr>
          <w:p w14:paraId="3E5C8A85">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人口数</w:t>
            </w:r>
          </w:p>
        </w:tc>
      </w:tr>
      <w:tr w14:paraId="3319E0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D609A4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914D81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6D329E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周巷头</w:t>
            </w:r>
          </w:p>
        </w:tc>
        <w:tc>
          <w:tcPr>
            <w:tcW w:w="1100" w:type="dxa"/>
            <w:gridSpan w:val="3"/>
            <w:tcBorders>
              <w:tl2br w:val="nil"/>
              <w:tr2bl w:val="nil"/>
            </w:tcBorders>
            <w:shd w:val="clear" w:color="auto" w:fill="auto"/>
            <w:vAlign w:val="center"/>
          </w:tcPr>
          <w:p w14:paraId="21CE30B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1AB382CB">
            <w:pPr>
              <w:ind w:left="-105" w:right="-105"/>
              <w:jc w:val="center"/>
              <w:rPr>
                <w:rFonts w:hint="default" w:ascii="Times New Roman" w:hAnsi="Times New Roman"/>
                <w:color w:val="auto"/>
                <w:sz w:val="21"/>
                <w:szCs w:val="21"/>
                <w:highlight w:val="none"/>
                <w:lang w:val="en-US" w:bidi="zh-CN"/>
              </w:rPr>
            </w:pPr>
            <w:r>
              <w:rPr>
                <w:rFonts w:hint="eastAsia" w:ascii="Times New Roman" w:hAnsi="Times New Roman"/>
                <w:color w:val="auto"/>
                <w:sz w:val="21"/>
                <w:szCs w:val="21"/>
                <w:highlight w:val="none"/>
                <w:lang w:val="en-US" w:bidi="zh-CN"/>
              </w:rPr>
              <w:t>30</w:t>
            </w:r>
          </w:p>
        </w:tc>
        <w:tc>
          <w:tcPr>
            <w:tcW w:w="1238" w:type="dxa"/>
            <w:gridSpan w:val="3"/>
            <w:tcBorders>
              <w:tl2br w:val="nil"/>
              <w:tr2bl w:val="nil"/>
            </w:tcBorders>
            <w:shd w:val="clear" w:color="auto" w:fill="auto"/>
            <w:vAlign w:val="center"/>
          </w:tcPr>
          <w:p w14:paraId="773BCC00">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095335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7F8F92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04C231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56B98F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0B7B89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浦巷上</w:t>
            </w:r>
          </w:p>
        </w:tc>
        <w:tc>
          <w:tcPr>
            <w:tcW w:w="1100" w:type="dxa"/>
            <w:gridSpan w:val="3"/>
            <w:tcBorders>
              <w:tl2br w:val="nil"/>
              <w:tr2bl w:val="nil"/>
            </w:tcBorders>
            <w:shd w:val="clear" w:color="auto" w:fill="auto"/>
            <w:vAlign w:val="center"/>
          </w:tcPr>
          <w:p w14:paraId="6E88C56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5A79E17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100</w:t>
            </w:r>
          </w:p>
        </w:tc>
        <w:tc>
          <w:tcPr>
            <w:tcW w:w="1238" w:type="dxa"/>
            <w:gridSpan w:val="3"/>
            <w:tcBorders>
              <w:tl2br w:val="nil"/>
              <w:tr2bl w:val="nil"/>
            </w:tcBorders>
            <w:shd w:val="clear" w:color="auto" w:fill="auto"/>
            <w:vAlign w:val="center"/>
          </w:tcPr>
          <w:p w14:paraId="78D0E659">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511D1B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90</w:t>
            </w:r>
            <w:r>
              <w:rPr>
                <w:rFonts w:ascii="Times New Roman" w:hAnsi="Times New Roman"/>
                <w:color w:val="auto"/>
                <w:sz w:val="21"/>
                <w:szCs w:val="21"/>
                <w:highlight w:val="none"/>
              </w:rPr>
              <w:t>人</w:t>
            </w:r>
          </w:p>
        </w:tc>
      </w:tr>
      <w:tr w14:paraId="27CD90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49A38E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EC1FEB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D7BF71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朱巷村</w:t>
            </w:r>
          </w:p>
        </w:tc>
        <w:tc>
          <w:tcPr>
            <w:tcW w:w="1100" w:type="dxa"/>
            <w:gridSpan w:val="3"/>
            <w:tcBorders>
              <w:tl2br w:val="nil"/>
              <w:tr2bl w:val="nil"/>
            </w:tcBorders>
            <w:shd w:val="clear" w:color="auto" w:fill="auto"/>
            <w:vAlign w:val="center"/>
          </w:tcPr>
          <w:p w14:paraId="4C62F69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2DE8B82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140</w:t>
            </w:r>
          </w:p>
        </w:tc>
        <w:tc>
          <w:tcPr>
            <w:tcW w:w="1238" w:type="dxa"/>
            <w:gridSpan w:val="3"/>
            <w:tcBorders>
              <w:tl2br w:val="nil"/>
              <w:tr2bl w:val="nil"/>
            </w:tcBorders>
            <w:shd w:val="clear" w:color="auto" w:fill="auto"/>
            <w:vAlign w:val="center"/>
          </w:tcPr>
          <w:p w14:paraId="3455AFC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6E86EF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4E1676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73A5F2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F4E6D9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BC3605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鸿威鸿景华庭</w:t>
            </w:r>
          </w:p>
        </w:tc>
        <w:tc>
          <w:tcPr>
            <w:tcW w:w="1100" w:type="dxa"/>
            <w:gridSpan w:val="3"/>
            <w:tcBorders>
              <w:tl2br w:val="nil"/>
              <w:tr2bl w:val="nil"/>
            </w:tcBorders>
            <w:shd w:val="clear" w:color="auto" w:fill="auto"/>
            <w:vAlign w:val="center"/>
          </w:tcPr>
          <w:p w14:paraId="7A278A8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347C4CB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250</w:t>
            </w:r>
          </w:p>
        </w:tc>
        <w:tc>
          <w:tcPr>
            <w:tcW w:w="1238" w:type="dxa"/>
            <w:gridSpan w:val="3"/>
            <w:tcBorders>
              <w:tl2br w:val="nil"/>
              <w:tr2bl w:val="nil"/>
            </w:tcBorders>
            <w:shd w:val="clear" w:color="auto" w:fill="auto"/>
            <w:vAlign w:val="center"/>
          </w:tcPr>
          <w:p w14:paraId="0688294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0D6227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10500</w:t>
            </w:r>
            <w:r>
              <w:rPr>
                <w:rFonts w:ascii="Times New Roman" w:hAnsi="Times New Roman"/>
                <w:color w:val="auto"/>
                <w:sz w:val="21"/>
                <w:szCs w:val="21"/>
                <w:highlight w:val="none"/>
              </w:rPr>
              <w:t>人</w:t>
            </w:r>
          </w:p>
        </w:tc>
      </w:tr>
      <w:tr w14:paraId="3F6A0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465071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6E8485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FFBFF7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渡马桥</w:t>
            </w:r>
          </w:p>
        </w:tc>
        <w:tc>
          <w:tcPr>
            <w:tcW w:w="1100" w:type="dxa"/>
            <w:gridSpan w:val="3"/>
            <w:tcBorders>
              <w:tl2br w:val="nil"/>
              <w:tr2bl w:val="nil"/>
            </w:tcBorders>
            <w:shd w:val="clear" w:color="auto" w:fill="auto"/>
            <w:vAlign w:val="center"/>
          </w:tcPr>
          <w:p w14:paraId="7F81D0F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239EB69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300</w:t>
            </w:r>
          </w:p>
        </w:tc>
        <w:tc>
          <w:tcPr>
            <w:tcW w:w="1238" w:type="dxa"/>
            <w:gridSpan w:val="3"/>
            <w:tcBorders>
              <w:tl2br w:val="nil"/>
              <w:tr2bl w:val="nil"/>
            </w:tcBorders>
            <w:shd w:val="clear" w:color="auto" w:fill="auto"/>
            <w:vAlign w:val="center"/>
          </w:tcPr>
          <w:p w14:paraId="17D44E45">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8010CA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40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140</w:t>
            </w:r>
            <w:r>
              <w:rPr>
                <w:rFonts w:ascii="Times New Roman" w:hAnsi="Times New Roman"/>
                <w:color w:val="auto"/>
                <w:sz w:val="21"/>
                <w:szCs w:val="21"/>
                <w:highlight w:val="none"/>
              </w:rPr>
              <w:t>人</w:t>
            </w:r>
          </w:p>
        </w:tc>
      </w:tr>
      <w:tr w14:paraId="50A1AD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2D7461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02DFF6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E1D60E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春蕾学校</w:t>
            </w:r>
          </w:p>
        </w:tc>
        <w:tc>
          <w:tcPr>
            <w:tcW w:w="1100" w:type="dxa"/>
            <w:gridSpan w:val="3"/>
            <w:tcBorders>
              <w:tl2br w:val="nil"/>
              <w:tr2bl w:val="nil"/>
            </w:tcBorders>
            <w:shd w:val="clear" w:color="auto" w:fill="auto"/>
            <w:vAlign w:val="center"/>
          </w:tcPr>
          <w:p w14:paraId="67416AA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30AE822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480</w:t>
            </w:r>
          </w:p>
        </w:tc>
        <w:tc>
          <w:tcPr>
            <w:tcW w:w="1238" w:type="dxa"/>
            <w:gridSpan w:val="3"/>
            <w:tcBorders>
              <w:tl2br w:val="nil"/>
              <w:tr2bl w:val="nil"/>
            </w:tcBorders>
            <w:shd w:val="clear" w:color="auto" w:fill="auto"/>
            <w:vAlign w:val="center"/>
          </w:tcPr>
          <w:p w14:paraId="71F49C5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14BC22E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1100</w:t>
            </w:r>
            <w:r>
              <w:rPr>
                <w:rFonts w:ascii="Times New Roman" w:hAnsi="Times New Roman"/>
                <w:color w:val="auto"/>
                <w:sz w:val="21"/>
                <w:szCs w:val="21"/>
                <w:highlight w:val="none"/>
              </w:rPr>
              <w:t>人</w:t>
            </w:r>
          </w:p>
        </w:tc>
      </w:tr>
      <w:tr w14:paraId="46024F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21B5E4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9E8BAB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7038B5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金马幼儿园</w:t>
            </w:r>
          </w:p>
        </w:tc>
        <w:tc>
          <w:tcPr>
            <w:tcW w:w="1100" w:type="dxa"/>
            <w:gridSpan w:val="3"/>
            <w:tcBorders>
              <w:tl2br w:val="nil"/>
              <w:tr2bl w:val="nil"/>
            </w:tcBorders>
            <w:shd w:val="clear" w:color="auto" w:fill="auto"/>
            <w:vAlign w:val="center"/>
          </w:tcPr>
          <w:p w14:paraId="6DC0337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626D984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400</w:t>
            </w:r>
          </w:p>
        </w:tc>
        <w:tc>
          <w:tcPr>
            <w:tcW w:w="1238" w:type="dxa"/>
            <w:gridSpan w:val="3"/>
            <w:tcBorders>
              <w:tl2br w:val="nil"/>
              <w:tr2bl w:val="nil"/>
            </w:tcBorders>
            <w:shd w:val="clear" w:color="auto" w:fill="auto"/>
            <w:vAlign w:val="center"/>
          </w:tcPr>
          <w:p w14:paraId="56D5635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7AFA3EC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450</w:t>
            </w:r>
            <w:r>
              <w:rPr>
                <w:rFonts w:ascii="Times New Roman" w:hAnsi="Times New Roman"/>
                <w:color w:val="auto"/>
                <w:sz w:val="21"/>
                <w:szCs w:val="21"/>
                <w:highlight w:val="none"/>
              </w:rPr>
              <w:t>人</w:t>
            </w:r>
          </w:p>
        </w:tc>
      </w:tr>
      <w:tr w14:paraId="0792A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A1C174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F807B3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3189B1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八士实验小学</w:t>
            </w:r>
          </w:p>
        </w:tc>
        <w:tc>
          <w:tcPr>
            <w:tcW w:w="1100" w:type="dxa"/>
            <w:gridSpan w:val="3"/>
            <w:tcBorders>
              <w:tl2br w:val="nil"/>
              <w:tr2bl w:val="nil"/>
            </w:tcBorders>
            <w:shd w:val="clear" w:color="auto" w:fill="auto"/>
            <w:vAlign w:val="center"/>
          </w:tcPr>
          <w:p w14:paraId="55FA165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6E0E6C5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450</w:t>
            </w:r>
          </w:p>
        </w:tc>
        <w:tc>
          <w:tcPr>
            <w:tcW w:w="1238" w:type="dxa"/>
            <w:gridSpan w:val="3"/>
            <w:tcBorders>
              <w:tl2br w:val="nil"/>
              <w:tr2bl w:val="nil"/>
            </w:tcBorders>
            <w:shd w:val="clear" w:color="auto" w:fill="auto"/>
            <w:vAlign w:val="center"/>
          </w:tcPr>
          <w:p w14:paraId="77F46A6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7CDC2EF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1000</w:t>
            </w:r>
            <w:r>
              <w:rPr>
                <w:rFonts w:ascii="Times New Roman" w:hAnsi="Times New Roman"/>
                <w:color w:val="auto"/>
                <w:sz w:val="21"/>
                <w:szCs w:val="21"/>
                <w:highlight w:val="none"/>
              </w:rPr>
              <w:t>人</w:t>
            </w:r>
          </w:p>
        </w:tc>
      </w:tr>
      <w:tr w14:paraId="6EF1D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762208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868209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D50805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斗山花苑</w:t>
            </w:r>
          </w:p>
        </w:tc>
        <w:tc>
          <w:tcPr>
            <w:tcW w:w="1100" w:type="dxa"/>
            <w:gridSpan w:val="3"/>
            <w:tcBorders>
              <w:tl2br w:val="nil"/>
              <w:tr2bl w:val="nil"/>
            </w:tcBorders>
            <w:shd w:val="clear" w:color="auto" w:fill="auto"/>
            <w:vAlign w:val="center"/>
          </w:tcPr>
          <w:p w14:paraId="21191D3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43D379E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270</w:t>
            </w:r>
          </w:p>
        </w:tc>
        <w:tc>
          <w:tcPr>
            <w:tcW w:w="1238" w:type="dxa"/>
            <w:gridSpan w:val="3"/>
            <w:tcBorders>
              <w:tl2br w:val="nil"/>
              <w:tr2bl w:val="nil"/>
            </w:tcBorders>
            <w:shd w:val="clear" w:color="auto" w:fill="auto"/>
            <w:vAlign w:val="center"/>
          </w:tcPr>
          <w:p w14:paraId="652EB7F0">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AE14CA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6000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21000</w:t>
            </w:r>
            <w:r>
              <w:rPr>
                <w:rFonts w:ascii="Times New Roman" w:hAnsi="Times New Roman"/>
                <w:color w:val="auto"/>
                <w:sz w:val="21"/>
                <w:szCs w:val="21"/>
                <w:highlight w:val="none"/>
              </w:rPr>
              <w:t>人</w:t>
            </w:r>
          </w:p>
        </w:tc>
      </w:tr>
      <w:tr w14:paraId="68EF96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32F6CC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F03564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D1C70E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东南村</w:t>
            </w:r>
          </w:p>
        </w:tc>
        <w:tc>
          <w:tcPr>
            <w:tcW w:w="1100" w:type="dxa"/>
            <w:gridSpan w:val="3"/>
            <w:tcBorders>
              <w:tl2br w:val="nil"/>
              <w:tr2bl w:val="nil"/>
            </w:tcBorders>
            <w:shd w:val="clear" w:color="auto" w:fill="auto"/>
            <w:vAlign w:val="center"/>
          </w:tcPr>
          <w:p w14:paraId="25B3E5C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18E38DD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1540</w:t>
            </w:r>
          </w:p>
        </w:tc>
        <w:tc>
          <w:tcPr>
            <w:tcW w:w="1238" w:type="dxa"/>
            <w:gridSpan w:val="3"/>
            <w:tcBorders>
              <w:tl2br w:val="nil"/>
              <w:tr2bl w:val="nil"/>
            </w:tcBorders>
            <w:shd w:val="clear" w:color="auto" w:fill="auto"/>
            <w:vAlign w:val="center"/>
          </w:tcPr>
          <w:p w14:paraId="79A51A5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970D4A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39798B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EA4837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8A5447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22D1D8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华夏青城怡景苑</w:t>
            </w:r>
          </w:p>
        </w:tc>
        <w:tc>
          <w:tcPr>
            <w:tcW w:w="1100" w:type="dxa"/>
            <w:gridSpan w:val="3"/>
            <w:tcBorders>
              <w:tl2br w:val="nil"/>
              <w:tr2bl w:val="nil"/>
            </w:tcBorders>
            <w:shd w:val="clear" w:color="auto" w:fill="auto"/>
            <w:vAlign w:val="center"/>
          </w:tcPr>
          <w:p w14:paraId="691659C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1105F8B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1463</w:t>
            </w:r>
          </w:p>
        </w:tc>
        <w:tc>
          <w:tcPr>
            <w:tcW w:w="1238" w:type="dxa"/>
            <w:gridSpan w:val="3"/>
            <w:tcBorders>
              <w:tl2br w:val="nil"/>
              <w:tr2bl w:val="nil"/>
            </w:tcBorders>
            <w:shd w:val="clear" w:color="auto" w:fill="auto"/>
            <w:vAlign w:val="center"/>
          </w:tcPr>
          <w:p w14:paraId="2EA6658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91FC5F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17500</w:t>
            </w:r>
            <w:r>
              <w:rPr>
                <w:rFonts w:ascii="Times New Roman" w:hAnsi="Times New Roman"/>
                <w:color w:val="auto"/>
                <w:sz w:val="21"/>
                <w:szCs w:val="21"/>
                <w:highlight w:val="none"/>
              </w:rPr>
              <w:t>人</w:t>
            </w:r>
          </w:p>
        </w:tc>
      </w:tr>
      <w:tr w14:paraId="036230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3C4736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AFF898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C7EF83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华夏星辰</w:t>
            </w:r>
          </w:p>
        </w:tc>
        <w:tc>
          <w:tcPr>
            <w:tcW w:w="1100" w:type="dxa"/>
            <w:gridSpan w:val="3"/>
            <w:tcBorders>
              <w:tl2br w:val="nil"/>
              <w:tr2bl w:val="nil"/>
            </w:tcBorders>
            <w:shd w:val="clear" w:color="auto" w:fill="auto"/>
            <w:vAlign w:val="center"/>
          </w:tcPr>
          <w:p w14:paraId="512E6E1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75BF2D8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1471</w:t>
            </w:r>
          </w:p>
        </w:tc>
        <w:tc>
          <w:tcPr>
            <w:tcW w:w="1238" w:type="dxa"/>
            <w:gridSpan w:val="3"/>
            <w:tcBorders>
              <w:tl2br w:val="nil"/>
              <w:tr2bl w:val="nil"/>
            </w:tcBorders>
            <w:shd w:val="clear" w:color="auto" w:fill="auto"/>
            <w:vAlign w:val="center"/>
          </w:tcPr>
          <w:p w14:paraId="65F1C230">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1CE2D8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4200</w:t>
            </w:r>
            <w:r>
              <w:rPr>
                <w:rFonts w:ascii="Times New Roman" w:hAnsi="Times New Roman"/>
                <w:color w:val="auto"/>
                <w:sz w:val="21"/>
                <w:szCs w:val="21"/>
                <w:highlight w:val="none"/>
              </w:rPr>
              <w:t>人</w:t>
            </w:r>
          </w:p>
        </w:tc>
      </w:tr>
      <w:tr w14:paraId="30EBF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E18701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5C15D0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EE23B7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怡丰苑</w:t>
            </w:r>
          </w:p>
        </w:tc>
        <w:tc>
          <w:tcPr>
            <w:tcW w:w="1100" w:type="dxa"/>
            <w:gridSpan w:val="3"/>
            <w:tcBorders>
              <w:tl2br w:val="nil"/>
              <w:tr2bl w:val="nil"/>
            </w:tcBorders>
            <w:shd w:val="clear" w:color="auto" w:fill="auto"/>
            <w:vAlign w:val="center"/>
          </w:tcPr>
          <w:p w14:paraId="0C36FA5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6F5FA25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2044</w:t>
            </w:r>
          </w:p>
        </w:tc>
        <w:tc>
          <w:tcPr>
            <w:tcW w:w="1238" w:type="dxa"/>
            <w:gridSpan w:val="3"/>
            <w:tcBorders>
              <w:tl2br w:val="nil"/>
              <w:tr2bl w:val="nil"/>
            </w:tcBorders>
            <w:shd w:val="clear" w:color="auto" w:fill="auto"/>
            <w:vAlign w:val="center"/>
          </w:tcPr>
          <w:p w14:paraId="6093627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4641BC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2800</w:t>
            </w:r>
            <w:r>
              <w:rPr>
                <w:rFonts w:ascii="Times New Roman" w:hAnsi="Times New Roman"/>
                <w:color w:val="auto"/>
                <w:sz w:val="21"/>
                <w:szCs w:val="21"/>
                <w:highlight w:val="none"/>
              </w:rPr>
              <w:t>人</w:t>
            </w:r>
          </w:p>
        </w:tc>
      </w:tr>
      <w:tr w14:paraId="7D8C7D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E56D84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D9E2C3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9646D5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南庄巷</w:t>
            </w:r>
          </w:p>
        </w:tc>
        <w:tc>
          <w:tcPr>
            <w:tcW w:w="1100" w:type="dxa"/>
            <w:gridSpan w:val="3"/>
            <w:tcBorders>
              <w:tl2br w:val="nil"/>
              <w:tr2bl w:val="nil"/>
            </w:tcBorders>
            <w:shd w:val="clear" w:color="auto" w:fill="auto"/>
            <w:vAlign w:val="center"/>
          </w:tcPr>
          <w:p w14:paraId="3ABDFB1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6251B88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2532</w:t>
            </w:r>
          </w:p>
        </w:tc>
        <w:tc>
          <w:tcPr>
            <w:tcW w:w="1238" w:type="dxa"/>
            <w:gridSpan w:val="3"/>
            <w:tcBorders>
              <w:tl2br w:val="nil"/>
              <w:tr2bl w:val="nil"/>
            </w:tcBorders>
            <w:shd w:val="clear" w:color="auto" w:fill="auto"/>
            <w:vAlign w:val="center"/>
          </w:tcPr>
          <w:p w14:paraId="1D2ED2A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24AA77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27801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D7DD95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158B12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A3C44B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南园上</w:t>
            </w:r>
          </w:p>
        </w:tc>
        <w:tc>
          <w:tcPr>
            <w:tcW w:w="1100" w:type="dxa"/>
            <w:gridSpan w:val="3"/>
            <w:tcBorders>
              <w:tl2br w:val="nil"/>
              <w:tr2bl w:val="nil"/>
            </w:tcBorders>
            <w:shd w:val="clear" w:color="auto" w:fill="auto"/>
            <w:vAlign w:val="center"/>
          </w:tcPr>
          <w:p w14:paraId="57D015F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0C004AB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3253</w:t>
            </w:r>
          </w:p>
        </w:tc>
        <w:tc>
          <w:tcPr>
            <w:tcW w:w="1238" w:type="dxa"/>
            <w:gridSpan w:val="3"/>
            <w:tcBorders>
              <w:tl2br w:val="nil"/>
              <w:tr2bl w:val="nil"/>
            </w:tcBorders>
            <w:shd w:val="clear" w:color="auto" w:fill="auto"/>
            <w:vAlign w:val="center"/>
          </w:tcPr>
          <w:p w14:paraId="7CDEF7F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AAE1EF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5A9D01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851" w:type="dxa"/>
            <w:vMerge w:val="continue"/>
            <w:tcBorders>
              <w:tl2br w:val="nil"/>
              <w:tr2bl w:val="nil"/>
            </w:tcBorders>
            <w:vAlign w:val="center"/>
          </w:tcPr>
          <w:p w14:paraId="16C03F9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2965BE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2BA496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万巷村</w:t>
            </w:r>
          </w:p>
        </w:tc>
        <w:tc>
          <w:tcPr>
            <w:tcW w:w="1100" w:type="dxa"/>
            <w:gridSpan w:val="3"/>
            <w:tcBorders>
              <w:tl2br w:val="nil"/>
              <w:tr2bl w:val="nil"/>
            </w:tcBorders>
            <w:shd w:val="clear" w:color="auto" w:fill="auto"/>
            <w:vAlign w:val="center"/>
          </w:tcPr>
          <w:p w14:paraId="68EBBDF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73B5454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3523</w:t>
            </w:r>
          </w:p>
        </w:tc>
        <w:tc>
          <w:tcPr>
            <w:tcW w:w="1238" w:type="dxa"/>
            <w:gridSpan w:val="3"/>
            <w:tcBorders>
              <w:tl2br w:val="nil"/>
              <w:tr2bl w:val="nil"/>
            </w:tcBorders>
            <w:shd w:val="clear" w:color="auto" w:fill="auto"/>
            <w:vAlign w:val="center"/>
          </w:tcPr>
          <w:p w14:paraId="6A1C339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AC6861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71C591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4E054F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E1CF29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EFD8EE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贺巷</w:t>
            </w:r>
          </w:p>
        </w:tc>
        <w:tc>
          <w:tcPr>
            <w:tcW w:w="1100" w:type="dxa"/>
            <w:gridSpan w:val="3"/>
            <w:tcBorders>
              <w:tl2br w:val="nil"/>
              <w:tr2bl w:val="nil"/>
            </w:tcBorders>
            <w:shd w:val="clear" w:color="auto" w:fill="auto"/>
            <w:vAlign w:val="center"/>
          </w:tcPr>
          <w:p w14:paraId="1883BF2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3A946D3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3536</w:t>
            </w:r>
          </w:p>
        </w:tc>
        <w:tc>
          <w:tcPr>
            <w:tcW w:w="1238" w:type="dxa"/>
            <w:gridSpan w:val="3"/>
            <w:tcBorders>
              <w:tl2br w:val="nil"/>
              <w:tr2bl w:val="nil"/>
            </w:tcBorders>
            <w:shd w:val="clear" w:color="auto" w:fill="auto"/>
            <w:vAlign w:val="center"/>
          </w:tcPr>
          <w:p w14:paraId="2CAA7AF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83CC25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49A741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0B7DD9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74733A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35AA05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水渠里</w:t>
            </w:r>
          </w:p>
        </w:tc>
        <w:tc>
          <w:tcPr>
            <w:tcW w:w="1100" w:type="dxa"/>
            <w:gridSpan w:val="3"/>
            <w:tcBorders>
              <w:tl2br w:val="nil"/>
              <w:tr2bl w:val="nil"/>
            </w:tcBorders>
            <w:shd w:val="clear" w:color="auto" w:fill="auto"/>
            <w:vAlign w:val="center"/>
          </w:tcPr>
          <w:p w14:paraId="2AE5DCD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2A34F7C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4120</w:t>
            </w:r>
          </w:p>
        </w:tc>
        <w:tc>
          <w:tcPr>
            <w:tcW w:w="1238" w:type="dxa"/>
            <w:gridSpan w:val="3"/>
            <w:tcBorders>
              <w:tl2br w:val="nil"/>
              <w:tr2bl w:val="nil"/>
            </w:tcBorders>
            <w:shd w:val="clear" w:color="auto" w:fill="auto"/>
            <w:vAlign w:val="center"/>
          </w:tcPr>
          <w:p w14:paraId="5E93E1A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F3FB8E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05327E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A82EC9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C21491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BF84E1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无锡市天元技工学校</w:t>
            </w:r>
          </w:p>
        </w:tc>
        <w:tc>
          <w:tcPr>
            <w:tcW w:w="1100" w:type="dxa"/>
            <w:gridSpan w:val="3"/>
            <w:tcBorders>
              <w:tl2br w:val="nil"/>
              <w:tr2bl w:val="nil"/>
            </w:tcBorders>
            <w:shd w:val="clear" w:color="auto" w:fill="auto"/>
            <w:vAlign w:val="center"/>
          </w:tcPr>
          <w:p w14:paraId="421F21D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51FDD7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4515</w:t>
            </w:r>
          </w:p>
        </w:tc>
        <w:tc>
          <w:tcPr>
            <w:tcW w:w="1238" w:type="dxa"/>
            <w:gridSpan w:val="3"/>
            <w:tcBorders>
              <w:tl2br w:val="nil"/>
              <w:tr2bl w:val="nil"/>
            </w:tcBorders>
            <w:shd w:val="clear" w:color="auto" w:fill="auto"/>
            <w:vAlign w:val="center"/>
          </w:tcPr>
          <w:p w14:paraId="1777D24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5158353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600</w:t>
            </w:r>
            <w:r>
              <w:rPr>
                <w:rFonts w:ascii="Times New Roman" w:hAnsi="Times New Roman"/>
                <w:color w:val="auto"/>
                <w:sz w:val="21"/>
                <w:szCs w:val="21"/>
                <w:highlight w:val="none"/>
              </w:rPr>
              <w:t>人</w:t>
            </w:r>
          </w:p>
        </w:tc>
      </w:tr>
      <w:tr w14:paraId="4D468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517C8F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6CA839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1C9768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长安中学</w:t>
            </w:r>
          </w:p>
        </w:tc>
        <w:tc>
          <w:tcPr>
            <w:tcW w:w="1100" w:type="dxa"/>
            <w:gridSpan w:val="3"/>
            <w:tcBorders>
              <w:tl2br w:val="nil"/>
              <w:tr2bl w:val="nil"/>
            </w:tcBorders>
            <w:shd w:val="clear" w:color="auto" w:fill="auto"/>
            <w:vAlign w:val="center"/>
          </w:tcPr>
          <w:p w14:paraId="1602551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1D515E8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4417</w:t>
            </w:r>
          </w:p>
        </w:tc>
        <w:tc>
          <w:tcPr>
            <w:tcW w:w="1238" w:type="dxa"/>
            <w:gridSpan w:val="3"/>
            <w:tcBorders>
              <w:tl2br w:val="nil"/>
              <w:tr2bl w:val="nil"/>
            </w:tcBorders>
            <w:shd w:val="clear" w:color="auto" w:fill="auto"/>
            <w:vAlign w:val="center"/>
          </w:tcPr>
          <w:p w14:paraId="41A26DA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6A8D82D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1700</w:t>
            </w:r>
            <w:r>
              <w:rPr>
                <w:rFonts w:ascii="Times New Roman" w:hAnsi="Times New Roman"/>
                <w:color w:val="auto"/>
                <w:sz w:val="21"/>
                <w:szCs w:val="21"/>
                <w:highlight w:val="none"/>
              </w:rPr>
              <w:t>人</w:t>
            </w:r>
          </w:p>
        </w:tc>
      </w:tr>
      <w:tr w14:paraId="1A1998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F31C4D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85303F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264245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溪塘下</w:t>
            </w:r>
          </w:p>
        </w:tc>
        <w:tc>
          <w:tcPr>
            <w:tcW w:w="1100" w:type="dxa"/>
            <w:gridSpan w:val="3"/>
            <w:tcBorders>
              <w:tl2br w:val="nil"/>
              <w:tr2bl w:val="nil"/>
            </w:tcBorders>
            <w:shd w:val="clear" w:color="auto" w:fill="auto"/>
            <w:vAlign w:val="center"/>
          </w:tcPr>
          <w:p w14:paraId="1AF0E49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1DD6907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1942</w:t>
            </w:r>
          </w:p>
        </w:tc>
        <w:tc>
          <w:tcPr>
            <w:tcW w:w="1238" w:type="dxa"/>
            <w:gridSpan w:val="3"/>
            <w:tcBorders>
              <w:tl2br w:val="nil"/>
              <w:tr2bl w:val="nil"/>
            </w:tcBorders>
            <w:shd w:val="clear" w:color="auto" w:fill="auto"/>
            <w:vAlign w:val="center"/>
          </w:tcPr>
          <w:p w14:paraId="61CAA32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C61ED0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51569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3D5472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9D7A1D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09F9FB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张步桥</w:t>
            </w:r>
          </w:p>
        </w:tc>
        <w:tc>
          <w:tcPr>
            <w:tcW w:w="1100" w:type="dxa"/>
            <w:gridSpan w:val="3"/>
            <w:tcBorders>
              <w:tl2br w:val="nil"/>
              <w:tr2bl w:val="nil"/>
            </w:tcBorders>
            <w:shd w:val="clear" w:color="auto" w:fill="auto"/>
            <w:vAlign w:val="center"/>
          </w:tcPr>
          <w:p w14:paraId="71B720B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A702B1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3003</w:t>
            </w:r>
          </w:p>
        </w:tc>
        <w:tc>
          <w:tcPr>
            <w:tcW w:w="1238" w:type="dxa"/>
            <w:gridSpan w:val="3"/>
            <w:tcBorders>
              <w:tl2br w:val="nil"/>
              <w:tr2bl w:val="nil"/>
            </w:tcBorders>
            <w:shd w:val="clear" w:color="auto" w:fill="auto"/>
            <w:vAlign w:val="center"/>
          </w:tcPr>
          <w:p w14:paraId="58EF6BC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4E0446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48E67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BB1F00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27497E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50A09D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国防教育学院</w:t>
            </w:r>
          </w:p>
        </w:tc>
        <w:tc>
          <w:tcPr>
            <w:tcW w:w="1100" w:type="dxa"/>
            <w:gridSpan w:val="3"/>
            <w:tcBorders>
              <w:tl2br w:val="nil"/>
              <w:tr2bl w:val="nil"/>
            </w:tcBorders>
            <w:shd w:val="clear" w:color="auto" w:fill="auto"/>
            <w:vAlign w:val="center"/>
          </w:tcPr>
          <w:p w14:paraId="67D99A4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45FC857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4719</w:t>
            </w:r>
          </w:p>
        </w:tc>
        <w:tc>
          <w:tcPr>
            <w:tcW w:w="1238" w:type="dxa"/>
            <w:gridSpan w:val="3"/>
            <w:tcBorders>
              <w:tl2br w:val="nil"/>
              <w:tr2bl w:val="nil"/>
            </w:tcBorders>
            <w:shd w:val="clear" w:color="auto" w:fill="auto"/>
            <w:vAlign w:val="center"/>
          </w:tcPr>
          <w:p w14:paraId="431AAC98">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文化区</w:t>
            </w:r>
          </w:p>
        </w:tc>
        <w:tc>
          <w:tcPr>
            <w:tcW w:w="1748" w:type="dxa"/>
            <w:tcBorders>
              <w:tl2br w:val="nil"/>
              <w:tr2bl w:val="nil"/>
            </w:tcBorders>
            <w:shd w:val="clear" w:color="auto" w:fill="auto"/>
            <w:vAlign w:val="center"/>
          </w:tcPr>
          <w:p w14:paraId="7248F0B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人</w:t>
            </w:r>
          </w:p>
        </w:tc>
      </w:tr>
      <w:tr w14:paraId="3B6B7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579224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0C86FE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0031CE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东庄</w:t>
            </w:r>
          </w:p>
        </w:tc>
        <w:tc>
          <w:tcPr>
            <w:tcW w:w="1100" w:type="dxa"/>
            <w:gridSpan w:val="3"/>
            <w:tcBorders>
              <w:tl2br w:val="nil"/>
              <w:tr2bl w:val="nil"/>
            </w:tcBorders>
            <w:shd w:val="clear" w:color="auto" w:fill="auto"/>
            <w:vAlign w:val="center"/>
          </w:tcPr>
          <w:p w14:paraId="02C8CF6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0C7A735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3417</w:t>
            </w:r>
          </w:p>
        </w:tc>
        <w:tc>
          <w:tcPr>
            <w:tcW w:w="1238" w:type="dxa"/>
            <w:gridSpan w:val="3"/>
            <w:tcBorders>
              <w:tl2br w:val="nil"/>
              <w:tr2bl w:val="nil"/>
            </w:tcBorders>
            <w:shd w:val="clear" w:color="auto" w:fill="auto"/>
            <w:vAlign w:val="center"/>
          </w:tcPr>
          <w:p w14:paraId="2D8CD6F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3D7DFD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7F845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40DFBC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06D859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344D4E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坎巷</w:t>
            </w:r>
          </w:p>
        </w:tc>
        <w:tc>
          <w:tcPr>
            <w:tcW w:w="1100" w:type="dxa"/>
            <w:gridSpan w:val="3"/>
            <w:tcBorders>
              <w:tl2br w:val="nil"/>
              <w:tr2bl w:val="nil"/>
            </w:tcBorders>
            <w:shd w:val="clear" w:color="auto" w:fill="auto"/>
            <w:vAlign w:val="center"/>
          </w:tcPr>
          <w:p w14:paraId="7981144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6A3C72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3862</w:t>
            </w:r>
          </w:p>
        </w:tc>
        <w:tc>
          <w:tcPr>
            <w:tcW w:w="1238" w:type="dxa"/>
            <w:gridSpan w:val="3"/>
            <w:tcBorders>
              <w:tl2br w:val="nil"/>
              <w:tr2bl w:val="nil"/>
            </w:tcBorders>
            <w:shd w:val="clear" w:color="auto" w:fill="auto"/>
            <w:vAlign w:val="center"/>
          </w:tcPr>
          <w:p w14:paraId="305366B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AC8C0C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1CB4EF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88F4BF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5DC8E0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B802B5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长安外来民工子弟学校</w:t>
            </w:r>
          </w:p>
        </w:tc>
        <w:tc>
          <w:tcPr>
            <w:tcW w:w="1100" w:type="dxa"/>
            <w:gridSpan w:val="3"/>
            <w:tcBorders>
              <w:tl2br w:val="nil"/>
              <w:tr2bl w:val="nil"/>
            </w:tcBorders>
            <w:shd w:val="clear" w:color="auto" w:fill="auto"/>
            <w:vAlign w:val="center"/>
          </w:tcPr>
          <w:p w14:paraId="0A4BCBE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429A0F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3816</w:t>
            </w:r>
          </w:p>
        </w:tc>
        <w:tc>
          <w:tcPr>
            <w:tcW w:w="1238" w:type="dxa"/>
            <w:gridSpan w:val="3"/>
            <w:tcBorders>
              <w:tl2br w:val="nil"/>
              <w:tr2bl w:val="nil"/>
            </w:tcBorders>
            <w:shd w:val="clear" w:color="auto" w:fill="auto"/>
            <w:vAlign w:val="center"/>
          </w:tcPr>
          <w:p w14:paraId="00D6E8D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1FF4571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人</w:t>
            </w:r>
          </w:p>
        </w:tc>
      </w:tr>
      <w:tr w14:paraId="3D8222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0A4036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659994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5C50B9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南胡巷村</w:t>
            </w:r>
          </w:p>
        </w:tc>
        <w:tc>
          <w:tcPr>
            <w:tcW w:w="1100" w:type="dxa"/>
            <w:gridSpan w:val="3"/>
            <w:tcBorders>
              <w:tl2br w:val="nil"/>
              <w:tr2bl w:val="nil"/>
            </w:tcBorders>
            <w:shd w:val="clear" w:color="auto" w:fill="auto"/>
            <w:vAlign w:val="center"/>
          </w:tcPr>
          <w:p w14:paraId="662D61B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262FB54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4156</w:t>
            </w:r>
          </w:p>
        </w:tc>
        <w:tc>
          <w:tcPr>
            <w:tcW w:w="1238" w:type="dxa"/>
            <w:gridSpan w:val="3"/>
            <w:tcBorders>
              <w:tl2br w:val="nil"/>
              <w:tr2bl w:val="nil"/>
            </w:tcBorders>
            <w:shd w:val="clear" w:color="auto" w:fill="auto"/>
            <w:vAlign w:val="center"/>
          </w:tcPr>
          <w:p w14:paraId="564F282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5C63E2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43839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F674E1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29983F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6C09C7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云芳里</w:t>
            </w:r>
          </w:p>
        </w:tc>
        <w:tc>
          <w:tcPr>
            <w:tcW w:w="1100" w:type="dxa"/>
            <w:gridSpan w:val="3"/>
            <w:tcBorders>
              <w:tl2br w:val="nil"/>
              <w:tr2bl w:val="nil"/>
            </w:tcBorders>
            <w:shd w:val="clear" w:color="auto" w:fill="auto"/>
            <w:vAlign w:val="center"/>
          </w:tcPr>
          <w:p w14:paraId="3164EF6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2C7BF30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2602</w:t>
            </w:r>
          </w:p>
        </w:tc>
        <w:tc>
          <w:tcPr>
            <w:tcW w:w="1238" w:type="dxa"/>
            <w:gridSpan w:val="3"/>
            <w:tcBorders>
              <w:tl2br w:val="nil"/>
              <w:tr2bl w:val="nil"/>
            </w:tcBorders>
            <w:shd w:val="clear" w:color="auto" w:fill="auto"/>
            <w:vAlign w:val="center"/>
          </w:tcPr>
          <w:p w14:paraId="60440B5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65A305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4520F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EA60C7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70A806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3E86AC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大下冯</w:t>
            </w:r>
          </w:p>
        </w:tc>
        <w:tc>
          <w:tcPr>
            <w:tcW w:w="1100" w:type="dxa"/>
            <w:gridSpan w:val="3"/>
            <w:tcBorders>
              <w:tl2br w:val="nil"/>
              <w:tr2bl w:val="nil"/>
            </w:tcBorders>
            <w:shd w:val="clear" w:color="auto" w:fill="auto"/>
            <w:vAlign w:val="center"/>
          </w:tcPr>
          <w:p w14:paraId="7C29F20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6399B1D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4677</w:t>
            </w:r>
          </w:p>
        </w:tc>
        <w:tc>
          <w:tcPr>
            <w:tcW w:w="1238" w:type="dxa"/>
            <w:gridSpan w:val="3"/>
            <w:tcBorders>
              <w:tl2br w:val="nil"/>
              <w:tr2bl w:val="nil"/>
            </w:tcBorders>
            <w:shd w:val="clear" w:color="auto" w:fill="auto"/>
            <w:vAlign w:val="center"/>
          </w:tcPr>
          <w:p w14:paraId="587B962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DAB758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54547F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2D3459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4B5718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4FD3B3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八士老街</w:t>
            </w:r>
          </w:p>
        </w:tc>
        <w:tc>
          <w:tcPr>
            <w:tcW w:w="1100" w:type="dxa"/>
            <w:gridSpan w:val="3"/>
            <w:tcBorders>
              <w:tl2br w:val="nil"/>
              <w:tr2bl w:val="nil"/>
            </w:tcBorders>
            <w:shd w:val="clear" w:color="auto" w:fill="auto"/>
            <w:vAlign w:val="center"/>
          </w:tcPr>
          <w:p w14:paraId="00F7FE6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70AD767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430</w:t>
            </w:r>
          </w:p>
        </w:tc>
        <w:tc>
          <w:tcPr>
            <w:tcW w:w="1238" w:type="dxa"/>
            <w:gridSpan w:val="3"/>
            <w:tcBorders>
              <w:tl2br w:val="nil"/>
              <w:tr2bl w:val="nil"/>
            </w:tcBorders>
            <w:shd w:val="clear" w:color="auto" w:fill="auto"/>
            <w:vAlign w:val="center"/>
          </w:tcPr>
          <w:p w14:paraId="2D54F57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8BE746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5000</w:t>
            </w:r>
            <w:r>
              <w:rPr>
                <w:rFonts w:ascii="Times New Roman" w:hAnsi="Times New Roman"/>
                <w:color w:val="auto"/>
                <w:sz w:val="21"/>
                <w:szCs w:val="21"/>
                <w:highlight w:val="none"/>
              </w:rPr>
              <w:t>人</w:t>
            </w:r>
          </w:p>
        </w:tc>
      </w:tr>
      <w:tr w14:paraId="6408A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58FD2A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018016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735A43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春蕾学校附属幼儿园</w:t>
            </w:r>
          </w:p>
        </w:tc>
        <w:tc>
          <w:tcPr>
            <w:tcW w:w="1100" w:type="dxa"/>
            <w:gridSpan w:val="3"/>
            <w:tcBorders>
              <w:tl2br w:val="nil"/>
              <w:tr2bl w:val="nil"/>
            </w:tcBorders>
            <w:shd w:val="clear" w:color="auto" w:fill="auto"/>
            <w:vAlign w:val="center"/>
          </w:tcPr>
          <w:p w14:paraId="201BB55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5C0D24D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452</w:t>
            </w:r>
          </w:p>
        </w:tc>
        <w:tc>
          <w:tcPr>
            <w:tcW w:w="1238" w:type="dxa"/>
            <w:gridSpan w:val="3"/>
            <w:tcBorders>
              <w:tl2br w:val="nil"/>
              <w:tr2bl w:val="nil"/>
            </w:tcBorders>
            <w:shd w:val="clear" w:color="auto" w:fill="auto"/>
            <w:vAlign w:val="center"/>
          </w:tcPr>
          <w:p w14:paraId="3090674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3C86090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人</w:t>
            </w:r>
          </w:p>
        </w:tc>
      </w:tr>
      <w:tr w14:paraId="60D56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1D90A9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C987D7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5673FE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八士中学</w:t>
            </w:r>
          </w:p>
        </w:tc>
        <w:tc>
          <w:tcPr>
            <w:tcW w:w="1100" w:type="dxa"/>
            <w:gridSpan w:val="3"/>
            <w:tcBorders>
              <w:tl2br w:val="nil"/>
              <w:tr2bl w:val="nil"/>
            </w:tcBorders>
            <w:shd w:val="clear" w:color="auto" w:fill="auto"/>
            <w:vAlign w:val="center"/>
          </w:tcPr>
          <w:p w14:paraId="36D736A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730D90E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967</w:t>
            </w:r>
          </w:p>
        </w:tc>
        <w:tc>
          <w:tcPr>
            <w:tcW w:w="1238" w:type="dxa"/>
            <w:gridSpan w:val="3"/>
            <w:tcBorders>
              <w:tl2br w:val="nil"/>
              <w:tr2bl w:val="nil"/>
            </w:tcBorders>
            <w:shd w:val="clear" w:color="auto" w:fill="auto"/>
            <w:vAlign w:val="center"/>
          </w:tcPr>
          <w:p w14:paraId="5042732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079FEF9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1200</w:t>
            </w:r>
            <w:r>
              <w:rPr>
                <w:rFonts w:ascii="Times New Roman" w:hAnsi="Times New Roman"/>
                <w:color w:val="auto"/>
                <w:sz w:val="21"/>
                <w:szCs w:val="21"/>
                <w:highlight w:val="none"/>
              </w:rPr>
              <w:t>人</w:t>
            </w:r>
          </w:p>
        </w:tc>
      </w:tr>
      <w:tr w14:paraId="2E37AF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464C25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F40202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D2AC8F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枫情家园</w:t>
            </w:r>
          </w:p>
        </w:tc>
        <w:tc>
          <w:tcPr>
            <w:tcW w:w="1100" w:type="dxa"/>
            <w:gridSpan w:val="3"/>
            <w:tcBorders>
              <w:tl2br w:val="nil"/>
              <w:tr2bl w:val="nil"/>
            </w:tcBorders>
            <w:shd w:val="clear" w:color="auto" w:fill="auto"/>
            <w:vAlign w:val="center"/>
          </w:tcPr>
          <w:p w14:paraId="56FFF69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1CFA2E1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1147</w:t>
            </w:r>
          </w:p>
        </w:tc>
        <w:tc>
          <w:tcPr>
            <w:tcW w:w="1238" w:type="dxa"/>
            <w:gridSpan w:val="3"/>
            <w:tcBorders>
              <w:tl2br w:val="nil"/>
              <w:tr2bl w:val="nil"/>
            </w:tcBorders>
            <w:shd w:val="clear" w:color="auto" w:fill="auto"/>
            <w:vAlign w:val="center"/>
          </w:tcPr>
          <w:p w14:paraId="0317D82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23BE05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3040</w:t>
            </w:r>
            <w:r>
              <w:rPr>
                <w:rFonts w:ascii="Times New Roman" w:hAnsi="Times New Roman"/>
                <w:color w:val="auto"/>
                <w:sz w:val="21"/>
                <w:szCs w:val="21"/>
                <w:highlight w:val="none"/>
              </w:rPr>
              <w:t>人</w:t>
            </w:r>
          </w:p>
        </w:tc>
      </w:tr>
      <w:tr w14:paraId="15355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028CEA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0DD85E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854CEA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紫藤花苑</w:t>
            </w:r>
          </w:p>
        </w:tc>
        <w:tc>
          <w:tcPr>
            <w:tcW w:w="1100" w:type="dxa"/>
            <w:gridSpan w:val="3"/>
            <w:tcBorders>
              <w:tl2br w:val="nil"/>
              <w:tr2bl w:val="nil"/>
            </w:tcBorders>
            <w:shd w:val="clear" w:color="auto" w:fill="auto"/>
            <w:vAlign w:val="center"/>
          </w:tcPr>
          <w:p w14:paraId="27B1C94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575D423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1383</w:t>
            </w:r>
          </w:p>
        </w:tc>
        <w:tc>
          <w:tcPr>
            <w:tcW w:w="1238" w:type="dxa"/>
            <w:gridSpan w:val="3"/>
            <w:tcBorders>
              <w:tl2br w:val="nil"/>
              <w:tr2bl w:val="nil"/>
            </w:tcBorders>
            <w:shd w:val="clear" w:color="auto" w:fill="auto"/>
            <w:vAlign w:val="center"/>
          </w:tcPr>
          <w:p w14:paraId="732F251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居住</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154BBDA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700</w:t>
            </w:r>
            <w:r>
              <w:rPr>
                <w:rFonts w:ascii="Times New Roman" w:hAnsi="Times New Roman"/>
                <w:color w:val="auto"/>
                <w:sz w:val="21"/>
                <w:szCs w:val="21"/>
                <w:highlight w:val="none"/>
              </w:rPr>
              <w:t>人</w:t>
            </w:r>
          </w:p>
        </w:tc>
      </w:tr>
      <w:tr w14:paraId="165F17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C83DF7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06C38A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240DE8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下大河</w:t>
            </w:r>
          </w:p>
        </w:tc>
        <w:tc>
          <w:tcPr>
            <w:tcW w:w="1100" w:type="dxa"/>
            <w:gridSpan w:val="3"/>
            <w:tcBorders>
              <w:tl2br w:val="nil"/>
              <w:tr2bl w:val="nil"/>
            </w:tcBorders>
            <w:shd w:val="clear" w:color="auto" w:fill="auto"/>
            <w:vAlign w:val="center"/>
          </w:tcPr>
          <w:p w14:paraId="77C2ACD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047F488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1394</w:t>
            </w:r>
          </w:p>
        </w:tc>
        <w:tc>
          <w:tcPr>
            <w:tcW w:w="1238" w:type="dxa"/>
            <w:gridSpan w:val="3"/>
            <w:tcBorders>
              <w:tl2br w:val="nil"/>
              <w:tr2bl w:val="nil"/>
            </w:tcBorders>
            <w:shd w:val="clear" w:color="auto" w:fill="auto"/>
            <w:vAlign w:val="center"/>
          </w:tcPr>
          <w:p w14:paraId="78C5380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87EA0D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01FE81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3EE04E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2DCF99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357401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邵巷</w:t>
            </w:r>
          </w:p>
        </w:tc>
        <w:tc>
          <w:tcPr>
            <w:tcW w:w="1100" w:type="dxa"/>
            <w:gridSpan w:val="3"/>
            <w:tcBorders>
              <w:tl2br w:val="nil"/>
              <w:tr2bl w:val="nil"/>
            </w:tcBorders>
            <w:shd w:val="clear" w:color="auto" w:fill="auto"/>
            <w:vAlign w:val="center"/>
          </w:tcPr>
          <w:p w14:paraId="3471987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750E3FD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2397</w:t>
            </w:r>
          </w:p>
        </w:tc>
        <w:tc>
          <w:tcPr>
            <w:tcW w:w="1238" w:type="dxa"/>
            <w:gridSpan w:val="3"/>
            <w:tcBorders>
              <w:tl2br w:val="nil"/>
              <w:tr2bl w:val="nil"/>
            </w:tcBorders>
            <w:shd w:val="clear" w:color="auto" w:fill="auto"/>
            <w:vAlign w:val="center"/>
          </w:tcPr>
          <w:p w14:paraId="2803446C">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092D1C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211885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34C6C3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C62262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A1A2D9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农坝村</w:t>
            </w:r>
          </w:p>
        </w:tc>
        <w:tc>
          <w:tcPr>
            <w:tcW w:w="1100" w:type="dxa"/>
            <w:gridSpan w:val="3"/>
            <w:tcBorders>
              <w:tl2br w:val="nil"/>
              <w:tr2bl w:val="nil"/>
            </w:tcBorders>
            <w:shd w:val="clear" w:color="auto" w:fill="auto"/>
            <w:vAlign w:val="center"/>
          </w:tcPr>
          <w:p w14:paraId="0D0D0CB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3F35D21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3095</w:t>
            </w:r>
          </w:p>
        </w:tc>
        <w:tc>
          <w:tcPr>
            <w:tcW w:w="1238" w:type="dxa"/>
            <w:gridSpan w:val="3"/>
            <w:tcBorders>
              <w:tl2br w:val="nil"/>
              <w:tr2bl w:val="nil"/>
            </w:tcBorders>
            <w:shd w:val="clear" w:color="auto" w:fill="auto"/>
            <w:vAlign w:val="center"/>
          </w:tcPr>
          <w:p w14:paraId="5B3F6E5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C31E61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700</w:t>
            </w:r>
            <w:r>
              <w:rPr>
                <w:rFonts w:ascii="Times New Roman" w:hAnsi="Times New Roman"/>
                <w:color w:val="auto"/>
                <w:sz w:val="21"/>
                <w:szCs w:val="21"/>
                <w:highlight w:val="none"/>
              </w:rPr>
              <w:t>人</w:t>
            </w:r>
          </w:p>
        </w:tc>
      </w:tr>
      <w:tr w14:paraId="6691B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FD2462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37D4224">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EE3546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侬坝小学</w:t>
            </w:r>
          </w:p>
        </w:tc>
        <w:tc>
          <w:tcPr>
            <w:tcW w:w="1100" w:type="dxa"/>
            <w:gridSpan w:val="3"/>
            <w:tcBorders>
              <w:tl2br w:val="nil"/>
              <w:tr2bl w:val="nil"/>
            </w:tcBorders>
            <w:shd w:val="clear" w:color="auto" w:fill="auto"/>
            <w:vAlign w:val="center"/>
          </w:tcPr>
          <w:p w14:paraId="3416C24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3130466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3458</w:t>
            </w:r>
          </w:p>
        </w:tc>
        <w:tc>
          <w:tcPr>
            <w:tcW w:w="1238" w:type="dxa"/>
            <w:gridSpan w:val="3"/>
            <w:tcBorders>
              <w:tl2br w:val="nil"/>
              <w:tr2bl w:val="nil"/>
            </w:tcBorders>
            <w:shd w:val="clear" w:color="auto" w:fill="auto"/>
            <w:vAlign w:val="center"/>
          </w:tcPr>
          <w:p w14:paraId="41454FD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61B06AC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1000</w:t>
            </w:r>
            <w:r>
              <w:rPr>
                <w:rFonts w:ascii="Times New Roman" w:hAnsi="Times New Roman"/>
                <w:color w:val="auto"/>
                <w:sz w:val="21"/>
                <w:szCs w:val="21"/>
                <w:highlight w:val="none"/>
              </w:rPr>
              <w:t>人</w:t>
            </w:r>
          </w:p>
        </w:tc>
      </w:tr>
      <w:tr w14:paraId="18EF9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A54B28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4F506E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71119E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杨家桥</w:t>
            </w:r>
          </w:p>
        </w:tc>
        <w:tc>
          <w:tcPr>
            <w:tcW w:w="1100" w:type="dxa"/>
            <w:gridSpan w:val="3"/>
            <w:tcBorders>
              <w:tl2br w:val="nil"/>
              <w:tr2bl w:val="nil"/>
            </w:tcBorders>
            <w:shd w:val="clear" w:color="auto" w:fill="auto"/>
            <w:vAlign w:val="center"/>
          </w:tcPr>
          <w:p w14:paraId="47D1F85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4EC6A3A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3713</w:t>
            </w:r>
          </w:p>
        </w:tc>
        <w:tc>
          <w:tcPr>
            <w:tcW w:w="1238" w:type="dxa"/>
            <w:gridSpan w:val="3"/>
            <w:tcBorders>
              <w:tl2br w:val="nil"/>
              <w:tr2bl w:val="nil"/>
            </w:tcBorders>
            <w:shd w:val="clear" w:color="auto" w:fill="auto"/>
            <w:vAlign w:val="center"/>
          </w:tcPr>
          <w:p w14:paraId="1269C4E6">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755C9D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23938B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E283AD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28276C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76FEEB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大马巷村</w:t>
            </w:r>
          </w:p>
        </w:tc>
        <w:tc>
          <w:tcPr>
            <w:tcW w:w="1100" w:type="dxa"/>
            <w:gridSpan w:val="3"/>
            <w:tcBorders>
              <w:tl2br w:val="nil"/>
              <w:tr2bl w:val="nil"/>
            </w:tcBorders>
            <w:shd w:val="clear" w:color="auto" w:fill="auto"/>
            <w:vAlign w:val="center"/>
          </w:tcPr>
          <w:p w14:paraId="111B1F5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W</w:t>
            </w:r>
          </w:p>
        </w:tc>
        <w:tc>
          <w:tcPr>
            <w:tcW w:w="1278" w:type="dxa"/>
            <w:gridSpan w:val="3"/>
            <w:tcBorders>
              <w:tl2br w:val="nil"/>
              <w:tr2bl w:val="nil"/>
            </w:tcBorders>
            <w:shd w:val="clear" w:color="auto" w:fill="auto"/>
            <w:vAlign w:val="center"/>
          </w:tcPr>
          <w:p w14:paraId="3764137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4253</w:t>
            </w:r>
          </w:p>
        </w:tc>
        <w:tc>
          <w:tcPr>
            <w:tcW w:w="1238" w:type="dxa"/>
            <w:gridSpan w:val="3"/>
            <w:tcBorders>
              <w:tl2br w:val="nil"/>
              <w:tr2bl w:val="nil"/>
            </w:tcBorders>
            <w:shd w:val="clear" w:color="auto" w:fill="auto"/>
            <w:vAlign w:val="center"/>
          </w:tcPr>
          <w:p w14:paraId="0533543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C6BEA5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7E0F31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5D0AC9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2D65C4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CC1D1B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芙蓉山庄</w:t>
            </w:r>
          </w:p>
        </w:tc>
        <w:tc>
          <w:tcPr>
            <w:tcW w:w="1100" w:type="dxa"/>
            <w:gridSpan w:val="3"/>
            <w:tcBorders>
              <w:tl2br w:val="nil"/>
              <w:tr2bl w:val="nil"/>
            </w:tcBorders>
            <w:shd w:val="clear" w:color="auto" w:fill="auto"/>
            <w:vAlign w:val="center"/>
          </w:tcPr>
          <w:p w14:paraId="08908A0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044D64D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2661</w:t>
            </w:r>
          </w:p>
        </w:tc>
        <w:tc>
          <w:tcPr>
            <w:tcW w:w="1238" w:type="dxa"/>
            <w:gridSpan w:val="3"/>
            <w:tcBorders>
              <w:tl2br w:val="nil"/>
              <w:tr2bl w:val="nil"/>
            </w:tcBorders>
            <w:shd w:val="clear" w:color="auto" w:fill="auto"/>
            <w:vAlign w:val="center"/>
          </w:tcPr>
          <w:p w14:paraId="6EEDC82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居住</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1A2402E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3900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13650</w:t>
            </w:r>
            <w:r>
              <w:rPr>
                <w:rFonts w:ascii="Times New Roman" w:hAnsi="Times New Roman"/>
                <w:color w:val="auto"/>
                <w:sz w:val="21"/>
                <w:szCs w:val="21"/>
                <w:highlight w:val="none"/>
              </w:rPr>
              <w:t>人</w:t>
            </w:r>
          </w:p>
        </w:tc>
      </w:tr>
      <w:tr w14:paraId="1F6E9D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885025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F54DE7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CFCDA3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裕巷村</w:t>
            </w:r>
          </w:p>
        </w:tc>
        <w:tc>
          <w:tcPr>
            <w:tcW w:w="1100" w:type="dxa"/>
            <w:gridSpan w:val="3"/>
            <w:tcBorders>
              <w:tl2br w:val="nil"/>
              <w:tr2bl w:val="nil"/>
            </w:tcBorders>
            <w:shd w:val="clear" w:color="auto" w:fill="auto"/>
            <w:vAlign w:val="center"/>
          </w:tcPr>
          <w:p w14:paraId="15859C1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4BCBEB0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3310</w:t>
            </w:r>
          </w:p>
        </w:tc>
        <w:tc>
          <w:tcPr>
            <w:tcW w:w="1238" w:type="dxa"/>
            <w:gridSpan w:val="3"/>
            <w:tcBorders>
              <w:tl2br w:val="nil"/>
              <w:tr2bl w:val="nil"/>
            </w:tcBorders>
            <w:shd w:val="clear" w:color="auto" w:fill="auto"/>
            <w:vAlign w:val="center"/>
          </w:tcPr>
          <w:p w14:paraId="135E467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35BC99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40352B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C39776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7D569D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17661B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路巷</w:t>
            </w:r>
          </w:p>
        </w:tc>
        <w:tc>
          <w:tcPr>
            <w:tcW w:w="1100" w:type="dxa"/>
            <w:gridSpan w:val="3"/>
            <w:tcBorders>
              <w:tl2br w:val="nil"/>
              <w:tr2bl w:val="nil"/>
            </w:tcBorders>
            <w:shd w:val="clear" w:color="auto" w:fill="auto"/>
            <w:vAlign w:val="center"/>
          </w:tcPr>
          <w:p w14:paraId="3C4EB8D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51A0553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3806</w:t>
            </w:r>
          </w:p>
        </w:tc>
        <w:tc>
          <w:tcPr>
            <w:tcW w:w="1238" w:type="dxa"/>
            <w:gridSpan w:val="3"/>
            <w:tcBorders>
              <w:tl2br w:val="nil"/>
              <w:tr2bl w:val="nil"/>
            </w:tcBorders>
            <w:shd w:val="clear" w:color="auto" w:fill="auto"/>
            <w:vAlign w:val="center"/>
          </w:tcPr>
          <w:p w14:paraId="5029D4B8">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695D42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3B5D7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FF0C97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49FEF5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7DFD80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正阳村</w:t>
            </w:r>
          </w:p>
        </w:tc>
        <w:tc>
          <w:tcPr>
            <w:tcW w:w="1100" w:type="dxa"/>
            <w:gridSpan w:val="3"/>
            <w:tcBorders>
              <w:tl2br w:val="nil"/>
              <w:tr2bl w:val="nil"/>
            </w:tcBorders>
            <w:shd w:val="clear" w:color="auto" w:fill="auto"/>
            <w:vAlign w:val="center"/>
          </w:tcPr>
          <w:p w14:paraId="1DFC4F6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1CF2877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4577</w:t>
            </w:r>
          </w:p>
        </w:tc>
        <w:tc>
          <w:tcPr>
            <w:tcW w:w="1238" w:type="dxa"/>
            <w:gridSpan w:val="3"/>
            <w:tcBorders>
              <w:tl2br w:val="nil"/>
              <w:tr2bl w:val="nil"/>
            </w:tcBorders>
            <w:shd w:val="clear" w:color="auto" w:fill="auto"/>
            <w:vAlign w:val="center"/>
          </w:tcPr>
          <w:p w14:paraId="3A6CFB9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EA449E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46966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9C4F23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B3C765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276A67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裕巷新村</w:t>
            </w:r>
          </w:p>
        </w:tc>
        <w:tc>
          <w:tcPr>
            <w:tcW w:w="1100" w:type="dxa"/>
            <w:gridSpan w:val="3"/>
            <w:tcBorders>
              <w:tl2br w:val="nil"/>
              <w:tr2bl w:val="nil"/>
            </w:tcBorders>
            <w:shd w:val="clear" w:color="auto" w:fill="auto"/>
            <w:vAlign w:val="center"/>
          </w:tcPr>
          <w:p w14:paraId="27B3DDF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0EAF64D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3789</w:t>
            </w:r>
          </w:p>
        </w:tc>
        <w:tc>
          <w:tcPr>
            <w:tcW w:w="1238" w:type="dxa"/>
            <w:gridSpan w:val="3"/>
            <w:tcBorders>
              <w:tl2br w:val="nil"/>
              <w:tr2bl w:val="nil"/>
            </w:tcBorders>
            <w:shd w:val="clear" w:color="auto" w:fill="auto"/>
            <w:vAlign w:val="center"/>
          </w:tcPr>
          <w:p w14:paraId="37D6006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D67A96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112</w:t>
            </w:r>
            <w:r>
              <w:rPr>
                <w:rFonts w:ascii="Times New Roman" w:hAnsi="Times New Roman"/>
                <w:color w:val="auto"/>
                <w:sz w:val="21"/>
                <w:szCs w:val="21"/>
                <w:highlight w:val="none"/>
              </w:rPr>
              <w:t>人</w:t>
            </w:r>
          </w:p>
        </w:tc>
      </w:tr>
      <w:tr w14:paraId="3396B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001505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FE642B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D52A59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东北塘中心幼儿园</w:t>
            </w:r>
          </w:p>
        </w:tc>
        <w:tc>
          <w:tcPr>
            <w:tcW w:w="1100" w:type="dxa"/>
            <w:gridSpan w:val="3"/>
            <w:tcBorders>
              <w:tl2br w:val="nil"/>
              <w:tr2bl w:val="nil"/>
            </w:tcBorders>
            <w:shd w:val="clear" w:color="auto" w:fill="auto"/>
            <w:vAlign w:val="center"/>
          </w:tcPr>
          <w:p w14:paraId="45036AA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4DA5BA2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4299</w:t>
            </w:r>
          </w:p>
        </w:tc>
        <w:tc>
          <w:tcPr>
            <w:tcW w:w="1238" w:type="dxa"/>
            <w:gridSpan w:val="3"/>
            <w:tcBorders>
              <w:tl2br w:val="nil"/>
              <w:tr2bl w:val="nil"/>
            </w:tcBorders>
            <w:shd w:val="clear" w:color="auto" w:fill="auto"/>
            <w:vAlign w:val="center"/>
          </w:tcPr>
          <w:p w14:paraId="421FD29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425C11F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1100</w:t>
            </w:r>
            <w:r>
              <w:rPr>
                <w:rFonts w:ascii="Times New Roman" w:hAnsi="Times New Roman"/>
                <w:color w:val="auto"/>
                <w:sz w:val="21"/>
                <w:szCs w:val="21"/>
                <w:highlight w:val="none"/>
              </w:rPr>
              <w:t>人</w:t>
            </w:r>
          </w:p>
        </w:tc>
      </w:tr>
      <w:tr w14:paraId="1C317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123F61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8CF7B2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AAADBB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金色庭园</w:t>
            </w:r>
          </w:p>
        </w:tc>
        <w:tc>
          <w:tcPr>
            <w:tcW w:w="1100" w:type="dxa"/>
            <w:gridSpan w:val="3"/>
            <w:tcBorders>
              <w:tl2br w:val="nil"/>
              <w:tr2bl w:val="nil"/>
            </w:tcBorders>
            <w:shd w:val="clear" w:color="auto" w:fill="auto"/>
            <w:vAlign w:val="center"/>
          </w:tcPr>
          <w:p w14:paraId="16F2702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3F96AA6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4504</w:t>
            </w:r>
          </w:p>
        </w:tc>
        <w:tc>
          <w:tcPr>
            <w:tcW w:w="1238" w:type="dxa"/>
            <w:gridSpan w:val="3"/>
            <w:tcBorders>
              <w:tl2br w:val="nil"/>
              <w:tr2bl w:val="nil"/>
            </w:tcBorders>
            <w:shd w:val="clear" w:color="auto" w:fill="auto"/>
            <w:vAlign w:val="center"/>
          </w:tcPr>
          <w:p w14:paraId="37CD663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783F8C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750</w:t>
            </w:r>
            <w:r>
              <w:rPr>
                <w:rFonts w:ascii="Times New Roman" w:hAnsi="Times New Roman"/>
                <w:color w:val="auto"/>
                <w:sz w:val="21"/>
                <w:szCs w:val="21"/>
                <w:highlight w:val="none"/>
              </w:rPr>
              <w:t>人</w:t>
            </w:r>
          </w:p>
        </w:tc>
      </w:tr>
      <w:tr w14:paraId="4F8995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40D68F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1A7063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5FFC28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江苏锡山中等专业学校</w:t>
            </w:r>
          </w:p>
        </w:tc>
        <w:tc>
          <w:tcPr>
            <w:tcW w:w="1100" w:type="dxa"/>
            <w:gridSpan w:val="3"/>
            <w:tcBorders>
              <w:tl2br w:val="nil"/>
              <w:tr2bl w:val="nil"/>
            </w:tcBorders>
            <w:shd w:val="clear" w:color="auto" w:fill="auto"/>
            <w:vAlign w:val="center"/>
          </w:tcPr>
          <w:p w14:paraId="3674C0B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7F8A0D5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4710</w:t>
            </w:r>
          </w:p>
        </w:tc>
        <w:tc>
          <w:tcPr>
            <w:tcW w:w="1238" w:type="dxa"/>
            <w:gridSpan w:val="3"/>
            <w:tcBorders>
              <w:tl2br w:val="nil"/>
              <w:tr2bl w:val="nil"/>
            </w:tcBorders>
            <w:shd w:val="clear" w:color="auto" w:fill="auto"/>
            <w:vAlign w:val="center"/>
          </w:tcPr>
          <w:p w14:paraId="6B1CEAD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7E6AFD3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人</w:t>
            </w:r>
          </w:p>
        </w:tc>
      </w:tr>
      <w:tr w14:paraId="411DD4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8FBF6E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96E207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533AD9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梓旺苑</w:t>
            </w:r>
          </w:p>
        </w:tc>
        <w:tc>
          <w:tcPr>
            <w:tcW w:w="1100" w:type="dxa"/>
            <w:gridSpan w:val="3"/>
            <w:tcBorders>
              <w:tl2br w:val="nil"/>
              <w:tr2bl w:val="nil"/>
            </w:tcBorders>
            <w:shd w:val="clear" w:color="auto" w:fill="auto"/>
            <w:vAlign w:val="center"/>
          </w:tcPr>
          <w:p w14:paraId="08DE798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1ADCAD0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4057</w:t>
            </w:r>
          </w:p>
        </w:tc>
        <w:tc>
          <w:tcPr>
            <w:tcW w:w="1238" w:type="dxa"/>
            <w:gridSpan w:val="3"/>
            <w:tcBorders>
              <w:tl2br w:val="nil"/>
              <w:tr2bl w:val="nil"/>
            </w:tcBorders>
            <w:shd w:val="clear" w:color="auto" w:fill="auto"/>
            <w:vAlign w:val="center"/>
          </w:tcPr>
          <w:p w14:paraId="7B1ED9A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BC29BC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17500</w:t>
            </w:r>
            <w:r>
              <w:rPr>
                <w:rFonts w:ascii="Times New Roman" w:hAnsi="Times New Roman"/>
                <w:color w:val="auto"/>
                <w:sz w:val="21"/>
                <w:szCs w:val="21"/>
                <w:highlight w:val="none"/>
              </w:rPr>
              <w:t>人</w:t>
            </w:r>
          </w:p>
        </w:tc>
      </w:tr>
      <w:tr w14:paraId="7143F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D4CA40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2F9F47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E304CB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梓旺康复医院</w:t>
            </w:r>
          </w:p>
        </w:tc>
        <w:tc>
          <w:tcPr>
            <w:tcW w:w="1100" w:type="dxa"/>
            <w:gridSpan w:val="3"/>
            <w:tcBorders>
              <w:tl2br w:val="nil"/>
              <w:tr2bl w:val="nil"/>
            </w:tcBorders>
            <w:shd w:val="clear" w:color="auto" w:fill="auto"/>
            <w:vAlign w:val="center"/>
          </w:tcPr>
          <w:p w14:paraId="26E2B37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2FAC8E5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4310</w:t>
            </w:r>
          </w:p>
        </w:tc>
        <w:tc>
          <w:tcPr>
            <w:tcW w:w="1238" w:type="dxa"/>
            <w:gridSpan w:val="3"/>
            <w:tcBorders>
              <w:tl2br w:val="nil"/>
              <w:tr2bl w:val="nil"/>
            </w:tcBorders>
            <w:shd w:val="clear" w:color="auto" w:fill="auto"/>
            <w:vAlign w:val="center"/>
          </w:tcPr>
          <w:p w14:paraId="66A8711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医院</w:t>
            </w:r>
          </w:p>
        </w:tc>
        <w:tc>
          <w:tcPr>
            <w:tcW w:w="1748" w:type="dxa"/>
            <w:tcBorders>
              <w:tl2br w:val="nil"/>
              <w:tr2bl w:val="nil"/>
            </w:tcBorders>
            <w:shd w:val="clear" w:color="auto" w:fill="auto"/>
            <w:vAlign w:val="center"/>
          </w:tcPr>
          <w:p w14:paraId="694FA63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300</w:t>
            </w:r>
            <w:r>
              <w:rPr>
                <w:rFonts w:ascii="Times New Roman" w:hAnsi="Times New Roman"/>
                <w:color w:val="auto"/>
                <w:sz w:val="21"/>
                <w:szCs w:val="21"/>
                <w:highlight w:val="none"/>
              </w:rPr>
              <w:t>人</w:t>
            </w:r>
          </w:p>
        </w:tc>
      </w:tr>
      <w:tr w14:paraId="1F31D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385AAD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B893D8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009A89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梓旺新村</w:t>
            </w:r>
          </w:p>
        </w:tc>
        <w:tc>
          <w:tcPr>
            <w:tcW w:w="1100" w:type="dxa"/>
            <w:gridSpan w:val="3"/>
            <w:tcBorders>
              <w:tl2br w:val="nil"/>
              <w:tr2bl w:val="nil"/>
            </w:tcBorders>
            <w:shd w:val="clear" w:color="auto" w:fill="auto"/>
            <w:vAlign w:val="center"/>
          </w:tcPr>
          <w:p w14:paraId="07B3E3D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58715CF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4403</w:t>
            </w:r>
          </w:p>
        </w:tc>
        <w:tc>
          <w:tcPr>
            <w:tcW w:w="1238" w:type="dxa"/>
            <w:gridSpan w:val="3"/>
            <w:tcBorders>
              <w:tl2br w:val="nil"/>
              <w:tr2bl w:val="nil"/>
            </w:tcBorders>
            <w:shd w:val="clear" w:color="auto" w:fill="auto"/>
            <w:vAlign w:val="center"/>
          </w:tcPr>
          <w:p w14:paraId="495B2BF5">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7BB2C3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7500</w:t>
            </w:r>
            <w:r>
              <w:rPr>
                <w:rFonts w:ascii="Times New Roman" w:hAnsi="Times New Roman"/>
                <w:color w:val="auto"/>
                <w:sz w:val="21"/>
                <w:szCs w:val="21"/>
                <w:highlight w:val="none"/>
              </w:rPr>
              <w:t>人</w:t>
            </w:r>
          </w:p>
        </w:tc>
      </w:tr>
      <w:tr w14:paraId="436697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D48415F">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24618F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80D65A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梓旺村</w:t>
            </w:r>
          </w:p>
        </w:tc>
        <w:tc>
          <w:tcPr>
            <w:tcW w:w="1100" w:type="dxa"/>
            <w:gridSpan w:val="3"/>
            <w:tcBorders>
              <w:tl2br w:val="nil"/>
              <w:tr2bl w:val="nil"/>
            </w:tcBorders>
            <w:shd w:val="clear" w:color="auto" w:fill="auto"/>
            <w:vAlign w:val="center"/>
          </w:tcPr>
          <w:p w14:paraId="47B6992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52BC975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4663</w:t>
            </w:r>
          </w:p>
        </w:tc>
        <w:tc>
          <w:tcPr>
            <w:tcW w:w="1238" w:type="dxa"/>
            <w:gridSpan w:val="3"/>
            <w:tcBorders>
              <w:tl2br w:val="nil"/>
              <w:tr2bl w:val="nil"/>
            </w:tcBorders>
            <w:shd w:val="clear" w:color="auto" w:fill="auto"/>
            <w:vAlign w:val="center"/>
          </w:tcPr>
          <w:p w14:paraId="129C63AC">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2C952B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35C90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8F4EA0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DCE3FE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76F43A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东北塘中学</w:t>
            </w:r>
          </w:p>
        </w:tc>
        <w:tc>
          <w:tcPr>
            <w:tcW w:w="1100" w:type="dxa"/>
            <w:gridSpan w:val="3"/>
            <w:tcBorders>
              <w:tl2br w:val="nil"/>
              <w:tr2bl w:val="nil"/>
            </w:tcBorders>
            <w:shd w:val="clear" w:color="auto" w:fill="auto"/>
            <w:vAlign w:val="center"/>
          </w:tcPr>
          <w:p w14:paraId="5C39564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5F3F5E7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4066</w:t>
            </w:r>
          </w:p>
        </w:tc>
        <w:tc>
          <w:tcPr>
            <w:tcW w:w="1238" w:type="dxa"/>
            <w:gridSpan w:val="3"/>
            <w:tcBorders>
              <w:tl2br w:val="nil"/>
              <w:tr2bl w:val="nil"/>
            </w:tcBorders>
            <w:shd w:val="clear" w:color="auto" w:fill="auto"/>
            <w:vAlign w:val="center"/>
          </w:tcPr>
          <w:p w14:paraId="05E1EBA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343A30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1200</w:t>
            </w:r>
            <w:r>
              <w:rPr>
                <w:rFonts w:ascii="Times New Roman" w:hAnsi="Times New Roman"/>
                <w:color w:val="auto"/>
                <w:sz w:val="21"/>
                <w:szCs w:val="21"/>
                <w:highlight w:val="none"/>
              </w:rPr>
              <w:t>人</w:t>
            </w:r>
          </w:p>
        </w:tc>
      </w:tr>
      <w:tr w14:paraId="2E17C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FAACC9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9390B3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9E2914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蓉阳苑</w:t>
            </w:r>
          </w:p>
        </w:tc>
        <w:tc>
          <w:tcPr>
            <w:tcW w:w="1100" w:type="dxa"/>
            <w:gridSpan w:val="3"/>
            <w:tcBorders>
              <w:tl2br w:val="nil"/>
              <w:tr2bl w:val="nil"/>
            </w:tcBorders>
            <w:shd w:val="clear" w:color="auto" w:fill="auto"/>
            <w:vAlign w:val="center"/>
          </w:tcPr>
          <w:p w14:paraId="64AAA3D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SW</w:t>
            </w:r>
          </w:p>
        </w:tc>
        <w:tc>
          <w:tcPr>
            <w:tcW w:w="1278" w:type="dxa"/>
            <w:gridSpan w:val="3"/>
            <w:tcBorders>
              <w:tl2br w:val="nil"/>
              <w:tr2bl w:val="nil"/>
            </w:tcBorders>
            <w:shd w:val="clear" w:color="auto" w:fill="auto"/>
            <w:vAlign w:val="center"/>
          </w:tcPr>
          <w:p w14:paraId="4035381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4335</w:t>
            </w:r>
          </w:p>
        </w:tc>
        <w:tc>
          <w:tcPr>
            <w:tcW w:w="1238" w:type="dxa"/>
            <w:gridSpan w:val="3"/>
            <w:tcBorders>
              <w:tl2br w:val="nil"/>
              <w:tr2bl w:val="nil"/>
            </w:tcBorders>
            <w:shd w:val="clear" w:color="auto" w:fill="auto"/>
            <w:vAlign w:val="center"/>
          </w:tcPr>
          <w:p w14:paraId="39568F6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6314B9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4200</w:t>
            </w:r>
            <w:r>
              <w:rPr>
                <w:rFonts w:ascii="Times New Roman" w:hAnsi="Times New Roman"/>
                <w:color w:val="auto"/>
                <w:sz w:val="21"/>
                <w:szCs w:val="21"/>
                <w:highlight w:val="none"/>
              </w:rPr>
              <w:t>人</w:t>
            </w:r>
          </w:p>
        </w:tc>
      </w:tr>
      <w:tr w14:paraId="3E0E2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AD20E5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DA9DE2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3E777F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葛巷上</w:t>
            </w:r>
          </w:p>
        </w:tc>
        <w:tc>
          <w:tcPr>
            <w:tcW w:w="1100" w:type="dxa"/>
            <w:gridSpan w:val="3"/>
            <w:tcBorders>
              <w:tl2br w:val="nil"/>
              <w:tr2bl w:val="nil"/>
            </w:tcBorders>
            <w:shd w:val="clear" w:color="auto" w:fill="auto"/>
            <w:vAlign w:val="center"/>
          </w:tcPr>
          <w:p w14:paraId="28E4B6D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14D1DC1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1044</w:t>
            </w:r>
          </w:p>
        </w:tc>
        <w:tc>
          <w:tcPr>
            <w:tcW w:w="1238" w:type="dxa"/>
            <w:gridSpan w:val="3"/>
            <w:tcBorders>
              <w:tl2br w:val="nil"/>
              <w:tr2bl w:val="nil"/>
            </w:tcBorders>
            <w:shd w:val="clear" w:color="auto" w:fill="auto"/>
            <w:vAlign w:val="center"/>
          </w:tcPr>
          <w:p w14:paraId="29EA508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393E3D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210A5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A59002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481C7E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8AC083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黄家</w:t>
            </w:r>
          </w:p>
        </w:tc>
        <w:tc>
          <w:tcPr>
            <w:tcW w:w="1100" w:type="dxa"/>
            <w:gridSpan w:val="3"/>
            <w:tcBorders>
              <w:tl2br w:val="nil"/>
              <w:tr2bl w:val="nil"/>
            </w:tcBorders>
            <w:shd w:val="clear" w:color="auto" w:fill="auto"/>
            <w:vAlign w:val="center"/>
          </w:tcPr>
          <w:p w14:paraId="48975A4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651883B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1269</w:t>
            </w:r>
          </w:p>
        </w:tc>
        <w:tc>
          <w:tcPr>
            <w:tcW w:w="1238" w:type="dxa"/>
            <w:gridSpan w:val="3"/>
            <w:tcBorders>
              <w:tl2br w:val="nil"/>
              <w:tr2bl w:val="nil"/>
            </w:tcBorders>
            <w:shd w:val="clear" w:color="auto" w:fill="auto"/>
            <w:vAlign w:val="center"/>
          </w:tcPr>
          <w:p w14:paraId="35C5A65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A284E8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10DE3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C9AF06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10408D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CCF501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唐巷上</w:t>
            </w:r>
          </w:p>
        </w:tc>
        <w:tc>
          <w:tcPr>
            <w:tcW w:w="1100" w:type="dxa"/>
            <w:gridSpan w:val="3"/>
            <w:tcBorders>
              <w:tl2br w:val="nil"/>
              <w:tr2bl w:val="nil"/>
            </w:tcBorders>
            <w:shd w:val="clear" w:color="auto" w:fill="auto"/>
            <w:vAlign w:val="center"/>
          </w:tcPr>
          <w:p w14:paraId="6DF5442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17E2F63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1571</w:t>
            </w:r>
          </w:p>
        </w:tc>
        <w:tc>
          <w:tcPr>
            <w:tcW w:w="1238" w:type="dxa"/>
            <w:gridSpan w:val="3"/>
            <w:tcBorders>
              <w:tl2br w:val="nil"/>
              <w:tr2bl w:val="nil"/>
            </w:tcBorders>
            <w:shd w:val="clear" w:color="auto" w:fill="auto"/>
            <w:vAlign w:val="center"/>
          </w:tcPr>
          <w:p w14:paraId="1E475609">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D93247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35</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0B5901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8002CC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5465B4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675059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庄上</w:t>
            </w:r>
          </w:p>
        </w:tc>
        <w:tc>
          <w:tcPr>
            <w:tcW w:w="1100" w:type="dxa"/>
            <w:gridSpan w:val="3"/>
            <w:tcBorders>
              <w:tl2br w:val="nil"/>
              <w:tr2bl w:val="nil"/>
            </w:tcBorders>
            <w:shd w:val="clear" w:color="auto" w:fill="auto"/>
            <w:vAlign w:val="center"/>
          </w:tcPr>
          <w:p w14:paraId="0AF35CC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00487D9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1874</w:t>
            </w:r>
          </w:p>
        </w:tc>
        <w:tc>
          <w:tcPr>
            <w:tcW w:w="1238" w:type="dxa"/>
            <w:gridSpan w:val="3"/>
            <w:tcBorders>
              <w:tl2br w:val="nil"/>
              <w:tr2bl w:val="nil"/>
            </w:tcBorders>
            <w:shd w:val="clear" w:color="auto" w:fill="auto"/>
            <w:vAlign w:val="center"/>
          </w:tcPr>
          <w:p w14:paraId="5AEDD34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EC567C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22FB5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968E65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FA6E964">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49FFA4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群合村</w:t>
            </w:r>
          </w:p>
        </w:tc>
        <w:tc>
          <w:tcPr>
            <w:tcW w:w="1100" w:type="dxa"/>
            <w:gridSpan w:val="3"/>
            <w:tcBorders>
              <w:tl2br w:val="nil"/>
              <w:tr2bl w:val="nil"/>
            </w:tcBorders>
            <w:shd w:val="clear" w:color="auto" w:fill="auto"/>
            <w:vAlign w:val="center"/>
          </w:tcPr>
          <w:p w14:paraId="2857F5D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E1577F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2055</w:t>
            </w:r>
          </w:p>
        </w:tc>
        <w:tc>
          <w:tcPr>
            <w:tcW w:w="1238" w:type="dxa"/>
            <w:gridSpan w:val="3"/>
            <w:tcBorders>
              <w:tl2br w:val="nil"/>
              <w:tr2bl w:val="nil"/>
            </w:tcBorders>
            <w:shd w:val="clear" w:color="auto" w:fill="auto"/>
            <w:vAlign w:val="center"/>
          </w:tcPr>
          <w:p w14:paraId="6DE7FAB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8CA892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23DAA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368B97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B56018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27C5B6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后方巷</w:t>
            </w:r>
          </w:p>
        </w:tc>
        <w:tc>
          <w:tcPr>
            <w:tcW w:w="1100" w:type="dxa"/>
            <w:gridSpan w:val="3"/>
            <w:tcBorders>
              <w:tl2br w:val="nil"/>
              <w:tr2bl w:val="nil"/>
            </w:tcBorders>
            <w:shd w:val="clear" w:color="auto" w:fill="auto"/>
            <w:vAlign w:val="center"/>
          </w:tcPr>
          <w:p w14:paraId="2C2F397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37BAB1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2138</w:t>
            </w:r>
          </w:p>
        </w:tc>
        <w:tc>
          <w:tcPr>
            <w:tcW w:w="1238" w:type="dxa"/>
            <w:gridSpan w:val="3"/>
            <w:tcBorders>
              <w:tl2br w:val="nil"/>
              <w:tr2bl w:val="nil"/>
            </w:tcBorders>
            <w:shd w:val="clear" w:color="auto" w:fill="auto"/>
            <w:vAlign w:val="center"/>
          </w:tcPr>
          <w:p w14:paraId="7A7A453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18276D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27074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5AE8FC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2837D7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1C460D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南场</w:t>
            </w:r>
          </w:p>
        </w:tc>
        <w:tc>
          <w:tcPr>
            <w:tcW w:w="1100" w:type="dxa"/>
            <w:gridSpan w:val="3"/>
            <w:tcBorders>
              <w:tl2br w:val="nil"/>
              <w:tr2bl w:val="nil"/>
            </w:tcBorders>
            <w:shd w:val="clear" w:color="auto" w:fill="auto"/>
            <w:vAlign w:val="center"/>
          </w:tcPr>
          <w:p w14:paraId="6F7EA58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1C0A2B4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2116</w:t>
            </w:r>
          </w:p>
        </w:tc>
        <w:tc>
          <w:tcPr>
            <w:tcW w:w="1238" w:type="dxa"/>
            <w:gridSpan w:val="3"/>
            <w:tcBorders>
              <w:tl2br w:val="nil"/>
              <w:tr2bl w:val="nil"/>
            </w:tcBorders>
            <w:shd w:val="clear" w:color="auto" w:fill="auto"/>
            <w:vAlign w:val="center"/>
          </w:tcPr>
          <w:p w14:paraId="3240B335">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FB995A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03F713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B744E9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F49258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A5202B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李巷上</w:t>
            </w:r>
          </w:p>
        </w:tc>
        <w:tc>
          <w:tcPr>
            <w:tcW w:w="1100" w:type="dxa"/>
            <w:gridSpan w:val="3"/>
            <w:tcBorders>
              <w:tl2br w:val="nil"/>
              <w:tr2bl w:val="nil"/>
            </w:tcBorders>
            <w:shd w:val="clear" w:color="auto" w:fill="auto"/>
            <w:vAlign w:val="center"/>
          </w:tcPr>
          <w:p w14:paraId="428A1C0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03C7EEE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1941</w:t>
            </w:r>
          </w:p>
        </w:tc>
        <w:tc>
          <w:tcPr>
            <w:tcW w:w="1238" w:type="dxa"/>
            <w:gridSpan w:val="3"/>
            <w:tcBorders>
              <w:tl2br w:val="nil"/>
              <w:tr2bl w:val="nil"/>
            </w:tcBorders>
            <w:shd w:val="clear" w:color="auto" w:fill="auto"/>
            <w:vAlign w:val="center"/>
          </w:tcPr>
          <w:p w14:paraId="0875BD5C">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9DEC1B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0D1363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F03718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C7DFCC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9798C4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何巷上</w:t>
            </w:r>
          </w:p>
        </w:tc>
        <w:tc>
          <w:tcPr>
            <w:tcW w:w="1100" w:type="dxa"/>
            <w:gridSpan w:val="3"/>
            <w:tcBorders>
              <w:tl2br w:val="nil"/>
              <w:tr2bl w:val="nil"/>
            </w:tcBorders>
            <w:shd w:val="clear" w:color="auto" w:fill="auto"/>
            <w:vAlign w:val="center"/>
          </w:tcPr>
          <w:p w14:paraId="1CBE28B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42A892B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2106</w:t>
            </w:r>
          </w:p>
        </w:tc>
        <w:tc>
          <w:tcPr>
            <w:tcW w:w="1238" w:type="dxa"/>
            <w:gridSpan w:val="3"/>
            <w:tcBorders>
              <w:tl2br w:val="nil"/>
              <w:tr2bl w:val="nil"/>
            </w:tcBorders>
            <w:shd w:val="clear" w:color="auto" w:fill="auto"/>
            <w:vAlign w:val="center"/>
          </w:tcPr>
          <w:p w14:paraId="22F3D716">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E87EFA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5862A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1BAE93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506C7F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64612F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石家浜村</w:t>
            </w:r>
          </w:p>
        </w:tc>
        <w:tc>
          <w:tcPr>
            <w:tcW w:w="1100" w:type="dxa"/>
            <w:gridSpan w:val="3"/>
            <w:tcBorders>
              <w:tl2br w:val="nil"/>
              <w:tr2bl w:val="nil"/>
            </w:tcBorders>
            <w:shd w:val="clear" w:color="auto" w:fill="auto"/>
            <w:vAlign w:val="center"/>
          </w:tcPr>
          <w:p w14:paraId="23C4E08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3E3C9AA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2580</w:t>
            </w:r>
          </w:p>
        </w:tc>
        <w:tc>
          <w:tcPr>
            <w:tcW w:w="1238" w:type="dxa"/>
            <w:gridSpan w:val="3"/>
            <w:tcBorders>
              <w:tl2br w:val="nil"/>
              <w:tr2bl w:val="nil"/>
            </w:tcBorders>
            <w:shd w:val="clear" w:color="auto" w:fill="auto"/>
            <w:vAlign w:val="center"/>
          </w:tcPr>
          <w:p w14:paraId="6D5C49C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35B3A4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016DF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F1DFFD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D0F353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8B66B3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底田下</w:t>
            </w:r>
          </w:p>
        </w:tc>
        <w:tc>
          <w:tcPr>
            <w:tcW w:w="1100" w:type="dxa"/>
            <w:gridSpan w:val="3"/>
            <w:tcBorders>
              <w:tl2br w:val="nil"/>
              <w:tr2bl w:val="nil"/>
            </w:tcBorders>
            <w:shd w:val="clear" w:color="auto" w:fill="auto"/>
            <w:vAlign w:val="center"/>
          </w:tcPr>
          <w:p w14:paraId="038AE55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339F557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2828</w:t>
            </w:r>
          </w:p>
        </w:tc>
        <w:tc>
          <w:tcPr>
            <w:tcW w:w="1238" w:type="dxa"/>
            <w:gridSpan w:val="3"/>
            <w:tcBorders>
              <w:tl2br w:val="nil"/>
              <w:tr2bl w:val="nil"/>
            </w:tcBorders>
            <w:shd w:val="clear" w:color="auto" w:fill="auto"/>
            <w:vAlign w:val="center"/>
          </w:tcPr>
          <w:p w14:paraId="3DC72B5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65D332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336395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A10DFD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C540EF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45B08E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劲丰村</w:t>
            </w:r>
          </w:p>
        </w:tc>
        <w:tc>
          <w:tcPr>
            <w:tcW w:w="1100" w:type="dxa"/>
            <w:gridSpan w:val="3"/>
            <w:tcBorders>
              <w:tl2br w:val="nil"/>
              <w:tr2bl w:val="nil"/>
            </w:tcBorders>
            <w:shd w:val="clear" w:color="auto" w:fill="auto"/>
            <w:vAlign w:val="center"/>
          </w:tcPr>
          <w:p w14:paraId="665D9A9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3EE2A2A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2587</w:t>
            </w:r>
          </w:p>
        </w:tc>
        <w:tc>
          <w:tcPr>
            <w:tcW w:w="1238" w:type="dxa"/>
            <w:gridSpan w:val="3"/>
            <w:tcBorders>
              <w:tl2br w:val="nil"/>
              <w:tr2bl w:val="nil"/>
            </w:tcBorders>
            <w:shd w:val="clear" w:color="auto" w:fill="auto"/>
            <w:vAlign w:val="center"/>
          </w:tcPr>
          <w:p w14:paraId="25AC880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21E373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36F8C1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51D31E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635F27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065173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斗南村</w:t>
            </w:r>
          </w:p>
        </w:tc>
        <w:tc>
          <w:tcPr>
            <w:tcW w:w="1100" w:type="dxa"/>
            <w:gridSpan w:val="3"/>
            <w:tcBorders>
              <w:tl2br w:val="nil"/>
              <w:tr2bl w:val="nil"/>
            </w:tcBorders>
            <w:shd w:val="clear" w:color="auto" w:fill="auto"/>
            <w:vAlign w:val="center"/>
          </w:tcPr>
          <w:p w14:paraId="01725F4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6E19881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2504</w:t>
            </w:r>
          </w:p>
        </w:tc>
        <w:tc>
          <w:tcPr>
            <w:tcW w:w="1238" w:type="dxa"/>
            <w:gridSpan w:val="3"/>
            <w:tcBorders>
              <w:tl2br w:val="nil"/>
              <w:tr2bl w:val="nil"/>
            </w:tcBorders>
            <w:shd w:val="clear" w:color="auto" w:fill="auto"/>
            <w:vAlign w:val="center"/>
          </w:tcPr>
          <w:p w14:paraId="4DE51A35">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C482D8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60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w:t>
            </w:r>
            <w:r>
              <w:rPr>
                <w:rFonts w:ascii="Times New Roman" w:hAnsi="Times New Roman"/>
                <w:color w:val="auto"/>
                <w:sz w:val="21"/>
                <w:szCs w:val="21"/>
                <w:highlight w:val="none"/>
              </w:rPr>
              <w:t>人</w:t>
            </w:r>
          </w:p>
        </w:tc>
      </w:tr>
      <w:tr w14:paraId="7EF29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5043F4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907C5E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CAEB62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大房巷</w:t>
            </w:r>
          </w:p>
        </w:tc>
        <w:tc>
          <w:tcPr>
            <w:tcW w:w="1100" w:type="dxa"/>
            <w:gridSpan w:val="3"/>
            <w:tcBorders>
              <w:tl2br w:val="nil"/>
              <w:tr2bl w:val="nil"/>
            </w:tcBorders>
            <w:shd w:val="clear" w:color="auto" w:fill="auto"/>
            <w:vAlign w:val="center"/>
          </w:tcPr>
          <w:p w14:paraId="501314D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17A6BA6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2508</w:t>
            </w:r>
          </w:p>
        </w:tc>
        <w:tc>
          <w:tcPr>
            <w:tcW w:w="1238" w:type="dxa"/>
            <w:gridSpan w:val="3"/>
            <w:tcBorders>
              <w:tl2br w:val="nil"/>
              <w:tr2bl w:val="nil"/>
            </w:tcBorders>
            <w:shd w:val="clear" w:color="auto" w:fill="auto"/>
            <w:vAlign w:val="center"/>
          </w:tcPr>
          <w:p w14:paraId="2DE3E209">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6DEC6A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200</w:t>
            </w:r>
            <w:r>
              <w:rPr>
                <w:rFonts w:ascii="Times New Roman" w:hAnsi="Times New Roman"/>
                <w:color w:val="auto"/>
                <w:sz w:val="21"/>
                <w:szCs w:val="21"/>
                <w:highlight w:val="none"/>
              </w:rPr>
              <w:t>人</w:t>
            </w:r>
          </w:p>
        </w:tc>
      </w:tr>
      <w:tr w14:paraId="462C2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CBF546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93D242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7858CF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罗巷</w:t>
            </w:r>
          </w:p>
        </w:tc>
        <w:tc>
          <w:tcPr>
            <w:tcW w:w="1100" w:type="dxa"/>
            <w:gridSpan w:val="3"/>
            <w:tcBorders>
              <w:tl2br w:val="nil"/>
              <w:tr2bl w:val="nil"/>
            </w:tcBorders>
            <w:shd w:val="clear" w:color="auto" w:fill="auto"/>
            <w:vAlign w:val="center"/>
          </w:tcPr>
          <w:p w14:paraId="6ECD5B6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BC1B0E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2961</w:t>
            </w:r>
          </w:p>
        </w:tc>
        <w:tc>
          <w:tcPr>
            <w:tcW w:w="1238" w:type="dxa"/>
            <w:gridSpan w:val="3"/>
            <w:tcBorders>
              <w:tl2br w:val="nil"/>
              <w:tr2bl w:val="nil"/>
            </w:tcBorders>
            <w:shd w:val="clear" w:color="auto" w:fill="auto"/>
            <w:vAlign w:val="center"/>
          </w:tcPr>
          <w:p w14:paraId="37EE815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74F9B2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350</w:t>
            </w:r>
            <w:r>
              <w:rPr>
                <w:rFonts w:ascii="Times New Roman" w:hAnsi="Times New Roman"/>
                <w:color w:val="auto"/>
                <w:sz w:val="21"/>
                <w:szCs w:val="21"/>
                <w:highlight w:val="none"/>
              </w:rPr>
              <w:t>人</w:t>
            </w:r>
          </w:p>
        </w:tc>
      </w:tr>
      <w:tr w14:paraId="7AE7C8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6F88F9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82D31C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5CD65F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四房桥</w:t>
            </w:r>
          </w:p>
        </w:tc>
        <w:tc>
          <w:tcPr>
            <w:tcW w:w="1100" w:type="dxa"/>
            <w:gridSpan w:val="3"/>
            <w:tcBorders>
              <w:tl2br w:val="nil"/>
              <w:tr2bl w:val="nil"/>
            </w:tcBorders>
            <w:shd w:val="clear" w:color="auto" w:fill="auto"/>
            <w:vAlign w:val="center"/>
          </w:tcPr>
          <w:p w14:paraId="169267C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4C9CD0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3012</w:t>
            </w:r>
          </w:p>
        </w:tc>
        <w:tc>
          <w:tcPr>
            <w:tcW w:w="1238" w:type="dxa"/>
            <w:gridSpan w:val="3"/>
            <w:tcBorders>
              <w:tl2br w:val="nil"/>
              <w:tr2bl w:val="nil"/>
            </w:tcBorders>
            <w:shd w:val="clear" w:color="auto" w:fill="auto"/>
            <w:vAlign w:val="center"/>
          </w:tcPr>
          <w:p w14:paraId="55BB53D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03BF98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203528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18C343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0210D3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C753C7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东房桥小学</w:t>
            </w:r>
          </w:p>
        </w:tc>
        <w:tc>
          <w:tcPr>
            <w:tcW w:w="1100" w:type="dxa"/>
            <w:gridSpan w:val="3"/>
            <w:tcBorders>
              <w:tl2br w:val="nil"/>
              <w:tr2bl w:val="nil"/>
            </w:tcBorders>
            <w:shd w:val="clear" w:color="auto" w:fill="auto"/>
            <w:vAlign w:val="center"/>
          </w:tcPr>
          <w:p w14:paraId="3DF6D64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1BC1463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3189</w:t>
            </w:r>
          </w:p>
        </w:tc>
        <w:tc>
          <w:tcPr>
            <w:tcW w:w="1238" w:type="dxa"/>
            <w:gridSpan w:val="3"/>
            <w:tcBorders>
              <w:tl2br w:val="nil"/>
              <w:tr2bl w:val="nil"/>
            </w:tcBorders>
            <w:shd w:val="clear" w:color="auto" w:fill="auto"/>
            <w:vAlign w:val="center"/>
          </w:tcPr>
          <w:p w14:paraId="34B41A5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73C43DD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1200</w:t>
            </w:r>
            <w:r>
              <w:rPr>
                <w:rFonts w:ascii="Times New Roman" w:hAnsi="Times New Roman"/>
                <w:color w:val="auto"/>
                <w:sz w:val="21"/>
                <w:szCs w:val="21"/>
                <w:highlight w:val="none"/>
              </w:rPr>
              <w:t>人</w:t>
            </w:r>
          </w:p>
        </w:tc>
      </w:tr>
      <w:tr w14:paraId="5F73B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EA5FE0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4B846C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33254C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东房桥</w:t>
            </w:r>
          </w:p>
        </w:tc>
        <w:tc>
          <w:tcPr>
            <w:tcW w:w="1100" w:type="dxa"/>
            <w:gridSpan w:val="3"/>
            <w:tcBorders>
              <w:tl2br w:val="nil"/>
              <w:tr2bl w:val="nil"/>
            </w:tcBorders>
            <w:shd w:val="clear" w:color="auto" w:fill="auto"/>
            <w:vAlign w:val="center"/>
          </w:tcPr>
          <w:p w14:paraId="71B01AC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03EB47E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3200</w:t>
            </w:r>
          </w:p>
        </w:tc>
        <w:tc>
          <w:tcPr>
            <w:tcW w:w="1238" w:type="dxa"/>
            <w:gridSpan w:val="3"/>
            <w:tcBorders>
              <w:tl2br w:val="nil"/>
              <w:tr2bl w:val="nil"/>
            </w:tcBorders>
            <w:shd w:val="clear" w:color="auto" w:fill="auto"/>
            <w:vAlign w:val="center"/>
          </w:tcPr>
          <w:p w14:paraId="090E59C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ABB470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4B449F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CC94C5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1FA229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5F3C73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斗西村</w:t>
            </w:r>
          </w:p>
        </w:tc>
        <w:tc>
          <w:tcPr>
            <w:tcW w:w="1100" w:type="dxa"/>
            <w:gridSpan w:val="3"/>
            <w:tcBorders>
              <w:tl2br w:val="nil"/>
              <w:tr2bl w:val="nil"/>
            </w:tcBorders>
            <w:shd w:val="clear" w:color="auto" w:fill="auto"/>
            <w:vAlign w:val="center"/>
          </w:tcPr>
          <w:p w14:paraId="4BF96F4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7554E8A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3390</w:t>
            </w:r>
          </w:p>
        </w:tc>
        <w:tc>
          <w:tcPr>
            <w:tcW w:w="1238" w:type="dxa"/>
            <w:gridSpan w:val="3"/>
            <w:tcBorders>
              <w:tl2br w:val="nil"/>
              <w:tr2bl w:val="nil"/>
            </w:tcBorders>
            <w:shd w:val="clear" w:color="auto" w:fill="auto"/>
            <w:vAlign w:val="center"/>
          </w:tcPr>
          <w:p w14:paraId="50A14B9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0F3B8D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70FAB7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BCB783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FC07A2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49A535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火烧场</w:t>
            </w:r>
          </w:p>
        </w:tc>
        <w:tc>
          <w:tcPr>
            <w:tcW w:w="1100" w:type="dxa"/>
            <w:gridSpan w:val="3"/>
            <w:tcBorders>
              <w:tl2br w:val="nil"/>
              <w:tr2bl w:val="nil"/>
            </w:tcBorders>
            <w:shd w:val="clear" w:color="auto" w:fill="auto"/>
            <w:vAlign w:val="center"/>
          </w:tcPr>
          <w:p w14:paraId="1F41633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1A481E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3791</w:t>
            </w:r>
          </w:p>
        </w:tc>
        <w:tc>
          <w:tcPr>
            <w:tcW w:w="1238" w:type="dxa"/>
            <w:gridSpan w:val="3"/>
            <w:tcBorders>
              <w:tl2br w:val="nil"/>
              <w:tr2bl w:val="nil"/>
            </w:tcBorders>
            <w:shd w:val="clear" w:color="auto" w:fill="auto"/>
            <w:vAlign w:val="center"/>
          </w:tcPr>
          <w:p w14:paraId="7752D2D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5E8CCF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3E1F8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9B851F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07B9D2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A79841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西庄</w:t>
            </w:r>
          </w:p>
        </w:tc>
        <w:tc>
          <w:tcPr>
            <w:tcW w:w="1100" w:type="dxa"/>
            <w:gridSpan w:val="3"/>
            <w:tcBorders>
              <w:tl2br w:val="nil"/>
              <w:tr2bl w:val="nil"/>
            </w:tcBorders>
            <w:shd w:val="clear" w:color="auto" w:fill="auto"/>
            <w:vAlign w:val="center"/>
          </w:tcPr>
          <w:p w14:paraId="2ABC009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0CB381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4137</w:t>
            </w:r>
          </w:p>
        </w:tc>
        <w:tc>
          <w:tcPr>
            <w:tcW w:w="1238" w:type="dxa"/>
            <w:gridSpan w:val="3"/>
            <w:tcBorders>
              <w:tl2br w:val="nil"/>
              <w:tr2bl w:val="nil"/>
            </w:tcBorders>
            <w:shd w:val="clear" w:color="auto" w:fill="auto"/>
            <w:vAlign w:val="center"/>
          </w:tcPr>
          <w:p w14:paraId="55314E3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F8ACAC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4B45A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932918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8595C0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C99EC6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沿河村</w:t>
            </w:r>
          </w:p>
        </w:tc>
        <w:tc>
          <w:tcPr>
            <w:tcW w:w="1100" w:type="dxa"/>
            <w:gridSpan w:val="3"/>
            <w:tcBorders>
              <w:tl2br w:val="nil"/>
              <w:tr2bl w:val="nil"/>
            </w:tcBorders>
            <w:shd w:val="clear" w:color="auto" w:fill="auto"/>
            <w:vAlign w:val="center"/>
          </w:tcPr>
          <w:p w14:paraId="20BCA88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25686B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3586</w:t>
            </w:r>
          </w:p>
        </w:tc>
        <w:tc>
          <w:tcPr>
            <w:tcW w:w="1238" w:type="dxa"/>
            <w:gridSpan w:val="3"/>
            <w:tcBorders>
              <w:tl2br w:val="nil"/>
              <w:tr2bl w:val="nil"/>
            </w:tcBorders>
            <w:shd w:val="clear" w:color="auto" w:fill="auto"/>
            <w:vAlign w:val="center"/>
          </w:tcPr>
          <w:p w14:paraId="7FA354A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EEFD9C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5A27CB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6B7663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95E615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944D06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斗山村</w:t>
            </w:r>
          </w:p>
        </w:tc>
        <w:tc>
          <w:tcPr>
            <w:tcW w:w="1100" w:type="dxa"/>
            <w:gridSpan w:val="3"/>
            <w:tcBorders>
              <w:tl2br w:val="nil"/>
              <w:tr2bl w:val="nil"/>
            </w:tcBorders>
            <w:shd w:val="clear" w:color="auto" w:fill="auto"/>
            <w:vAlign w:val="center"/>
          </w:tcPr>
          <w:p w14:paraId="4ED7A44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749F68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3488</w:t>
            </w:r>
          </w:p>
        </w:tc>
        <w:tc>
          <w:tcPr>
            <w:tcW w:w="1238" w:type="dxa"/>
            <w:gridSpan w:val="3"/>
            <w:tcBorders>
              <w:tl2br w:val="nil"/>
              <w:tr2bl w:val="nil"/>
            </w:tcBorders>
            <w:shd w:val="clear" w:color="auto" w:fill="auto"/>
            <w:vAlign w:val="center"/>
          </w:tcPr>
          <w:p w14:paraId="0D6A90A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5058E3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w:t>
            </w:r>
            <w:r>
              <w:rPr>
                <w:rFonts w:ascii="Times New Roman" w:hAnsi="Times New Roman"/>
                <w:color w:val="auto"/>
                <w:sz w:val="21"/>
                <w:szCs w:val="21"/>
                <w:highlight w:val="none"/>
              </w:rPr>
              <w:t>人</w:t>
            </w:r>
          </w:p>
        </w:tc>
      </w:tr>
      <w:tr w14:paraId="7119E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F12DA1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2E0BDA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6836DC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沈巷上</w:t>
            </w:r>
          </w:p>
        </w:tc>
        <w:tc>
          <w:tcPr>
            <w:tcW w:w="1100" w:type="dxa"/>
            <w:gridSpan w:val="3"/>
            <w:tcBorders>
              <w:tl2br w:val="nil"/>
              <w:tr2bl w:val="nil"/>
            </w:tcBorders>
            <w:shd w:val="clear" w:color="auto" w:fill="auto"/>
            <w:vAlign w:val="center"/>
          </w:tcPr>
          <w:p w14:paraId="0E753FD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7E87E83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3652</w:t>
            </w:r>
          </w:p>
        </w:tc>
        <w:tc>
          <w:tcPr>
            <w:tcW w:w="1238" w:type="dxa"/>
            <w:gridSpan w:val="3"/>
            <w:tcBorders>
              <w:tl2br w:val="nil"/>
              <w:tr2bl w:val="nil"/>
            </w:tcBorders>
            <w:shd w:val="clear" w:color="auto" w:fill="auto"/>
            <w:vAlign w:val="center"/>
          </w:tcPr>
          <w:p w14:paraId="599D932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B11694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w:t>
            </w:r>
            <w:r>
              <w:rPr>
                <w:rFonts w:ascii="Times New Roman" w:hAnsi="Times New Roman"/>
                <w:color w:val="auto"/>
                <w:sz w:val="21"/>
                <w:szCs w:val="21"/>
                <w:highlight w:val="none"/>
              </w:rPr>
              <w:t>人</w:t>
            </w:r>
          </w:p>
        </w:tc>
      </w:tr>
      <w:tr w14:paraId="2C873C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26540D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A0F9B2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58E898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锡北革命烈士纪念馆</w:t>
            </w:r>
          </w:p>
        </w:tc>
        <w:tc>
          <w:tcPr>
            <w:tcW w:w="1100" w:type="dxa"/>
            <w:gridSpan w:val="3"/>
            <w:tcBorders>
              <w:tl2br w:val="nil"/>
              <w:tr2bl w:val="nil"/>
            </w:tcBorders>
            <w:shd w:val="clear" w:color="auto" w:fill="auto"/>
            <w:vAlign w:val="center"/>
          </w:tcPr>
          <w:p w14:paraId="3E07BC5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t>
            </w:r>
          </w:p>
        </w:tc>
        <w:tc>
          <w:tcPr>
            <w:tcW w:w="1278" w:type="dxa"/>
            <w:gridSpan w:val="3"/>
            <w:tcBorders>
              <w:tl2br w:val="nil"/>
              <w:tr2bl w:val="nil"/>
            </w:tcBorders>
            <w:shd w:val="clear" w:color="auto" w:fill="auto"/>
            <w:vAlign w:val="center"/>
          </w:tcPr>
          <w:p w14:paraId="7383B50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3835</w:t>
            </w:r>
          </w:p>
        </w:tc>
        <w:tc>
          <w:tcPr>
            <w:tcW w:w="1238" w:type="dxa"/>
            <w:gridSpan w:val="3"/>
            <w:tcBorders>
              <w:tl2br w:val="nil"/>
              <w:tr2bl w:val="nil"/>
            </w:tcBorders>
            <w:shd w:val="clear" w:color="auto" w:fill="auto"/>
            <w:vAlign w:val="center"/>
          </w:tcPr>
          <w:p w14:paraId="4414352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5924FD86">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人</w:t>
            </w:r>
          </w:p>
        </w:tc>
      </w:tr>
      <w:tr w14:paraId="18A1EE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DCDA41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AA8B5E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1F365E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陆家水渠</w:t>
            </w:r>
          </w:p>
        </w:tc>
        <w:tc>
          <w:tcPr>
            <w:tcW w:w="1100" w:type="dxa"/>
            <w:gridSpan w:val="3"/>
            <w:tcBorders>
              <w:tl2br w:val="nil"/>
              <w:tr2bl w:val="nil"/>
            </w:tcBorders>
            <w:shd w:val="clear" w:color="auto" w:fill="auto"/>
            <w:vAlign w:val="center"/>
          </w:tcPr>
          <w:p w14:paraId="1D56B16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6F6888C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3982</w:t>
            </w:r>
          </w:p>
        </w:tc>
        <w:tc>
          <w:tcPr>
            <w:tcW w:w="1238" w:type="dxa"/>
            <w:gridSpan w:val="3"/>
            <w:tcBorders>
              <w:tl2br w:val="nil"/>
              <w:tr2bl w:val="nil"/>
            </w:tcBorders>
            <w:shd w:val="clear" w:color="auto" w:fill="auto"/>
            <w:vAlign w:val="center"/>
          </w:tcPr>
          <w:p w14:paraId="5F03FF4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CB2952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2640E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2FBFA1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EDF2F7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63153B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草塘</w:t>
            </w:r>
          </w:p>
        </w:tc>
        <w:tc>
          <w:tcPr>
            <w:tcW w:w="1100" w:type="dxa"/>
            <w:gridSpan w:val="3"/>
            <w:tcBorders>
              <w:tl2br w:val="nil"/>
              <w:tr2bl w:val="nil"/>
            </w:tcBorders>
            <w:shd w:val="clear" w:color="auto" w:fill="auto"/>
            <w:vAlign w:val="center"/>
          </w:tcPr>
          <w:p w14:paraId="0BD6C85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5ED395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4127</w:t>
            </w:r>
          </w:p>
        </w:tc>
        <w:tc>
          <w:tcPr>
            <w:tcW w:w="1238" w:type="dxa"/>
            <w:gridSpan w:val="3"/>
            <w:tcBorders>
              <w:tl2br w:val="nil"/>
              <w:tr2bl w:val="nil"/>
            </w:tcBorders>
            <w:shd w:val="clear" w:color="auto" w:fill="auto"/>
            <w:vAlign w:val="center"/>
          </w:tcPr>
          <w:p w14:paraId="34DE65C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364CB75">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w:t>
            </w:r>
            <w:r>
              <w:rPr>
                <w:rFonts w:ascii="Times New Roman" w:hAnsi="Times New Roman"/>
                <w:color w:val="auto"/>
                <w:sz w:val="21"/>
                <w:szCs w:val="21"/>
                <w:highlight w:val="none"/>
              </w:rPr>
              <w:t>人</w:t>
            </w:r>
          </w:p>
        </w:tc>
      </w:tr>
      <w:tr w14:paraId="6122D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7ED7EC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18CFA4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BF6200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袁巷</w:t>
            </w:r>
          </w:p>
        </w:tc>
        <w:tc>
          <w:tcPr>
            <w:tcW w:w="1100" w:type="dxa"/>
            <w:gridSpan w:val="3"/>
            <w:tcBorders>
              <w:tl2br w:val="nil"/>
              <w:tr2bl w:val="nil"/>
            </w:tcBorders>
            <w:shd w:val="clear" w:color="auto" w:fill="auto"/>
            <w:vAlign w:val="center"/>
          </w:tcPr>
          <w:p w14:paraId="25453E2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A365BE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3949</w:t>
            </w:r>
          </w:p>
        </w:tc>
        <w:tc>
          <w:tcPr>
            <w:tcW w:w="1238" w:type="dxa"/>
            <w:gridSpan w:val="3"/>
            <w:tcBorders>
              <w:tl2br w:val="nil"/>
              <w:tr2bl w:val="nil"/>
            </w:tcBorders>
            <w:shd w:val="clear" w:color="auto" w:fill="auto"/>
            <w:vAlign w:val="center"/>
          </w:tcPr>
          <w:p w14:paraId="4D9D5BF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3F9571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2679D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BB0C8A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B9A75A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897965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斗山茶文化中心</w:t>
            </w:r>
          </w:p>
        </w:tc>
        <w:tc>
          <w:tcPr>
            <w:tcW w:w="1100" w:type="dxa"/>
            <w:gridSpan w:val="3"/>
            <w:tcBorders>
              <w:tl2br w:val="nil"/>
              <w:tr2bl w:val="nil"/>
            </w:tcBorders>
            <w:shd w:val="clear" w:color="auto" w:fill="auto"/>
            <w:vAlign w:val="center"/>
          </w:tcPr>
          <w:p w14:paraId="17BF198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65F707F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4189</w:t>
            </w:r>
          </w:p>
        </w:tc>
        <w:tc>
          <w:tcPr>
            <w:tcW w:w="1238" w:type="dxa"/>
            <w:gridSpan w:val="3"/>
            <w:tcBorders>
              <w:tl2br w:val="nil"/>
              <w:tr2bl w:val="nil"/>
            </w:tcBorders>
            <w:shd w:val="clear" w:color="auto" w:fill="auto"/>
            <w:vAlign w:val="center"/>
          </w:tcPr>
          <w:p w14:paraId="099B22C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4351580">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/人</w:t>
            </w:r>
          </w:p>
        </w:tc>
      </w:tr>
      <w:tr w14:paraId="172C04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62C0EF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D6B96F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A7BC0B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水渠岸</w:t>
            </w:r>
          </w:p>
        </w:tc>
        <w:tc>
          <w:tcPr>
            <w:tcW w:w="1100" w:type="dxa"/>
            <w:gridSpan w:val="3"/>
            <w:tcBorders>
              <w:tl2br w:val="nil"/>
              <w:tr2bl w:val="nil"/>
            </w:tcBorders>
            <w:shd w:val="clear" w:color="auto" w:fill="auto"/>
            <w:vAlign w:val="center"/>
          </w:tcPr>
          <w:p w14:paraId="3919724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485E582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4261</w:t>
            </w:r>
          </w:p>
        </w:tc>
        <w:tc>
          <w:tcPr>
            <w:tcW w:w="1238" w:type="dxa"/>
            <w:gridSpan w:val="3"/>
            <w:tcBorders>
              <w:tl2br w:val="nil"/>
              <w:tr2bl w:val="nil"/>
            </w:tcBorders>
            <w:shd w:val="clear" w:color="auto" w:fill="auto"/>
            <w:vAlign w:val="center"/>
          </w:tcPr>
          <w:p w14:paraId="74B0F066">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A7243EB">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604B2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4FC983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048831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5CAFD4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辛巷村</w:t>
            </w:r>
          </w:p>
        </w:tc>
        <w:tc>
          <w:tcPr>
            <w:tcW w:w="1100" w:type="dxa"/>
            <w:gridSpan w:val="3"/>
            <w:tcBorders>
              <w:tl2br w:val="nil"/>
              <w:tr2bl w:val="nil"/>
            </w:tcBorders>
            <w:shd w:val="clear" w:color="auto" w:fill="auto"/>
            <w:vAlign w:val="center"/>
          </w:tcPr>
          <w:p w14:paraId="05C76E2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538BB06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4638</w:t>
            </w:r>
          </w:p>
        </w:tc>
        <w:tc>
          <w:tcPr>
            <w:tcW w:w="1238" w:type="dxa"/>
            <w:gridSpan w:val="3"/>
            <w:tcBorders>
              <w:tl2br w:val="nil"/>
              <w:tr2bl w:val="nil"/>
            </w:tcBorders>
            <w:shd w:val="clear" w:color="auto" w:fill="auto"/>
            <w:vAlign w:val="center"/>
          </w:tcPr>
          <w:p w14:paraId="5E93B4C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54EC512">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13E5B4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7D1083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47D50C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98C8B8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潘巷上</w:t>
            </w:r>
          </w:p>
        </w:tc>
        <w:tc>
          <w:tcPr>
            <w:tcW w:w="1100" w:type="dxa"/>
            <w:gridSpan w:val="3"/>
            <w:tcBorders>
              <w:tl2br w:val="nil"/>
              <w:tr2bl w:val="nil"/>
            </w:tcBorders>
            <w:shd w:val="clear" w:color="auto" w:fill="auto"/>
            <w:vAlign w:val="center"/>
          </w:tcPr>
          <w:p w14:paraId="660D950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0712490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4532</w:t>
            </w:r>
          </w:p>
        </w:tc>
        <w:tc>
          <w:tcPr>
            <w:tcW w:w="1238" w:type="dxa"/>
            <w:gridSpan w:val="3"/>
            <w:tcBorders>
              <w:tl2br w:val="nil"/>
              <w:tr2bl w:val="nil"/>
            </w:tcBorders>
            <w:shd w:val="clear" w:color="auto" w:fill="auto"/>
            <w:vAlign w:val="center"/>
          </w:tcPr>
          <w:p w14:paraId="128EE65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547B3A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w:t>
            </w:r>
            <w:r>
              <w:rPr>
                <w:rFonts w:ascii="Times New Roman" w:hAnsi="Times New Roman"/>
                <w:color w:val="auto"/>
                <w:sz w:val="21"/>
                <w:szCs w:val="21"/>
                <w:highlight w:val="none"/>
              </w:rPr>
              <w:t>人</w:t>
            </w:r>
          </w:p>
        </w:tc>
      </w:tr>
      <w:tr w14:paraId="073A0C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337A7A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963820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194E6A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陆北庄</w:t>
            </w:r>
          </w:p>
        </w:tc>
        <w:tc>
          <w:tcPr>
            <w:tcW w:w="1100" w:type="dxa"/>
            <w:gridSpan w:val="3"/>
            <w:tcBorders>
              <w:tl2br w:val="nil"/>
              <w:tr2bl w:val="nil"/>
            </w:tcBorders>
            <w:shd w:val="clear" w:color="auto" w:fill="auto"/>
            <w:vAlign w:val="center"/>
          </w:tcPr>
          <w:p w14:paraId="2B8BC4E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7A423A6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4629</w:t>
            </w:r>
          </w:p>
        </w:tc>
        <w:tc>
          <w:tcPr>
            <w:tcW w:w="1238" w:type="dxa"/>
            <w:gridSpan w:val="3"/>
            <w:tcBorders>
              <w:tl2br w:val="nil"/>
              <w:tr2bl w:val="nil"/>
            </w:tcBorders>
            <w:shd w:val="clear" w:color="auto" w:fill="auto"/>
            <w:vAlign w:val="center"/>
          </w:tcPr>
          <w:p w14:paraId="07EDDAB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1460477">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362901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66AFD4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05CCBA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AE744A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西下脚</w:t>
            </w:r>
          </w:p>
        </w:tc>
        <w:tc>
          <w:tcPr>
            <w:tcW w:w="1100" w:type="dxa"/>
            <w:gridSpan w:val="3"/>
            <w:tcBorders>
              <w:tl2br w:val="nil"/>
              <w:tr2bl w:val="nil"/>
            </w:tcBorders>
            <w:shd w:val="clear" w:color="auto" w:fill="auto"/>
            <w:vAlign w:val="center"/>
          </w:tcPr>
          <w:p w14:paraId="6396B49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NW</w:t>
            </w:r>
          </w:p>
        </w:tc>
        <w:tc>
          <w:tcPr>
            <w:tcW w:w="1278" w:type="dxa"/>
            <w:gridSpan w:val="3"/>
            <w:tcBorders>
              <w:tl2br w:val="nil"/>
              <w:tr2bl w:val="nil"/>
            </w:tcBorders>
            <w:shd w:val="clear" w:color="auto" w:fill="auto"/>
            <w:vAlign w:val="center"/>
          </w:tcPr>
          <w:p w14:paraId="29EFF04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4617</w:t>
            </w:r>
          </w:p>
        </w:tc>
        <w:tc>
          <w:tcPr>
            <w:tcW w:w="1238" w:type="dxa"/>
            <w:gridSpan w:val="3"/>
            <w:tcBorders>
              <w:tl2br w:val="nil"/>
              <w:tr2bl w:val="nil"/>
            </w:tcBorders>
            <w:shd w:val="clear" w:color="auto" w:fill="auto"/>
            <w:vAlign w:val="center"/>
          </w:tcPr>
          <w:p w14:paraId="1D8F281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8CAB1C9">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054EAB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269520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A3CD1B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5D8869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吴许巷</w:t>
            </w:r>
          </w:p>
        </w:tc>
        <w:tc>
          <w:tcPr>
            <w:tcW w:w="1100" w:type="dxa"/>
            <w:gridSpan w:val="3"/>
            <w:tcBorders>
              <w:tl2br w:val="nil"/>
              <w:tr2bl w:val="nil"/>
            </w:tcBorders>
            <w:shd w:val="clear" w:color="auto" w:fill="auto"/>
            <w:vAlign w:val="center"/>
          </w:tcPr>
          <w:p w14:paraId="093ABF4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346AEDC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623</w:t>
            </w:r>
          </w:p>
        </w:tc>
        <w:tc>
          <w:tcPr>
            <w:tcW w:w="1238" w:type="dxa"/>
            <w:gridSpan w:val="3"/>
            <w:tcBorders>
              <w:tl2br w:val="nil"/>
              <w:tr2bl w:val="nil"/>
            </w:tcBorders>
            <w:shd w:val="clear" w:color="auto" w:fill="auto"/>
            <w:vAlign w:val="center"/>
          </w:tcPr>
          <w:p w14:paraId="6A0C3B5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3797B7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15</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52</w:t>
            </w:r>
            <w:r>
              <w:rPr>
                <w:rFonts w:ascii="Times New Roman" w:hAnsi="Times New Roman"/>
                <w:color w:val="auto"/>
                <w:sz w:val="21"/>
                <w:szCs w:val="21"/>
                <w:highlight w:val="none"/>
              </w:rPr>
              <w:t>人</w:t>
            </w:r>
          </w:p>
        </w:tc>
      </w:tr>
      <w:tr w14:paraId="2A496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B8A88B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62490B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C9072D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马巷上</w:t>
            </w:r>
          </w:p>
        </w:tc>
        <w:tc>
          <w:tcPr>
            <w:tcW w:w="1100" w:type="dxa"/>
            <w:gridSpan w:val="3"/>
            <w:tcBorders>
              <w:tl2br w:val="nil"/>
              <w:tr2bl w:val="nil"/>
            </w:tcBorders>
            <w:shd w:val="clear" w:color="auto" w:fill="auto"/>
            <w:vAlign w:val="center"/>
          </w:tcPr>
          <w:p w14:paraId="767EE7B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7502F88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1069</w:t>
            </w:r>
          </w:p>
        </w:tc>
        <w:tc>
          <w:tcPr>
            <w:tcW w:w="1238" w:type="dxa"/>
            <w:gridSpan w:val="3"/>
            <w:tcBorders>
              <w:tl2br w:val="nil"/>
              <w:tr2bl w:val="nil"/>
            </w:tcBorders>
            <w:shd w:val="clear" w:color="auto" w:fill="auto"/>
            <w:vAlign w:val="center"/>
          </w:tcPr>
          <w:p w14:paraId="000AE628">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5D3EF9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29B309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448154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7C144D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3C5C7A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大坝吴巷</w:t>
            </w:r>
          </w:p>
        </w:tc>
        <w:tc>
          <w:tcPr>
            <w:tcW w:w="1100" w:type="dxa"/>
            <w:gridSpan w:val="3"/>
            <w:tcBorders>
              <w:tl2br w:val="nil"/>
              <w:tr2bl w:val="nil"/>
            </w:tcBorders>
            <w:shd w:val="clear" w:color="auto" w:fill="auto"/>
            <w:vAlign w:val="center"/>
          </w:tcPr>
          <w:p w14:paraId="15E8DED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7DFE696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820</w:t>
            </w:r>
          </w:p>
        </w:tc>
        <w:tc>
          <w:tcPr>
            <w:tcW w:w="1238" w:type="dxa"/>
            <w:gridSpan w:val="3"/>
            <w:tcBorders>
              <w:tl2br w:val="nil"/>
              <w:tr2bl w:val="nil"/>
            </w:tcBorders>
            <w:shd w:val="clear" w:color="auto" w:fill="auto"/>
            <w:vAlign w:val="center"/>
          </w:tcPr>
          <w:p w14:paraId="3F059E0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532B16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77E1F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129530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8ACAA1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984801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杜村</w:t>
            </w:r>
          </w:p>
        </w:tc>
        <w:tc>
          <w:tcPr>
            <w:tcW w:w="1100" w:type="dxa"/>
            <w:gridSpan w:val="3"/>
            <w:tcBorders>
              <w:tl2br w:val="nil"/>
              <w:tr2bl w:val="nil"/>
            </w:tcBorders>
            <w:shd w:val="clear" w:color="auto" w:fill="auto"/>
            <w:vAlign w:val="center"/>
          </w:tcPr>
          <w:p w14:paraId="571B14D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046C10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1644</w:t>
            </w:r>
          </w:p>
        </w:tc>
        <w:tc>
          <w:tcPr>
            <w:tcW w:w="1238" w:type="dxa"/>
            <w:gridSpan w:val="3"/>
            <w:tcBorders>
              <w:tl2br w:val="nil"/>
              <w:tr2bl w:val="nil"/>
            </w:tcBorders>
            <w:shd w:val="clear" w:color="auto" w:fill="auto"/>
            <w:vAlign w:val="center"/>
          </w:tcPr>
          <w:p w14:paraId="1AE760D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30EB51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80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200</w:t>
            </w:r>
            <w:r>
              <w:rPr>
                <w:rFonts w:ascii="Times New Roman" w:hAnsi="Times New Roman"/>
                <w:color w:val="auto"/>
                <w:sz w:val="21"/>
                <w:szCs w:val="21"/>
                <w:highlight w:val="none"/>
              </w:rPr>
              <w:t>人</w:t>
            </w:r>
          </w:p>
        </w:tc>
      </w:tr>
      <w:tr w14:paraId="1195F4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AAAC9A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E0DA44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CC987F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万塘河</w:t>
            </w:r>
          </w:p>
        </w:tc>
        <w:tc>
          <w:tcPr>
            <w:tcW w:w="1100" w:type="dxa"/>
            <w:gridSpan w:val="3"/>
            <w:tcBorders>
              <w:tl2br w:val="nil"/>
              <w:tr2bl w:val="nil"/>
            </w:tcBorders>
            <w:shd w:val="clear" w:color="auto" w:fill="auto"/>
            <w:vAlign w:val="center"/>
          </w:tcPr>
          <w:p w14:paraId="360C9A9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5B315D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1808</w:t>
            </w:r>
          </w:p>
        </w:tc>
        <w:tc>
          <w:tcPr>
            <w:tcW w:w="1238" w:type="dxa"/>
            <w:gridSpan w:val="3"/>
            <w:tcBorders>
              <w:tl2br w:val="nil"/>
              <w:tr2bl w:val="nil"/>
            </w:tcBorders>
            <w:shd w:val="clear" w:color="auto" w:fill="auto"/>
            <w:vAlign w:val="center"/>
          </w:tcPr>
          <w:p w14:paraId="4CD95B1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918D681">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3C776D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52246D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359CDE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9176F4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小殷巷</w:t>
            </w:r>
          </w:p>
        </w:tc>
        <w:tc>
          <w:tcPr>
            <w:tcW w:w="1100" w:type="dxa"/>
            <w:gridSpan w:val="3"/>
            <w:tcBorders>
              <w:tl2br w:val="nil"/>
              <w:tr2bl w:val="nil"/>
            </w:tcBorders>
            <w:shd w:val="clear" w:color="auto" w:fill="auto"/>
            <w:vAlign w:val="center"/>
          </w:tcPr>
          <w:p w14:paraId="10DDAC9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0FDFF72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2153</w:t>
            </w:r>
          </w:p>
        </w:tc>
        <w:tc>
          <w:tcPr>
            <w:tcW w:w="1238" w:type="dxa"/>
            <w:gridSpan w:val="3"/>
            <w:tcBorders>
              <w:tl2br w:val="nil"/>
              <w:tr2bl w:val="nil"/>
            </w:tcBorders>
            <w:shd w:val="clear" w:color="auto" w:fill="auto"/>
            <w:vAlign w:val="center"/>
          </w:tcPr>
          <w:p w14:paraId="752DDB8C">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B1F8A3C">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22FF4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95B80E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684709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29C662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杨巷</w:t>
            </w:r>
          </w:p>
        </w:tc>
        <w:tc>
          <w:tcPr>
            <w:tcW w:w="1100" w:type="dxa"/>
            <w:gridSpan w:val="3"/>
            <w:tcBorders>
              <w:tl2br w:val="nil"/>
              <w:tr2bl w:val="nil"/>
            </w:tcBorders>
            <w:shd w:val="clear" w:color="auto" w:fill="auto"/>
            <w:vAlign w:val="center"/>
          </w:tcPr>
          <w:p w14:paraId="23A7540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3D00D7B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2248</w:t>
            </w:r>
          </w:p>
        </w:tc>
        <w:tc>
          <w:tcPr>
            <w:tcW w:w="1238" w:type="dxa"/>
            <w:gridSpan w:val="3"/>
            <w:tcBorders>
              <w:tl2br w:val="nil"/>
              <w:tr2bl w:val="nil"/>
            </w:tcBorders>
            <w:shd w:val="clear" w:color="auto" w:fill="auto"/>
            <w:vAlign w:val="center"/>
          </w:tcPr>
          <w:p w14:paraId="71A1524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3C72F7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221CB6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53D5C7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DD56F7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F0D3BC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丰田苑</w:t>
            </w:r>
          </w:p>
        </w:tc>
        <w:tc>
          <w:tcPr>
            <w:tcW w:w="1100" w:type="dxa"/>
            <w:gridSpan w:val="3"/>
            <w:tcBorders>
              <w:tl2br w:val="nil"/>
              <w:tr2bl w:val="nil"/>
            </w:tcBorders>
            <w:shd w:val="clear" w:color="auto" w:fill="auto"/>
            <w:vAlign w:val="center"/>
          </w:tcPr>
          <w:p w14:paraId="72800D5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0C61AD2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2452</w:t>
            </w:r>
          </w:p>
        </w:tc>
        <w:tc>
          <w:tcPr>
            <w:tcW w:w="1238" w:type="dxa"/>
            <w:gridSpan w:val="3"/>
            <w:tcBorders>
              <w:tl2br w:val="nil"/>
              <w:tr2bl w:val="nil"/>
            </w:tcBorders>
            <w:shd w:val="clear" w:color="auto" w:fill="auto"/>
            <w:vAlign w:val="center"/>
          </w:tcPr>
          <w:p w14:paraId="3C38113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1EFC848">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7500</w:t>
            </w:r>
            <w:r>
              <w:rPr>
                <w:rFonts w:ascii="Times New Roman" w:hAnsi="Times New Roman"/>
                <w:color w:val="auto"/>
                <w:sz w:val="21"/>
                <w:szCs w:val="21"/>
                <w:highlight w:val="none"/>
              </w:rPr>
              <w:t>人</w:t>
            </w:r>
          </w:p>
        </w:tc>
      </w:tr>
      <w:tr w14:paraId="7B76F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51BF86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4B7FB1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374537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西店</w:t>
            </w:r>
          </w:p>
        </w:tc>
        <w:tc>
          <w:tcPr>
            <w:tcW w:w="1100" w:type="dxa"/>
            <w:gridSpan w:val="3"/>
            <w:tcBorders>
              <w:tl2br w:val="nil"/>
              <w:tr2bl w:val="nil"/>
            </w:tcBorders>
            <w:shd w:val="clear" w:color="auto" w:fill="auto"/>
            <w:vAlign w:val="center"/>
          </w:tcPr>
          <w:p w14:paraId="54FE305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4A62D45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2766</w:t>
            </w:r>
          </w:p>
        </w:tc>
        <w:tc>
          <w:tcPr>
            <w:tcW w:w="1238" w:type="dxa"/>
            <w:gridSpan w:val="3"/>
            <w:tcBorders>
              <w:tl2br w:val="nil"/>
              <w:tr2bl w:val="nil"/>
            </w:tcBorders>
            <w:shd w:val="clear" w:color="auto" w:fill="auto"/>
            <w:vAlign w:val="center"/>
          </w:tcPr>
          <w:p w14:paraId="4D565B7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59FD4B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D179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07A819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484D794">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EAE285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泾西村1</w:t>
            </w:r>
          </w:p>
        </w:tc>
        <w:tc>
          <w:tcPr>
            <w:tcW w:w="1100" w:type="dxa"/>
            <w:gridSpan w:val="3"/>
            <w:tcBorders>
              <w:tl2br w:val="nil"/>
              <w:tr2bl w:val="nil"/>
            </w:tcBorders>
            <w:shd w:val="clear" w:color="auto" w:fill="auto"/>
            <w:vAlign w:val="center"/>
          </w:tcPr>
          <w:p w14:paraId="464D30C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433C40A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3089</w:t>
            </w:r>
          </w:p>
        </w:tc>
        <w:tc>
          <w:tcPr>
            <w:tcW w:w="1238" w:type="dxa"/>
            <w:gridSpan w:val="3"/>
            <w:tcBorders>
              <w:tl2br w:val="nil"/>
              <w:tr2bl w:val="nil"/>
            </w:tcBorders>
            <w:shd w:val="clear" w:color="auto" w:fill="auto"/>
            <w:vAlign w:val="center"/>
          </w:tcPr>
          <w:p w14:paraId="202288C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62AB0B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73BD8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2725B0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A7A890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439B3D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中坝上</w:t>
            </w:r>
          </w:p>
        </w:tc>
        <w:tc>
          <w:tcPr>
            <w:tcW w:w="1100" w:type="dxa"/>
            <w:gridSpan w:val="3"/>
            <w:tcBorders>
              <w:tl2br w:val="nil"/>
              <w:tr2bl w:val="nil"/>
            </w:tcBorders>
            <w:shd w:val="clear" w:color="auto" w:fill="auto"/>
            <w:vAlign w:val="center"/>
          </w:tcPr>
          <w:p w14:paraId="65533F1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4C9DDA25">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3254</w:t>
            </w:r>
          </w:p>
        </w:tc>
        <w:tc>
          <w:tcPr>
            <w:tcW w:w="1238" w:type="dxa"/>
            <w:gridSpan w:val="3"/>
            <w:tcBorders>
              <w:tl2br w:val="nil"/>
              <w:tr2bl w:val="nil"/>
            </w:tcBorders>
            <w:shd w:val="clear" w:color="auto" w:fill="auto"/>
            <w:vAlign w:val="center"/>
          </w:tcPr>
          <w:p w14:paraId="419847C9">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EB50AAE">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6BD6C7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D1948B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2494B4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7486DF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钱二房</w:t>
            </w:r>
          </w:p>
        </w:tc>
        <w:tc>
          <w:tcPr>
            <w:tcW w:w="1100" w:type="dxa"/>
            <w:gridSpan w:val="3"/>
            <w:tcBorders>
              <w:tl2br w:val="nil"/>
              <w:tr2bl w:val="nil"/>
            </w:tcBorders>
            <w:shd w:val="clear" w:color="auto" w:fill="auto"/>
            <w:vAlign w:val="center"/>
          </w:tcPr>
          <w:p w14:paraId="49E1DE6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59DEEE6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3671</w:t>
            </w:r>
          </w:p>
        </w:tc>
        <w:tc>
          <w:tcPr>
            <w:tcW w:w="1238" w:type="dxa"/>
            <w:gridSpan w:val="3"/>
            <w:tcBorders>
              <w:tl2br w:val="nil"/>
              <w:tr2bl w:val="nil"/>
            </w:tcBorders>
            <w:shd w:val="clear" w:color="auto" w:fill="auto"/>
            <w:vAlign w:val="center"/>
          </w:tcPr>
          <w:p w14:paraId="4D49B9D4">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6080FF3">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1F4F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16B062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385183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855CA3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周家阁村</w:t>
            </w:r>
          </w:p>
        </w:tc>
        <w:tc>
          <w:tcPr>
            <w:tcW w:w="1100" w:type="dxa"/>
            <w:gridSpan w:val="3"/>
            <w:tcBorders>
              <w:tl2br w:val="nil"/>
              <w:tr2bl w:val="nil"/>
            </w:tcBorders>
            <w:shd w:val="clear" w:color="auto" w:fill="auto"/>
            <w:vAlign w:val="center"/>
          </w:tcPr>
          <w:p w14:paraId="4053EB5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61E4D77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3821</w:t>
            </w:r>
          </w:p>
        </w:tc>
        <w:tc>
          <w:tcPr>
            <w:tcW w:w="1238" w:type="dxa"/>
            <w:gridSpan w:val="3"/>
            <w:tcBorders>
              <w:tl2br w:val="nil"/>
              <w:tr2bl w:val="nil"/>
            </w:tcBorders>
            <w:shd w:val="clear" w:color="auto" w:fill="auto"/>
            <w:vAlign w:val="center"/>
          </w:tcPr>
          <w:p w14:paraId="29156C89">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3BB528F">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40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140</w:t>
            </w:r>
            <w:r>
              <w:rPr>
                <w:rFonts w:ascii="Times New Roman" w:hAnsi="Times New Roman"/>
                <w:color w:val="auto"/>
                <w:sz w:val="21"/>
                <w:szCs w:val="21"/>
                <w:highlight w:val="none"/>
              </w:rPr>
              <w:t>人</w:t>
            </w:r>
          </w:p>
        </w:tc>
      </w:tr>
      <w:tr w14:paraId="759FCC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730C42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5CC554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126F5C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张泾中心小学</w:t>
            </w:r>
          </w:p>
        </w:tc>
        <w:tc>
          <w:tcPr>
            <w:tcW w:w="1100" w:type="dxa"/>
            <w:gridSpan w:val="3"/>
            <w:tcBorders>
              <w:tl2br w:val="nil"/>
              <w:tr2bl w:val="nil"/>
            </w:tcBorders>
            <w:shd w:val="clear" w:color="auto" w:fill="auto"/>
            <w:vAlign w:val="center"/>
          </w:tcPr>
          <w:p w14:paraId="1C4844E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3547057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3909</w:t>
            </w:r>
          </w:p>
        </w:tc>
        <w:tc>
          <w:tcPr>
            <w:tcW w:w="1238" w:type="dxa"/>
            <w:gridSpan w:val="3"/>
            <w:tcBorders>
              <w:tl2br w:val="nil"/>
              <w:tr2bl w:val="nil"/>
            </w:tcBorders>
            <w:shd w:val="clear" w:color="auto" w:fill="auto"/>
            <w:vAlign w:val="center"/>
          </w:tcPr>
          <w:p w14:paraId="39F63E3A">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05DAAE34">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1600</w:t>
            </w:r>
            <w:r>
              <w:rPr>
                <w:rFonts w:ascii="Times New Roman" w:hAnsi="Times New Roman"/>
                <w:color w:val="auto"/>
                <w:sz w:val="21"/>
                <w:szCs w:val="21"/>
                <w:highlight w:val="none"/>
              </w:rPr>
              <w:t>人</w:t>
            </w:r>
          </w:p>
        </w:tc>
      </w:tr>
      <w:tr w14:paraId="6D9C6C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8EB61C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57F913E">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D1100F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李更巷</w:t>
            </w:r>
          </w:p>
        </w:tc>
        <w:tc>
          <w:tcPr>
            <w:tcW w:w="1100" w:type="dxa"/>
            <w:gridSpan w:val="3"/>
            <w:tcBorders>
              <w:tl2br w:val="nil"/>
              <w:tr2bl w:val="nil"/>
            </w:tcBorders>
            <w:shd w:val="clear" w:color="auto" w:fill="auto"/>
            <w:vAlign w:val="center"/>
          </w:tcPr>
          <w:p w14:paraId="78A828A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E</w:t>
            </w:r>
          </w:p>
        </w:tc>
        <w:tc>
          <w:tcPr>
            <w:tcW w:w="1278" w:type="dxa"/>
            <w:gridSpan w:val="3"/>
            <w:tcBorders>
              <w:tl2br w:val="nil"/>
              <w:tr2bl w:val="nil"/>
            </w:tcBorders>
            <w:shd w:val="clear" w:color="auto" w:fill="auto"/>
            <w:vAlign w:val="center"/>
          </w:tcPr>
          <w:p w14:paraId="112720F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4474</w:t>
            </w:r>
          </w:p>
        </w:tc>
        <w:tc>
          <w:tcPr>
            <w:tcW w:w="1238" w:type="dxa"/>
            <w:gridSpan w:val="3"/>
            <w:tcBorders>
              <w:tl2br w:val="nil"/>
              <w:tr2bl w:val="nil"/>
            </w:tcBorders>
            <w:shd w:val="clear" w:color="auto" w:fill="auto"/>
            <w:vAlign w:val="center"/>
          </w:tcPr>
          <w:p w14:paraId="7FEACA4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D6A0950">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7C30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01E317F">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2B4BD7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58183D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张泾西街</w:t>
            </w:r>
          </w:p>
        </w:tc>
        <w:tc>
          <w:tcPr>
            <w:tcW w:w="1100" w:type="dxa"/>
            <w:gridSpan w:val="3"/>
            <w:tcBorders>
              <w:tl2br w:val="nil"/>
              <w:tr2bl w:val="nil"/>
            </w:tcBorders>
            <w:shd w:val="clear" w:color="auto" w:fill="auto"/>
            <w:vAlign w:val="center"/>
          </w:tcPr>
          <w:p w14:paraId="2C46629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D3A34D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3629</w:t>
            </w:r>
          </w:p>
        </w:tc>
        <w:tc>
          <w:tcPr>
            <w:tcW w:w="1238" w:type="dxa"/>
            <w:gridSpan w:val="3"/>
            <w:tcBorders>
              <w:tl2br w:val="nil"/>
              <w:tr2bl w:val="nil"/>
            </w:tcBorders>
            <w:shd w:val="clear" w:color="auto" w:fill="auto"/>
            <w:vAlign w:val="center"/>
          </w:tcPr>
          <w:p w14:paraId="7C3296F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5EF530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1750</w:t>
            </w:r>
            <w:r>
              <w:rPr>
                <w:rFonts w:ascii="Times New Roman" w:hAnsi="Times New Roman"/>
                <w:color w:val="auto"/>
                <w:sz w:val="21"/>
                <w:szCs w:val="21"/>
                <w:highlight w:val="none"/>
              </w:rPr>
              <w:t>人</w:t>
            </w:r>
          </w:p>
        </w:tc>
      </w:tr>
      <w:tr w14:paraId="26D25C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9F8FE3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278DF0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B6E42D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张泾中学</w:t>
            </w:r>
          </w:p>
        </w:tc>
        <w:tc>
          <w:tcPr>
            <w:tcW w:w="1100" w:type="dxa"/>
            <w:gridSpan w:val="3"/>
            <w:tcBorders>
              <w:tl2br w:val="nil"/>
              <w:tr2bl w:val="nil"/>
            </w:tcBorders>
            <w:shd w:val="clear" w:color="auto" w:fill="auto"/>
            <w:vAlign w:val="center"/>
          </w:tcPr>
          <w:p w14:paraId="190637D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C6A948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3775</w:t>
            </w:r>
          </w:p>
        </w:tc>
        <w:tc>
          <w:tcPr>
            <w:tcW w:w="1238" w:type="dxa"/>
            <w:gridSpan w:val="3"/>
            <w:tcBorders>
              <w:tl2br w:val="nil"/>
              <w:tr2bl w:val="nil"/>
            </w:tcBorders>
            <w:shd w:val="clear" w:color="auto" w:fill="auto"/>
            <w:vAlign w:val="center"/>
          </w:tcPr>
          <w:p w14:paraId="54D748B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7B16AE2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w:t>
            </w:r>
            <w:r>
              <w:rPr>
                <w:rFonts w:ascii="Times New Roman" w:hAnsi="Times New Roman"/>
                <w:color w:val="auto"/>
                <w:sz w:val="21"/>
                <w:szCs w:val="21"/>
                <w:highlight w:val="none"/>
              </w:rPr>
              <w:t>人</w:t>
            </w:r>
          </w:p>
        </w:tc>
      </w:tr>
      <w:tr w14:paraId="62917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5466737">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B0F56C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F1F2ED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后塘桥</w:t>
            </w:r>
          </w:p>
        </w:tc>
        <w:tc>
          <w:tcPr>
            <w:tcW w:w="1100" w:type="dxa"/>
            <w:gridSpan w:val="3"/>
            <w:tcBorders>
              <w:tl2br w:val="nil"/>
              <w:tr2bl w:val="nil"/>
            </w:tcBorders>
            <w:shd w:val="clear" w:color="auto" w:fill="auto"/>
            <w:vAlign w:val="center"/>
          </w:tcPr>
          <w:p w14:paraId="12EFB09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A55D23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4538</w:t>
            </w:r>
          </w:p>
        </w:tc>
        <w:tc>
          <w:tcPr>
            <w:tcW w:w="1238" w:type="dxa"/>
            <w:gridSpan w:val="3"/>
            <w:tcBorders>
              <w:tl2br w:val="nil"/>
              <w:tr2bl w:val="nil"/>
            </w:tcBorders>
            <w:shd w:val="clear" w:color="auto" w:fill="auto"/>
            <w:vAlign w:val="center"/>
          </w:tcPr>
          <w:p w14:paraId="2FC984B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319ABF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C9F7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B15D6E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E9C557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75B513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紫金苑</w:t>
            </w:r>
          </w:p>
        </w:tc>
        <w:tc>
          <w:tcPr>
            <w:tcW w:w="1100" w:type="dxa"/>
            <w:gridSpan w:val="3"/>
            <w:tcBorders>
              <w:tl2br w:val="nil"/>
              <w:tr2bl w:val="nil"/>
            </w:tcBorders>
            <w:shd w:val="clear" w:color="auto" w:fill="auto"/>
            <w:vAlign w:val="center"/>
          </w:tcPr>
          <w:p w14:paraId="06B1F15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0F1DD4C5">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3110</w:t>
            </w:r>
          </w:p>
        </w:tc>
        <w:tc>
          <w:tcPr>
            <w:tcW w:w="1238" w:type="dxa"/>
            <w:gridSpan w:val="3"/>
            <w:tcBorders>
              <w:tl2br w:val="nil"/>
              <w:tr2bl w:val="nil"/>
            </w:tcBorders>
            <w:shd w:val="clear" w:color="auto" w:fill="auto"/>
            <w:vAlign w:val="center"/>
          </w:tcPr>
          <w:p w14:paraId="2B0EF8A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53BE0D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750</w:t>
            </w:r>
            <w:r>
              <w:rPr>
                <w:rFonts w:ascii="Times New Roman" w:hAnsi="Times New Roman"/>
                <w:color w:val="auto"/>
                <w:sz w:val="21"/>
                <w:szCs w:val="21"/>
                <w:highlight w:val="none"/>
              </w:rPr>
              <w:t>人</w:t>
            </w:r>
          </w:p>
        </w:tc>
      </w:tr>
      <w:tr w14:paraId="4B2B4D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2BE1B9F">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23903A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8524EA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正兴幼儿园</w:t>
            </w:r>
          </w:p>
        </w:tc>
        <w:tc>
          <w:tcPr>
            <w:tcW w:w="1100" w:type="dxa"/>
            <w:gridSpan w:val="3"/>
            <w:tcBorders>
              <w:tl2br w:val="nil"/>
              <w:tr2bl w:val="nil"/>
            </w:tcBorders>
            <w:shd w:val="clear" w:color="auto" w:fill="auto"/>
            <w:vAlign w:val="center"/>
          </w:tcPr>
          <w:p w14:paraId="08A61E3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4EAA588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3298</w:t>
            </w:r>
          </w:p>
        </w:tc>
        <w:tc>
          <w:tcPr>
            <w:tcW w:w="1238" w:type="dxa"/>
            <w:gridSpan w:val="3"/>
            <w:tcBorders>
              <w:tl2br w:val="nil"/>
              <w:tr2bl w:val="nil"/>
            </w:tcBorders>
            <w:shd w:val="clear" w:color="auto" w:fill="auto"/>
            <w:vAlign w:val="center"/>
          </w:tcPr>
          <w:p w14:paraId="09B5330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文化</w:t>
            </w:r>
            <w:r>
              <w:rPr>
                <w:rFonts w:ascii="Times New Roman" w:hAnsi="Times New Roman"/>
                <w:color w:val="auto"/>
                <w:sz w:val="21"/>
                <w:szCs w:val="21"/>
                <w:highlight w:val="none"/>
              </w:rPr>
              <w:t>区</w:t>
            </w:r>
          </w:p>
        </w:tc>
        <w:tc>
          <w:tcPr>
            <w:tcW w:w="1748" w:type="dxa"/>
            <w:tcBorders>
              <w:tl2br w:val="nil"/>
              <w:tr2bl w:val="nil"/>
            </w:tcBorders>
            <w:shd w:val="clear" w:color="auto" w:fill="auto"/>
            <w:vAlign w:val="center"/>
          </w:tcPr>
          <w:p w14:paraId="277FB19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450</w:t>
            </w:r>
            <w:r>
              <w:rPr>
                <w:rFonts w:ascii="Times New Roman" w:hAnsi="Times New Roman"/>
                <w:color w:val="auto"/>
                <w:sz w:val="21"/>
                <w:szCs w:val="21"/>
                <w:highlight w:val="none"/>
              </w:rPr>
              <w:t>人</w:t>
            </w:r>
          </w:p>
        </w:tc>
      </w:tr>
      <w:tr w14:paraId="13F9B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DC186A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79179C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E385D4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泉山花苑</w:t>
            </w:r>
          </w:p>
        </w:tc>
        <w:tc>
          <w:tcPr>
            <w:tcW w:w="1100" w:type="dxa"/>
            <w:gridSpan w:val="3"/>
            <w:tcBorders>
              <w:tl2br w:val="nil"/>
              <w:tr2bl w:val="nil"/>
            </w:tcBorders>
            <w:shd w:val="clear" w:color="auto" w:fill="auto"/>
            <w:vAlign w:val="center"/>
          </w:tcPr>
          <w:p w14:paraId="56A7024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750E665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3181</w:t>
            </w:r>
          </w:p>
        </w:tc>
        <w:tc>
          <w:tcPr>
            <w:tcW w:w="1238" w:type="dxa"/>
            <w:gridSpan w:val="3"/>
            <w:tcBorders>
              <w:tl2br w:val="nil"/>
              <w:tr2bl w:val="nil"/>
            </w:tcBorders>
            <w:shd w:val="clear" w:color="auto" w:fill="auto"/>
            <w:vAlign w:val="center"/>
          </w:tcPr>
          <w:p w14:paraId="0197A7B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883DD6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2800</w:t>
            </w:r>
            <w:r>
              <w:rPr>
                <w:rFonts w:ascii="Times New Roman" w:hAnsi="Times New Roman"/>
                <w:color w:val="auto"/>
                <w:sz w:val="21"/>
                <w:szCs w:val="21"/>
                <w:highlight w:val="none"/>
              </w:rPr>
              <w:t>人</w:t>
            </w:r>
          </w:p>
        </w:tc>
      </w:tr>
      <w:tr w14:paraId="3F4C17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A84186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C4F4F8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F92AC0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泾秀苑</w:t>
            </w:r>
          </w:p>
        </w:tc>
        <w:tc>
          <w:tcPr>
            <w:tcW w:w="1100" w:type="dxa"/>
            <w:gridSpan w:val="3"/>
            <w:tcBorders>
              <w:tl2br w:val="nil"/>
              <w:tr2bl w:val="nil"/>
            </w:tcBorders>
            <w:shd w:val="clear" w:color="auto" w:fill="auto"/>
            <w:vAlign w:val="center"/>
          </w:tcPr>
          <w:p w14:paraId="1C41A0E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AF3CBA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3392</w:t>
            </w:r>
          </w:p>
        </w:tc>
        <w:tc>
          <w:tcPr>
            <w:tcW w:w="1238" w:type="dxa"/>
            <w:gridSpan w:val="3"/>
            <w:tcBorders>
              <w:tl2br w:val="nil"/>
              <w:tr2bl w:val="nil"/>
            </w:tcBorders>
            <w:shd w:val="clear" w:color="auto" w:fill="auto"/>
            <w:vAlign w:val="center"/>
          </w:tcPr>
          <w:p w14:paraId="004B2C5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CC6F54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2800</w:t>
            </w:r>
            <w:r>
              <w:rPr>
                <w:rFonts w:ascii="Times New Roman" w:hAnsi="Times New Roman"/>
                <w:color w:val="auto"/>
                <w:sz w:val="21"/>
                <w:szCs w:val="21"/>
                <w:highlight w:val="none"/>
              </w:rPr>
              <w:t>人</w:t>
            </w:r>
          </w:p>
        </w:tc>
      </w:tr>
      <w:tr w14:paraId="0EDE0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7221E2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FDFEEC7">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8BB4BE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锡北镇中心</w:t>
            </w:r>
          </w:p>
        </w:tc>
        <w:tc>
          <w:tcPr>
            <w:tcW w:w="1100" w:type="dxa"/>
            <w:gridSpan w:val="3"/>
            <w:tcBorders>
              <w:tl2br w:val="nil"/>
              <w:tr2bl w:val="nil"/>
            </w:tcBorders>
            <w:shd w:val="clear" w:color="auto" w:fill="auto"/>
            <w:vAlign w:val="center"/>
          </w:tcPr>
          <w:p w14:paraId="1FE13BB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61ED54F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4124</w:t>
            </w:r>
          </w:p>
        </w:tc>
        <w:tc>
          <w:tcPr>
            <w:tcW w:w="1238" w:type="dxa"/>
            <w:gridSpan w:val="3"/>
            <w:tcBorders>
              <w:tl2br w:val="nil"/>
              <w:tr2bl w:val="nil"/>
            </w:tcBorders>
            <w:shd w:val="clear" w:color="auto" w:fill="auto"/>
            <w:vAlign w:val="center"/>
          </w:tcPr>
          <w:p w14:paraId="58489CF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8E19BA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6000</w:t>
            </w:r>
            <w:r>
              <w:rPr>
                <w:rFonts w:ascii="Times New Roman" w:hAnsi="Times New Roman"/>
                <w:color w:val="auto"/>
                <w:sz w:val="21"/>
                <w:szCs w:val="21"/>
                <w:highlight w:val="none"/>
              </w:rPr>
              <w:t>人</w:t>
            </w:r>
          </w:p>
        </w:tc>
      </w:tr>
      <w:tr w14:paraId="0E2EEA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6D7099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8E8FB8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4FEA04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无锡市锡北人民医院</w:t>
            </w:r>
          </w:p>
        </w:tc>
        <w:tc>
          <w:tcPr>
            <w:tcW w:w="1100" w:type="dxa"/>
            <w:gridSpan w:val="3"/>
            <w:tcBorders>
              <w:tl2br w:val="nil"/>
              <w:tr2bl w:val="nil"/>
            </w:tcBorders>
            <w:shd w:val="clear" w:color="auto" w:fill="auto"/>
            <w:vAlign w:val="center"/>
          </w:tcPr>
          <w:p w14:paraId="33E4A54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8AC204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3850</w:t>
            </w:r>
          </w:p>
        </w:tc>
        <w:tc>
          <w:tcPr>
            <w:tcW w:w="1238" w:type="dxa"/>
            <w:gridSpan w:val="3"/>
            <w:tcBorders>
              <w:tl2br w:val="nil"/>
              <w:tr2bl w:val="nil"/>
            </w:tcBorders>
            <w:shd w:val="clear" w:color="auto" w:fill="auto"/>
            <w:vAlign w:val="center"/>
          </w:tcPr>
          <w:p w14:paraId="0B6E004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5825EB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w:t>
            </w:r>
            <w:r>
              <w:rPr>
                <w:rFonts w:ascii="Times New Roman" w:hAnsi="Times New Roman"/>
                <w:color w:val="auto"/>
                <w:sz w:val="21"/>
                <w:szCs w:val="21"/>
                <w:highlight w:val="none"/>
              </w:rPr>
              <w:t>人</w:t>
            </w:r>
          </w:p>
        </w:tc>
      </w:tr>
      <w:tr w14:paraId="74987A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CE0BB5F">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3CB517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014E5D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花苑新村</w:t>
            </w:r>
          </w:p>
        </w:tc>
        <w:tc>
          <w:tcPr>
            <w:tcW w:w="1100" w:type="dxa"/>
            <w:gridSpan w:val="3"/>
            <w:tcBorders>
              <w:tl2br w:val="nil"/>
              <w:tr2bl w:val="nil"/>
            </w:tcBorders>
            <w:shd w:val="clear" w:color="auto" w:fill="auto"/>
            <w:vAlign w:val="center"/>
          </w:tcPr>
          <w:p w14:paraId="3646699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7C4CD6F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4232</w:t>
            </w:r>
          </w:p>
        </w:tc>
        <w:tc>
          <w:tcPr>
            <w:tcW w:w="1238" w:type="dxa"/>
            <w:gridSpan w:val="3"/>
            <w:tcBorders>
              <w:tl2br w:val="nil"/>
              <w:tr2bl w:val="nil"/>
            </w:tcBorders>
            <w:shd w:val="clear" w:color="auto" w:fill="auto"/>
            <w:vAlign w:val="center"/>
          </w:tcPr>
          <w:p w14:paraId="75CCEBD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F16F67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700</w:t>
            </w:r>
            <w:r>
              <w:rPr>
                <w:rFonts w:ascii="Times New Roman" w:hAnsi="Times New Roman"/>
                <w:color w:val="auto"/>
                <w:sz w:val="21"/>
                <w:szCs w:val="21"/>
                <w:highlight w:val="none"/>
              </w:rPr>
              <w:t>人</w:t>
            </w:r>
          </w:p>
        </w:tc>
      </w:tr>
      <w:tr w14:paraId="5E023F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B802CD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454A0C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863C84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锡北镇政府</w:t>
            </w:r>
          </w:p>
        </w:tc>
        <w:tc>
          <w:tcPr>
            <w:tcW w:w="1100" w:type="dxa"/>
            <w:gridSpan w:val="3"/>
            <w:tcBorders>
              <w:tl2br w:val="nil"/>
              <w:tr2bl w:val="nil"/>
            </w:tcBorders>
            <w:shd w:val="clear" w:color="auto" w:fill="auto"/>
            <w:vAlign w:val="center"/>
          </w:tcPr>
          <w:p w14:paraId="6BA9A7D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822E7E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4729</w:t>
            </w:r>
          </w:p>
        </w:tc>
        <w:tc>
          <w:tcPr>
            <w:tcW w:w="1238" w:type="dxa"/>
            <w:gridSpan w:val="3"/>
            <w:tcBorders>
              <w:tl2br w:val="nil"/>
              <w:tr2bl w:val="nil"/>
            </w:tcBorders>
            <w:shd w:val="clear" w:color="auto" w:fill="auto"/>
            <w:vAlign w:val="center"/>
          </w:tcPr>
          <w:p w14:paraId="09B0BAA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12BE8D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w:t>
            </w:r>
            <w:r>
              <w:rPr>
                <w:rFonts w:ascii="Times New Roman" w:hAnsi="Times New Roman"/>
                <w:color w:val="auto"/>
                <w:sz w:val="21"/>
                <w:szCs w:val="21"/>
                <w:highlight w:val="none"/>
              </w:rPr>
              <w:t>人</w:t>
            </w:r>
          </w:p>
        </w:tc>
      </w:tr>
      <w:tr w14:paraId="33D52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F9F527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F0403B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382D63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前细泾</w:t>
            </w:r>
          </w:p>
        </w:tc>
        <w:tc>
          <w:tcPr>
            <w:tcW w:w="1100" w:type="dxa"/>
            <w:gridSpan w:val="3"/>
            <w:tcBorders>
              <w:tl2br w:val="nil"/>
              <w:tr2bl w:val="nil"/>
            </w:tcBorders>
            <w:shd w:val="clear" w:color="auto" w:fill="auto"/>
            <w:vAlign w:val="center"/>
          </w:tcPr>
          <w:p w14:paraId="18067F6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22EC66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4735</w:t>
            </w:r>
          </w:p>
        </w:tc>
        <w:tc>
          <w:tcPr>
            <w:tcW w:w="1238" w:type="dxa"/>
            <w:gridSpan w:val="3"/>
            <w:tcBorders>
              <w:tl2br w:val="nil"/>
              <w:tr2bl w:val="nil"/>
            </w:tcBorders>
            <w:shd w:val="clear" w:color="auto" w:fill="auto"/>
            <w:vAlign w:val="center"/>
          </w:tcPr>
          <w:p w14:paraId="73D99B1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F97750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60</w:t>
            </w:r>
            <w:r>
              <w:rPr>
                <w:rFonts w:ascii="Times New Roman" w:hAnsi="Times New Roman"/>
                <w:color w:val="auto"/>
                <w:sz w:val="21"/>
                <w:szCs w:val="21"/>
                <w:highlight w:val="none"/>
              </w:rPr>
              <w:t>人</w:t>
            </w:r>
          </w:p>
        </w:tc>
      </w:tr>
      <w:tr w14:paraId="6570E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DA9CC4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FDC67F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5A1BA5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丰田里</w:t>
            </w:r>
          </w:p>
        </w:tc>
        <w:tc>
          <w:tcPr>
            <w:tcW w:w="1100" w:type="dxa"/>
            <w:gridSpan w:val="3"/>
            <w:tcBorders>
              <w:tl2br w:val="nil"/>
              <w:tr2bl w:val="nil"/>
            </w:tcBorders>
            <w:shd w:val="clear" w:color="auto" w:fill="auto"/>
            <w:vAlign w:val="center"/>
          </w:tcPr>
          <w:p w14:paraId="59DA085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6BDFB63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2895</w:t>
            </w:r>
          </w:p>
        </w:tc>
        <w:tc>
          <w:tcPr>
            <w:tcW w:w="1238" w:type="dxa"/>
            <w:gridSpan w:val="3"/>
            <w:tcBorders>
              <w:tl2br w:val="nil"/>
              <w:tr2bl w:val="nil"/>
            </w:tcBorders>
            <w:shd w:val="clear" w:color="auto" w:fill="auto"/>
            <w:vAlign w:val="center"/>
          </w:tcPr>
          <w:p w14:paraId="47C92A3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C1B1DD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5A49A4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A0FEEA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193637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74FFE5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泉山文化公园</w:t>
            </w:r>
          </w:p>
        </w:tc>
        <w:tc>
          <w:tcPr>
            <w:tcW w:w="1100" w:type="dxa"/>
            <w:gridSpan w:val="3"/>
            <w:tcBorders>
              <w:tl2br w:val="nil"/>
              <w:tr2bl w:val="nil"/>
            </w:tcBorders>
            <w:shd w:val="clear" w:color="auto" w:fill="auto"/>
            <w:vAlign w:val="center"/>
          </w:tcPr>
          <w:p w14:paraId="541CD41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C1FDEB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3168</w:t>
            </w:r>
          </w:p>
        </w:tc>
        <w:tc>
          <w:tcPr>
            <w:tcW w:w="1238" w:type="dxa"/>
            <w:gridSpan w:val="3"/>
            <w:tcBorders>
              <w:tl2br w:val="nil"/>
              <w:tr2bl w:val="nil"/>
            </w:tcBorders>
            <w:shd w:val="clear" w:color="auto" w:fill="auto"/>
            <w:vAlign w:val="center"/>
          </w:tcPr>
          <w:p w14:paraId="0125F8D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8C990C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/人</w:t>
            </w:r>
          </w:p>
        </w:tc>
      </w:tr>
      <w:tr w14:paraId="725B6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9CB8B1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F2670C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106AC5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泾和苑</w:t>
            </w:r>
          </w:p>
        </w:tc>
        <w:tc>
          <w:tcPr>
            <w:tcW w:w="1100" w:type="dxa"/>
            <w:gridSpan w:val="3"/>
            <w:tcBorders>
              <w:tl2br w:val="nil"/>
              <w:tr2bl w:val="nil"/>
            </w:tcBorders>
            <w:shd w:val="clear" w:color="auto" w:fill="auto"/>
            <w:vAlign w:val="center"/>
          </w:tcPr>
          <w:p w14:paraId="3DAF8BC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4644719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3341</w:t>
            </w:r>
          </w:p>
        </w:tc>
        <w:tc>
          <w:tcPr>
            <w:tcW w:w="1238" w:type="dxa"/>
            <w:gridSpan w:val="3"/>
            <w:tcBorders>
              <w:tl2br w:val="nil"/>
              <w:tr2bl w:val="nil"/>
            </w:tcBorders>
            <w:shd w:val="clear" w:color="auto" w:fill="auto"/>
            <w:vAlign w:val="center"/>
          </w:tcPr>
          <w:p w14:paraId="4D61308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2B1661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15750</w:t>
            </w:r>
            <w:r>
              <w:rPr>
                <w:rFonts w:ascii="Times New Roman" w:hAnsi="Times New Roman"/>
                <w:color w:val="auto"/>
                <w:sz w:val="21"/>
                <w:szCs w:val="21"/>
                <w:highlight w:val="none"/>
              </w:rPr>
              <w:t>人</w:t>
            </w:r>
          </w:p>
        </w:tc>
      </w:tr>
      <w:tr w14:paraId="43B2B9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6B64B9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BB022C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440DA0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泉山荣邸</w:t>
            </w:r>
          </w:p>
        </w:tc>
        <w:tc>
          <w:tcPr>
            <w:tcW w:w="1100" w:type="dxa"/>
            <w:gridSpan w:val="3"/>
            <w:tcBorders>
              <w:tl2br w:val="nil"/>
              <w:tr2bl w:val="nil"/>
            </w:tcBorders>
            <w:shd w:val="clear" w:color="auto" w:fill="auto"/>
            <w:vAlign w:val="center"/>
          </w:tcPr>
          <w:p w14:paraId="19BCAF6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CF9FBF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3527</w:t>
            </w:r>
          </w:p>
        </w:tc>
        <w:tc>
          <w:tcPr>
            <w:tcW w:w="1238" w:type="dxa"/>
            <w:gridSpan w:val="3"/>
            <w:tcBorders>
              <w:tl2br w:val="nil"/>
              <w:tr2bl w:val="nil"/>
            </w:tcBorders>
            <w:shd w:val="clear" w:color="auto" w:fill="auto"/>
            <w:vAlign w:val="center"/>
          </w:tcPr>
          <w:p w14:paraId="6B71E7E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892A42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15750</w:t>
            </w:r>
            <w:r>
              <w:rPr>
                <w:rFonts w:ascii="Times New Roman" w:hAnsi="Times New Roman"/>
                <w:color w:val="auto"/>
                <w:sz w:val="21"/>
                <w:szCs w:val="21"/>
                <w:highlight w:val="none"/>
              </w:rPr>
              <w:t>人</w:t>
            </w:r>
          </w:p>
        </w:tc>
      </w:tr>
      <w:tr w14:paraId="165022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1C0106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44568D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C27104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曹庄村</w:t>
            </w:r>
          </w:p>
        </w:tc>
        <w:tc>
          <w:tcPr>
            <w:tcW w:w="1100" w:type="dxa"/>
            <w:gridSpan w:val="3"/>
            <w:tcBorders>
              <w:tl2br w:val="nil"/>
              <w:tr2bl w:val="nil"/>
            </w:tcBorders>
            <w:shd w:val="clear" w:color="auto" w:fill="auto"/>
            <w:vAlign w:val="center"/>
          </w:tcPr>
          <w:p w14:paraId="763CBFF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00E5A7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3746</w:t>
            </w:r>
          </w:p>
        </w:tc>
        <w:tc>
          <w:tcPr>
            <w:tcW w:w="1238" w:type="dxa"/>
            <w:gridSpan w:val="3"/>
            <w:tcBorders>
              <w:tl2br w:val="nil"/>
              <w:tr2bl w:val="nil"/>
            </w:tcBorders>
            <w:shd w:val="clear" w:color="auto" w:fill="auto"/>
            <w:vAlign w:val="center"/>
          </w:tcPr>
          <w:p w14:paraId="24E4B8F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BF66D1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280</w:t>
            </w:r>
            <w:r>
              <w:rPr>
                <w:rFonts w:ascii="Times New Roman" w:hAnsi="Times New Roman"/>
                <w:color w:val="auto"/>
                <w:sz w:val="21"/>
                <w:szCs w:val="21"/>
                <w:highlight w:val="none"/>
              </w:rPr>
              <w:t>人</w:t>
            </w:r>
          </w:p>
        </w:tc>
      </w:tr>
      <w:tr w14:paraId="25E3E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D5884A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61893A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DFD0CD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鸿威鸿景雅园</w:t>
            </w:r>
          </w:p>
        </w:tc>
        <w:tc>
          <w:tcPr>
            <w:tcW w:w="1100" w:type="dxa"/>
            <w:gridSpan w:val="3"/>
            <w:tcBorders>
              <w:tl2br w:val="nil"/>
              <w:tr2bl w:val="nil"/>
            </w:tcBorders>
            <w:shd w:val="clear" w:color="auto" w:fill="auto"/>
            <w:vAlign w:val="center"/>
          </w:tcPr>
          <w:p w14:paraId="231F6D8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6FD01935">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3569</w:t>
            </w:r>
          </w:p>
        </w:tc>
        <w:tc>
          <w:tcPr>
            <w:tcW w:w="1238" w:type="dxa"/>
            <w:gridSpan w:val="3"/>
            <w:tcBorders>
              <w:tl2br w:val="nil"/>
              <w:tr2bl w:val="nil"/>
            </w:tcBorders>
            <w:shd w:val="clear" w:color="auto" w:fill="auto"/>
            <w:vAlign w:val="center"/>
          </w:tcPr>
          <w:p w14:paraId="3C4B3AB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CEC73E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7000</w:t>
            </w:r>
            <w:r>
              <w:rPr>
                <w:rFonts w:ascii="Times New Roman" w:hAnsi="Times New Roman"/>
                <w:color w:val="auto"/>
                <w:sz w:val="21"/>
                <w:szCs w:val="21"/>
                <w:highlight w:val="none"/>
              </w:rPr>
              <w:t>人</w:t>
            </w:r>
          </w:p>
        </w:tc>
      </w:tr>
      <w:tr w14:paraId="0B628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30F01F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F19346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699A62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花园弄</w:t>
            </w:r>
          </w:p>
        </w:tc>
        <w:tc>
          <w:tcPr>
            <w:tcW w:w="1100" w:type="dxa"/>
            <w:gridSpan w:val="3"/>
            <w:tcBorders>
              <w:tl2br w:val="nil"/>
              <w:tr2bl w:val="nil"/>
            </w:tcBorders>
            <w:shd w:val="clear" w:color="auto" w:fill="auto"/>
            <w:vAlign w:val="center"/>
          </w:tcPr>
          <w:p w14:paraId="73E5ABA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4F14893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3911</w:t>
            </w:r>
          </w:p>
        </w:tc>
        <w:tc>
          <w:tcPr>
            <w:tcW w:w="1238" w:type="dxa"/>
            <w:gridSpan w:val="3"/>
            <w:tcBorders>
              <w:tl2br w:val="nil"/>
              <w:tr2bl w:val="nil"/>
            </w:tcBorders>
            <w:shd w:val="clear" w:color="auto" w:fill="auto"/>
            <w:vAlign w:val="center"/>
          </w:tcPr>
          <w:p w14:paraId="10BB17A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78ED4F0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40CC84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77BF79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425282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996612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丰泰苑</w:t>
            </w:r>
          </w:p>
        </w:tc>
        <w:tc>
          <w:tcPr>
            <w:tcW w:w="1100" w:type="dxa"/>
            <w:gridSpan w:val="3"/>
            <w:tcBorders>
              <w:tl2br w:val="nil"/>
              <w:tr2bl w:val="nil"/>
            </w:tcBorders>
            <w:shd w:val="clear" w:color="auto" w:fill="auto"/>
            <w:vAlign w:val="center"/>
          </w:tcPr>
          <w:p w14:paraId="0248B1B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31DB4E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4018</w:t>
            </w:r>
          </w:p>
        </w:tc>
        <w:tc>
          <w:tcPr>
            <w:tcW w:w="1238" w:type="dxa"/>
            <w:gridSpan w:val="3"/>
            <w:tcBorders>
              <w:tl2br w:val="nil"/>
              <w:tr2bl w:val="nil"/>
            </w:tcBorders>
            <w:shd w:val="clear" w:color="auto" w:fill="auto"/>
            <w:vAlign w:val="center"/>
          </w:tcPr>
          <w:p w14:paraId="29D25C8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A63CA6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7000</w:t>
            </w:r>
            <w:r>
              <w:rPr>
                <w:rFonts w:ascii="Times New Roman" w:hAnsi="Times New Roman"/>
                <w:color w:val="auto"/>
                <w:sz w:val="21"/>
                <w:szCs w:val="21"/>
                <w:highlight w:val="none"/>
              </w:rPr>
              <w:t>人</w:t>
            </w:r>
          </w:p>
        </w:tc>
      </w:tr>
      <w:tr w14:paraId="3B144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DEC516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0458F00">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473D7E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东方庄</w:t>
            </w:r>
          </w:p>
        </w:tc>
        <w:tc>
          <w:tcPr>
            <w:tcW w:w="1100" w:type="dxa"/>
            <w:gridSpan w:val="3"/>
            <w:tcBorders>
              <w:tl2br w:val="nil"/>
              <w:tr2bl w:val="nil"/>
            </w:tcBorders>
            <w:shd w:val="clear" w:color="auto" w:fill="auto"/>
            <w:vAlign w:val="center"/>
          </w:tcPr>
          <w:p w14:paraId="08D352F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401C64A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2963</w:t>
            </w:r>
          </w:p>
        </w:tc>
        <w:tc>
          <w:tcPr>
            <w:tcW w:w="1238" w:type="dxa"/>
            <w:gridSpan w:val="3"/>
            <w:tcBorders>
              <w:tl2br w:val="nil"/>
              <w:tr2bl w:val="nil"/>
            </w:tcBorders>
            <w:shd w:val="clear" w:color="auto" w:fill="auto"/>
            <w:vAlign w:val="center"/>
          </w:tcPr>
          <w:p w14:paraId="1C297A2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1D109B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w:t>
            </w:r>
            <w:r>
              <w:rPr>
                <w:rFonts w:ascii="Times New Roman" w:hAnsi="Times New Roman"/>
                <w:color w:val="auto"/>
                <w:sz w:val="21"/>
                <w:szCs w:val="21"/>
                <w:highlight w:val="none"/>
              </w:rPr>
              <w:t>人</w:t>
            </w:r>
          </w:p>
        </w:tc>
      </w:tr>
      <w:tr w14:paraId="75154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A1F42B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563BBA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BA3FC3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泉山村</w:t>
            </w:r>
          </w:p>
        </w:tc>
        <w:tc>
          <w:tcPr>
            <w:tcW w:w="1100" w:type="dxa"/>
            <w:gridSpan w:val="3"/>
            <w:tcBorders>
              <w:tl2br w:val="nil"/>
              <w:tr2bl w:val="nil"/>
            </w:tcBorders>
            <w:shd w:val="clear" w:color="auto" w:fill="auto"/>
            <w:vAlign w:val="center"/>
          </w:tcPr>
          <w:p w14:paraId="1998C7B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F373B0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3775</w:t>
            </w:r>
          </w:p>
        </w:tc>
        <w:tc>
          <w:tcPr>
            <w:tcW w:w="1238" w:type="dxa"/>
            <w:gridSpan w:val="3"/>
            <w:tcBorders>
              <w:tl2br w:val="nil"/>
              <w:tr2bl w:val="nil"/>
            </w:tcBorders>
            <w:shd w:val="clear" w:color="auto" w:fill="auto"/>
            <w:vAlign w:val="center"/>
          </w:tcPr>
          <w:p w14:paraId="0A86DCE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44082B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21812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EDA4EE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FF2185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7CBF48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长浜河</w:t>
            </w:r>
          </w:p>
        </w:tc>
        <w:tc>
          <w:tcPr>
            <w:tcW w:w="1100" w:type="dxa"/>
            <w:gridSpan w:val="3"/>
            <w:tcBorders>
              <w:tl2br w:val="nil"/>
              <w:tr2bl w:val="nil"/>
            </w:tcBorders>
            <w:shd w:val="clear" w:color="auto" w:fill="auto"/>
            <w:vAlign w:val="center"/>
          </w:tcPr>
          <w:p w14:paraId="04485F7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58EECDE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4507</w:t>
            </w:r>
          </w:p>
        </w:tc>
        <w:tc>
          <w:tcPr>
            <w:tcW w:w="1238" w:type="dxa"/>
            <w:gridSpan w:val="3"/>
            <w:tcBorders>
              <w:tl2br w:val="nil"/>
              <w:tr2bl w:val="nil"/>
            </w:tcBorders>
            <w:shd w:val="clear" w:color="auto" w:fill="auto"/>
            <w:vAlign w:val="center"/>
          </w:tcPr>
          <w:p w14:paraId="0A718E2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9E54B6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0A3A9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5B859AB">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9C78D5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920CBE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华陈巷</w:t>
            </w:r>
          </w:p>
        </w:tc>
        <w:tc>
          <w:tcPr>
            <w:tcW w:w="1100" w:type="dxa"/>
            <w:gridSpan w:val="3"/>
            <w:tcBorders>
              <w:tl2br w:val="nil"/>
              <w:tr2bl w:val="nil"/>
            </w:tcBorders>
            <w:shd w:val="clear" w:color="auto" w:fill="auto"/>
            <w:vAlign w:val="center"/>
          </w:tcPr>
          <w:p w14:paraId="01EB3F5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144D0E1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4523</w:t>
            </w:r>
          </w:p>
        </w:tc>
        <w:tc>
          <w:tcPr>
            <w:tcW w:w="1238" w:type="dxa"/>
            <w:gridSpan w:val="3"/>
            <w:tcBorders>
              <w:tl2br w:val="nil"/>
              <w:tr2bl w:val="nil"/>
            </w:tcBorders>
            <w:shd w:val="clear" w:color="auto" w:fill="auto"/>
            <w:vAlign w:val="center"/>
          </w:tcPr>
          <w:p w14:paraId="2B2659E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E740CC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08B88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ED7193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142DB5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7B74A6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张巷上</w:t>
            </w:r>
          </w:p>
        </w:tc>
        <w:tc>
          <w:tcPr>
            <w:tcW w:w="1100" w:type="dxa"/>
            <w:gridSpan w:val="3"/>
            <w:tcBorders>
              <w:tl2br w:val="nil"/>
              <w:tr2bl w:val="nil"/>
            </w:tcBorders>
            <w:shd w:val="clear" w:color="auto" w:fill="auto"/>
            <w:vAlign w:val="center"/>
          </w:tcPr>
          <w:p w14:paraId="450EBFE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NE</w:t>
            </w:r>
          </w:p>
        </w:tc>
        <w:tc>
          <w:tcPr>
            <w:tcW w:w="1278" w:type="dxa"/>
            <w:gridSpan w:val="3"/>
            <w:tcBorders>
              <w:tl2br w:val="nil"/>
              <w:tr2bl w:val="nil"/>
            </w:tcBorders>
            <w:shd w:val="clear" w:color="auto" w:fill="auto"/>
            <w:vAlign w:val="center"/>
          </w:tcPr>
          <w:p w14:paraId="3C6CBA2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4568</w:t>
            </w:r>
          </w:p>
        </w:tc>
        <w:tc>
          <w:tcPr>
            <w:tcW w:w="1238" w:type="dxa"/>
            <w:gridSpan w:val="3"/>
            <w:tcBorders>
              <w:tl2br w:val="nil"/>
              <w:tr2bl w:val="nil"/>
            </w:tcBorders>
            <w:shd w:val="clear" w:color="auto" w:fill="auto"/>
            <w:vAlign w:val="center"/>
          </w:tcPr>
          <w:p w14:paraId="772B18B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A5345C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1B51D0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BFC7BD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35CE27C">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8426E3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黄巷上</w:t>
            </w:r>
          </w:p>
        </w:tc>
        <w:tc>
          <w:tcPr>
            <w:tcW w:w="1100" w:type="dxa"/>
            <w:gridSpan w:val="3"/>
            <w:tcBorders>
              <w:tl2br w:val="nil"/>
              <w:tr2bl w:val="nil"/>
            </w:tcBorders>
            <w:shd w:val="clear" w:color="auto" w:fill="auto"/>
            <w:vAlign w:val="center"/>
          </w:tcPr>
          <w:p w14:paraId="5B42BEB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458D14C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1964</w:t>
            </w:r>
          </w:p>
        </w:tc>
        <w:tc>
          <w:tcPr>
            <w:tcW w:w="1238" w:type="dxa"/>
            <w:gridSpan w:val="3"/>
            <w:tcBorders>
              <w:tl2br w:val="nil"/>
              <w:tr2bl w:val="nil"/>
            </w:tcBorders>
            <w:shd w:val="clear" w:color="auto" w:fill="auto"/>
            <w:vAlign w:val="center"/>
          </w:tcPr>
          <w:p w14:paraId="0499346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DA6499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6EDEA7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CE4102C">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4B5871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C5BE28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响墩上</w:t>
            </w:r>
          </w:p>
        </w:tc>
        <w:tc>
          <w:tcPr>
            <w:tcW w:w="1100" w:type="dxa"/>
            <w:gridSpan w:val="3"/>
            <w:tcBorders>
              <w:tl2br w:val="nil"/>
              <w:tr2bl w:val="nil"/>
            </w:tcBorders>
            <w:shd w:val="clear" w:color="auto" w:fill="auto"/>
            <w:vAlign w:val="center"/>
          </w:tcPr>
          <w:p w14:paraId="365EF0A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26B3F11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2340</w:t>
            </w:r>
          </w:p>
        </w:tc>
        <w:tc>
          <w:tcPr>
            <w:tcW w:w="1238" w:type="dxa"/>
            <w:gridSpan w:val="3"/>
            <w:tcBorders>
              <w:tl2br w:val="nil"/>
              <w:tr2bl w:val="nil"/>
            </w:tcBorders>
            <w:shd w:val="clear" w:color="auto" w:fill="auto"/>
            <w:vAlign w:val="center"/>
          </w:tcPr>
          <w:p w14:paraId="51C3436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077410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48351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F42E26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1951EF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FB31B3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南光明村</w:t>
            </w:r>
          </w:p>
        </w:tc>
        <w:tc>
          <w:tcPr>
            <w:tcW w:w="1100" w:type="dxa"/>
            <w:gridSpan w:val="3"/>
            <w:tcBorders>
              <w:tl2br w:val="nil"/>
              <w:tr2bl w:val="nil"/>
            </w:tcBorders>
            <w:shd w:val="clear" w:color="auto" w:fill="auto"/>
            <w:vAlign w:val="center"/>
          </w:tcPr>
          <w:p w14:paraId="28F410A1">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30F27405">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2459</w:t>
            </w:r>
          </w:p>
        </w:tc>
        <w:tc>
          <w:tcPr>
            <w:tcW w:w="1238" w:type="dxa"/>
            <w:gridSpan w:val="3"/>
            <w:tcBorders>
              <w:tl2br w:val="nil"/>
              <w:tr2bl w:val="nil"/>
            </w:tcBorders>
            <w:shd w:val="clear" w:color="auto" w:fill="auto"/>
            <w:vAlign w:val="center"/>
          </w:tcPr>
          <w:p w14:paraId="694987C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513997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46B9E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05CA0B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5B93243">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4540802">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朱村头</w:t>
            </w:r>
          </w:p>
        </w:tc>
        <w:tc>
          <w:tcPr>
            <w:tcW w:w="1100" w:type="dxa"/>
            <w:gridSpan w:val="3"/>
            <w:tcBorders>
              <w:tl2br w:val="nil"/>
              <w:tr2bl w:val="nil"/>
            </w:tcBorders>
            <w:shd w:val="clear" w:color="auto" w:fill="auto"/>
            <w:vAlign w:val="center"/>
          </w:tcPr>
          <w:p w14:paraId="6E0AFAD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7770908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3353</w:t>
            </w:r>
          </w:p>
        </w:tc>
        <w:tc>
          <w:tcPr>
            <w:tcW w:w="1238" w:type="dxa"/>
            <w:gridSpan w:val="3"/>
            <w:tcBorders>
              <w:tl2br w:val="nil"/>
              <w:tr2bl w:val="nil"/>
            </w:tcBorders>
            <w:shd w:val="clear" w:color="auto" w:fill="auto"/>
            <w:vAlign w:val="center"/>
          </w:tcPr>
          <w:p w14:paraId="5F1CEF5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A3B5D8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1653E9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771B6C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167721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314E02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南新村</w:t>
            </w:r>
          </w:p>
        </w:tc>
        <w:tc>
          <w:tcPr>
            <w:tcW w:w="1100" w:type="dxa"/>
            <w:gridSpan w:val="3"/>
            <w:tcBorders>
              <w:tl2br w:val="nil"/>
              <w:tr2bl w:val="nil"/>
            </w:tcBorders>
            <w:shd w:val="clear" w:color="auto" w:fill="auto"/>
            <w:vAlign w:val="center"/>
          </w:tcPr>
          <w:p w14:paraId="019AE51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4003182B">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3072</w:t>
            </w:r>
          </w:p>
        </w:tc>
        <w:tc>
          <w:tcPr>
            <w:tcW w:w="1238" w:type="dxa"/>
            <w:gridSpan w:val="3"/>
            <w:tcBorders>
              <w:tl2br w:val="nil"/>
              <w:tr2bl w:val="nil"/>
            </w:tcBorders>
            <w:shd w:val="clear" w:color="auto" w:fill="auto"/>
            <w:vAlign w:val="center"/>
          </w:tcPr>
          <w:p w14:paraId="6143AFF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30F1E8B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58C05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B83AA1D">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78FD3B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4505B7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新明村</w:t>
            </w:r>
          </w:p>
        </w:tc>
        <w:tc>
          <w:tcPr>
            <w:tcW w:w="1100" w:type="dxa"/>
            <w:gridSpan w:val="3"/>
            <w:tcBorders>
              <w:tl2br w:val="nil"/>
              <w:tr2bl w:val="nil"/>
            </w:tcBorders>
            <w:shd w:val="clear" w:color="auto" w:fill="auto"/>
            <w:vAlign w:val="center"/>
          </w:tcPr>
          <w:p w14:paraId="326B388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6571268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3698</w:t>
            </w:r>
          </w:p>
        </w:tc>
        <w:tc>
          <w:tcPr>
            <w:tcW w:w="1238" w:type="dxa"/>
            <w:gridSpan w:val="3"/>
            <w:tcBorders>
              <w:tl2br w:val="nil"/>
              <w:tr2bl w:val="nil"/>
            </w:tcBorders>
            <w:shd w:val="clear" w:color="auto" w:fill="auto"/>
            <w:vAlign w:val="center"/>
          </w:tcPr>
          <w:p w14:paraId="14F907B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54EC73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54981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5BBA32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0AA9E2B">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657A70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南阁上</w:t>
            </w:r>
          </w:p>
        </w:tc>
        <w:tc>
          <w:tcPr>
            <w:tcW w:w="1100" w:type="dxa"/>
            <w:gridSpan w:val="3"/>
            <w:tcBorders>
              <w:tl2br w:val="nil"/>
              <w:tr2bl w:val="nil"/>
            </w:tcBorders>
            <w:shd w:val="clear" w:color="auto" w:fill="auto"/>
            <w:vAlign w:val="center"/>
          </w:tcPr>
          <w:p w14:paraId="6F6BFCC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6A73B7A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4377</w:t>
            </w:r>
          </w:p>
        </w:tc>
        <w:tc>
          <w:tcPr>
            <w:tcW w:w="1238" w:type="dxa"/>
            <w:gridSpan w:val="3"/>
            <w:tcBorders>
              <w:tl2br w:val="nil"/>
              <w:tr2bl w:val="nil"/>
            </w:tcBorders>
            <w:shd w:val="clear" w:color="auto" w:fill="auto"/>
            <w:vAlign w:val="center"/>
          </w:tcPr>
          <w:p w14:paraId="58D7910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1AFB96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6BDB7F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DE1F4C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32A32D6">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9E7A8D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和尚桥</w:t>
            </w:r>
          </w:p>
        </w:tc>
        <w:tc>
          <w:tcPr>
            <w:tcW w:w="1100" w:type="dxa"/>
            <w:gridSpan w:val="3"/>
            <w:tcBorders>
              <w:tl2br w:val="nil"/>
              <w:tr2bl w:val="nil"/>
            </w:tcBorders>
            <w:shd w:val="clear" w:color="auto" w:fill="auto"/>
            <w:vAlign w:val="center"/>
          </w:tcPr>
          <w:p w14:paraId="11B3E67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3842335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4736</w:t>
            </w:r>
          </w:p>
        </w:tc>
        <w:tc>
          <w:tcPr>
            <w:tcW w:w="1238" w:type="dxa"/>
            <w:gridSpan w:val="3"/>
            <w:tcBorders>
              <w:tl2br w:val="nil"/>
              <w:tr2bl w:val="nil"/>
            </w:tcBorders>
            <w:shd w:val="clear" w:color="auto" w:fill="auto"/>
            <w:vAlign w:val="center"/>
          </w:tcPr>
          <w:p w14:paraId="03E8C8E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4E6D1F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3EBCD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45B594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DA106F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8C8128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旗峰村</w:t>
            </w:r>
          </w:p>
        </w:tc>
        <w:tc>
          <w:tcPr>
            <w:tcW w:w="1100" w:type="dxa"/>
            <w:gridSpan w:val="3"/>
            <w:tcBorders>
              <w:tl2br w:val="nil"/>
              <w:tr2bl w:val="nil"/>
            </w:tcBorders>
            <w:shd w:val="clear" w:color="auto" w:fill="auto"/>
            <w:vAlign w:val="center"/>
          </w:tcPr>
          <w:p w14:paraId="35E3C9B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0E3A1CC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4472</w:t>
            </w:r>
          </w:p>
        </w:tc>
        <w:tc>
          <w:tcPr>
            <w:tcW w:w="1238" w:type="dxa"/>
            <w:gridSpan w:val="3"/>
            <w:tcBorders>
              <w:tl2br w:val="nil"/>
              <w:tr2bl w:val="nil"/>
            </w:tcBorders>
            <w:shd w:val="clear" w:color="auto" w:fill="auto"/>
            <w:vAlign w:val="center"/>
          </w:tcPr>
          <w:p w14:paraId="55443F9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9AF45B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175</w:t>
            </w:r>
            <w:r>
              <w:rPr>
                <w:rFonts w:ascii="Times New Roman" w:hAnsi="Times New Roman"/>
                <w:color w:val="auto"/>
                <w:sz w:val="21"/>
                <w:szCs w:val="21"/>
                <w:highlight w:val="none"/>
              </w:rPr>
              <w:t>人</w:t>
            </w:r>
          </w:p>
        </w:tc>
      </w:tr>
      <w:tr w14:paraId="09779B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8887B7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B1244A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852C66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杜巷上</w:t>
            </w:r>
          </w:p>
        </w:tc>
        <w:tc>
          <w:tcPr>
            <w:tcW w:w="1100" w:type="dxa"/>
            <w:gridSpan w:val="3"/>
            <w:tcBorders>
              <w:tl2br w:val="nil"/>
              <w:tr2bl w:val="nil"/>
            </w:tcBorders>
            <w:shd w:val="clear" w:color="auto" w:fill="auto"/>
            <w:vAlign w:val="center"/>
          </w:tcPr>
          <w:p w14:paraId="0BAF193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4243568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1402</w:t>
            </w:r>
          </w:p>
        </w:tc>
        <w:tc>
          <w:tcPr>
            <w:tcW w:w="1238" w:type="dxa"/>
            <w:gridSpan w:val="3"/>
            <w:tcBorders>
              <w:tl2br w:val="nil"/>
              <w:tr2bl w:val="nil"/>
            </w:tcBorders>
            <w:shd w:val="clear" w:color="auto" w:fill="auto"/>
            <w:vAlign w:val="center"/>
          </w:tcPr>
          <w:p w14:paraId="1DF2E5B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399F23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6645A5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466F49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F815984">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38A6D226">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三坝村</w:t>
            </w:r>
          </w:p>
        </w:tc>
        <w:tc>
          <w:tcPr>
            <w:tcW w:w="1100" w:type="dxa"/>
            <w:gridSpan w:val="3"/>
            <w:tcBorders>
              <w:tl2br w:val="nil"/>
              <w:tr2bl w:val="nil"/>
            </w:tcBorders>
            <w:shd w:val="clear" w:color="auto" w:fill="auto"/>
            <w:vAlign w:val="center"/>
          </w:tcPr>
          <w:p w14:paraId="7975F9D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0BFF755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1662</w:t>
            </w:r>
          </w:p>
        </w:tc>
        <w:tc>
          <w:tcPr>
            <w:tcW w:w="1238" w:type="dxa"/>
            <w:gridSpan w:val="3"/>
            <w:tcBorders>
              <w:tl2br w:val="nil"/>
              <w:tr2bl w:val="nil"/>
            </w:tcBorders>
            <w:shd w:val="clear" w:color="auto" w:fill="auto"/>
            <w:vAlign w:val="center"/>
          </w:tcPr>
          <w:p w14:paraId="714FF96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FF8848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2311A3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D6F9D32">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4F9D4A5">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4EE508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孙巷上</w:t>
            </w:r>
          </w:p>
        </w:tc>
        <w:tc>
          <w:tcPr>
            <w:tcW w:w="1100" w:type="dxa"/>
            <w:gridSpan w:val="3"/>
            <w:tcBorders>
              <w:tl2br w:val="nil"/>
              <w:tr2bl w:val="nil"/>
            </w:tcBorders>
            <w:shd w:val="clear" w:color="auto" w:fill="auto"/>
            <w:vAlign w:val="center"/>
          </w:tcPr>
          <w:p w14:paraId="01E055B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7BF5E82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3145</w:t>
            </w:r>
          </w:p>
        </w:tc>
        <w:tc>
          <w:tcPr>
            <w:tcW w:w="1238" w:type="dxa"/>
            <w:gridSpan w:val="3"/>
            <w:tcBorders>
              <w:tl2br w:val="nil"/>
              <w:tr2bl w:val="nil"/>
            </w:tcBorders>
            <w:shd w:val="clear" w:color="auto" w:fill="auto"/>
            <w:vAlign w:val="center"/>
          </w:tcPr>
          <w:p w14:paraId="34B6320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DCFC1F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w:t>
            </w:r>
            <w:r>
              <w:rPr>
                <w:rFonts w:ascii="Times New Roman" w:hAnsi="Times New Roman"/>
                <w:color w:val="auto"/>
                <w:sz w:val="21"/>
                <w:szCs w:val="21"/>
                <w:highlight w:val="none"/>
              </w:rPr>
              <w:t>人</w:t>
            </w:r>
          </w:p>
        </w:tc>
      </w:tr>
      <w:tr w14:paraId="54ECF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9EF1D88">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A38F5F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849A44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黄泥湾</w:t>
            </w:r>
          </w:p>
        </w:tc>
        <w:tc>
          <w:tcPr>
            <w:tcW w:w="1100" w:type="dxa"/>
            <w:gridSpan w:val="3"/>
            <w:tcBorders>
              <w:tl2br w:val="nil"/>
              <w:tr2bl w:val="nil"/>
            </w:tcBorders>
            <w:shd w:val="clear" w:color="auto" w:fill="auto"/>
            <w:vAlign w:val="center"/>
          </w:tcPr>
          <w:p w14:paraId="52E86E4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58CB032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3642</w:t>
            </w:r>
          </w:p>
        </w:tc>
        <w:tc>
          <w:tcPr>
            <w:tcW w:w="1238" w:type="dxa"/>
            <w:gridSpan w:val="3"/>
            <w:tcBorders>
              <w:tl2br w:val="nil"/>
              <w:tr2bl w:val="nil"/>
            </w:tcBorders>
            <w:shd w:val="clear" w:color="auto" w:fill="auto"/>
            <w:vAlign w:val="center"/>
          </w:tcPr>
          <w:p w14:paraId="290E602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54F3882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w:t>
            </w:r>
            <w:r>
              <w:rPr>
                <w:rFonts w:ascii="Times New Roman" w:hAnsi="Times New Roman"/>
                <w:color w:val="auto"/>
                <w:sz w:val="21"/>
                <w:szCs w:val="21"/>
                <w:highlight w:val="none"/>
              </w:rPr>
              <w:t>人</w:t>
            </w:r>
          </w:p>
        </w:tc>
      </w:tr>
      <w:tr w14:paraId="4ED2F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43271A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78EFC2C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56E77DF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周巷上</w:t>
            </w:r>
          </w:p>
        </w:tc>
        <w:tc>
          <w:tcPr>
            <w:tcW w:w="1100" w:type="dxa"/>
            <w:gridSpan w:val="3"/>
            <w:tcBorders>
              <w:tl2br w:val="nil"/>
              <w:tr2bl w:val="nil"/>
            </w:tcBorders>
            <w:shd w:val="clear" w:color="auto" w:fill="auto"/>
            <w:vAlign w:val="center"/>
          </w:tcPr>
          <w:p w14:paraId="4EA9082C">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6CBCE3E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4366</w:t>
            </w:r>
          </w:p>
        </w:tc>
        <w:tc>
          <w:tcPr>
            <w:tcW w:w="1238" w:type="dxa"/>
            <w:gridSpan w:val="3"/>
            <w:tcBorders>
              <w:tl2br w:val="nil"/>
              <w:tr2bl w:val="nil"/>
            </w:tcBorders>
            <w:shd w:val="clear" w:color="auto" w:fill="auto"/>
            <w:vAlign w:val="center"/>
          </w:tcPr>
          <w:p w14:paraId="3E1F8BD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0EEDAC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70</w:t>
            </w:r>
            <w:r>
              <w:rPr>
                <w:rFonts w:ascii="Times New Roman" w:hAnsi="Times New Roman"/>
                <w:color w:val="auto"/>
                <w:sz w:val="21"/>
                <w:szCs w:val="21"/>
                <w:highlight w:val="none"/>
              </w:rPr>
              <w:t>人</w:t>
            </w:r>
          </w:p>
        </w:tc>
      </w:tr>
      <w:tr w14:paraId="14AFCC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83684E6">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EE20439">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0D018FA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旗杆下村</w:t>
            </w:r>
          </w:p>
        </w:tc>
        <w:tc>
          <w:tcPr>
            <w:tcW w:w="1100" w:type="dxa"/>
            <w:gridSpan w:val="3"/>
            <w:tcBorders>
              <w:tl2br w:val="nil"/>
              <w:tr2bl w:val="nil"/>
            </w:tcBorders>
            <w:shd w:val="clear" w:color="auto" w:fill="auto"/>
            <w:vAlign w:val="center"/>
          </w:tcPr>
          <w:p w14:paraId="49B0C3F8">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5CFDBA3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4715</w:t>
            </w:r>
          </w:p>
        </w:tc>
        <w:tc>
          <w:tcPr>
            <w:tcW w:w="1238" w:type="dxa"/>
            <w:gridSpan w:val="3"/>
            <w:tcBorders>
              <w:tl2br w:val="nil"/>
              <w:tr2bl w:val="nil"/>
            </w:tcBorders>
            <w:shd w:val="clear" w:color="auto" w:fill="auto"/>
            <w:vAlign w:val="center"/>
          </w:tcPr>
          <w:p w14:paraId="248346B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EE8879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021972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03956FF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CF8D5AA">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4F847D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安家庄</w:t>
            </w:r>
          </w:p>
        </w:tc>
        <w:tc>
          <w:tcPr>
            <w:tcW w:w="1100" w:type="dxa"/>
            <w:gridSpan w:val="3"/>
            <w:tcBorders>
              <w:tl2br w:val="nil"/>
              <w:tr2bl w:val="nil"/>
            </w:tcBorders>
            <w:shd w:val="clear" w:color="auto" w:fill="auto"/>
            <w:vAlign w:val="center"/>
          </w:tcPr>
          <w:p w14:paraId="21BB2D9E">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1001DB8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2166</w:t>
            </w:r>
          </w:p>
        </w:tc>
        <w:tc>
          <w:tcPr>
            <w:tcW w:w="1238" w:type="dxa"/>
            <w:gridSpan w:val="3"/>
            <w:tcBorders>
              <w:tl2br w:val="nil"/>
              <w:tr2bl w:val="nil"/>
            </w:tcBorders>
            <w:shd w:val="clear" w:color="auto" w:fill="auto"/>
            <w:vAlign w:val="center"/>
          </w:tcPr>
          <w:p w14:paraId="2AD5571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625C84C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4BD3C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0D06ED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1E42132D">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71D7E0F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赵巷上</w:t>
            </w:r>
          </w:p>
        </w:tc>
        <w:tc>
          <w:tcPr>
            <w:tcW w:w="1100" w:type="dxa"/>
            <w:gridSpan w:val="3"/>
            <w:tcBorders>
              <w:tl2br w:val="nil"/>
              <w:tr2bl w:val="nil"/>
            </w:tcBorders>
            <w:shd w:val="clear" w:color="auto" w:fill="auto"/>
            <w:vAlign w:val="center"/>
          </w:tcPr>
          <w:p w14:paraId="3B6FAD8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113E6F9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2118</w:t>
            </w:r>
          </w:p>
        </w:tc>
        <w:tc>
          <w:tcPr>
            <w:tcW w:w="1238" w:type="dxa"/>
            <w:gridSpan w:val="3"/>
            <w:tcBorders>
              <w:tl2br w:val="nil"/>
              <w:tr2bl w:val="nil"/>
            </w:tcBorders>
            <w:shd w:val="clear" w:color="auto" w:fill="auto"/>
            <w:vAlign w:val="center"/>
          </w:tcPr>
          <w:p w14:paraId="35C6C02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FC14EC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420</w:t>
            </w:r>
            <w:r>
              <w:rPr>
                <w:rFonts w:ascii="Times New Roman" w:hAnsi="Times New Roman"/>
                <w:color w:val="auto"/>
                <w:sz w:val="21"/>
                <w:szCs w:val="21"/>
                <w:highlight w:val="none"/>
              </w:rPr>
              <w:t>人</w:t>
            </w:r>
          </w:p>
        </w:tc>
      </w:tr>
      <w:tr w14:paraId="3783C6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BA4C20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3205C6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1187A620">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丁巷村</w:t>
            </w:r>
          </w:p>
        </w:tc>
        <w:tc>
          <w:tcPr>
            <w:tcW w:w="1100" w:type="dxa"/>
            <w:gridSpan w:val="3"/>
            <w:tcBorders>
              <w:tl2br w:val="nil"/>
              <w:tr2bl w:val="nil"/>
            </w:tcBorders>
            <w:shd w:val="clear" w:color="auto" w:fill="auto"/>
            <w:vAlign w:val="center"/>
          </w:tcPr>
          <w:p w14:paraId="7C0EEFFD">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1E51094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3100</w:t>
            </w:r>
          </w:p>
        </w:tc>
        <w:tc>
          <w:tcPr>
            <w:tcW w:w="1238" w:type="dxa"/>
            <w:gridSpan w:val="3"/>
            <w:tcBorders>
              <w:tl2br w:val="nil"/>
              <w:tr2bl w:val="nil"/>
            </w:tcBorders>
            <w:shd w:val="clear" w:color="auto" w:fill="auto"/>
            <w:vAlign w:val="center"/>
          </w:tcPr>
          <w:p w14:paraId="7C792C3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4ECA91A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210</w:t>
            </w:r>
            <w:r>
              <w:rPr>
                <w:rFonts w:ascii="Times New Roman" w:hAnsi="Times New Roman"/>
                <w:color w:val="auto"/>
                <w:sz w:val="21"/>
                <w:szCs w:val="21"/>
                <w:highlight w:val="none"/>
              </w:rPr>
              <w:t>人</w:t>
            </w:r>
          </w:p>
        </w:tc>
      </w:tr>
      <w:tr w14:paraId="53DB2E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1F0C37D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4F93AD78">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4FC1CF6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何夹里</w:t>
            </w:r>
          </w:p>
        </w:tc>
        <w:tc>
          <w:tcPr>
            <w:tcW w:w="1100" w:type="dxa"/>
            <w:gridSpan w:val="3"/>
            <w:tcBorders>
              <w:tl2br w:val="nil"/>
              <w:tr2bl w:val="nil"/>
            </w:tcBorders>
            <w:shd w:val="clear" w:color="auto" w:fill="auto"/>
            <w:vAlign w:val="center"/>
          </w:tcPr>
          <w:p w14:paraId="08F35C37">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25660E3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3493</w:t>
            </w:r>
          </w:p>
        </w:tc>
        <w:tc>
          <w:tcPr>
            <w:tcW w:w="1238" w:type="dxa"/>
            <w:gridSpan w:val="3"/>
            <w:tcBorders>
              <w:tl2br w:val="nil"/>
              <w:tr2bl w:val="nil"/>
            </w:tcBorders>
            <w:shd w:val="clear" w:color="auto" w:fill="auto"/>
            <w:vAlign w:val="center"/>
          </w:tcPr>
          <w:p w14:paraId="7FB3090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01B3A130">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35</w:t>
            </w:r>
            <w:r>
              <w:rPr>
                <w:rFonts w:ascii="Times New Roman" w:hAnsi="Times New Roman"/>
                <w:color w:val="auto"/>
                <w:sz w:val="21"/>
                <w:szCs w:val="21"/>
                <w:highlight w:val="none"/>
              </w:rPr>
              <w:t>人</w:t>
            </w:r>
          </w:p>
        </w:tc>
      </w:tr>
      <w:tr w14:paraId="2F8D26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5DDC78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C68960F">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D0C4C5A">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潭塘桥</w:t>
            </w:r>
          </w:p>
        </w:tc>
        <w:tc>
          <w:tcPr>
            <w:tcW w:w="1100" w:type="dxa"/>
            <w:gridSpan w:val="3"/>
            <w:tcBorders>
              <w:tl2br w:val="nil"/>
              <w:tr2bl w:val="nil"/>
            </w:tcBorders>
            <w:shd w:val="clear" w:color="auto" w:fill="auto"/>
            <w:vAlign w:val="center"/>
          </w:tcPr>
          <w:p w14:paraId="0CC1D8C4">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3A8C59C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3943</w:t>
            </w:r>
          </w:p>
        </w:tc>
        <w:tc>
          <w:tcPr>
            <w:tcW w:w="1238" w:type="dxa"/>
            <w:gridSpan w:val="3"/>
            <w:tcBorders>
              <w:tl2br w:val="nil"/>
              <w:tr2bl w:val="nil"/>
            </w:tcBorders>
            <w:shd w:val="clear" w:color="auto" w:fill="auto"/>
            <w:vAlign w:val="center"/>
          </w:tcPr>
          <w:p w14:paraId="35A8531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45DA0F2">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2E4B27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483C96A">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3E8E052">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24F4983F">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毕家坝</w:t>
            </w:r>
          </w:p>
        </w:tc>
        <w:tc>
          <w:tcPr>
            <w:tcW w:w="1100" w:type="dxa"/>
            <w:gridSpan w:val="3"/>
            <w:tcBorders>
              <w:tl2br w:val="nil"/>
              <w:tr2bl w:val="nil"/>
            </w:tcBorders>
            <w:shd w:val="clear" w:color="auto" w:fill="auto"/>
            <w:vAlign w:val="center"/>
          </w:tcPr>
          <w:p w14:paraId="5CB3E399">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4494F07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4286</w:t>
            </w:r>
          </w:p>
        </w:tc>
        <w:tc>
          <w:tcPr>
            <w:tcW w:w="1238" w:type="dxa"/>
            <w:gridSpan w:val="3"/>
            <w:tcBorders>
              <w:tl2br w:val="nil"/>
              <w:tr2bl w:val="nil"/>
            </w:tcBorders>
            <w:shd w:val="clear" w:color="auto" w:fill="auto"/>
            <w:vAlign w:val="center"/>
          </w:tcPr>
          <w:p w14:paraId="5181479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1DD17B0D">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42</w:t>
            </w:r>
            <w:r>
              <w:rPr>
                <w:rFonts w:ascii="Times New Roman" w:hAnsi="Times New Roman"/>
                <w:color w:val="auto"/>
                <w:sz w:val="21"/>
                <w:szCs w:val="21"/>
                <w:highlight w:val="none"/>
              </w:rPr>
              <w:t>人</w:t>
            </w:r>
          </w:p>
        </w:tc>
      </w:tr>
      <w:tr w14:paraId="09D16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2EE882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9F276A1">
            <w:pPr>
              <w:pStyle w:val="97"/>
              <w:numPr>
                <w:ilvl w:val="0"/>
                <w:numId w:val="13"/>
              </w:numPr>
              <w:ind w:left="-105" w:right="-105" w:firstLineChars="0"/>
              <w:jc w:val="center"/>
              <w:rPr>
                <w:rFonts w:eastAsia="宋体"/>
                <w:color w:val="auto"/>
                <w:kern w:val="0"/>
                <w:sz w:val="21"/>
                <w:szCs w:val="21"/>
                <w:highlight w:val="none"/>
                <w:lang w:val="zh-CN" w:bidi="zh-CN"/>
              </w:rPr>
            </w:pPr>
          </w:p>
        </w:tc>
        <w:tc>
          <w:tcPr>
            <w:tcW w:w="2131" w:type="dxa"/>
            <w:gridSpan w:val="3"/>
            <w:tcBorders>
              <w:tl2br w:val="nil"/>
              <w:tr2bl w:val="nil"/>
            </w:tcBorders>
            <w:shd w:val="clear" w:color="auto" w:fill="auto"/>
            <w:vAlign w:val="center"/>
          </w:tcPr>
          <w:p w14:paraId="6491DA75">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东石园村</w:t>
            </w:r>
          </w:p>
        </w:tc>
        <w:tc>
          <w:tcPr>
            <w:tcW w:w="1100" w:type="dxa"/>
            <w:gridSpan w:val="3"/>
            <w:tcBorders>
              <w:tl2br w:val="nil"/>
              <w:tr2bl w:val="nil"/>
            </w:tcBorders>
            <w:shd w:val="clear" w:color="auto" w:fill="auto"/>
            <w:vAlign w:val="center"/>
          </w:tcPr>
          <w:p w14:paraId="41A641D3">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SE</w:t>
            </w:r>
          </w:p>
        </w:tc>
        <w:tc>
          <w:tcPr>
            <w:tcW w:w="1278" w:type="dxa"/>
            <w:gridSpan w:val="3"/>
            <w:tcBorders>
              <w:tl2br w:val="nil"/>
              <w:tr2bl w:val="nil"/>
            </w:tcBorders>
            <w:shd w:val="clear" w:color="auto" w:fill="auto"/>
            <w:vAlign w:val="center"/>
          </w:tcPr>
          <w:p w14:paraId="5025958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4325</w:t>
            </w:r>
          </w:p>
        </w:tc>
        <w:tc>
          <w:tcPr>
            <w:tcW w:w="1238" w:type="dxa"/>
            <w:gridSpan w:val="3"/>
            <w:tcBorders>
              <w:tl2br w:val="nil"/>
              <w:tr2bl w:val="nil"/>
            </w:tcBorders>
            <w:shd w:val="clear" w:color="auto" w:fill="auto"/>
            <w:vAlign w:val="center"/>
          </w:tcPr>
          <w:p w14:paraId="6E5F51B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居住区</w:t>
            </w:r>
          </w:p>
        </w:tc>
        <w:tc>
          <w:tcPr>
            <w:tcW w:w="1748" w:type="dxa"/>
            <w:tcBorders>
              <w:tl2br w:val="nil"/>
              <w:tr2bl w:val="nil"/>
            </w:tcBorders>
            <w:shd w:val="clear" w:color="auto" w:fill="auto"/>
            <w:vAlign w:val="center"/>
          </w:tcPr>
          <w:p w14:paraId="20A50A0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r>
              <w:rPr>
                <w:rFonts w:ascii="Times New Roman" w:hAnsi="Times New Roman"/>
                <w:color w:val="auto"/>
                <w:sz w:val="21"/>
                <w:szCs w:val="21"/>
                <w:highlight w:val="none"/>
              </w:rPr>
              <w:t>户/</w:t>
            </w:r>
            <w:r>
              <w:rPr>
                <w:rFonts w:hint="eastAsia" w:ascii="Times New Roman" w:hAnsi="Times New Roman"/>
                <w:color w:val="auto"/>
                <w:sz w:val="21"/>
                <w:szCs w:val="21"/>
                <w:highlight w:val="none"/>
              </w:rPr>
              <w:t>105</w:t>
            </w:r>
            <w:r>
              <w:rPr>
                <w:rFonts w:ascii="Times New Roman" w:hAnsi="Times New Roman"/>
                <w:color w:val="auto"/>
                <w:sz w:val="21"/>
                <w:szCs w:val="21"/>
                <w:highlight w:val="none"/>
              </w:rPr>
              <w:t>人</w:t>
            </w:r>
          </w:p>
        </w:tc>
      </w:tr>
      <w:tr w14:paraId="50F281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2FA404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8B86298">
            <w:pPr>
              <w:pStyle w:val="97"/>
              <w:numPr>
                <w:ilvl w:val="0"/>
                <w:numId w:val="13"/>
              </w:numPr>
              <w:ind w:left="-105" w:right="-105" w:firstLineChars="0"/>
              <w:jc w:val="center"/>
              <w:rPr>
                <w:rFonts w:eastAsia="宋体"/>
                <w:color w:val="auto"/>
                <w:kern w:val="0"/>
                <w:sz w:val="21"/>
                <w:szCs w:val="21"/>
                <w:highlight w:val="none"/>
                <w:lang w:val="zh-CN" w:bidi="zh-CN"/>
              </w:rPr>
            </w:pPr>
          </w:p>
        </w:tc>
        <w:tc>
          <w:tcPr>
            <w:tcW w:w="5747" w:type="dxa"/>
            <w:gridSpan w:val="12"/>
            <w:tcBorders>
              <w:tl2br w:val="nil"/>
              <w:tr2bl w:val="nil"/>
            </w:tcBorders>
            <w:shd w:val="clear" w:color="auto" w:fill="auto"/>
            <w:vAlign w:val="center"/>
          </w:tcPr>
          <w:p w14:paraId="36FDA9CA">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lang w:val="zh-CN" w:bidi="zh-CN"/>
              </w:rPr>
              <w:t>厂址周边500m范围内人口数小计</w:t>
            </w:r>
          </w:p>
        </w:tc>
        <w:tc>
          <w:tcPr>
            <w:tcW w:w="1748" w:type="dxa"/>
            <w:tcBorders>
              <w:tl2br w:val="nil"/>
              <w:tr2bl w:val="nil"/>
            </w:tcBorders>
            <w:shd w:val="clear" w:color="auto" w:fill="auto"/>
            <w:vAlign w:val="center"/>
          </w:tcPr>
          <w:p w14:paraId="1F5657B0">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680</w:t>
            </w:r>
          </w:p>
        </w:tc>
      </w:tr>
      <w:tr w14:paraId="489B15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ABC9D31">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2A9C0E5">
            <w:pPr>
              <w:pStyle w:val="97"/>
              <w:numPr>
                <w:ilvl w:val="0"/>
                <w:numId w:val="13"/>
              </w:numPr>
              <w:ind w:left="-105" w:right="-105" w:firstLineChars="0"/>
              <w:jc w:val="center"/>
              <w:rPr>
                <w:rFonts w:eastAsia="宋体"/>
                <w:color w:val="auto"/>
                <w:kern w:val="0"/>
                <w:sz w:val="21"/>
                <w:szCs w:val="21"/>
                <w:highlight w:val="none"/>
                <w:lang w:val="zh-CN" w:bidi="zh-CN"/>
              </w:rPr>
            </w:pPr>
          </w:p>
        </w:tc>
        <w:tc>
          <w:tcPr>
            <w:tcW w:w="5747" w:type="dxa"/>
            <w:gridSpan w:val="12"/>
            <w:tcBorders>
              <w:tl2br w:val="nil"/>
              <w:tr2bl w:val="nil"/>
            </w:tcBorders>
            <w:shd w:val="clear" w:color="auto" w:fill="auto"/>
            <w:vAlign w:val="center"/>
          </w:tcPr>
          <w:p w14:paraId="658D809E">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lang w:val="zh-CN" w:bidi="zh-CN"/>
              </w:rPr>
              <w:t>厂址周边5km范围内人口数小计</w:t>
            </w:r>
          </w:p>
        </w:tc>
        <w:tc>
          <w:tcPr>
            <w:tcW w:w="1748" w:type="dxa"/>
            <w:tcBorders>
              <w:tl2br w:val="nil"/>
              <w:tr2bl w:val="nil"/>
            </w:tcBorders>
            <w:shd w:val="clear" w:color="auto" w:fill="auto"/>
            <w:vAlign w:val="center"/>
          </w:tcPr>
          <w:p w14:paraId="25AB9B50">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大于5万</w:t>
            </w:r>
          </w:p>
        </w:tc>
      </w:tr>
      <w:tr w14:paraId="0DCC4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E910913">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17C7526">
            <w:pPr>
              <w:pStyle w:val="97"/>
              <w:numPr>
                <w:ilvl w:val="0"/>
                <w:numId w:val="13"/>
              </w:numPr>
              <w:ind w:left="-105" w:right="-105" w:firstLineChars="0"/>
              <w:jc w:val="center"/>
              <w:rPr>
                <w:rFonts w:eastAsia="宋体"/>
                <w:color w:val="auto"/>
                <w:kern w:val="0"/>
                <w:sz w:val="21"/>
                <w:szCs w:val="21"/>
                <w:highlight w:val="none"/>
                <w:lang w:val="zh-CN" w:bidi="zh-CN"/>
              </w:rPr>
            </w:pPr>
          </w:p>
        </w:tc>
        <w:tc>
          <w:tcPr>
            <w:tcW w:w="5747" w:type="dxa"/>
            <w:gridSpan w:val="12"/>
            <w:tcBorders>
              <w:tl2br w:val="nil"/>
              <w:tr2bl w:val="nil"/>
            </w:tcBorders>
            <w:shd w:val="clear" w:color="auto" w:fill="auto"/>
            <w:vAlign w:val="center"/>
          </w:tcPr>
          <w:p w14:paraId="7483D6BF">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lang w:val="zh-CN" w:bidi="zh-CN"/>
              </w:rPr>
              <w:t>大气环境敏感程度E值</w:t>
            </w:r>
          </w:p>
        </w:tc>
        <w:tc>
          <w:tcPr>
            <w:tcW w:w="1748" w:type="dxa"/>
            <w:tcBorders>
              <w:tl2br w:val="nil"/>
              <w:tr2bl w:val="nil"/>
            </w:tcBorders>
            <w:shd w:val="clear" w:color="auto" w:fill="auto"/>
            <w:vAlign w:val="center"/>
          </w:tcPr>
          <w:p w14:paraId="3CF04339">
            <w:pPr>
              <w:ind w:left="-105" w:right="-105"/>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E1</w:t>
            </w:r>
          </w:p>
        </w:tc>
      </w:tr>
      <w:tr w14:paraId="7F313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restart"/>
            <w:tcBorders>
              <w:tl2br w:val="nil"/>
              <w:tr2bl w:val="nil"/>
            </w:tcBorders>
            <w:vAlign w:val="center"/>
          </w:tcPr>
          <w:p w14:paraId="5DD80F52">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地表水</w:t>
            </w:r>
          </w:p>
        </w:tc>
        <w:tc>
          <w:tcPr>
            <w:tcW w:w="8199" w:type="dxa"/>
            <w:gridSpan w:val="14"/>
            <w:tcBorders>
              <w:tl2br w:val="nil"/>
              <w:tr2bl w:val="nil"/>
            </w:tcBorders>
            <w:vAlign w:val="center"/>
          </w:tcPr>
          <w:p w14:paraId="379B11FB">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受纳水体</w:t>
            </w:r>
          </w:p>
        </w:tc>
      </w:tr>
      <w:tr w14:paraId="3E3C6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34C3304">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6880361D">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序号</w:t>
            </w:r>
          </w:p>
        </w:tc>
        <w:tc>
          <w:tcPr>
            <w:tcW w:w="2361" w:type="dxa"/>
            <w:gridSpan w:val="4"/>
            <w:tcBorders>
              <w:tl2br w:val="nil"/>
              <w:tr2bl w:val="nil"/>
            </w:tcBorders>
            <w:vAlign w:val="center"/>
          </w:tcPr>
          <w:p w14:paraId="1E54D7AE">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受纳水体名称</w:t>
            </w:r>
          </w:p>
        </w:tc>
        <w:tc>
          <w:tcPr>
            <w:tcW w:w="2395" w:type="dxa"/>
            <w:gridSpan w:val="6"/>
            <w:tcBorders>
              <w:tl2br w:val="nil"/>
              <w:tr2bl w:val="nil"/>
            </w:tcBorders>
            <w:vAlign w:val="center"/>
          </w:tcPr>
          <w:p w14:paraId="3100E2A2">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排放点水域环境功能</w:t>
            </w:r>
          </w:p>
        </w:tc>
        <w:tc>
          <w:tcPr>
            <w:tcW w:w="2739" w:type="dxa"/>
            <w:gridSpan w:val="3"/>
            <w:tcBorders>
              <w:tl2br w:val="nil"/>
              <w:tr2bl w:val="nil"/>
            </w:tcBorders>
            <w:vAlign w:val="center"/>
          </w:tcPr>
          <w:p w14:paraId="0941B94B">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24h内流经范围/km</w:t>
            </w:r>
          </w:p>
        </w:tc>
      </w:tr>
      <w:tr w14:paraId="09FA4B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7C31FE5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20F9794F">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1</w:t>
            </w:r>
          </w:p>
        </w:tc>
        <w:tc>
          <w:tcPr>
            <w:tcW w:w="2361" w:type="dxa"/>
            <w:gridSpan w:val="4"/>
            <w:tcBorders>
              <w:tl2br w:val="nil"/>
              <w:tr2bl w:val="nil"/>
            </w:tcBorders>
            <w:vAlign w:val="center"/>
          </w:tcPr>
          <w:p w14:paraId="29BA67A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锡北运河</w:t>
            </w:r>
            <w:r>
              <w:rPr>
                <w:rFonts w:hint="eastAsia" w:ascii="Times New Roman" w:hAnsi="Times New Roman"/>
                <w:color w:val="auto"/>
                <w:sz w:val="21"/>
                <w:szCs w:val="21"/>
                <w:highlight w:val="none"/>
                <w:lang w:val="zh-CN" w:bidi="zh-CN"/>
              </w:rPr>
              <w:t>（</w:t>
            </w:r>
            <w:r>
              <w:rPr>
                <w:rFonts w:hint="eastAsia" w:ascii="Times New Roman" w:hAnsi="Times New Roman"/>
                <w:color w:val="auto"/>
                <w:sz w:val="21"/>
                <w:szCs w:val="21"/>
                <w:highlight w:val="none"/>
                <w:lang w:bidi="zh-CN"/>
              </w:rPr>
              <w:t>雨水汇入</w:t>
            </w:r>
            <w:r>
              <w:rPr>
                <w:rFonts w:hint="eastAsia" w:ascii="Times New Roman" w:hAnsi="Times New Roman"/>
                <w:color w:val="auto"/>
                <w:sz w:val="21"/>
                <w:szCs w:val="21"/>
                <w:highlight w:val="none"/>
                <w:lang w:val="zh-CN" w:bidi="zh-CN"/>
              </w:rPr>
              <w:t>）</w:t>
            </w:r>
          </w:p>
        </w:tc>
        <w:tc>
          <w:tcPr>
            <w:tcW w:w="2395" w:type="dxa"/>
            <w:gridSpan w:val="6"/>
            <w:tcBorders>
              <w:tl2br w:val="nil"/>
              <w:tr2bl w:val="nil"/>
            </w:tcBorders>
            <w:vAlign w:val="center"/>
          </w:tcPr>
          <w:p w14:paraId="2BD86838">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Ⅲ类</w:t>
            </w:r>
          </w:p>
        </w:tc>
        <w:tc>
          <w:tcPr>
            <w:tcW w:w="2739" w:type="dxa"/>
            <w:gridSpan w:val="3"/>
            <w:tcBorders>
              <w:tl2br w:val="nil"/>
              <w:tr2bl w:val="nil"/>
            </w:tcBorders>
            <w:vAlign w:val="center"/>
          </w:tcPr>
          <w:p w14:paraId="0B2A339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w:t>
            </w:r>
          </w:p>
        </w:tc>
      </w:tr>
      <w:tr w14:paraId="0E3BD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5444AB65">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3AD924EB">
            <w:pPr>
              <w:ind w:left="-105" w:right="-105"/>
              <w:jc w:val="center"/>
              <w:rPr>
                <w:rFonts w:ascii="Times New Roman" w:hAnsi="Times New Roman"/>
                <w:color w:val="auto"/>
                <w:sz w:val="21"/>
                <w:szCs w:val="21"/>
                <w:highlight w:val="none"/>
                <w:lang w:bidi="zh-CN"/>
              </w:rPr>
            </w:pPr>
            <w:r>
              <w:rPr>
                <w:rFonts w:hint="eastAsia" w:ascii="Times New Roman" w:hAnsi="Times New Roman"/>
                <w:color w:val="auto"/>
                <w:sz w:val="21"/>
                <w:szCs w:val="21"/>
                <w:highlight w:val="none"/>
                <w:lang w:bidi="zh-CN"/>
              </w:rPr>
              <w:t>2</w:t>
            </w:r>
          </w:p>
        </w:tc>
        <w:tc>
          <w:tcPr>
            <w:tcW w:w="2361" w:type="dxa"/>
            <w:gridSpan w:val="4"/>
            <w:tcBorders>
              <w:tl2br w:val="nil"/>
              <w:tr2bl w:val="nil"/>
            </w:tcBorders>
            <w:vAlign w:val="center"/>
          </w:tcPr>
          <w:p w14:paraId="2F3CBDE5">
            <w:pPr>
              <w:ind w:left="-105" w:right="-105"/>
              <w:jc w:val="center"/>
              <w:rPr>
                <w:rFonts w:ascii="Times New Roman" w:hAnsi="Times New Roman"/>
                <w:color w:val="auto"/>
                <w:sz w:val="21"/>
                <w:szCs w:val="21"/>
                <w:highlight w:val="none"/>
                <w:lang w:val="zh-CN" w:bidi="zh-CN"/>
              </w:rPr>
            </w:pPr>
            <w:r>
              <w:rPr>
                <w:rFonts w:hint="eastAsia"/>
                <w:color w:val="auto"/>
                <w:sz w:val="21"/>
                <w:szCs w:val="21"/>
                <w:highlight w:val="none"/>
              </w:rPr>
              <w:t>北</w:t>
            </w:r>
            <w:r>
              <w:rPr>
                <w:color w:val="auto"/>
                <w:sz w:val="21"/>
                <w:szCs w:val="21"/>
                <w:highlight w:val="none"/>
              </w:rPr>
              <w:t>兴塘</w:t>
            </w:r>
            <w:r>
              <w:rPr>
                <w:rFonts w:hint="eastAsia"/>
                <w:color w:val="auto"/>
                <w:sz w:val="21"/>
                <w:szCs w:val="21"/>
                <w:highlight w:val="none"/>
              </w:rPr>
              <w:t>（云林污水处理有限公司尾水排入）</w:t>
            </w:r>
          </w:p>
        </w:tc>
        <w:tc>
          <w:tcPr>
            <w:tcW w:w="2395" w:type="dxa"/>
            <w:gridSpan w:val="6"/>
            <w:tcBorders>
              <w:tl2br w:val="nil"/>
              <w:tr2bl w:val="nil"/>
            </w:tcBorders>
            <w:vAlign w:val="center"/>
          </w:tcPr>
          <w:p w14:paraId="199E864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Ⅲ类</w:t>
            </w:r>
          </w:p>
        </w:tc>
        <w:tc>
          <w:tcPr>
            <w:tcW w:w="2739" w:type="dxa"/>
            <w:gridSpan w:val="3"/>
            <w:tcBorders>
              <w:tl2br w:val="nil"/>
              <w:tr2bl w:val="nil"/>
            </w:tcBorders>
            <w:vAlign w:val="center"/>
          </w:tcPr>
          <w:p w14:paraId="00237F4D">
            <w:pPr>
              <w:ind w:left="-105" w:right="-105"/>
              <w:jc w:val="center"/>
              <w:rPr>
                <w:rFonts w:ascii="Times New Roman" w:hAnsi="Times New Roman"/>
                <w:color w:val="auto"/>
                <w:sz w:val="21"/>
                <w:szCs w:val="21"/>
                <w:highlight w:val="none"/>
                <w:lang w:val="zh-CN" w:bidi="zh-CN"/>
              </w:rPr>
            </w:pPr>
            <w:r>
              <w:rPr>
                <w:rFonts w:hint="eastAsia" w:ascii="Times New Roman" w:hAnsi="Times New Roman"/>
                <w:color w:val="auto"/>
                <w:sz w:val="21"/>
                <w:szCs w:val="21"/>
                <w:highlight w:val="none"/>
                <w:lang w:bidi="zh-CN"/>
              </w:rPr>
              <w:t>/</w:t>
            </w:r>
          </w:p>
        </w:tc>
      </w:tr>
      <w:tr w14:paraId="7DEDEA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32F7124">
            <w:pPr>
              <w:ind w:left="-105" w:right="-105"/>
              <w:jc w:val="center"/>
              <w:rPr>
                <w:rFonts w:ascii="Times New Roman" w:hAnsi="Times New Roman"/>
                <w:color w:val="auto"/>
                <w:sz w:val="21"/>
                <w:szCs w:val="21"/>
                <w:highlight w:val="none"/>
                <w:lang w:val="zh-CN" w:bidi="zh-CN"/>
              </w:rPr>
            </w:pPr>
          </w:p>
        </w:tc>
        <w:tc>
          <w:tcPr>
            <w:tcW w:w="8199" w:type="dxa"/>
            <w:gridSpan w:val="14"/>
            <w:tcBorders>
              <w:tl2br w:val="nil"/>
              <w:tr2bl w:val="nil"/>
            </w:tcBorders>
            <w:vAlign w:val="center"/>
          </w:tcPr>
          <w:p w14:paraId="349D0256">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内陆水体排放点下游10km范围内敏感目标</w:t>
            </w:r>
          </w:p>
        </w:tc>
      </w:tr>
      <w:tr w14:paraId="354AF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35854E69">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A89EC1A">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序号</w:t>
            </w:r>
          </w:p>
        </w:tc>
        <w:tc>
          <w:tcPr>
            <w:tcW w:w="1763" w:type="dxa"/>
            <w:gridSpan w:val="2"/>
            <w:tcBorders>
              <w:tl2br w:val="nil"/>
              <w:tr2bl w:val="nil"/>
            </w:tcBorders>
            <w:vAlign w:val="center"/>
          </w:tcPr>
          <w:p w14:paraId="1FEC84D9">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敏感目标名称</w:t>
            </w:r>
          </w:p>
        </w:tc>
        <w:tc>
          <w:tcPr>
            <w:tcW w:w="1795" w:type="dxa"/>
            <w:gridSpan w:val="5"/>
            <w:tcBorders>
              <w:tl2br w:val="nil"/>
              <w:tr2bl w:val="nil"/>
            </w:tcBorders>
            <w:vAlign w:val="center"/>
          </w:tcPr>
          <w:p w14:paraId="07B6F63A">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环境敏感特征</w:t>
            </w:r>
          </w:p>
        </w:tc>
        <w:tc>
          <w:tcPr>
            <w:tcW w:w="1795" w:type="dxa"/>
            <w:gridSpan w:val="4"/>
            <w:tcBorders>
              <w:tl2br w:val="nil"/>
              <w:tr2bl w:val="nil"/>
            </w:tcBorders>
            <w:vAlign w:val="center"/>
          </w:tcPr>
          <w:p w14:paraId="3932053A">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水质目标</w:t>
            </w:r>
          </w:p>
        </w:tc>
        <w:tc>
          <w:tcPr>
            <w:tcW w:w="2142" w:type="dxa"/>
            <w:gridSpan w:val="2"/>
            <w:tcBorders>
              <w:tl2br w:val="nil"/>
              <w:tr2bl w:val="nil"/>
            </w:tcBorders>
            <w:vAlign w:val="center"/>
          </w:tcPr>
          <w:p w14:paraId="7DCE04D3">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与排放点距离/m</w:t>
            </w:r>
          </w:p>
        </w:tc>
      </w:tr>
      <w:tr w14:paraId="3E7B70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8EE44DE">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538CA60D">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763" w:type="dxa"/>
            <w:gridSpan w:val="2"/>
            <w:tcBorders>
              <w:tl2br w:val="nil"/>
              <w:tr2bl w:val="nil"/>
            </w:tcBorders>
            <w:vAlign w:val="center"/>
          </w:tcPr>
          <w:p w14:paraId="43D23175">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795" w:type="dxa"/>
            <w:gridSpan w:val="5"/>
            <w:tcBorders>
              <w:tl2br w:val="nil"/>
              <w:tr2bl w:val="nil"/>
            </w:tcBorders>
            <w:vAlign w:val="center"/>
          </w:tcPr>
          <w:p w14:paraId="54EAC47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795" w:type="dxa"/>
            <w:gridSpan w:val="4"/>
            <w:tcBorders>
              <w:tl2br w:val="nil"/>
              <w:tr2bl w:val="nil"/>
            </w:tcBorders>
            <w:vAlign w:val="center"/>
          </w:tcPr>
          <w:p w14:paraId="14DDD8B8">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2142" w:type="dxa"/>
            <w:gridSpan w:val="2"/>
            <w:tcBorders>
              <w:tl2br w:val="nil"/>
              <w:tr2bl w:val="nil"/>
            </w:tcBorders>
            <w:vAlign w:val="center"/>
          </w:tcPr>
          <w:p w14:paraId="06E10127">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r>
      <w:tr w14:paraId="62C31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22BCB64D">
            <w:pPr>
              <w:ind w:left="-105" w:right="-105"/>
              <w:jc w:val="center"/>
              <w:rPr>
                <w:rFonts w:ascii="Times New Roman" w:hAnsi="Times New Roman"/>
                <w:color w:val="auto"/>
                <w:sz w:val="21"/>
                <w:szCs w:val="21"/>
                <w:highlight w:val="none"/>
                <w:lang w:val="zh-CN" w:bidi="zh-CN"/>
              </w:rPr>
            </w:pPr>
          </w:p>
        </w:tc>
        <w:tc>
          <w:tcPr>
            <w:tcW w:w="6057" w:type="dxa"/>
            <w:gridSpan w:val="12"/>
            <w:tcBorders>
              <w:tl2br w:val="nil"/>
              <w:tr2bl w:val="nil"/>
            </w:tcBorders>
            <w:vAlign w:val="center"/>
          </w:tcPr>
          <w:p w14:paraId="6704978F">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地表水环境敏感程度E值</w:t>
            </w:r>
          </w:p>
        </w:tc>
        <w:tc>
          <w:tcPr>
            <w:tcW w:w="2142" w:type="dxa"/>
            <w:gridSpan w:val="2"/>
            <w:tcBorders>
              <w:tl2br w:val="nil"/>
              <w:tr2bl w:val="nil"/>
            </w:tcBorders>
            <w:vAlign w:val="center"/>
          </w:tcPr>
          <w:p w14:paraId="402E3126">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E1</w:t>
            </w:r>
          </w:p>
        </w:tc>
      </w:tr>
      <w:tr w14:paraId="64252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restart"/>
            <w:tcBorders>
              <w:tl2br w:val="nil"/>
              <w:tr2bl w:val="nil"/>
            </w:tcBorders>
            <w:vAlign w:val="center"/>
          </w:tcPr>
          <w:p w14:paraId="62E638AB">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地下水</w:t>
            </w:r>
          </w:p>
        </w:tc>
        <w:tc>
          <w:tcPr>
            <w:tcW w:w="704" w:type="dxa"/>
            <w:tcBorders>
              <w:tl2br w:val="nil"/>
              <w:tr2bl w:val="nil"/>
            </w:tcBorders>
            <w:vAlign w:val="center"/>
          </w:tcPr>
          <w:p w14:paraId="43F6A43A">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序号</w:t>
            </w:r>
          </w:p>
        </w:tc>
        <w:tc>
          <w:tcPr>
            <w:tcW w:w="1405" w:type="dxa"/>
            <w:tcBorders>
              <w:tl2br w:val="nil"/>
              <w:tr2bl w:val="nil"/>
            </w:tcBorders>
            <w:vAlign w:val="center"/>
          </w:tcPr>
          <w:p w14:paraId="360BE2D1">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敏感目标名称</w:t>
            </w:r>
          </w:p>
        </w:tc>
        <w:tc>
          <w:tcPr>
            <w:tcW w:w="1434" w:type="dxa"/>
            <w:gridSpan w:val="4"/>
            <w:tcBorders>
              <w:tl2br w:val="nil"/>
              <w:tr2bl w:val="nil"/>
            </w:tcBorders>
            <w:vAlign w:val="center"/>
          </w:tcPr>
          <w:p w14:paraId="6CEECC7C">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环境敏感特征</w:t>
            </w:r>
          </w:p>
        </w:tc>
        <w:tc>
          <w:tcPr>
            <w:tcW w:w="1245" w:type="dxa"/>
            <w:gridSpan w:val="3"/>
            <w:tcBorders>
              <w:tl2br w:val="nil"/>
              <w:tr2bl w:val="nil"/>
            </w:tcBorders>
            <w:vAlign w:val="center"/>
          </w:tcPr>
          <w:p w14:paraId="349C7508">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水质目标</w:t>
            </w:r>
          </w:p>
        </w:tc>
        <w:tc>
          <w:tcPr>
            <w:tcW w:w="1663" w:type="dxa"/>
            <w:gridSpan w:val="4"/>
            <w:tcBorders>
              <w:tl2br w:val="nil"/>
              <w:tr2bl w:val="nil"/>
            </w:tcBorders>
            <w:vAlign w:val="center"/>
          </w:tcPr>
          <w:p w14:paraId="0EFD7A17">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包气带防污性能</w:t>
            </w:r>
          </w:p>
        </w:tc>
        <w:tc>
          <w:tcPr>
            <w:tcW w:w="1748" w:type="dxa"/>
            <w:tcBorders>
              <w:tl2br w:val="nil"/>
              <w:tr2bl w:val="nil"/>
            </w:tcBorders>
            <w:vAlign w:val="center"/>
          </w:tcPr>
          <w:p w14:paraId="2CEBF641">
            <w:pPr>
              <w:ind w:left="-105" w:right="-105"/>
              <w:jc w:val="center"/>
              <w:rPr>
                <w:rFonts w:ascii="Times New Roman" w:hAnsi="Times New Roman"/>
                <w:b/>
                <w:color w:val="auto"/>
                <w:sz w:val="21"/>
                <w:szCs w:val="21"/>
                <w:highlight w:val="none"/>
                <w:lang w:val="zh-CN" w:bidi="zh-CN"/>
              </w:rPr>
            </w:pPr>
            <w:r>
              <w:rPr>
                <w:rFonts w:ascii="Times New Roman" w:hAnsi="Times New Roman"/>
                <w:b/>
                <w:color w:val="auto"/>
                <w:sz w:val="21"/>
                <w:szCs w:val="21"/>
                <w:highlight w:val="none"/>
                <w:lang w:val="zh-CN" w:bidi="zh-CN"/>
              </w:rPr>
              <w:t>与排放点距离/m</w:t>
            </w:r>
          </w:p>
        </w:tc>
      </w:tr>
      <w:tr w14:paraId="6A48A9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410E4A20">
            <w:pPr>
              <w:ind w:left="-105" w:right="-105"/>
              <w:jc w:val="center"/>
              <w:rPr>
                <w:rFonts w:ascii="Times New Roman" w:hAnsi="Times New Roman"/>
                <w:color w:val="auto"/>
                <w:sz w:val="21"/>
                <w:szCs w:val="21"/>
                <w:highlight w:val="none"/>
                <w:lang w:val="zh-CN" w:bidi="zh-CN"/>
              </w:rPr>
            </w:pPr>
          </w:p>
        </w:tc>
        <w:tc>
          <w:tcPr>
            <w:tcW w:w="704" w:type="dxa"/>
            <w:tcBorders>
              <w:tl2br w:val="nil"/>
              <w:tr2bl w:val="nil"/>
            </w:tcBorders>
            <w:vAlign w:val="center"/>
          </w:tcPr>
          <w:p w14:paraId="05E868F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405" w:type="dxa"/>
            <w:tcBorders>
              <w:tl2br w:val="nil"/>
              <w:tr2bl w:val="nil"/>
            </w:tcBorders>
            <w:vAlign w:val="center"/>
          </w:tcPr>
          <w:p w14:paraId="5681304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434" w:type="dxa"/>
            <w:gridSpan w:val="4"/>
            <w:tcBorders>
              <w:tl2br w:val="nil"/>
              <w:tr2bl w:val="nil"/>
            </w:tcBorders>
            <w:vAlign w:val="center"/>
          </w:tcPr>
          <w:p w14:paraId="398C112E">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245" w:type="dxa"/>
            <w:gridSpan w:val="3"/>
            <w:tcBorders>
              <w:tl2br w:val="nil"/>
              <w:tr2bl w:val="nil"/>
            </w:tcBorders>
            <w:vAlign w:val="center"/>
          </w:tcPr>
          <w:p w14:paraId="4D5AB953">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663" w:type="dxa"/>
            <w:gridSpan w:val="4"/>
            <w:tcBorders>
              <w:tl2br w:val="nil"/>
              <w:tr2bl w:val="nil"/>
            </w:tcBorders>
            <w:vAlign w:val="center"/>
          </w:tcPr>
          <w:p w14:paraId="241980AA">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c>
          <w:tcPr>
            <w:tcW w:w="1748" w:type="dxa"/>
            <w:tcBorders>
              <w:tl2br w:val="nil"/>
              <w:tr2bl w:val="nil"/>
            </w:tcBorders>
            <w:vAlign w:val="center"/>
          </w:tcPr>
          <w:p w14:paraId="3AC74791">
            <w:pPr>
              <w:ind w:left="-105" w:right="-105"/>
              <w:jc w:val="center"/>
              <w:rPr>
                <w:rFonts w:ascii="Times New Roman" w:hAnsi="Times New Roman"/>
                <w:color w:val="auto"/>
                <w:sz w:val="21"/>
                <w:szCs w:val="21"/>
                <w:highlight w:val="none"/>
                <w:lang w:val="zh-CN" w:bidi="zh-CN"/>
              </w:rPr>
            </w:pPr>
            <w:r>
              <w:rPr>
                <w:rFonts w:ascii="Times New Roman" w:hAnsi="Times New Roman"/>
                <w:color w:val="auto"/>
                <w:sz w:val="21"/>
                <w:szCs w:val="21"/>
                <w:highlight w:val="none"/>
                <w:lang w:val="zh-CN" w:bidi="zh-CN"/>
              </w:rPr>
              <w:t>/</w:t>
            </w:r>
          </w:p>
        </w:tc>
      </w:tr>
      <w:tr w14:paraId="5E38D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1" w:type="dxa"/>
            <w:vMerge w:val="continue"/>
            <w:tcBorders>
              <w:tl2br w:val="nil"/>
              <w:tr2bl w:val="nil"/>
            </w:tcBorders>
            <w:vAlign w:val="center"/>
          </w:tcPr>
          <w:p w14:paraId="6BE07870">
            <w:pPr>
              <w:ind w:left="-105" w:right="-105"/>
              <w:jc w:val="center"/>
              <w:rPr>
                <w:rFonts w:ascii="Times New Roman" w:hAnsi="Times New Roman"/>
                <w:color w:val="auto"/>
                <w:sz w:val="21"/>
                <w:szCs w:val="21"/>
                <w:highlight w:val="none"/>
                <w:lang w:val="zh-CN" w:bidi="zh-CN"/>
              </w:rPr>
            </w:pPr>
          </w:p>
        </w:tc>
        <w:tc>
          <w:tcPr>
            <w:tcW w:w="6451" w:type="dxa"/>
            <w:gridSpan w:val="13"/>
            <w:tcBorders>
              <w:tl2br w:val="nil"/>
              <w:tr2bl w:val="nil"/>
            </w:tcBorders>
            <w:vAlign w:val="center"/>
          </w:tcPr>
          <w:p w14:paraId="15D4375D">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地下水环境敏感程度E值</w:t>
            </w:r>
          </w:p>
        </w:tc>
        <w:tc>
          <w:tcPr>
            <w:tcW w:w="1748" w:type="dxa"/>
            <w:tcBorders>
              <w:tl2br w:val="nil"/>
              <w:tr2bl w:val="nil"/>
            </w:tcBorders>
            <w:vAlign w:val="center"/>
          </w:tcPr>
          <w:p w14:paraId="10AFB5C0">
            <w:pPr>
              <w:ind w:left="-105" w:right="-105"/>
              <w:jc w:val="center"/>
              <w:rPr>
                <w:rFonts w:ascii="Times New Roman" w:hAnsi="Times New Roman"/>
                <w:color w:val="auto"/>
                <w:sz w:val="21"/>
                <w:szCs w:val="21"/>
                <w:highlight w:val="none"/>
                <w:lang w:val="zh-CN" w:bidi="zh-CN"/>
              </w:rPr>
            </w:pPr>
            <w:r>
              <w:rPr>
                <w:rFonts w:ascii="Times New Roman" w:hAnsi="Times New Roman" w:cs="Times New Roman"/>
                <w:color w:val="auto"/>
                <w:sz w:val="21"/>
                <w:szCs w:val="21"/>
                <w:highlight w:val="none"/>
                <w:lang w:val="zh-CN" w:bidi="zh-CN"/>
              </w:rPr>
              <w:t>E3</w:t>
            </w:r>
          </w:p>
        </w:tc>
      </w:tr>
    </w:tbl>
    <w:p w14:paraId="6B05C7B8">
      <w:pPr>
        <w:pStyle w:val="4"/>
        <w:numPr>
          <w:ilvl w:val="1"/>
          <w:numId w:val="6"/>
        </w:numPr>
        <w:tabs>
          <w:tab w:val="left" w:pos="426"/>
        </w:tabs>
        <w:spacing w:before="120" w:beforeLines="50" w:line="360" w:lineRule="auto"/>
        <w:ind w:left="-105" w:right="-105"/>
        <w:rPr>
          <w:rFonts w:ascii="Times New Roman" w:eastAsia="宋体"/>
          <w:color w:val="auto"/>
          <w:sz w:val="28"/>
          <w:szCs w:val="28"/>
          <w:highlight w:val="none"/>
        </w:rPr>
      </w:pPr>
      <w:bookmarkStart w:id="170" w:name="_Toc60653455"/>
      <w:bookmarkStart w:id="171" w:name="_Toc14893"/>
      <w:r>
        <w:rPr>
          <w:rFonts w:ascii="Times New Roman" w:eastAsia="宋体"/>
          <w:color w:val="auto"/>
          <w:sz w:val="28"/>
          <w:szCs w:val="28"/>
          <w:highlight w:val="none"/>
        </w:rPr>
        <w:t>环境功能区划及相关规划</w:t>
      </w:r>
      <w:bookmarkEnd w:id="165"/>
      <w:bookmarkEnd w:id="166"/>
      <w:bookmarkEnd w:id="167"/>
      <w:bookmarkEnd w:id="170"/>
      <w:bookmarkEnd w:id="171"/>
    </w:p>
    <w:p w14:paraId="3B622DF7">
      <w:pPr>
        <w:pStyle w:val="5"/>
        <w:keepLines w:val="0"/>
        <w:numPr>
          <w:ilvl w:val="2"/>
          <w:numId w:val="6"/>
        </w:numPr>
        <w:tabs>
          <w:tab w:val="left" w:pos="709"/>
        </w:tabs>
        <w:spacing w:before="120" w:beforeLines="50" w:after="0" w:line="360" w:lineRule="auto"/>
        <w:ind w:left="-105" w:right="-105"/>
        <w:rPr>
          <w:rFonts w:eastAsia="宋体"/>
          <w:color w:val="auto"/>
          <w:sz w:val="28"/>
          <w:szCs w:val="28"/>
          <w:highlight w:val="none"/>
        </w:rPr>
      </w:pPr>
      <w:bookmarkStart w:id="172" w:name="_Toc60653456"/>
      <w:r>
        <w:rPr>
          <w:rFonts w:eastAsia="宋体"/>
          <w:color w:val="auto"/>
          <w:sz w:val="28"/>
          <w:szCs w:val="28"/>
          <w:highlight w:val="none"/>
        </w:rPr>
        <w:t>环境功能区划</w:t>
      </w:r>
      <w:bookmarkEnd w:id="172"/>
    </w:p>
    <w:p w14:paraId="36E60819">
      <w:pPr>
        <w:tabs>
          <w:tab w:val="left" w:pos="993"/>
          <w:tab w:val="left" w:pos="1276"/>
        </w:tabs>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①</w:t>
      </w:r>
      <w:r>
        <w:rPr>
          <w:rFonts w:ascii="Times New Roman" w:hAnsi="Times New Roman"/>
          <w:color w:val="auto"/>
          <w:highlight w:val="none"/>
        </w:rPr>
        <w:t>环境空气：根据《市政府办公室关于转发市环保局无锡市环境空气质量功能区划规定的通知》(锡政办发</w:t>
      </w:r>
      <w:r>
        <w:rPr>
          <w:rFonts w:hint="eastAsia" w:ascii="Times New Roman" w:hAnsi="Times New Roman"/>
          <w:color w:val="auto"/>
          <w:highlight w:val="none"/>
          <w:lang w:val="en-US" w:eastAsia="zh-CN"/>
        </w:rPr>
        <w:t>[</w:t>
      </w:r>
      <w:r>
        <w:rPr>
          <w:rFonts w:ascii="Times New Roman" w:hAnsi="Times New Roman"/>
          <w:color w:val="auto"/>
          <w:highlight w:val="none"/>
        </w:rPr>
        <w:t>2011</w:t>
      </w:r>
      <w:r>
        <w:rPr>
          <w:rFonts w:hint="eastAsia" w:ascii="Times New Roman" w:hAnsi="Times New Roman"/>
          <w:color w:val="auto"/>
          <w:highlight w:val="none"/>
          <w:lang w:val="en-US" w:eastAsia="zh-CN"/>
        </w:rPr>
        <w:t>]</w:t>
      </w:r>
      <w:r>
        <w:rPr>
          <w:rFonts w:ascii="Times New Roman" w:hAnsi="Times New Roman"/>
          <w:color w:val="auto"/>
          <w:highlight w:val="none"/>
        </w:rPr>
        <w:t>300号文件)，项目所在地环境空气质量功能区为《环境空气质量标准》(GB3095-2012)中的二类区。</w:t>
      </w:r>
    </w:p>
    <w:p w14:paraId="4698A2B6">
      <w:pPr>
        <w:tabs>
          <w:tab w:val="left" w:pos="993"/>
          <w:tab w:val="left" w:pos="1276"/>
        </w:tabs>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②</w:t>
      </w:r>
      <w:r>
        <w:rPr>
          <w:rFonts w:ascii="Times New Roman" w:hAnsi="Times New Roman"/>
          <w:color w:val="auto"/>
          <w:highlight w:val="none"/>
        </w:rPr>
        <w:t>地表水环境：</w:t>
      </w:r>
      <w:r>
        <w:rPr>
          <w:rFonts w:ascii="Times New Roman" w:hAnsi="Times New Roman" w:cs="Times New Roman"/>
          <w:color w:val="auto"/>
          <w:szCs w:val="22"/>
          <w:highlight w:val="none"/>
        </w:rPr>
        <w:t>根据《江苏省地表水（环境）功能区划（2021—2030年）》（苏环办[2022]82号），</w:t>
      </w:r>
      <w:r>
        <w:rPr>
          <w:rFonts w:hint="eastAsia" w:ascii="Times New Roman" w:hAnsi="Times New Roman" w:cs="Times New Roman"/>
          <w:color w:val="auto"/>
          <w:highlight w:val="none"/>
        </w:rPr>
        <w:t>无锡市锡山云林污水处理有限公司</w:t>
      </w:r>
      <w:r>
        <w:rPr>
          <w:rFonts w:ascii="Times New Roman" w:hAnsi="Times New Roman"/>
          <w:color w:val="auto"/>
          <w:highlight w:val="none"/>
        </w:rPr>
        <w:t>纳污河流</w:t>
      </w:r>
      <w:r>
        <w:rPr>
          <w:rFonts w:hint="eastAsia" w:ascii="Times New Roman" w:hAnsi="Times New Roman"/>
          <w:color w:val="auto"/>
          <w:highlight w:val="none"/>
        </w:rPr>
        <w:t>北兴塘河</w:t>
      </w:r>
      <w:r>
        <w:rPr>
          <w:rFonts w:ascii="Times New Roman" w:hAnsi="Times New Roman"/>
          <w:color w:val="auto"/>
          <w:highlight w:val="none"/>
        </w:rPr>
        <w:t>20</w:t>
      </w:r>
      <w:r>
        <w:rPr>
          <w:rFonts w:hint="eastAsia" w:ascii="Times New Roman" w:hAnsi="Times New Roman"/>
          <w:color w:val="auto"/>
          <w:highlight w:val="none"/>
        </w:rPr>
        <w:t>3</w:t>
      </w:r>
      <w:r>
        <w:rPr>
          <w:rFonts w:ascii="Times New Roman" w:hAnsi="Times New Roman"/>
          <w:color w:val="auto"/>
          <w:highlight w:val="none"/>
        </w:rPr>
        <w:t>0年水质目标为Ⅲ类水体。</w:t>
      </w:r>
    </w:p>
    <w:p w14:paraId="5F91489A">
      <w:pPr>
        <w:tabs>
          <w:tab w:val="left" w:pos="993"/>
          <w:tab w:val="left" w:pos="1276"/>
        </w:tabs>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③</w:t>
      </w:r>
      <w:r>
        <w:rPr>
          <w:rFonts w:ascii="Times New Roman" w:hAnsi="Times New Roman"/>
          <w:color w:val="auto"/>
          <w:highlight w:val="none"/>
        </w:rPr>
        <w:t>声环境：</w:t>
      </w:r>
      <w:r>
        <w:rPr>
          <w:rFonts w:hint="eastAsia" w:ascii="Times New Roman" w:hAnsi="Times New Roman"/>
          <w:color w:val="auto"/>
          <w:highlight w:val="none"/>
        </w:rPr>
        <w:t>根据《无锡市区声环境功能区划分调整方案》（锡政办发[2018]157号），项目所在地声环境功能类别为3类区，执行《声环境质量标准》（GB3096-2008）中3类区标准</w:t>
      </w:r>
      <w:r>
        <w:rPr>
          <w:rFonts w:ascii="Times New Roman" w:hAnsi="Times New Roman"/>
          <w:color w:val="auto"/>
          <w:highlight w:val="none"/>
        </w:rPr>
        <w:t>。</w:t>
      </w:r>
    </w:p>
    <w:p w14:paraId="12BD8725">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④</w:t>
      </w:r>
      <w:r>
        <w:rPr>
          <w:rFonts w:ascii="Times New Roman" w:hAnsi="Times New Roman" w:cs="Times New Roman"/>
          <w:color w:val="auto"/>
          <w:szCs w:val="22"/>
          <w:highlight w:val="none"/>
        </w:rPr>
        <w:t>土壤环境：项目所在地属于二类工业用地，根据《土壤环境质量 建设用地土壤污染风险管控标准（试行）》（GB36600-2018），土壤环境质量执行第二类用地筛选值、管控值标准。</w:t>
      </w:r>
    </w:p>
    <w:p w14:paraId="40AEE448">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⑤</w:t>
      </w:r>
      <w:r>
        <w:rPr>
          <w:rFonts w:ascii="Times New Roman" w:hAnsi="Times New Roman" w:cs="Times New Roman"/>
          <w:color w:val="auto"/>
          <w:szCs w:val="22"/>
          <w:highlight w:val="none"/>
        </w:rPr>
        <w:t>地下水环境：本项目所在地地下水未划分环境功能，地下水质量执行《地下水质量标准》（GB/T14848-2017）中标准。</w:t>
      </w:r>
    </w:p>
    <w:bookmarkEnd w:id="111"/>
    <w:bookmarkEnd w:id="112"/>
    <w:bookmarkEnd w:id="113"/>
    <w:bookmarkEnd w:id="114"/>
    <w:bookmarkEnd w:id="115"/>
    <w:bookmarkEnd w:id="116"/>
    <w:bookmarkEnd w:id="117"/>
    <w:bookmarkEnd w:id="118"/>
    <w:bookmarkEnd w:id="119"/>
    <w:p w14:paraId="765D2644">
      <w:pPr>
        <w:pStyle w:val="5"/>
        <w:keepLines w:val="0"/>
        <w:numPr>
          <w:ilvl w:val="2"/>
          <w:numId w:val="6"/>
        </w:numPr>
        <w:tabs>
          <w:tab w:val="left" w:pos="141"/>
          <w:tab w:val="left" w:pos="709"/>
        </w:tabs>
        <w:spacing w:before="120" w:beforeLines="50" w:after="120" w:afterLines="50" w:line="360" w:lineRule="auto"/>
        <w:ind w:left="-105" w:right="-105"/>
        <w:rPr>
          <w:rFonts w:eastAsia="宋体"/>
          <w:color w:val="auto"/>
          <w:sz w:val="28"/>
          <w:szCs w:val="28"/>
          <w:highlight w:val="none"/>
        </w:rPr>
      </w:pPr>
      <w:bookmarkStart w:id="173" w:name="_Toc60653457"/>
      <w:bookmarkStart w:id="174" w:name="_Toc148873871"/>
      <w:bookmarkStart w:id="175" w:name="_Toc250145650"/>
      <w:bookmarkStart w:id="176" w:name="_Toc353842410"/>
      <w:bookmarkStart w:id="177" w:name="_Ref346180776"/>
      <w:bookmarkStart w:id="178" w:name="_Toc13641"/>
      <w:bookmarkStart w:id="179" w:name="_Toc471803692"/>
      <w:bookmarkStart w:id="180" w:name="_Ref346180774"/>
      <w:bookmarkStart w:id="181" w:name="_Toc327968204"/>
      <w:bookmarkStart w:id="182" w:name="_Ref327967463"/>
      <w:bookmarkStart w:id="183" w:name="_Ref327967465"/>
      <w:bookmarkStart w:id="184" w:name="_Toc60653464"/>
      <w:bookmarkStart w:id="185" w:name="_Toc28520"/>
      <w:bookmarkStart w:id="186" w:name="_Toc404670196"/>
      <w:bookmarkStart w:id="187" w:name="_Toc366657228"/>
      <w:bookmarkStart w:id="188" w:name="_Toc366483276"/>
      <w:r>
        <w:rPr>
          <w:rFonts w:eastAsia="宋体"/>
          <w:color w:val="auto"/>
          <w:sz w:val="28"/>
          <w:szCs w:val="28"/>
          <w:highlight w:val="none"/>
        </w:rPr>
        <w:t>规划</w:t>
      </w:r>
      <w:bookmarkEnd w:id="173"/>
      <w:r>
        <w:rPr>
          <w:rFonts w:hint="eastAsia" w:eastAsia="宋体"/>
          <w:color w:val="auto"/>
          <w:sz w:val="28"/>
          <w:szCs w:val="28"/>
          <w:highlight w:val="none"/>
        </w:rPr>
        <w:t>相符性分析</w:t>
      </w:r>
    </w:p>
    <w:p w14:paraId="2FC1702C">
      <w:pPr>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根据无锡市规划设计研究院编制的《无锡市锡山区锡北镇总体规划(2015-2030)》，规划范围为锡北镇域，总面积63.3平方公里。规划主要内容：</w:t>
      </w:r>
    </w:p>
    <w:p w14:paraId="49FECB45">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①</w:t>
      </w:r>
      <w:r>
        <w:rPr>
          <w:rFonts w:ascii="Times New Roman" w:hAnsi="Times New Roman" w:cs="Times New Roman"/>
          <w:color w:val="auto"/>
          <w:szCs w:val="22"/>
          <w:highlight w:val="none"/>
        </w:rPr>
        <w:t>规划背景：为贯彻落实新时期创新、协调、绿色、开放、共享五大发展理念，推进新型城镇化和城乡一体化发展，指导锡北镇城乡建设，促进锡北镇经济、社会全面协调可持续发展，依照《中华人民共和国城乡规划法》，特编制《无锡市锡山区锡北镇总体规划(2015-2030)》。</w:t>
      </w:r>
    </w:p>
    <w:p w14:paraId="3923374C">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②</w:t>
      </w:r>
      <w:r>
        <w:rPr>
          <w:rFonts w:ascii="Times New Roman" w:hAnsi="Times New Roman" w:cs="Times New Roman"/>
          <w:color w:val="auto"/>
          <w:szCs w:val="22"/>
          <w:highlight w:val="none"/>
        </w:rPr>
        <w:t>发展目标：区域统筹发展、三产联动发展，将锡北镇建设成为经济产业强、社会生活富、生态环境美的宜居城镇。</w:t>
      </w:r>
    </w:p>
    <w:p w14:paraId="263D94B8">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③</w:t>
      </w:r>
      <w:r>
        <w:rPr>
          <w:rFonts w:ascii="Times New Roman" w:hAnsi="Times New Roman" w:cs="Times New Roman"/>
          <w:color w:val="auto"/>
          <w:szCs w:val="22"/>
          <w:highlight w:val="none"/>
        </w:rPr>
        <w:t>城镇性质与规模：锡北镇的城镇性质为“无锡三产联动活力新镇、锡澄一体化先导区(之一)、江南生态休闲旅游小镇”。锡北镇城镇名片为“活力新镇、禅茶小镇”。近期2020年规划城镇建设用地约13.63平方公里。远期2030年规划城镇建设用地约16.4平方公里。</w:t>
      </w:r>
    </w:p>
    <w:p w14:paraId="6DD308E7">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④</w:t>
      </w:r>
      <w:r>
        <w:rPr>
          <w:rFonts w:ascii="Times New Roman" w:hAnsi="Times New Roman" w:cs="Times New Roman"/>
          <w:color w:val="auto"/>
          <w:szCs w:val="22"/>
          <w:highlight w:val="none"/>
        </w:rPr>
        <w:t>空间结构：规划形成</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两片、四区、两带、双心</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的镇域空间结构。其中两片指张泾和八士两片；四区指斗山农业生态园区、高科技农业示范园区(台创园)、一南一北两个多元活力乡村区；两带指泉山路城镇特色彰显带和老锡沙路公共配套集中带；双心指张泾、八士两个综合服务中心。</w:t>
      </w:r>
    </w:p>
    <w:p w14:paraId="78634FC0">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⑤</w:t>
      </w:r>
      <w:r>
        <w:rPr>
          <w:rFonts w:ascii="Times New Roman" w:hAnsi="Times New Roman" w:cs="Times New Roman"/>
          <w:color w:val="auto"/>
          <w:szCs w:val="22"/>
          <w:highlight w:val="none"/>
        </w:rPr>
        <w:t>产业规划：镇域三次产业联动发展，重点发展张泾、八士两个工业园区，以机械装备、特种金属等为主导产业，立足本地优势、促进存量利用与提质增效。鼓励现代农业向休闲旅游业融合，提高农业空间综合价值。斗山南部依托城镇拓展，发展生态休闲服务，填补城镇区域的服务空白。</w:t>
      </w:r>
    </w:p>
    <w:p w14:paraId="7DA5E25F">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⑥</w:t>
      </w:r>
      <w:r>
        <w:rPr>
          <w:rFonts w:ascii="Times New Roman" w:hAnsi="Times New Roman" w:cs="Times New Roman"/>
          <w:color w:val="auto"/>
          <w:szCs w:val="22"/>
          <w:highlight w:val="none"/>
        </w:rPr>
        <w:t>用地布局：八士、张泾各自集聚发展，之间严格控制生态廊道。八士向西和向南，融入主城发展；张泾向东联动工业园区，向北紧凑拓展。优化城镇建设用地内部结构，逐渐清退生活区内有影响的低效工业用地，保障道路和市政基础设施用地，增加公共服务设施用地和绿地，优化城镇服务功能和环境品质，提升商业服务业发展水平，完善高品质文化休闲旅游度假配套设施。</w:t>
      </w:r>
    </w:p>
    <w:p w14:paraId="34DD158A">
      <w:pPr>
        <w:spacing w:line="360" w:lineRule="auto"/>
        <w:ind w:left="-105" w:right="-105" w:firstLine="480" w:firstLineChars="200"/>
        <w:jc w:val="both"/>
        <w:rPr>
          <w:rFonts w:ascii="Times New Roman" w:hAnsi="Times New Roman" w:cs="Times New Roman"/>
          <w:color w:val="auto"/>
          <w:szCs w:val="22"/>
          <w:highlight w:val="none"/>
        </w:rPr>
      </w:pPr>
      <w:r>
        <w:rPr>
          <w:rFonts w:hint="eastAsia"/>
          <w:color w:val="auto"/>
          <w:szCs w:val="22"/>
          <w:highlight w:val="none"/>
        </w:rPr>
        <w:t>⑦</w:t>
      </w:r>
      <w:r>
        <w:rPr>
          <w:rFonts w:ascii="Times New Roman" w:hAnsi="Times New Roman" w:cs="Times New Roman"/>
          <w:color w:val="auto"/>
          <w:szCs w:val="22"/>
          <w:highlight w:val="none"/>
        </w:rPr>
        <w:t>综合交通：对镇域综合交通体系进行规划梳理，分别从镇域对外交通、板块内外交通、公共交通、慢行交通及静态交通等方面进行综合考虑，形成与镇域经济社会发展相协调、功能布局完善、服务水平优良、技术水平领先、规模适当的镇域综合交通网络。</w:t>
      </w:r>
    </w:p>
    <w:p w14:paraId="30F74AB8">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⑧环保基础设施：</w:t>
      </w:r>
      <w:r>
        <w:rPr>
          <w:rFonts w:hint="eastAsia" w:ascii="Times New Roman" w:hAnsi="Times New Roman" w:cs="Times New Roman"/>
          <w:color w:val="auto"/>
          <w:highlight w:val="none"/>
        </w:rPr>
        <w:t>北兴塘河以北地区污水排入无锡市锡山云林污水处理有限公司(6万m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/d)处理，北兴塘河以南地区污水排入无锡市锡山区龙亭污水处理有限公司(12万m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/d)处理。团结污水泵站远期规模为2.8万m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/d，春笋路污水泵站远期规模为2.0万m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/d。沿春晖路规划d400-d800污水管接入团结大道污水管，沿春笋路规划d400-d800污水管接入团结大道污水管，沿锡虞路规划d400-d500污水管接入团结大道污水管，在其余道路上敷设d400～d500管</w:t>
      </w:r>
      <w:r>
        <w:rPr>
          <w:rFonts w:ascii="Times New Roman" w:hAnsi="Times New Roman" w:cs="Times New Roman"/>
          <w:color w:val="auto"/>
          <w:szCs w:val="22"/>
          <w:highlight w:val="none"/>
        </w:rPr>
        <w:t>。</w:t>
      </w:r>
    </w:p>
    <w:p w14:paraId="76BAA0B5">
      <w:pPr>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本项目位于</w:t>
      </w:r>
      <w:r>
        <w:rPr>
          <w:rFonts w:hint="eastAsia" w:ascii="Times New Roman" w:hAnsi="Times New Roman" w:cs="Times New Roman"/>
          <w:color w:val="auto"/>
          <w:szCs w:val="22"/>
          <w:highlight w:val="none"/>
        </w:rPr>
        <w:t>无锡市锡山区锡北镇新坝村新达路6号</w:t>
      </w:r>
      <w:r>
        <w:rPr>
          <w:rFonts w:ascii="Times New Roman" w:hAnsi="Times New Roman" w:cs="Times New Roman"/>
          <w:color w:val="auto"/>
          <w:szCs w:val="22"/>
          <w:highlight w:val="none"/>
        </w:rPr>
        <w:t>，根据企业出具的</w:t>
      </w:r>
      <w:r>
        <w:rPr>
          <w:rFonts w:hint="eastAsia" w:ascii="Times New Roman" w:hAnsi="Times New Roman" w:cs="Times New Roman"/>
          <w:color w:val="auto"/>
          <w:szCs w:val="22"/>
          <w:highlight w:val="none"/>
        </w:rPr>
        <w:t>房产证</w:t>
      </w:r>
      <w:r>
        <w:rPr>
          <w:rFonts w:ascii="Times New Roman" w:hAnsi="Times New Roman" w:cs="Times New Roman"/>
          <w:color w:val="auto"/>
          <w:szCs w:val="22"/>
          <w:highlight w:val="none"/>
        </w:rPr>
        <w:t>该土地用途为工业用地，结合《无锡市锡山区锡北镇总体规划图》</w:t>
      </w:r>
      <w:r>
        <w:rPr>
          <w:rFonts w:hint="eastAsia" w:ascii="Times New Roman" w:hAnsi="Times New Roman" w:cs="Times New Roman"/>
          <w:color w:val="auto"/>
          <w:szCs w:val="22"/>
          <w:highlight w:val="none"/>
        </w:rPr>
        <w:t>和《八士-陆家巷、八士-八士管理单元更新后土地利用规划图</w:t>
      </w:r>
      <w:r>
        <w:rPr>
          <w:rFonts w:ascii="Times New Roman" w:hAnsi="Times New Roman" w:cs="Times New Roman"/>
          <w:color w:val="auto"/>
          <w:szCs w:val="22"/>
          <w:highlight w:val="none"/>
        </w:rPr>
        <w:t>》，该地块为二类工业用地，该地块符合无锡市锡山区用地规划的要求。</w:t>
      </w:r>
      <w:r>
        <w:rPr>
          <w:rFonts w:hint="eastAsia" w:ascii="Times New Roman" w:hAnsi="Times New Roman" w:cs="Times New Roman"/>
          <w:color w:val="auto"/>
          <w:szCs w:val="22"/>
          <w:highlight w:val="none"/>
        </w:rPr>
        <w:t>本</w:t>
      </w:r>
      <w:r>
        <w:rPr>
          <w:rFonts w:ascii="Times New Roman" w:hAnsi="Times New Roman" w:cs="Times New Roman"/>
          <w:color w:val="auto"/>
          <w:szCs w:val="22"/>
          <w:highlight w:val="none"/>
        </w:rPr>
        <w:t>项目从事</w:t>
      </w:r>
      <w:r>
        <w:rPr>
          <w:rFonts w:hint="eastAsia" w:ascii="Times New Roman" w:hAnsi="Times New Roman"/>
          <w:color w:val="auto"/>
          <w:highlight w:val="none"/>
        </w:rPr>
        <w:t>电子化工材料制造</w:t>
      </w:r>
      <w:r>
        <w:rPr>
          <w:rFonts w:ascii="Times New Roman" w:hAnsi="Times New Roman" w:cs="Times New Roman"/>
          <w:color w:val="auto"/>
          <w:szCs w:val="22"/>
          <w:highlight w:val="none"/>
        </w:rPr>
        <w:t>生产，</w:t>
      </w:r>
      <w:r>
        <w:rPr>
          <w:rFonts w:hint="eastAsia" w:ascii="Times New Roman" w:hAnsi="Times New Roman" w:cs="Times New Roman"/>
          <w:color w:val="auto"/>
          <w:szCs w:val="22"/>
          <w:highlight w:val="none"/>
        </w:rPr>
        <w:t>不</w:t>
      </w:r>
      <w:r>
        <w:rPr>
          <w:rFonts w:ascii="Times New Roman" w:hAnsi="Times New Roman" w:cs="Times New Roman"/>
          <w:color w:val="auto"/>
          <w:szCs w:val="22"/>
          <w:highlight w:val="none"/>
        </w:rPr>
        <w:t>属于</w:t>
      </w:r>
      <w:r>
        <w:rPr>
          <w:rFonts w:hint="eastAsia" w:ascii="Times New Roman" w:hAnsi="Times New Roman" w:cs="Times New Roman"/>
          <w:color w:val="auto"/>
          <w:szCs w:val="22"/>
          <w:highlight w:val="none"/>
        </w:rPr>
        <w:t>禁止类</w:t>
      </w:r>
      <w:r>
        <w:rPr>
          <w:rFonts w:ascii="Times New Roman" w:hAnsi="Times New Roman" w:cs="Times New Roman"/>
          <w:color w:val="auto"/>
          <w:szCs w:val="22"/>
          <w:highlight w:val="none"/>
        </w:rPr>
        <w:t>产业，符合锡北镇产业规划</w:t>
      </w:r>
      <w:r>
        <w:rPr>
          <w:rFonts w:hint="eastAsia" w:ascii="Times New Roman" w:hAnsi="Times New Roman" w:cs="Times New Roman"/>
          <w:color w:val="auto"/>
          <w:szCs w:val="22"/>
          <w:highlight w:val="none"/>
        </w:rPr>
        <w:t>，</w:t>
      </w:r>
      <w:r>
        <w:rPr>
          <w:color w:val="auto"/>
          <w:highlight w:val="none"/>
        </w:rPr>
        <w:t>本项目</w:t>
      </w:r>
      <w:r>
        <w:rPr>
          <w:rFonts w:hint="eastAsia"/>
          <w:color w:val="auto"/>
          <w:highlight w:val="none"/>
        </w:rPr>
        <w:t>位于</w:t>
      </w:r>
      <w:r>
        <w:rPr>
          <w:rFonts w:hint="eastAsia" w:ascii="Times New Roman" w:hAnsi="Times New Roman" w:cs="Times New Roman"/>
          <w:color w:val="auto"/>
          <w:szCs w:val="22"/>
          <w:highlight w:val="none"/>
        </w:rPr>
        <w:t>无锡市锡山云林污水处理有限公司纳污范围内，产生的</w:t>
      </w:r>
      <w:r>
        <w:rPr>
          <w:color w:val="auto"/>
          <w:highlight w:val="none"/>
        </w:rPr>
        <w:t>污水</w:t>
      </w:r>
      <w:r>
        <w:rPr>
          <w:rFonts w:hint="eastAsia"/>
          <w:color w:val="auto"/>
          <w:highlight w:val="none"/>
        </w:rPr>
        <w:t>最终</w:t>
      </w:r>
      <w:r>
        <w:rPr>
          <w:color w:val="auto"/>
          <w:highlight w:val="none"/>
        </w:rPr>
        <w:t>进入</w:t>
      </w:r>
      <w:r>
        <w:rPr>
          <w:rFonts w:hint="eastAsia"/>
          <w:color w:val="auto"/>
          <w:highlight w:val="none"/>
        </w:rPr>
        <w:t>无锡市锡山云林污水处理有限公司集中处理</w:t>
      </w:r>
      <w:r>
        <w:rPr>
          <w:color w:val="auto"/>
          <w:highlight w:val="none"/>
        </w:rPr>
        <w:t>。</w:t>
      </w:r>
    </w:p>
    <w:p w14:paraId="6AF958D8">
      <w:pPr>
        <w:pStyle w:val="5"/>
        <w:keepLines w:val="0"/>
        <w:numPr>
          <w:ilvl w:val="2"/>
          <w:numId w:val="6"/>
        </w:numPr>
        <w:tabs>
          <w:tab w:val="left" w:pos="141"/>
          <w:tab w:val="left" w:pos="709"/>
        </w:tabs>
        <w:spacing w:before="0" w:after="0" w:line="360" w:lineRule="auto"/>
        <w:ind w:left="-105" w:right="-105"/>
        <w:rPr>
          <w:rFonts w:eastAsia="宋体"/>
          <w:color w:val="auto"/>
          <w:sz w:val="28"/>
          <w:szCs w:val="28"/>
          <w:highlight w:val="none"/>
        </w:rPr>
      </w:pPr>
      <w:r>
        <w:rPr>
          <w:rFonts w:hint="eastAsia" w:eastAsia="宋体"/>
          <w:color w:val="auto"/>
          <w:sz w:val="28"/>
          <w:szCs w:val="28"/>
          <w:highlight w:val="none"/>
        </w:rPr>
        <w:t>规划环评相符性分析</w:t>
      </w:r>
    </w:p>
    <w:p w14:paraId="6518BF89">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无锡市锡山区锡北镇工业集中区</w:t>
      </w:r>
      <w:r>
        <w:rPr>
          <w:rFonts w:ascii="Times New Roman" w:hAnsi="Times New Roman" w:cs="Times New Roman"/>
          <w:color w:val="auto"/>
          <w:szCs w:val="22"/>
          <w:highlight w:val="none"/>
        </w:rPr>
        <w:t>(以下简称集中区)位于无</w:t>
      </w:r>
      <w:r>
        <w:rPr>
          <w:rFonts w:hint="eastAsia" w:ascii="Times New Roman" w:hAnsi="Times New Roman" w:cs="Times New Roman"/>
          <w:color w:val="auto"/>
          <w:szCs w:val="22"/>
          <w:highlight w:val="none"/>
        </w:rPr>
        <w:t>锡市锡山区锡北镇，</w:t>
      </w:r>
      <w:r>
        <w:rPr>
          <w:rFonts w:ascii="Times New Roman" w:hAnsi="Times New Roman" w:cs="Times New Roman"/>
          <w:color w:val="auto"/>
          <w:szCs w:val="22"/>
          <w:highlight w:val="none"/>
        </w:rPr>
        <w:t>《无锡市锡山区锡北镇工业集中区环境影响报告书》于2007年12月27日通过无锡市锡山区环境保护局审批</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锡环管[2007]13号</w:t>
      </w:r>
      <w:r>
        <w:rPr>
          <w:rFonts w:hint="eastAsia" w:ascii="Times New Roman" w:hAnsi="Times New Roman" w:cs="Times New Roman"/>
          <w:color w:val="auto"/>
          <w:szCs w:val="22"/>
          <w:highlight w:val="none"/>
        </w:rPr>
        <w:t>），《无锡市锡山区锡北镇工业集中区环境影响跟踪评价报告书》于2</w:t>
      </w:r>
      <w:r>
        <w:rPr>
          <w:rFonts w:ascii="Times New Roman" w:hAnsi="Times New Roman" w:cs="Times New Roman"/>
          <w:color w:val="auto"/>
          <w:szCs w:val="22"/>
          <w:highlight w:val="none"/>
        </w:rPr>
        <w:t>022</w:t>
      </w:r>
      <w:r>
        <w:rPr>
          <w:rFonts w:hint="eastAsia" w:ascii="Times New Roman" w:hAnsi="Times New Roman" w:cs="Times New Roman"/>
          <w:color w:val="auto"/>
          <w:szCs w:val="22"/>
          <w:highlight w:val="none"/>
        </w:rPr>
        <w:t>年8月1</w:t>
      </w: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rPr>
        <w:t>日通过无锡市锡山生态环境局审批（锡山环审[</w:t>
      </w:r>
      <w:r>
        <w:rPr>
          <w:rFonts w:ascii="Times New Roman" w:hAnsi="Times New Roman" w:cs="Times New Roman"/>
          <w:color w:val="auto"/>
          <w:szCs w:val="22"/>
          <w:highlight w:val="none"/>
        </w:rPr>
        <w:t>2022]3</w:t>
      </w:r>
      <w:r>
        <w:rPr>
          <w:rFonts w:hint="eastAsia" w:ascii="Times New Roman" w:hAnsi="Times New Roman" w:cs="Times New Roman"/>
          <w:color w:val="auto"/>
          <w:szCs w:val="22"/>
          <w:highlight w:val="none"/>
        </w:rPr>
        <w:t>号），对照《关于&lt;无锡市锡山区锡北镇工业集中区环境影响跟踪评价报告书&gt;的审查意见》，本项目位于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hint="eastAsia" w:ascii="Times New Roman" w:hAnsi="Times New Roman" w:cs="Times New Roman"/>
          <w:color w:val="auto"/>
          <w:szCs w:val="22"/>
          <w:highlight w:val="none"/>
        </w:rPr>
        <w:t>，属于锡山区锡北镇工业集中区。本项目与无锡市锡山区锡北镇工业集中区生态环境准入清单相符性分析如下：</w:t>
      </w:r>
    </w:p>
    <w:p w14:paraId="20892735">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产业定位：轻工纺织、机械制造、电子信息、新材料制造（不含化工行业）、物流等，以及战略性新兴产业。</w:t>
      </w:r>
    </w:p>
    <w:p w14:paraId="74486412">
      <w:pPr>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项目从事</w:t>
      </w:r>
      <w:r>
        <w:rPr>
          <w:rFonts w:hint="eastAsia" w:ascii="Times New Roman" w:hAnsi="Times New Roman" w:cs="Times New Roman"/>
          <w:color w:val="auto"/>
          <w:szCs w:val="22"/>
          <w:highlight w:val="none"/>
        </w:rPr>
        <w:t>【C3985】电子专用材料制造</w:t>
      </w:r>
      <w:r>
        <w:rPr>
          <w:rFonts w:ascii="Times New Roman" w:hAnsi="Times New Roman" w:cs="Times New Roman"/>
          <w:color w:val="auto"/>
          <w:szCs w:val="22"/>
          <w:highlight w:val="none"/>
        </w:rPr>
        <w:t>，属于</w:t>
      </w:r>
      <w:r>
        <w:rPr>
          <w:rFonts w:hint="eastAsia" w:ascii="Times New Roman" w:hAnsi="Times New Roman" w:cs="Times New Roman"/>
          <w:color w:val="auto"/>
          <w:szCs w:val="22"/>
          <w:highlight w:val="none"/>
        </w:rPr>
        <w:t>电子信息</w:t>
      </w:r>
      <w:r>
        <w:rPr>
          <w:rFonts w:ascii="Times New Roman" w:hAnsi="Times New Roman" w:cs="Times New Roman"/>
          <w:color w:val="auto"/>
          <w:szCs w:val="22"/>
          <w:highlight w:val="none"/>
        </w:rPr>
        <w:t>产业，符合</w:t>
      </w:r>
      <w:r>
        <w:rPr>
          <w:rFonts w:hint="eastAsia" w:ascii="Times New Roman" w:hAnsi="Times New Roman" w:cs="Times New Roman"/>
          <w:color w:val="auto"/>
          <w:szCs w:val="22"/>
          <w:highlight w:val="none"/>
        </w:rPr>
        <w:t>锡北镇工业集中区</w:t>
      </w:r>
      <w:r>
        <w:rPr>
          <w:rFonts w:ascii="Times New Roman" w:hAnsi="Times New Roman" w:cs="Times New Roman"/>
          <w:color w:val="auto"/>
          <w:szCs w:val="22"/>
          <w:highlight w:val="none"/>
        </w:rPr>
        <w:t>产业</w:t>
      </w:r>
      <w:r>
        <w:rPr>
          <w:rFonts w:hint="eastAsia" w:ascii="Times New Roman" w:hAnsi="Times New Roman" w:cs="Times New Roman"/>
          <w:color w:val="auto"/>
          <w:szCs w:val="22"/>
          <w:highlight w:val="none"/>
        </w:rPr>
        <w:t>定位。</w:t>
      </w:r>
    </w:p>
    <w:p w14:paraId="1BF86122">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产业政策：遵守《产业结构调整指导目录</w:t>
      </w:r>
      <w:r>
        <w:rPr>
          <w:rFonts w:ascii="Times New Roman" w:hAnsi="Times New Roman" w:cs="Times New Roman"/>
          <w:color w:val="auto"/>
          <w:szCs w:val="22"/>
          <w:highlight w:val="none"/>
        </w:rPr>
        <w:t>(2019年本)修订版》、</w:t>
      </w:r>
      <w:r>
        <w:rPr>
          <w:rFonts w:hint="eastAsia" w:ascii="Times New Roman" w:hAnsi="Times New Roman" w:cs="Times New Roman"/>
          <w:color w:val="auto"/>
          <w:szCs w:val="22"/>
          <w:highlight w:val="none"/>
        </w:rPr>
        <w:t>《产业发展与转移指导目录（</w:t>
      </w:r>
      <w:r>
        <w:rPr>
          <w:rFonts w:ascii="Times New Roman" w:hAnsi="Times New Roman" w:cs="Times New Roman"/>
          <w:color w:val="auto"/>
          <w:szCs w:val="22"/>
          <w:highlight w:val="none"/>
        </w:rPr>
        <w:t>2018年本）》（中华人民共和国工业和信息化部公告2018年第66号）、《部分工业行业淘汰落后</w:t>
      </w:r>
      <w:r>
        <w:rPr>
          <w:rFonts w:hint="eastAsia" w:ascii="Times New Roman" w:hAnsi="Times New Roman" w:cs="Times New Roman"/>
          <w:color w:val="auto"/>
          <w:szCs w:val="22"/>
          <w:highlight w:val="none"/>
        </w:rPr>
        <w:t>生产工艺装备和产品指导目录</w:t>
      </w:r>
      <w:r>
        <w:rPr>
          <w:rFonts w:ascii="Times New Roman" w:hAnsi="Times New Roman" w:cs="Times New Roman"/>
          <w:color w:val="auto"/>
          <w:szCs w:val="22"/>
          <w:highlight w:val="none"/>
        </w:rPr>
        <w:t>(2010年本)》的规定</w:t>
      </w:r>
      <w:r>
        <w:rPr>
          <w:rFonts w:hint="eastAsia" w:ascii="Times New Roman" w:hAnsi="Times New Roman" w:cs="Times New Roman"/>
          <w:color w:val="auto"/>
          <w:szCs w:val="22"/>
          <w:highlight w:val="none"/>
        </w:rPr>
        <w:t>；遵守《无锡市产业结构调整指导目录</w:t>
      </w:r>
      <w:r>
        <w:rPr>
          <w:rFonts w:ascii="Times New Roman" w:hAnsi="Times New Roman" w:cs="Times New Roman"/>
          <w:color w:val="auto"/>
          <w:szCs w:val="22"/>
          <w:highlight w:val="none"/>
        </w:rPr>
        <w:t>(试行)》(锡政办发[2008]6号)的规定;</w:t>
      </w:r>
      <w:r>
        <w:rPr>
          <w:rFonts w:hint="eastAsia" w:ascii="Times New Roman" w:hAnsi="Times New Roman" w:cs="Times New Roman"/>
          <w:color w:val="auto"/>
          <w:szCs w:val="22"/>
          <w:highlight w:val="none"/>
        </w:rPr>
        <w:t>遵守《无锡市制造业转型发展指导目录</w:t>
      </w:r>
      <w:r>
        <w:rPr>
          <w:rFonts w:ascii="Times New Roman" w:hAnsi="Times New Roman" w:cs="Times New Roman"/>
          <w:color w:val="auto"/>
          <w:szCs w:val="22"/>
          <w:highlight w:val="none"/>
        </w:rPr>
        <w:t>(2012年本)》(锡政办</w:t>
      </w:r>
      <w:r>
        <w:rPr>
          <w:rFonts w:hint="eastAsia" w:ascii="Times New Roman" w:hAnsi="Times New Roman" w:cs="Times New Roman"/>
          <w:color w:val="auto"/>
          <w:szCs w:val="22"/>
          <w:highlight w:val="none"/>
        </w:rPr>
        <w:t>发</w:t>
      </w:r>
      <w:r>
        <w:rPr>
          <w:rFonts w:ascii="Times New Roman" w:hAnsi="Times New Roman" w:cs="Times New Roman"/>
          <w:color w:val="auto"/>
          <w:szCs w:val="22"/>
          <w:highlight w:val="none"/>
        </w:rPr>
        <w:t>[2013]54号)的规定</w:t>
      </w:r>
      <w:r>
        <w:rPr>
          <w:rFonts w:hint="eastAsia" w:ascii="Times New Roman" w:hAnsi="Times New Roman" w:cs="Times New Roman"/>
          <w:color w:val="auto"/>
          <w:szCs w:val="22"/>
          <w:highlight w:val="none"/>
        </w:rPr>
        <w:t>；遵守用地属于《限制用地项目</w:t>
      </w:r>
      <w:r>
        <w:rPr>
          <w:rFonts w:ascii="Times New Roman" w:hAnsi="Times New Roman" w:cs="Times New Roman"/>
          <w:color w:val="auto"/>
          <w:szCs w:val="22"/>
          <w:highlight w:val="none"/>
        </w:rPr>
        <w:t>(2012年本)》与《禁止用地项目</w:t>
      </w:r>
      <w:r>
        <w:rPr>
          <w:rFonts w:hint="eastAsia" w:ascii="Times New Roman" w:hAnsi="Times New Roman" w:cs="Times New Roman"/>
          <w:color w:val="auto"/>
          <w:szCs w:val="22"/>
          <w:highlight w:val="none"/>
        </w:rPr>
        <w:t>目录</w:t>
      </w:r>
      <w:r>
        <w:rPr>
          <w:rFonts w:ascii="Times New Roman" w:hAnsi="Times New Roman" w:cs="Times New Roman"/>
          <w:color w:val="auto"/>
          <w:szCs w:val="22"/>
          <w:highlight w:val="none"/>
        </w:rPr>
        <w:t>(2012年本)》的规定</w:t>
      </w:r>
      <w:r>
        <w:rPr>
          <w:rFonts w:hint="eastAsia" w:ascii="Times New Roman" w:hAnsi="Times New Roman" w:cs="Times New Roman"/>
          <w:color w:val="auto"/>
          <w:szCs w:val="22"/>
          <w:highlight w:val="none"/>
        </w:rPr>
        <w:t>；遵守《</w:t>
      </w:r>
      <w:r>
        <w:rPr>
          <w:rFonts w:ascii="Times New Roman" w:hAnsi="Times New Roman" w:cs="Times New Roman"/>
          <w:color w:val="auto"/>
          <w:szCs w:val="22"/>
          <w:highlight w:val="none"/>
        </w:rPr>
        <w:t>&lt;长江经济带发展负面清单指南&gt;江苏省实施细则(试行)》</w:t>
      </w:r>
      <w:r>
        <w:rPr>
          <w:rFonts w:hint="eastAsia" w:ascii="Times New Roman" w:hAnsi="Times New Roman" w:cs="Times New Roman"/>
          <w:color w:val="auto"/>
          <w:szCs w:val="22"/>
          <w:highlight w:val="none"/>
        </w:rPr>
        <w:t>的规定；遵守《太湖流域管理条例》、《江苏省太湖水污染防治条例》及《无锡市水环境保护条例》的规定；遵守《省政府关于印发江苏省生态空间管控区域规划的通知》</w:t>
      </w:r>
      <w:r>
        <w:rPr>
          <w:rFonts w:ascii="Times New Roman" w:hAnsi="Times New Roman" w:cs="Times New Roman"/>
          <w:color w:val="auto"/>
          <w:szCs w:val="22"/>
          <w:highlight w:val="none"/>
        </w:rPr>
        <w:t>(苏</w:t>
      </w:r>
      <w:r>
        <w:rPr>
          <w:rFonts w:hint="eastAsia" w:ascii="Times New Roman" w:hAnsi="Times New Roman" w:cs="Times New Roman"/>
          <w:color w:val="auto"/>
          <w:szCs w:val="22"/>
          <w:highlight w:val="none"/>
        </w:rPr>
        <w:t>政发</w:t>
      </w:r>
      <w:r>
        <w:rPr>
          <w:rFonts w:ascii="Times New Roman" w:hAnsi="Times New Roman" w:cs="Times New Roman"/>
          <w:color w:val="auto"/>
          <w:szCs w:val="22"/>
          <w:highlight w:val="none"/>
        </w:rPr>
        <w:t>[2020]1号)和《无锡市锡山区生态文明建设规划》的规定</w:t>
      </w:r>
      <w:r>
        <w:rPr>
          <w:rFonts w:hint="eastAsia" w:ascii="Times New Roman" w:hAnsi="Times New Roman" w:cs="Times New Roman"/>
          <w:color w:val="auto"/>
          <w:szCs w:val="22"/>
          <w:highlight w:val="none"/>
        </w:rPr>
        <w:t>。</w:t>
      </w:r>
    </w:p>
    <w:p w14:paraId="6E132486">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本项目符合上述文件要求，</w:t>
      </w:r>
      <w:r>
        <w:rPr>
          <w:rFonts w:ascii="Times New Roman" w:hAnsi="Times New Roman" w:cs="Times New Roman"/>
          <w:color w:val="auto"/>
          <w:szCs w:val="22"/>
          <w:highlight w:val="none"/>
        </w:rPr>
        <w:t>符合</w:t>
      </w:r>
      <w:r>
        <w:rPr>
          <w:rFonts w:hint="eastAsia" w:ascii="Times New Roman" w:hAnsi="Times New Roman" w:cs="Times New Roman"/>
          <w:color w:val="auto"/>
          <w:szCs w:val="22"/>
          <w:highlight w:val="none"/>
        </w:rPr>
        <w:t>锡北镇工业集中区产业政策。</w:t>
      </w:r>
    </w:p>
    <w:p w14:paraId="69F86628">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禁止引入类项目：禁止引进不符合规划布局和产业定位要求的项目</w:t>
      </w:r>
      <w:r>
        <w:rPr>
          <w:rFonts w:ascii="Times New Roman" w:hAnsi="Times New Roman" w:cs="Times New Roman"/>
          <w:color w:val="auto"/>
          <w:szCs w:val="22"/>
          <w:highlight w:val="none"/>
        </w:rPr>
        <w:t>(战略性新兴产业</w:t>
      </w:r>
      <w:r>
        <w:rPr>
          <w:rFonts w:hint="eastAsia" w:ascii="Times New Roman" w:hAnsi="Times New Roman" w:cs="Times New Roman"/>
          <w:color w:val="auto"/>
          <w:szCs w:val="22"/>
          <w:highlight w:val="none"/>
        </w:rPr>
        <w:t>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禁止引进不符合产能置换、能耗双控等要求的两高项目；禁止露天和敞开式喷涂作业</w:t>
      </w:r>
      <w:r>
        <w:rPr>
          <w:rFonts w:ascii="Times New Roman" w:hAnsi="Times New Roman" w:cs="Times New Roman"/>
          <w:color w:val="auto"/>
          <w:szCs w:val="22"/>
          <w:highlight w:val="none"/>
        </w:rPr>
        <w:t>(除工艺有特殊要求外)</w:t>
      </w:r>
      <w:r>
        <w:rPr>
          <w:rFonts w:hint="eastAsia" w:ascii="Times New Roman" w:hAnsi="Times New Roman" w:cs="Times New Roman"/>
          <w:color w:val="auto"/>
          <w:szCs w:val="22"/>
          <w:highlight w:val="none"/>
        </w:rPr>
        <w:t>；禁止建设生产和使用高</w:t>
      </w:r>
      <w:r>
        <w:rPr>
          <w:rFonts w:ascii="Times New Roman" w:hAnsi="Times New Roman" w:cs="Times New Roman"/>
          <w:color w:val="auto"/>
          <w:szCs w:val="22"/>
          <w:highlight w:val="none"/>
        </w:rPr>
        <w:t>VOCs含量(特殊情形暂不可替代除外)</w:t>
      </w:r>
      <w:r>
        <w:rPr>
          <w:rFonts w:hint="eastAsia" w:ascii="Times New Roman" w:hAnsi="Times New Roman" w:cs="Times New Roman"/>
          <w:color w:val="auto"/>
          <w:szCs w:val="22"/>
          <w:highlight w:val="none"/>
        </w:rPr>
        <w:t>的溶剂型涂料、油墨、胶粘剂等项目，新上</w:t>
      </w:r>
      <w:r>
        <w:rPr>
          <w:rFonts w:ascii="Times New Roman" w:hAnsi="Times New Roman" w:cs="Times New Roman"/>
          <w:color w:val="auto"/>
          <w:szCs w:val="22"/>
          <w:highlight w:val="none"/>
        </w:rPr>
        <w:t>VOCs的项目，实现</w:t>
      </w:r>
      <w:r>
        <w:rPr>
          <w:rFonts w:hint="eastAsia" w:ascii="Times New Roman" w:hAnsi="Times New Roman" w:cs="Times New Roman"/>
          <w:color w:val="auto"/>
          <w:szCs w:val="22"/>
          <w:highlight w:val="none"/>
        </w:rPr>
        <w:t>减二增一替代。禁止准入单纯表面喷涂项目</w:t>
      </w:r>
      <w:r>
        <w:rPr>
          <w:rFonts w:ascii="Times New Roman" w:hAnsi="Times New Roman" w:cs="Times New Roman"/>
          <w:color w:val="auto"/>
          <w:szCs w:val="22"/>
          <w:highlight w:val="none"/>
        </w:rPr>
        <w:t>(绿岛和战略性新兴</w:t>
      </w:r>
      <w:r>
        <w:rPr>
          <w:rFonts w:hint="eastAsia" w:ascii="Times New Roman" w:hAnsi="Times New Roman" w:cs="Times New Roman"/>
          <w:color w:val="auto"/>
          <w:szCs w:val="22"/>
          <w:highlight w:val="none"/>
        </w:rPr>
        <w:t>产业除外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安全风险大、工艺设施落后、安全水平低的企业或项目进入；禁止新建、扩建技术装备、污染排放、能耗达不到相关行业先进水平的项目；禁止新建、改建、扩建化学制浆造纸、制革、酿造、染料、电镀以及其他排放含磷、氮等污染物的企业和项目</w:t>
      </w:r>
      <w:r>
        <w:rPr>
          <w:rFonts w:ascii="Times New Roman" w:hAnsi="Times New Roman" w:cs="Times New Roman"/>
          <w:color w:val="auto"/>
          <w:szCs w:val="22"/>
          <w:highlight w:val="none"/>
        </w:rPr>
        <w:t>(战略性新兴产业</w:t>
      </w:r>
      <w:r>
        <w:rPr>
          <w:rFonts w:hint="eastAsia" w:ascii="Times New Roman" w:hAnsi="Times New Roman" w:cs="Times New Roman"/>
          <w:color w:val="auto"/>
          <w:szCs w:val="22"/>
          <w:highlight w:val="none"/>
        </w:rPr>
        <w:t>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；禁止新建铅、汞、铬、镉、砷五类重点重金属污染物排放的项目；禁止准入水质经预处理不能满足污水厂接管要求的项目；禁止</w:t>
      </w:r>
      <w:r>
        <w:rPr>
          <w:rFonts w:ascii="Times New Roman" w:hAnsi="Times New Roman" w:cs="Times New Roman"/>
          <w:color w:val="auto"/>
          <w:szCs w:val="22"/>
          <w:highlight w:val="none"/>
        </w:rPr>
        <w:t>COD、氨氮、总磷、总氮、SO</w:t>
      </w:r>
      <w:r>
        <w:rPr>
          <w:rFonts w:ascii="Times New Roman" w:hAnsi="Times New Roman" w:cs="Times New Roman"/>
          <w:color w:val="auto"/>
          <w:szCs w:val="22"/>
          <w:highlight w:val="none"/>
          <w:vertAlign w:val="subscript"/>
        </w:rPr>
        <w:t>2</w:t>
      </w:r>
      <w:r>
        <w:rPr>
          <w:rFonts w:ascii="Times New Roman" w:hAnsi="Times New Roman" w:cs="Times New Roman"/>
          <w:color w:val="auto"/>
          <w:szCs w:val="22"/>
          <w:highlight w:val="none"/>
        </w:rPr>
        <w:t>、NOx、颗粒物、挥发性有</w:t>
      </w:r>
      <w:r>
        <w:rPr>
          <w:rFonts w:hint="eastAsia" w:ascii="Times New Roman" w:hAnsi="Times New Roman" w:cs="Times New Roman"/>
          <w:color w:val="auto"/>
          <w:szCs w:val="22"/>
          <w:highlight w:val="none"/>
        </w:rPr>
        <w:t>机物等污染物排放总量以及重点行业重点重金属总量指标未落实的项目；严禁引进排放“三致”</w:t>
      </w:r>
      <w:r>
        <w:rPr>
          <w:rFonts w:ascii="Times New Roman" w:hAnsi="Times New Roman" w:cs="Times New Roman"/>
          <w:color w:val="auto"/>
          <w:szCs w:val="22"/>
          <w:highlight w:val="none"/>
        </w:rPr>
        <w:t>(致癌、致畸、致突变)、光气、列入名录</w:t>
      </w:r>
      <w:r>
        <w:rPr>
          <w:rFonts w:hint="eastAsia" w:ascii="Times New Roman" w:hAnsi="Times New Roman" w:cs="Times New Roman"/>
          <w:color w:val="auto"/>
          <w:szCs w:val="22"/>
          <w:highlight w:val="none"/>
        </w:rPr>
        <w:t>的恶臭污染物及氰化物等高风险物质且严重影响人身健康和环境质量的项目。</w:t>
      </w:r>
    </w:p>
    <w:p w14:paraId="05C2D546">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本项目符合规划布局和产业定位，不属于两高项目，生产过程不使用涂料、油墨、胶粘剂、清洗剂等高VOCs含量的原料，</w:t>
      </w:r>
      <w:r>
        <w:rPr>
          <w:rFonts w:hint="eastAsia" w:ascii="Times New Roman" w:hAnsi="Times New Roman" w:cs="Times New Roman"/>
          <w:color w:val="auto"/>
          <w:szCs w:val="18"/>
          <w:highlight w:val="none"/>
        </w:rPr>
        <w:t>工艺、设备先进，经安全设计后项目本质安全水平高，采用技术装备、污染排放、能耗均能达到相关行业先进水平。</w:t>
      </w:r>
      <w:r>
        <w:rPr>
          <w:rFonts w:hint="eastAsia" w:ascii="Times New Roman" w:hAnsi="Times New Roman" w:cs="Times New Roman"/>
          <w:color w:val="auto"/>
          <w:szCs w:val="22"/>
          <w:highlight w:val="none"/>
        </w:rPr>
        <w:t>本项目行业类别为【C3985】电子专用材料制造，</w:t>
      </w:r>
      <w:r>
        <w:rPr>
          <w:rFonts w:hint="eastAsia" w:ascii="Times New Roman" w:hAnsi="Times New Roman" w:cs="Times New Roman"/>
          <w:color w:val="auto"/>
          <w:szCs w:val="18"/>
          <w:highlight w:val="none"/>
        </w:rPr>
        <w:t>投产后不新增生活污水，全厂产生的生活污水和初期雨水经无锡先进化药化工有限公司处理，达到《污水综合排放标准》（</w:t>
      </w:r>
      <w:r>
        <w:rPr>
          <w:rFonts w:ascii="Times New Roman" w:hAnsi="Times New Roman" w:cs="Times New Roman"/>
          <w:color w:val="auto"/>
          <w:szCs w:val="18"/>
          <w:highlight w:val="none"/>
        </w:rPr>
        <w:t>GB8978-1996）</w:t>
      </w:r>
      <w:r>
        <w:rPr>
          <w:rFonts w:hint="eastAsia" w:ascii="Times New Roman" w:hAnsi="Times New Roman" w:cs="Times New Roman"/>
          <w:color w:val="auto"/>
          <w:szCs w:val="18"/>
          <w:highlight w:val="none"/>
        </w:rPr>
        <w:t>和《污水排入城镇下水道水质标准》（</w:t>
      </w:r>
      <w:r>
        <w:rPr>
          <w:rFonts w:ascii="Times New Roman" w:hAnsi="Times New Roman" w:cs="Times New Roman"/>
          <w:color w:val="auto"/>
          <w:szCs w:val="18"/>
          <w:highlight w:val="none"/>
        </w:rPr>
        <w:t>GB/T31962-2015）</w:t>
      </w:r>
      <w:r>
        <w:rPr>
          <w:rFonts w:hint="eastAsia" w:ascii="Times New Roman" w:hAnsi="Times New Roman" w:cs="Times New Roman"/>
          <w:color w:val="auto"/>
          <w:szCs w:val="18"/>
          <w:highlight w:val="none"/>
        </w:rPr>
        <w:t>后接管无锡市锡山云林污水处理有限公司处理</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项目产生的</w:t>
      </w:r>
      <w:r>
        <w:rPr>
          <w:rFonts w:ascii="Times New Roman" w:hAnsi="Times New Roman" w:cs="Times New Roman"/>
          <w:color w:val="auto"/>
          <w:szCs w:val="18"/>
          <w:highlight w:val="none"/>
        </w:rPr>
        <w:t>NOx、挥发性有机物等污染物排放总量</w:t>
      </w:r>
      <w:r>
        <w:rPr>
          <w:rFonts w:hint="eastAsia" w:ascii="Times New Roman" w:hAnsi="Times New Roman" w:cs="Times New Roman"/>
          <w:color w:val="auto"/>
          <w:szCs w:val="18"/>
          <w:highlight w:val="none"/>
        </w:rPr>
        <w:t>均已落实</w:t>
      </w:r>
      <w:r>
        <w:rPr>
          <w:rFonts w:hint="eastAsia" w:ascii="Times New Roman" w:hAnsi="Times New Roman" w:cs="Times New Roman"/>
          <w:color w:val="auto"/>
          <w:szCs w:val="18"/>
          <w:highlight w:val="none"/>
        </w:rPr>
        <w:t>，在大气污染物总量在锡山区范围内平衡，水污染物总量在无锡市锡山云林污水处理有限公司内平衡，本项目不涉及排放“三致”</w:t>
      </w:r>
      <w:r>
        <w:rPr>
          <w:rFonts w:ascii="Times New Roman" w:hAnsi="Times New Roman" w:cs="Times New Roman"/>
          <w:color w:val="auto"/>
          <w:szCs w:val="18"/>
          <w:highlight w:val="none"/>
        </w:rPr>
        <w:t>(致癌、致畸、致突变)、光气</w:t>
      </w:r>
      <w:r>
        <w:rPr>
          <w:rFonts w:hint="eastAsia" w:ascii="Times New Roman" w:hAnsi="Times New Roman" w:cs="Times New Roman"/>
          <w:color w:val="auto"/>
          <w:szCs w:val="18"/>
          <w:highlight w:val="none"/>
        </w:rPr>
        <w:t>及氰化物等高风险物质，污不会对人身健康和环境质量造成严重影响。因此本项目不属于</w:t>
      </w:r>
      <w:r>
        <w:rPr>
          <w:rFonts w:hint="eastAsia" w:ascii="Times New Roman" w:hAnsi="Times New Roman" w:cs="Times New Roman"/>
          <w:color w:val="auto"/>
          <w:szCs w:val="22"/>
          <w:highlight w:val="none"/>
        </w:rPr>
        <w:t>锡北镇工业集中区禁止引入类项目。</w:t>
      </w:r>
    </w:p>
    <w:p w14:paraId="291AFAD8">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空间管控要求：贯彻实施《无锡市“三线一单”生态环境分区管控实施方案》；不得引进防护距离不能满足环境和生态保护要求的项目；不得引进不能满足环评测算出的环境防护距离，或环评事故风险防范和应急措施难以落实到位的项目；临近生态红线保护区禁止引进废水排放量大、难以治理、环境风险较大的项目。</w:t>
      </w:r>
    </w:p>
    <w:p w14:paraId="27428479">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根据后文分析，本项目符合《无锡市“三线一单”生态环境分区管控实施方案》，项目防护距离能满足环境和生态保护要求，项目无需设置大气防护距离。本项目选址不在生态保护红线规划范围内，距本项目最近的生态红线区域为</w:t>
      </w:r>
      <w:r>
        <w:rPr>
          <w:rFonts w:hint="eastAsia" w:ascii="Times New Roman" w:hAnsi="Times New Roman" w:cs="Times New Roman"/>
          <w:color w:val="auto"/>
          <w:highlight w:val="none"/>
        </w:rPr>
        <w:t>京沪高铁锡山段沿线生态防护林</w:t>
      </w:r>
      <w:r>
        <w:rPr>
          <w:rFonts w:hint="eastAsia" w:ascii="Times New Roman" w:hAnsi="Times New Roman" w:cs="Times New Roman"/>
          <w:color w:val="auto"/>
          <w:szCs w:val="22"/>
          <w:highlight w:val="none"/>
        </w:rPr>
        <w:t>，</w:t>
      </w:r>
      <w:r>
        <w:rPr>
          <w:rFonts w:ascii="Times New Roman" w:hAnsi="Times New Roman" w:cs="Times New Roman"/>
          <w:color w:val="auto"/>
          <w:highlight w:val="none"/>
        </w:rPr>
        <w:t>位于本项目东侧厂界约</w:t>
      </w:r>
      <w:r>
        <w:rPr>
          <w:rFonts w:hint="eastAsia" w:ascii="Times New Roman" w:hAnsi="Times New Roman" w:cs="Times New Roman"/>
          <w:color w:val="auto"/>
          <w:highlight w:val="none"/>
        </w:rPr>
        <w:t>733</w:t>
      </w:r>
      <w:r>
        <w:rPr>
          <w:rFonts w:ascii="Times New Roman" w:hAnsi="Times New Roman" w:cs="Times New Roman"/>
          <w:color w:val="auto"/>
          <w:highlight w:val="none"/>
        </w:rPr>
        <w:t>m</w:t>
      </w:r>
      <w:r>
        <w:rPr>
          <w:rFonts w:hint="eastAsia" w:ascii="Times New Roman" w:hAnsi="Times New Roman" w:cs="Times New Roman"/>
          <w:color w:val="auto"/>
          <w:szCs w:val="22"/>
          <w:highlight w:val="none"/>
        </w:rPr>
        <w:t>，项目建成后将按照报告书要求完善风险防范和应急措施，环境风险可控。</w:t>
      </w:r>
      <w:r>
        <w:rPr>
          <w:rFonts w:hint="eastAsia" w:ascii="Times New Roman" w:hAnsi="Times New Roman" w:cs="Times New Roman"/>
          <w:color w:val="auto"/>
          <w:szCs w:val="18"/>
          <w:highlight w:val="none"/>
        </w:rPr>
        <w:t>因此本项目符合</w:t>
      </w:r>
      <w:r>
        <w:rPr>
          <w:rFonts w:hint="eastAsia" w:ascii="Times New Roman" w:hAnsi="Times New Roman" w:cs="Times New Roman"/>
          <w:color w:val="auto"/>
          <w:szCs w:val="22"/>
          <w:highlight w:val="none"/>
        </w:rPr>
        <w:t>锡北镇工业集中区空间管控要求。</w:t>
      </w:r>
    </w:p>
    <w:p w14:paraId="57D9FF38">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综上，本项目满足锡北镇工业集中区规划环评要求。</w:t>
      </w:r>
    </w:p>
    <w:p w14:paraId="10FD9A49">
      <w:pPr>
        <w:pStyle w:val="5"/>
        <w:keepLines w:val="0"/>
        <w:numPr>
          <w:ilvl w:val="2"/>
          <w:numId w:val="6"/>
        </w:numPr>
        <w:tabs>
          <w:tab w:val="left" w:pos="141"/>
          <w:tab w:val="left" w:pos="709"/>
        </w:tabs>
        <w:spacing w:before="0" w:after="0" w:line="360" w:lineRule="auto"/>
        <w:ind w:left="-105" w:right="-105" w:firstLine="562"/>
        <w:rPr>
          <w:rFonts w:eastAsia="宋体"/>
          <w:color w:val="auto"/>
          <w:sz w:val="28"/>
          <w:szCs w:val="28"/>
          <w:highlight w:val="none"/>
        </w:rPr>
      </w:pPr>
      <w:bookmarkStart w:id="189" w:name="_Toc60653462"/>
      <w:r>
        <w:rPr>
          <w:rFonts w:eastAsia="宋体"/>
          <w:color w:val="auto"/>
          <w:sz w:val="28"/>
          <w:szCs w:val="28"/>
          <w:highlight w:val="none"/>
        </w:rPr>
        <w:t>产业政策相符性分析</w:t>
      </w:r>
      <w:bookmarkEnd w:id="189"/>
    </w:p>
    <w:p w14:paraId="5C254E69">
      <w:pPr>
        <w:pStyle w:val="15"/>
        <w:ind w:left="-105" w:right="-105" w:firstLine="482"/>
        <w:rPr>
          <w:rFonts w:eastAsia="宋体"/>
          <w:color w:val="auto"/>
          <w:sz w:val="24"/>
          <w:szCs w:val="18"/>
          <w:highlight w:val="none"/>
        </w:rPr>
      </w:pPr>
      <w:bookmarkStart w:id="190" w:name="_Toc60653463"/>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color w:val="auto"/>
          <w:sz w:val="24"/>
          <w:szCs w:val="18"/>
          <w:highlight w:val="none"/>
        </w:rPr>
        <w:t>本项目与国家及地方产业政策相符性分析</w:t>
      </w:r>
    </w:p>
    <w:tbl>
      <w:tblPr>
        <w:tblStyle w:val="4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410"/>
        <w:gridCol w:w="4961"/>
        <w:gridCol w:w="1134"/>
      </w:tblGrid>
      <w:tr w14:paraId="46C75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7" w:type="dxa"/>
            <w:vAlign w:val="center"/>
          </w:tcPr>
          <w:p w14:paraId="30243850">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2410" w:type="dxa"/>
            <w:vAlign w:val="center"/>
          </w:tcPr>
          <w:p w14:paraId="3D809935">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内容</w:t>
            </w:r>
          </w:p>
        </w:tc>
        <w:tc>
          <w:tcPr>
            <w:tcW w:w="4961" w:type="dxa"/>
            <w:vAlign w:val="center"/>
          </w:tcPr>
          <w:p w14:paraId="5EB66EE3">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相符性分析</w:t>
            </w:r>
          </w:p>
        </w:tc>
        <w:tc>
          <w:tcPr>
            <w:tcW w:w="1134" w:type="dxa"/>
            <w:vAlign w:val="center"/>
          </w:tcPr>
          <w:p w14:paraId="330AF739">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相符性</w:t>
            </w:r>
          </w:p>
        </w:tc>
      </w:tr>
      <w:tr w14:paraId="22776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137D9CCA">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5356E78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《产业结构调整指导目录（</w:t>
            </w:r>
            <w:r>
              <w:rPr>
                <w:rFonts w:hint="eastAsia" w:ascii="Times New Roman" w:hAnsi="Times New Roman" w:cs="Times New Roman"/>
                <w:color w:val="auto"/>
                <w:sz w:val="21"/>
                <w:szCs w:val="21"/>
                <w:highlight w:val="none"/>
              </w:rPr>
              <w:t>2024</w:t>
            </w:r>
            <w:r>
              <w:rPr>
                <w:rFonts w:ascii="Times New Roman" w:hAnsi="Times New Roman" w:cs="Times New Roman"/>
                <w:color w:val="auto"/>
                <w:sz w:val="21"/>
                <w:szCs w:val="21"/>
                <w:highlight w:val="none"/>
              </w:rPr>
              <w:t>年本）》</w:t>
            </w:r>
          </w:p>
        </w:tc>
        <w:tc>
          <w:tcPr>
            <w:tcW w:w="4961" w:type="dxa"/>
            <w:vAlign w:val="center"/>
          </w:tcPr>
          <w:p w14:paraId="7C8B109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本项目属于C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，属于第一类鼓励类十</w:t>
            </w:r>
            <w:r>
              <w:rPr>
                <w:rFonts w:hint="eastAsia" w:ascii="Times New Roman" w:hAnsi="Times New Roman" w:cs="Times New Roman"/>
                <w:color w:val="auto"/>
                <w:sz w:val="21"/>
                <w:szCs w:val="21"/>
                <w:highlight w:val="none"/>
              </w:rPr>
              <w:t>一</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石化化工7.专用化学品：低VOCs含量胶粘剂，环保型水处理剂，新型高效、环保催化剂和助剂，功能性膜材料，超净高纯试剂、光刻胶、电子气体、新型显示和先进封装材料等电子化学品及关键原料的开发与生产</w:t>
            </w:r>
            <w:r>
              <w:rPr>
                <w:rFonts w:ascii="Times New Roman" w:hAnsi="Times New Roman" w:cs="Times New Roman"/>
                <w:color w:val="auto"/>
                <w:sz w:val="21"/>
                <w:szCs w:val="21"/>
                <w:highlight w:val="none"/>
              </w:rPr>
              <w:t>，符合该文件的要求</w:t>
            </w:r>
          </w:p>
        </w:tc>
        <w:tc>
          <w:tcPr>
            <w:tcW w:w="1134" w:type="dxa"/>
            <w:vAlign w:val="center"/>
          </w:tcPr>
          <w:p w14:paraId="5D3C805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2B4B5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045BD9DA">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1BCE0C0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《市场准入负面清单》（2022年版）</w:t>
            </w:r>
          </w:p>
        </w:tc>
        <w:tc>
          <w:tcPr>
            <w:tcW w:w="4961" w:type="dxa"/>
            <w:vAlign w:val="center"/>
          </w:tcPr>
          <w:p w14:paraId="48A79C8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本项目属于C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，不属于该文件中的禁止准入类和许可准入类，符合该文件的要求</w:t>
            </w:r>
          </w:p>
        </w:tc>
        <w:tc>
          <w:tcPr>
            <w:tcW w:w="1134" w:type="dxa"/>
            <w:vAlign w:val="center"/>
          </w:tcPr>
          <w:p w14:paraId="3CC34CA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14220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2ECE6599">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67C8A89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《产业发展与转移指导目录（2018年本）》（中华人民共和国工业和信息化部公告2018年第66号）</w:t>
            </w:r>
          </w:p>
        </w:tc>
        <w:tc>
          <w:tcPr>
            <w:tcW w:w="4961" w:type="dxa"/>
            <w:vAlign w:val="center"/>
          </w:tcPr>
          <w:p w14:paraId="68F5D09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本项目属于C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，属于该文件中江苏省</w:t>
            </w:r>
            <w:r>
              <w:rPr>
                <w:rFonts w:hint="eastAsia" w:ascii="Times New Roman" w:hAnsi="Times New Roman" w:cs="Times New Roman"/>
                <w:color w:val="auto"/>
                <w:sz w:val="21"/>
                <w:szCs w:val="21"/>
                <w:highlight w:val="none"/>
              </w:rPr>
              <w:t>“优先承接发展的产业”：4.先进半导体材料、新型显示材料、光电子材料、电池材料等电子专用材料</w:t>
            </w:r>
          </w:p>
        </w:tc>
        <w:tc>
          <w:tcPr>
            <w:tcW w:w="1134" w:type="dxa"/>
            <w:vAlign w:val="center"/>
          </w:tcPr>
          <w:p w14:paraId="24279DB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30ABA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09ED4836">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05190DA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《外商投资准入特别管理措施（负面清单）（2021年版）》</w:t>
            </w:r>
          </w:p>
        </w:tc>
        <w:tc>
          <w:tcPr>
            <w:tcW w:w="4961" w:type="dxa"/>
            <w:vAlign w:val="center"/>
          </w:tcPr>
          <w:p w14:paraId="6B99E8A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本项目属于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3985电子专用材料制造，项目原料、产品、所用设备及工艺均不属《外商投资准入特别管理措施（负面清单）（2021年版）》中的需实行特别管理的措施的行业类别。</w:t>
            </w:r>
          </w:p>
        </w:tc>
        <w:tc>
          <w:tcPr>
            <w:tcW w:w="1134" w:type="dxa"/>
            <w:vAlign w:val="center"/>
          </w:tcPr>
          <w:p w14:paraId="7BA03CE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70CBF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136A79B5">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11EA30C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《鼓励外商投资产业目录（2022年版）》</w:t>
            </w:r>
          </w:p>
        </w:tc>
        <w:tc>
          <w:tcPr>
            <w:tcW w:w="4961" w:type="dxa"/>
            <w:vAlign w:val="center"/>
          </w:tcPr>
          <w:p w14:paraId="44F1CF5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本项目属于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3985电子专用材料制造，属于《鼓励外商投资产业目录（2022年版）》中“（二十二）计算机、通信和其他电子设备制造业，369.高纯电子化学品、高性能光刻胶开发、生产”。</w:t>
            </w:r>
          </w:p>
        </w:tc>
        <w:tc>
          <w:tcPr>
            <w:tcW w:w="1134" w:type="dxa"/>
            <w:vAlign w:val="center"/>
          </w:tcPr>
          <w:p w14:paraId="24C3011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4F319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7FC81F7F">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6D6CE6B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《无锡市产业结构调整指导目录(试行)》(2008年1月)</w:t>
            </w:r>
          </w:p>
        </w:tc>
        <w:tc>
          <w:tcPr>
            <w:tcW w:w="4961" w:type="dxa"/>
            <w:vAlign w:val="center"/>
          </w:tcPr>
          <w:p w14:paraId="020941A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rPr>
              <w:t>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属于该文件中的鼓励类</w:t>
            </w:r>
            <w:r>
              <w:rPr>
                <w:rFonts w:hint="eastAsia" w:ascii="Times New Roman" w:hAnsi="Times New Roman" w:cs="Times New Roman"/>
                <w:color w:val="auto"/>
                <w:sz w:val="21"/>
                <w:szCs w:val="21"/>
                <w:highlight w:val="none"/>
              </w:rPr>
              <w:t>中“第二产业（一）电子信息产业25.电子专用材料制造”</w:t>
            </w:r>
            <w:r>
              <w:rPr>
                <w:rFonts w:ascii="Times New Roman" w:hAnsi="Times New Roman" w:cs="Times New Roman"/>
                <w:color w:val="auto"/>
                <w:sz w:val="21"/>
                <w:szCs w:val="21"/>
                <w:highlight w:val="none"/>
              </w:rPr>
              <w:t>，符合该文件的要求</w:t>
            </w:r>
          </w:p>
        </w:tc>
        <w:tc>
          <w:tcPr>
            <w:tcW w:w="1134" w:type="dxa"/>
            <w:vAlign w:val="center"/>
          </w:tcPr>
          <w:p w14:paraId="17AE1C6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7726D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2D3C425D">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134099E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《无锡市制造业转型发展指导目录》（2012年本）</w:t>
            </w:r>
          </w:p>
        </w:tc>
        <w:tc>
          <w:tcPr>
            <w:tcW w:w="4961" w:type="dxa"/>
            <w:vAlign w:val="center"/>
          </w:tcPr>
          <w:p w14:paraId="7AC65C4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rPr>
              <w:t>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项目属于该文件中的鼓励类</w:t>
            </w:r>
            <w:r>
              <w:rPr>
                <w:rFonts w:hint="eastAsia" w:ascii="Times New Roman" w:hAnsi="Times New Roman" w:cs="Times New Roman"/>
                <w:color w:val="auto"/>
                <w:sz w:val="21"/>
                <w:szCs w:val="21"/>
                <w:highlight w:val="none"/>
              </w:rPr>
              <w:t>：一、电子信息产业11.半导体、光电子器件、新型电子元器件等电子产品用材料</w:t>
            </w:r>
            <w:r>
              <w:rPr>
                <w:rFonts w:ascii="Times New Roman" w:hAnsi="Times New Roman" w:cs="Times New Roman"/>
                <w:color w:val="auto"/>
                <w:sz w:val="21"/>
                <w:szCs w:val="21"/>
                <w:highlight w:val="none"/>
              </w:rPr>
              <w:t>，符合该文件的要求</w:t>
            </w:r>
          </w:p>
        </w:tc>
        <w:tc>
          <w:tcPr>
            <w:tcW w:w="1134" w:type="dxa"/>
            <w:vAlign w:val="center"/>
          </w:tcPr>
          <w:p w14:paraId="78D9B89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28A83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7355CD95">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3AC84DF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《锡山区产业结构调整指导目录（试行）》(锡经贸[2008]14号)</w:t>
            </w:r>
          </w:p>
        </w:tc>
        <w:tc>
          <w:tcPr>
            <w:tcW w:w="4961" w:type="dxa"/>
            <w:vAlign w:val="center"/>
          </w:tcPr>
          <w:p w14:paraId="4CD1A68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rPr>
              <w:t>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，项目产品、所用设备及工艺均不属于该文件中的鼓励类、禁止类及淘汰类，为允许类，符合该文件的要求</w:t>
            </w:r>
          </w:p>
        </w:tc>
        <w:tc>
          <w:tcPr>
            <w:tcW w:w="1134" w:type="dxa"/>
            <w:vAlign w:val="center"/>
          </w:tcPr>
          <w:p w14:paraId="7BFC075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78533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30C5D0AF">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1E92126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《限制用地项目目录（2012年本）》、《禁止用地项目目录（2012年本）》</w:t>
            </w:r>
          </w:p>
        </w:tc>
        <w:tc>
          <w:tcPr>
            <w:tcW w:w="4961" w:type="dxa"/>
            <w:vAlign w:val="center"/>
          </w:tcPr>
          <w:p w14:paraId="506FE54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rPr>
              <w:t>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，项目类型不在《限制用地项目目录（2012年本）》、《禁止用地项目目录（2012年本）》中，符合目录要求</w:t>
            </w:r>
          </w:p>
        </w:tc>
        <w:tc>
          <w:tcPr>
            <w:tcW w:w="1134" w:type="dxa"/>
            <w:vAlign w:val="center"/>
          </w:tcPr>
          <w:p w14:paraId="02129B1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3D0CC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vAlign w:val="center"/>
          </w:tcPr>
          <w:p w14:paraId="164849AE">
            <w:pPr>
              <w:numPr>
                <w:ilvl w:val="0"/>
                <w:numId w:val="14"/>
              </w:numPr>
              <w:ind w:left="-105" w:right="-105" w:firstLine="0"/>
              <w:jc w:val="center"/>
              <w:rPr>
                <w:rFonts w:ascii="Times New Roman" w:hAnsi="Times New Roman" w:cs="Times New Roman"/>
                <w:color w:val="auto"/>
                <w:sz w:val="21"/>
                <w:szCs w:val="21"/>
                <w:highlight w:val="none"/>
              </w:rPr>
            </w:pPr>
          </w:p>
        </w:tc>
        <w:tc>
          <w:tcPr>
            <w:tcW w:w="2410" w:type="dxa"/>
            <w:vAlign w:val="center"/>
          </w:tcPr>
          <w:p w14:paraId="463A09D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《江苏省限制用地项目目录(2013年本)》、《江苏省禁止用地项目目录(2013年本)》</w:t>
            </w:r>
          </w:p>
        </w:tc>
        <w:tc>
          <w:tcPr>
            <w:tcW w:w="4961" w:type="dxa"/>
            <w:vAlign w:val="center"/>
          </w:tcPr>
          <w:p w14:paraId="3C3E373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rPr>
              <w:t>属于</w:t>
            </w:r>
            <w:r>
              <w:rPr>
                <w:rFonts w:ascii="Times New Roman" w:hAnsi="Times New Roman" w:cs="Times New Roman"/>
                <w:color w:val="auto"/>
                <w:sz w:val="21"/>
                <w:szCs w:val="21"/>
                <w:highlight w:val="none"/>
              </w:rPr>
              <w:t>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，项目类型不在《江苏省限制用地项目目录(2013年本)》、《江苏省禁止用地项目目录(2013年本)》中，符合目录要求</w:t>
            </w:r>
          </w:p>
        </w:tc>
        <w:tc>
          <w:tcPr>
            <w:tcW w:w="1134" w:type="dxa"/>
            <w:vAlign w:val="center"/>
          </w:tcPr>
          <w:p w14:paraId="04AE67A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bl>
    <w:p w14:paraId="5963240F">
      <w:pPr>
        <w:pStyle w:val="5"/>
        <w:keepLines w:val="0"/>
        <w:numPr>
          <w:ilvl w:val="2"/>
          <w:numId w:val="6"/>
        </w:numPr>
        <w:tabs>
          <w:tab w:val="left" w:pos="141"/>
          <w:tab w:val="left" w:pos="709"/>
        </w:tabs>
        <w:spacing w:before="0" w:after="0" w:line="360" w:lineRule="auto"/>
        <w:ind w:left="-105" w:right="-105"/>
        <w:rPr>
          <w:rFonts w:eastAsia="宋体"/>
          <w:color w:val="auto"/>
          <w:sz w:val="28"/>
          <w:szCs w:val="28"/>
          <w:highlight w:val="none"/>
        </w:rPr>
      </w:pPr>
      <w:r>
        <w:rPr>
          <w:rFonts w:hint="eastAsia" w:eastAsia="宋体"/>
          <w:color w:val="auto"/>
          <w:sz w:val="28"/>
          <w:szCs w:val="28"/>
          <w:highlight w:val="none"/>
        </w:rPr>
        <w:t>其他</w:t>
      </w:r>
      <w:r>
        <w:rPr>
          <w:rFonts w:eastAsia="宋体"/>
          <w:color w:val="auto"/>
          <w:sz w:val="28"/>
          <w:szCs w:val="28"/>
          <w:highlight w:val="none"/>
        </w:rPr>
        <w:t>政策相符性分析</w:t>
      </w:r>
    </w:p>
    <w:p w14:paraId="4B6F4DF9">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2.6.5.1与《无锡市水环境保护条例》（2021年5月27日）相符性分析</w:t>
      </w:r>
    </w:p>
    <w:p w14:paraId="3FE9A7E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highlight w:val="none"/>
        </w:rPr>
        <w:t>根据</w:t>
      </w:r>
      <w:r>
        <w:rPr>
          <w:rFonts w:ascii="Times New Roman" w:hAnsi="Times New Roman" w:cs="Times New Roman"/>
          <w:color w:val="auto"/>
          <w:szCs w:val="22"/>
          <w:highlight w:val="none"/>
        </w:rPr>
        <w:t>《无锡市水环境保护条例》：</w:t>
      </w:r>
    </w:p>
    <w:p w14:paraId="5C33ACF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szCs w:val="22"/>
          <w:highlight w:val="none"/>
        </w:rPr>
        <w:t>第十二条</w:t>
      </w:r>
      <w:r>
        <w:rPr>
          <w:rFonts w:ascii="Times New Roman" w:hAnsi="Times New Roman" w:cs="Times New Roman"/>
          <w:color w:val="auto"/>
          <w:highlight w:val="none"/>
        </w:rPr>
        <w:t>企业事业单位应当按照规定开展突发环境事件风险评估，完善突发环境事件风险防控措施，排查治理环境安全隐患，防止污染水环境。</w:t>
      </w:r>
    </w:p>
    <w:p w14:paraId="554061ED">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第十四条实行化学需氧量、氨氮、总磷、总氮等重点水污染物排放总量控制制度。</w:t>
      </w:r>
    </w:p>
    <w:p w14:paraId="1B0DAEEA">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第十八条依照法律规定实行排污许可管理的企业事业单位和其他生产经营者，应当按照排污许可管理要求排放水污染物。</w:t>
      </w:r>
    </w:p>
    <w:p w14:paraId="336576AF">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第二十条直接或者间接向水体排放污染物的企业事业单位和其他生产经营者，应当按照规定在厂界内和厂界外分别设置便于检查、采样的规范化排污口，并设置符合要求的采样口、标识牌。</w:t>
      </w:r>
    </w:p>
    <w:p w14:paraId="00C379F2">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第二十二条任何单位和个人不得利用雨水排放口等雨水设施排放污水。</w:t>
      </w:r>
    </w:p>
    <w:p w14:paraId="3E22C3E2">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第二十四条工业废水、生活污水应当实行集中处理。按照规定需要对产生的污水进行预处理的，排污单位应当进行预处理，达到规定标准后方可排入污水管网。</w:t>
      </w:r>
    </w:p>
    <w:p w14:paraId="4CE201BB">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本项目建成后将按照规定开展突发环境事件风险评估，完善突发环境事件风险防控措施。项目实行水污染物排放总量控制制度，项目建成后将按照排污许可管理要求排放水污染物。本项目雨污分流，</w:t>
      </w:r>
      <w:r>
        <w:rPr>
          <w:rFonts w:hint="eastAsia" w:ascii="Times New Roman" w:hAnsi="Times New Roman"/>
          <w:color w:val="auto"/>
          <w:highlight w:val="none"/>
        </w:rPr>
        <w:t>超纯水装置浓水、超纯水装置反冲洗水不含氮磷，且水质简单，回用于冲厕，生活污水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s="Times New Roman"/>
          <w:color w:val="auto"/>
          <w:highlight w:val="none"/>
        </w:rPr>
        <w:t>，尾水排入</w:t>
      </w:r>
      <w:r>
        <w:rPr>
          <w:rFonts w:hint="eastAsia" w:ascii="Times New Roman" w:hAnsi="Times New Roman" w:cs="Times New Roman"/>
          <w:color w:val="auto"/>
          <w:highlight w:val="none"/>
        </w:rPr>
        <w:t>北兴塘河</w:t>
      </w:r>
      <w:r>
        <w:rPr>
          <w:rFonts w:ascii="Times New Roman" w:hAnsi="Times New Roman" w:cs="Times New Roman"/>
          <w:color w:val="auto"/>
          <w:highlight w:val="none"/>
        </w:rPr>
        <w:t>。本项目废水排放属于间接排放，本项目将设置符合要求的采样口、标识牌。</w:t>
      </w:r>
    </w:p>
    <w:p w14:paraId="5D6A14A6">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2.6.5.2与《江苏省水污染防治条例》（2020年11月27日）相符性分析</w:t>
      </w:r>
    </w:p>
    <w:p w14:paraId="2BEDAFC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根据《江苏省水污染防治条例》：</w:t>
      </w:r>
    </w:p>
    <w:p w14:paraId="195F87D0">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第二十三条禁止工业企业、宾馆、餐饮、洗涤等企业事业单位以及个人使用各类含磷洗涤用品。</w:t>
      </w:r>
    </w:p>
    <w:p w14:paraId="76D43A2D">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五条县级以上地方人民政府应当根据国土空间规划和本行政区域的资源环境承载能力与水环境质量改善目标等要求，合理规划工业布局，引导现有工业企业入驻工业集聚区，减少工业废水和水污染物排放量。</w:t>
      </w:r>
    </w:p>
    <w:p w14:paraId="6CF94E37">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新建排放重点水污染物的工业项目原则上进入符合相关规划的开发区、工业园区等工业集聚区。</w:t>
      </w:r>
    </w:p>
    <w:p w14:paraId="283A0E08">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逐步减少在工业集聚区以外直接排放工业废水的工业企业，并将有关工作情况纳入环境保护目标责任制范围。</w:t>
      </w:r>
    </w:p>
    <w:p w14:paraId="16ACC607">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第二十六条向污水集中处理设施排放工业废水的，应当按照国家和省有关规定进行预处理，符合国家、省有关标准和污水集中处理设施的接纳要求。污水集中处理设施尾水，可以采取生态净化等方式处理后排放。</w:t>
      </w:r>
    </w:p>
    <w:p w14:paraId="4CEA62ED">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实行工业废水与生活污水分质处理，对不符合城镇污水集中处理设施接纳要求的工业废水，限期退出城镇污水管网。</w:t>
      </w:r>
    </w:p>
    <w:p w14:paraId="4A86A250">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第二十九条排放工业废水的工业企业应当逐步实行雨污分流、清污分流。化工、电镀等企业应当将初期雨水收集处理，不得直接排放。</w:t>
      </w:r>
    </w:p>
    <w:p w14:paraId="310B8D5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本项目不涉及含磷洗涤用品的使用，项目位于</w:t>
      </w:r>
      <w:r>
        <w:rPr>
          <w:rFonts w:hint="eastAsia" w:ascii="Times New Roman" w:hAnsi="Times New Roman"/>
          <w:color w:val="auto"/>
          <w:szCs w:val="18"/>
          <w:highlight w:val="none"/>
        </w:rPr>
        <w:t>江苏省</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szCs w:val="22"/>
          <w:highlight w:val="none"/>
        </w:rPr>
        <w:t>，属于锡山区锡北镇工业集聚区。本项目符合锡山区锡北镇相关规划。</w:t>
      </w:r>
    </w:p>
    <w:p w14:paraId="34E3DAA6">
      <w:pPr>
        <w:autoSpaceDE w:val="0"/>
        <w:autoSpaceDN w:val="0"/>
        <w:adjustRightInd w:val="0"/>
        <w:snapToGrid w:val="0"/>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highlight w:val="none"/>
        </w:rPr>
        <w:t>本项目</w:t>
      </w:r>
      <w:r>
        <w:rPr>
          <w:rFonts w:hint="eastAsia" w:ascii="Times New Roman" w:hAnsi="Times New Roman"/>
          <w:color w:val="auto"/>
          <w:highlight w:val="none"/>
        </w:rPr>
        <w:t>超纯水装置浓水、超纯水装置反冲洗水不含氮磷，且水质简单，回用于冲厕，生活污水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s="Times New Roman"/>
          <w:color w:val="auto"/>
          <w:highlight w:val="none"/>
        </w:rPr>
        <w:t>，尾水排入</w:t>
      </w:r>
      <w:r>
        <w:rPr>
          <w:rFonts w:hint="eastAsia" w:ascii="Times New Roman" w:hAnsi="Times New Roman" w:cs="Times New Roman"/>
          <w:color w:val="auto"/>
          <w:highlight w:val="none"/>
        </w:rPr>
        <w:t>北兴塘河</w:t>
      </w:r>
      <w:r>
        <w:rPr>
          <w:rFonts w:ascii="Times New Roman" w:hAnsi="Times New Roman" w:cs="Times New Roman"/>
          <w:color w:val="auto"/>
          <w:highlight w:val="none"/>
        </w:rPr>
        <w:t>。</w:t>
      </w:r>
      <w:r>
        <w:rPr>
          <w:rFonts w:ascii="Times New Roman" w:hAnsi="Times New Roman" w:cs="Times New Roman"/>
          <w:color w:val="auto"/>
          <w:szCs w:val="22"/>
          <w:highlight w:val="none"/>
        </w:rPr>
        <w:t>本项目属于</w:t>
      </w:r>
      <w:r>
        <w:rPr>
          <w:rFonts w:hint="eastAsia" w:ascii="Times New Roman" w:hAnsi="Times New Roman" w:cs="Times New Roman"/>
          <w:color w:val="auto"/>
          <w:szCs w:val="18"/>
          <w:highlight w:val="none"/>
        </w:rPr>
        <w:t>C3985电子专用材料制造</w:t>
      </w:r>
      <w:r>
        <w:rPr>
          <w:rFonts w:ascii="Times New Roman" w:hAnsi="Times New Roman" w:cs="Times New Roman"/>
          <w:color w:val="auto"/>
          <w:szCs w:val="22"/>
          <w:highlight w:val="none"/>
        </w:rPr>
        <w:t>，不属于化工</w:t>
      </w:r>
      <w:r>
        <w:rPr>
          <w:rFonts w:hint="eastAsia" w:ascii="Times New Roman" w:hAnsi="Times New Roman" w:cs="Times New Roman"/>
          <w:color w:val="auto"/>
          <w:szCs w:val="22"/>
          <w:highlight w:val="none"/>
        </w:rPr>
        <w:t>、电镀</w:t>
      </w:r>
      <w:r>
        <w:rPr>
          <w:rFonts w:ascii="Times New Roman" w:hAnsi="Times New Roman" w:cs="Times New Roman"/>
          <w:color w:val="auto"/>
          <w:szCs w:val="22"/>
          <w:highlight w:val="none"/>
        </w:rPr>
        <w:t>行业，厂区实行雨污分流、清污分流，并将按照有关规定标识雨水管、清下水管、污水管的走向，在雨水、污水排放口或者接管口设置标识牌，因此，本项目符合《江苏省水污染防治条例》要求。</w:t>
      </w:r>
    </w:p>
    <w:p w14:paraId="4341B27F">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2.6.5.3与《江苏省太湖水污染防治条例》(2021年修订）相符性分析</w:t>
      </w:r>
    </w:p>
    <w:p w14:paraId="511595C3">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江苏省太湖水污染防治条例》，太湖流域划分为三级保护区：太湖湖体、沿湖岸5公里区域、入湖河道上溯10公里以及沿岸两侧各1公里范围为一级保护区；主要入湖河道上溯50公里以及沿岸两侧各1公里范围为二级保护区；其他地区为三级保护区。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，根据《省政府办公厅关于公布江苏省太湖流域三级保护区范围的通知》（苏政办发[2012]221号）的规定，本项目不在太湖流域一级、二级保护区范围内，因此本项目位于太湖流域三级保护区内。</w:t>
      </w:r>
    </w:p>
    <w:p w14:paraId="0050F79B">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lang w:val="zh-CN"/>
        </w:rPr>
        <w:t>《江苏省太湖水污染防治条例》</w:t>
      </w:r>
      <w:r>
        <w:rPr>
          <w:rFonts w:ascii="Times New Roman" w:hAnsi="Times New Roman" w:cs="Times New Roman"/>
          <w:color w:val="auto"/>
          <w:highlight w:val="none"/>
        </w:rPr>
        <w:t>（江苏省第十二届人民代表大会常务委员会第三十四次会议于2018年1月24日通过）第四十三条规定，太湖流域一、二、三级保护区禁止下列行为：</w:t>
      </w:r>
    </w:p>
    <w:p w14:paraId="730CA052">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（一）新建、改建、扩建化学制浆造纸、制革、酿造、染料、印染、电镀以及其他排放含磷、氮等污染物的企业和项目，城镇污水集中处理等环境基础设施项目和第四十六条规定的情形除外；</w:t>
      </w:r>
    </w:p>
    <w:p w14:paraId="1B3408C3">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（二）销售、使用含磷洗涤用品；</w:t>
      </w:r>
    </w:p>
    <w:p w14:paraId="6DF63736">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（三）向水体排放或者倾倒油类、酸液、碱液、剧毒废渣废液、含放射性废渣废液、含病原体污水、工业废渣以及其他废弃物；</w:t>
      </w:r>
    </w:p>
    <w:p w14:paraId="324013B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（四）在水体清洗装贮过油类或者有毒有害污染物的车辆、船舶和容器等；</w:t>
      </w:r>
    </w:p>
    <w:p w14:paraId="1EFB5DAC">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（五）使用农药等有毒物毒杀水生生物；</w:t>
      </w:r>
    </w:p>
    <w:p w14:paraId="7A3B04E6">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（六）向水体直接排放人畜粪便、倾倒垃圾；</w:t>
      </w:r>
    </w:p>
    <w:p w14:paraId="2B3C3804">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（七）围湖造地；</w:t>
      </w:r>
    </w:p>
    <w:p w14:paraId="7F7C2E78">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（八）违法开山采石，或者进行破坏林木、植被、水生生物的活动；</w:t>
      </w:r>
    </w:p>
    <w:p w14:paraId="20F3CB23">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（九）法律、法规禁止的其他行为。</w:t>
      </w:r>
    </w:p>
    <w:p w14:paraId="2242F369">
      <w:pPr>
        <w:autoSpaceDE w:val="0"/>
        <w:autoSpaceDN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本项目位于太湖流域三级保护区，属于</w:t>
      </w:r>
      <w:r>
        <w:rPr>
          <w:rFonts w:hint="eastAsia" w:ascii="Times New Roman" w:hAnsi="Times New Roman" w:cs="Times New Roman"/>
          <w:color w:val="auto"/>
          <w:szCs w:val="18"/>
          <w:highlight w:val="none"/>
        </w:rPr>
        <w:t>C3985电子专用材料制造</w:t>
      </w:r>
      <w:r>
        <w:rPr>
          <w:rFonts w:ascii="Times New Roman" w:hAnsi="Times New Roman" w:cs="Times New Roman"/>
          <w:color w:val="auto"/>
          <w:szCs w:val="18"/>
          <w:highlight w:val="none"/>
        </w:rPr>
        <w:t>，不属于</w:t>
      </w:r>
      <w:bookmarkStart w:id="191" w:name="_Hlk140238902"/>
      <w:r>
        <w:rPr>
          <w:rFonts w:ascii="Times New Roman" w:hAnsi="Times New Roman" w:cs="Times New Roman"/>
          <w:color w:val="auto"/>
          <w:highlight w:val="none"/>
        </w:rPr>
        <w:t>化学制浆造纸、制革、酿造、染料、印染、电镀</w:t>
      </w:r>
      <w:r>
        <w:rPr>
          <w:rFonts w:hint="eastAsia" w:ascii="Times New Roman" w:hAnsi="Times New Roman" w:cs="Times New Roman"/>
          <w:color w:val="auto"/>
          <w:highlight w:val="none"/>
        </w:rPr>
        <w:t>行业</w:t>
      </w:r>
      <w:r>
        <w:rPr>
          <w:rFonts w:ascii="Times New Roman" w:hAnsi="Times New Roman" w:cs="Times New Roman"/>
          <w:color w:val="auto"/>
          <w:szCs w:val="18"/>
          <w:highlight w:val="none"/>
        </w:rPr>
        <w:t>。</w:t>
      </w:r>
      <w:bookmarkEnd w:id="191"/>
      <w:r>
        <w:rPr>
          <w:rFonts w:ascii="Times New Roman" w:hAnsi="Times New Roman" w:cs="Times New Roman"/>
          <w:color w:val="auto"/>
          <w:szCs w:val="18"/>
          <w:highlight w:val="none"/>
        </w:rPr>
        <w:t>项目生产过程中不使用含磷洗涤用品。</w:t>
      </w:r>
      <w:r>
        <w:rPr>
          <w:rFonts w:ascii="Times New Roman" w:hAnsi="Times New Roman" w:cs="Times New Roman"/>
          <w:color w:val="auto"/>
          <w:highlight w:val="none"/>
        </w:rPr>
        <w:t>项目投产后</w:t>
      </w:r>
      <w:r>
        <w:rPr>
          <w:rFonts w:hint="eastAsia" w:ascii="Times New Roman" w:hAnsi="Times New Roman" w:cs="Times New Roman"/>
          <w:color w:val="auto"/>
          <w:highlight w:val="none"/>
        </w:rPr>
        <w:t>，</w:t>
      </w:r>
      <w:r>
        <w:rPr>
          <w:rFonts w:ascii="Times New Roman" w:hAnsi="Times New Roman" w:cs="Times New Roman"/>
          <w:color w:val="auto"/>
          <w:highlight w:val="none"/>
        </w:rPr>
        <w:t>本项目</w:t>
      </w:r>
      <w:r>
        <w:rPr>
          <w:rFonts w:hint="eastAsia" w:ascii="Times New Roman" w:hAnsi="Times New Roman"/>
          <w:color w:val="auto"/>
          <w:highlight w:val="none"/>
        </w:rPr>
        <w:t>超纯水装置浓水、超纯水装置反冲洗水不含氮磷，且水质简单，回用于冲厕，生活污水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s="Times New Roman"/>
          <w:color w:val="auto"/>
          <w:highlight w:val="none"/>
        </w:rPr>
        <w:t>，尾水排入</w:t>
      </w:r>
      <w:r>
        <w:rPr>
          <w:rFonts w:hint="eastAsia" w:ascii="Times New Roman" w:hAnsi="Times New Roman" w:cs="Times New Roman"/>
          <w:color w:val="auto"/>
          <w:highlight w:val="none"/>
        </w:rPr>
        <w:t>北兴塘河</w:t>
      </w:r>
      <w:r>
        <w:rPr>
          <w:rFonts w:ascii="Times New Roman" w:hAnsi="Times New Roman" w:cs="Times New Roman"/>
          <w:color w:val="auto"/>
          <w:highlight w:val="none"/>
        </w:rPr>
        <w:t>，符合《江苏省太湖水污染防治条例》的要求。</w:t>
      </w:r>
    </w:p>
    <w:p w14:paraId="6DAE80DE">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2.6.5.4与《太湖流域管理条例》相符性分析</w:t>
      </w:r>
    </w:p>
    <w:p w14:paraId="3355CC63">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根据《太湖流域管理条例》（中华人民共和国国务院令第604号）第四章第二十八条规定：禁止在太湖流域设置不符合国家产业政策和水环境综合治理要求的造纸、制革、酒精、淀粉、冶金、酿造、印染、电镀等排放水污染物的生产项目，现有的生产项目不能实现达标排放的，应当依法关闭”的相关规定。</w:t>
      </w:r>
    </w:p>
    <w:p w14:paraId="0904FEF1">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根据《太湖流域管理条例》（中华人民共和国国务院令第604号）第四章第二十九条规定：新孟河、望虞河以外的其他主要入太湖河道，自河口1万米上溯至5万米河道岸线内及其岸线两侧各1000米范围内，禁止下列行为：</w:t>
      </w:r>
    </w:p>
    <w:p w14:paraId="344576B9">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（一）新建、扩建化工、医药生产项目；</w:t>
      </w:r>
    </w:p>
    <w:p w14:paraId="673528AA">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（二）新建、扩建污水集中处理设施排污口以外的排污口；</w:t>
      </w:r>
    </w:p>
    <w:p w14:paraId="033F62B3">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（三）扩大水产养殖规模。</w:t>
      </w:r>
    </w:p>
    <w:p w14:paraId="1CFE3169">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根据《太湖流域管理条例》（中华人民共和国国务院令第604号）第四章第三十条规定：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B9FD45E">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（一）设置剧毒物质、危险化学品的贮存、输送设施和废物回收场、垃圾场；</w:t>
      </w:r>
    </w:p>
    <w:p w14:paraId="5C059204">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（二）设置水上餐饮经营设施；</w:t>
      </w:r>
    </w:p>
    <w:p w14:paraId="32059811">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（三）新建、扩建高尔夫球场;</w:t>
      </w:r>
    </w:p>
    <w:p w14:paraId="20C998CC">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（四）新建、扩建畜禽养殖场；</w:t>
      </w:r>
    </w:p>
    <w:p w14:paraId="398D8D24">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（五）新建、扩建向水体排放污染物的建设项目；</w:t>
      </w:r>
    </w:p>
    <w:p w14:paraId="7453E53B">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（六）本条例第二十九条规定的行为。</w:t>
      </w:r>
    </w:p>
    <w:p w14:paraId="0C93E28B">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已经设置前款第一项、第二项规定设施的，当地县级人民政府应当责令拆除或者关闭。</w:t>
      </w:r>
    </w:p>
    <w:p w14:paraId="3F5A2A20">
      <w:pPr>
        <w:autoSpaceDE w:val="0"/>
        <w:autoSpaceDN w:val="0"/>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ascii="Times New Roman" w:hAnsi="Times New Roman" w:cs="Times New Roman"/>
          <w:bCs/>
          <w:color w:val="auto"/>
          <w:highlight w:val="none"/>
        </w:rPr>
        <w:t>本项目不属于上述禁止的行业和类别，本项目距离望虞河</w:t>
      </w:r>
      <w:r>
        <w:rPr>
          <w:rFonts w:hint="eastAsia" w:ascii="Times New Roman" w:hAnsi="Times New Roman" w:cs="Times New Roman"/>
          <w:bCs/>
          <w:color w:val="auto"/>
          <w:highlight w:val="none"/>
        </w:rPr>
        <w:t>22.0</w:t>
      </w:r>
      <w:r>
        <w:rPr>
          <w:rFonts w:ascii="Times New Roman" w:hAnsi="Times New Roman" w:cs="Times New Roman"/>
          <w:bCs/>
          <w:color w:val="auto"/>
          <w:highlight w:val="none"/>
        </w:rPr>
        <w:t>km，距离太湖岸线</w:t>
      </w:r>
      <w:r>
        <w:rPr>
          <w:rFonts w:hint="eastAsia" w:ascii="Times New Roman" w:hAnsi="Times New Roman" w:cs="Times New Roman"/>
          <w:bCs/>
          <w:color w:val="auto"/>
          <w:highlight w:val="none"/>
        </w:rPr>
        <w:t>20.6</w:t>
      </w:r>
      <w:r>
        <w:rPr>
          <w:rFonts w:ascii="Times New Roman" w:hAnsi="Times New Roman" w:cs="Times New Roman"/>
          <w:bCs/>
          <w:color w:val="auto"/>
          <w:highlight w:val="none"/>
        </w:rPr>
        <w:t>km，符合《太湖流域管理条例》的要求。</w:t>
      </w:r>
    </w:p>
    <w:p w14:paraId="067B23A5">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2.6.5.5与《江苏省大气污染防治条例》相符性分析</w:t>
      </w:r>
    </w:p>
    <w:p w14:paraId="186D668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根据《江苏省大气污染防治条例》（江苏省人民代表大会公告第2号，2015年2月1日），第三十七条</w:t>
      </w:r>
      <w:r>
        <w:rPr>
          <w:rFonts w:hint="eastAsia" w:ascii="Times New Roman" w:hAnsi="Times New Roman" w:cs="Times New Roman"/>
          <w:color w:val="auto"/>
          <w:highlight w:val="none"/>
        </w:rPr>
        <w:t>“</w:t>
      </w:r>
      <w:r>
        <w:rPr>
          <w:rFonts w:ascii="Times New Roman" w:hAnsi="Times New Roman" w:cs="Times New Roman"/>
          <w:color w:val="auto"/>
          <w:highlight w:val="none"/>
        </w:rPr>
        <w:t>在生产经营过程中产生有毒有害大气污染物的，排污单位应当安装收集净化装置或者采取其他措施，达到国家和省规定的排放标准或者其他相关要求。禁止直接排放有毒有害大气污染物。</w:t>
      </w:r>
      <w:r>
        <w:rPr>
          <w:rFonts w:hint="eastAsia" w:ascii="Times New Roman" w:hAnsi="Times New Roman" w:cs="Times New Roman"/>
          <w:color w:val="auto"/>
          <w:highlight w:val="none"/>
        </w:rPr>
        <w:t>”</w:t>
      </w:r>
      <w:r>
        <w:rPr>
          <w:rFonts w:ascii="Times New Roman" w:hAnsi="Times New Roman" w:cs="Times New Roman"/>
          <w:color w:val="auto"/>
          <w:highlight w:val="none"/>
        </w:rPr>
        <w:t>，第三十八条</w:t>
      </w:r>
      <w:r>
        <w:rPr>
          <w:rFonts w:hint="eastAsia" w:ascii="Times New Roman" w:hAnsi="Times New Roman" w:cs="Times New Roman"/>
          <w:color w:val="auto"/>
          <w:highlight w:val="none"/>
        </w:rPr>
        <w:t>“</w:t>
      </w:r>
      <w:r>
        <w:rPr>
          <w:rFonts w:ascii="Times New Roman" w:hAnsi="Times New Roman" w:cs="Times New Roman"/>
          <w:color w:val="auto"/>
          <w:highlight w:val="none"/>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石油、化工以及其他生产和使用有机溶剂的企业，应当建立泄漏检测与修复制度，对管道、设备进行日常维护、维修，及时收集处理泄漏物料。</w:t>
      </w:r>
      <w:r>
        <w:rPr>
          <w:rFonts w:hint="eastAsia" w:ascii="Times New Roman" w:hAnsi="Times New Roman" w:cs="Times New Roman"/>
          <w:color w:val="auto"/>
          <w:highlight w:val="none"/>
        </w:rPr>
        <w:t>”</w:t>
      </w:r>
    </w:p>
    <w:p w14:paraId="09851B88">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本项目均在车间内进行，产生的废气均配备收集、处理设施，处理后达标排放，故本项目的生产运营符合该条例的要求。</w:t>
      </w:r>
    </w:p>
    <w:p w14:paraId="2E6AD8E3">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6</w:t>
      </w:r>
      <w:r>
        <w:rPr>
          <w:rFonts w:eastAsia="宋体"/>
          <w:b/>
          <w:bCs/>
          <w:color w:val="auto"/>
          <w:sz w:val="24"/>
          <w:szCs w:val="22"/>
          <w:highlight w:val="none"/>
        </w:rPr>
        <w:t>与《江苏省挥发性有机物污染防治管理办法》（省政府令第119号）相符性分析</w:t>
      </w:r>
    </w:p>
    <w:p w14:paraId="1273A219">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对照《江苏省挥发性有机物污染防治管理办法》（省政府令第119号）分析如下：</w:t>
      </w:r>
    </w:p>
    <w:p w14:paraId="4E53B43C">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r>
        <w:rPr>
          <w:rFonts w:hint="eastAsia" w:ascii="Times New Roman" w:hAnsi="Times New Roman" w:cs="Times New Roman"/>
          <w:color w:val="auto"/>
          <w:szCs w:val="21"/>
          <w:highlight w:val="none"/>
        </w:rPr>
        <w:t>”</w:t>
      </w:r>
    </w:p>
    <w:p w14:paraId="59BDAC12">
      <w:pPr>
        <w:adjustRightInd w:val="0"/>
        <w:snapToGrid w:val="0"/>
        <w:spacing w:line="360" w:lineRule="auto"/>
        <w:ind w:left="-105" w:right="-105" w:firstLine="480" w:firstLineChars="200"/>
        <w:jc w:val="both"/>
        <w:rPr>
          <w:rFonts w:ascii="Times New Roman" w:hAnsi="Times New Roman" w:cs="Times New Roman"/>
          <w:color w:val="auto"/>
          <w:szCs w:val="21"/>
          <w:highlight w:val="none"/>
          <w:shd w:val="clear" w:color="FFFFFF" w:fill="D9D9D9"/>
        </w:rPr>
      </w:pPr>
      <w:r>
        <w:rPr>
          <w:rFonts w:ascii="Times New Roman" w:hAnsi="Times New Roman" w:cs="Times New Roman"/>
          <w:color w:val="auto"/>
          <w:szCs w:val="21"/>
          <w:highlight w:val="none"/>
        </w:rPr>
        <w:t>本项目生产线</w:t>
      </w:r>
      <w:r>
        <w:rPr>
          <w:rFonts w:hint="eastAsia" w:ascii="Times New Roman" w:hAnsi="Times New Roman" w:cs="Times New Roman"/>
          <w:color w:val="auto"/>
          <w:szCs w:val="21"/>
          <w:highlight w:val="none"/>
        </w:rPr>
        <w:t>基本</w:t>
      </w:r>
      <w:r>
        <w:rPr>
          <w:rFonts w:ascii="Times New Roman" w:hAnsi="Times New Roman" w:cs="Times New Roman"/>
          <w:color w:val="auto"/>
          <w:szCs w:val="21"/>
          <w:highlight w:val="none"/>
        </w:rPr>
        <w:t>使用自动化技术，产生有机废气的工段均位于密闭车间中或收集效率均可达90%以上。产生挥发性有机物废气的固体废物采用</w:t>
      </w:r>
      <w:r>
        <w:rPr>
          <w:rFonts w:hint="eastAsia" w:ascii="Times New Roman" w:hAnsi="Times New Roman" w:cs="Times New Roman"/>
          <w:color w:val="auto"/>
          <w:szCs w:val="21"/>
          <w:highlight w:val="none"/>
        </w:rPr>
        <w:t>密闭容器</w:t>
      </w:r>
      <w:r>
        <w:rPr>
          <w:rFonts w:ascii="Times New Roman" w:hAnsi="Times New Roman" w:cs="Times New Roman"/>
          <w:color w:val="auto"/>
          <w:szCs w:val="21"/>
          <w:highlight w:val="none"/>
        </w:rPr>
        <w:t>贮存，定期委托资质单位处置，废气经合理收集处理后达标排放。含有挥发性有机物的物料采用桶装方式贮存、运输、装卸，企业将建立巡查制度，杜绝含挥发性有机物物料敞口、露天放置现象。</w:t>
      </w:r>
    </w:p>
    <w:p w14:paraId="5C808094">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因此，本项目符合《江苏省挥发性有机物污染防治管理办法》（省政府令第119号）要求。</w:t>
      </w:r>
    </w:p>
    <w:p w14:paraId="119D2346">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7与</w:t>
      </w:r>
      <w:r>
        <w:rPr>
          <w:rFonts w:eastAsia="宋体"/>
          <w:b/>
          <w:bCs/>
          <w:color w:val="auto"/>
          <w:sz w:val="24"/>
          <w:szCs w:val="22"/>
          <w:highlight w:val="none"/>
        </w:rPr>
        <w:t>《关于印发江苏省重点行业挥发性有机物污染控制指南的通知》（苏环办[2014]128号）相符性分析</w:t>
      </w:r>
    </w:p>
    <w:p w14:paraId="53DEB13C">
      <w:pPr>
        <w:adjustRightInd w:val="0"/>
        <w:snapToGrid w:val="0"/>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对照《关于印发江苏省重点行业挥发性有机物污染控制指南的通知》（苏环办[2014]128号）</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所有产生有机废气污染的企业，应优先采用环保型原辅料、生产工艺和装备，对相应生产单元或设施进行密闭，从源头控制VOCs的产生，減少废气污染物排放。（二）鼓励对排放的VOCs进行回收利用，并优先在生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r>
        <w:rPr>
          <w:rFonts w:hint="eastAsia" w:ascii="Times New Roman" w:hAnsi="Times New Roman" w:cs="Times New Roman"/>
          <w:color w:val="auto"/>
          <w:szCs w:val="22"/>
          <w:highlight w:val="none"/>
        </w:rPr>
        <w:t>”</w:t>
      </w:r>
    </w:p>
    <w:p w14:paraId="1B07E079">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szCs w:val="21"/>
          <w:highlight w:val="none"/>
        </w:rPr>
        <w:t>，生产过程中不使用溶剂型涂料、油墨</w:t>
      </w:r>
      <w:r>
        <w:rPr>
          <w:rFonts w:hint="eastAsia" w:ascii="Times New Roman" w:hAnsi="Times New Roman" w:cs="Times New Roman"/>
          <w:color w:val="auto"/>
          <w:highlight w:val="none"/>
        </w:rPr>
        <w:t>、胶粘剂、清洗剂</w:t>
      </w:r>
      <w:r>
        <w:rPr>
          <w:rFonts w:ascii="Times New Roman" w:hAnsi="Times New Roman" w:cs="Times New Roman"/>
          <w:color w:val="auto"/>
          <w:szCs w:val="21"/>
          <w:highlight w:val="none"/>
        </w:rPr>
        <w:t>等高VOCs含量的原料，</w:t>
      </w:r>
      <w:r>
        <w:rPr>
          <w:rFonts w:ascii="Times New Roman" w:hAnsi="Times New Roman" w:cs="Times New Roman"/>
          <w:color w:val="auto"/>
          <w:szCs w:val="21"/>
          <w:highlight w:val="none"/>
        </w:rPr>
        <w:t>本项目</w:t>
      </w:r>
      <w:r>
        <w:rPr>
          <w:rFonts w:hint="eastAsia" w:ascii="Times New Roman" w:hAnsi="Times New Roman" w:cs="Times New Roman"/>
          <w:color w:val="auto"/>
          <w:szCs w:val="21"/>
          <w:highlight w:val="none"/>
        </w:rPr>
        <w:t>生产车间和实验室产生的</w:t>
      </w:r>
      <w:r>
        <w:rPr>
          <w:rFonts w:ascii="Times New Roman" w:hAnsi="Times New Roman" w:cs="Times New Roman"/>
          <w:color w:val="auto"/>
          <w:szCs w:val="21"/>
          <w:highlight w:val="none"/>
        </w:rPr>
        <w:t>废气</w:t>
      </w:r>
      <w:r>
        <w:rPr>
          <w:rFonts w:hint="eastAsia" w:ascii="Times New Roman" w:hAnsi="Times New Roman" w:cs="Times New Roman"/>
          <w:color w:val="auto"/>
          <w:szCs w:val="21"/>
          <w:highlight w:val="none"/>
        </w:rPr>
        <w:t>分别</w:t>
      </w:r>
      <w:r>
        <w:rPr>
          <w:rFonts w:ascii="Times New Roman" w:hAnsi="Times New Roman" w:cs="Times New Roman"/>
          <w:color w:val="auto"/>
          <w:szCs w:val="21"/>
          <w:highlight w:val="none"/>
        </w:rPr>
        <w:t>经</w:t>
      </w:r>
      <w:r>
        <w:rPr>
          <w:rFonts w:hint="eastAsia" w:ascii="Times New Roman" w:hAnsi="Times New Roman" w:cs="Times New Roman"/>
          <w:color w:val="auto"/>
          <w:szCs w:val="21"/>
          <w:highlight w:val="none"/>
        </w:rPr>
        <w:t>3级碱液喷淋+</w:t>
      </w:r>
      <w:r>
        <w:rPr>
          <w:rFonts w:ascii="Times New Roman" w:hAnsi="Times New Roman" w:cs="Times New Roman"/>
          <w:color w:val="auto"/>
          <w:szCs w:val="21"/>
          <w:highlight w:val="none"/>
        </w:rPr>
        <w:t>二级活性炭</w:t>
      </w:r>
      <w:r>
        <w:rPr>
          <w:rFonts w:hint="eastAsia" w:ascii="Times New Roman" w:hAnsi="Times New Roman" w:cs="Times New Roman"/>
          <w:color w:val="auto"/>
          <w:szCs w:val="21"/>
          <w:highlight w:val="none"/>
          <w:lang w:val="en-US" w:eastAsia="zh-CN"/>
        </w:rPr>
        <w:t>吸附装置</w:t>
      </w:r>
      <w:r>
        <w:rPr>
          <w:rFonts w:ascii="Times New Roman" w:hAnsi="Times New Roman" w:cs="Times New Roman"/>
          <w:color w:val="auto"/>
          <w:szCs w:val="21"/>
          <w:highlight w:val="none"/>
        </w:rPr>
        <w:t>处理</w:t>
      </w:r>
      <w:r>
        <w:rPr>
          <w:rFonts w:hint="eastAsia" w:ascii="Times New Roman" w:hAnsi="Times New Roman" w:cs="Times New Roman"/>
          <w:color w:val="auto"/>
          <w:szCs w:val="21"/>
          <w:highlight w:val="none"/>
        </w:rPr>
        <w:t>和</w:t>
      </w:r>
      <w:r>
        <w:rPr>
          <w:rFonts w:ascii="Times New Roman" w:hAnsi="Times New Roman" w:cs="Times New Roman"/>
          <w:color w:val="auto"/>
          <w:szCs w:val="21"/>
          <w:highlight w:val="none"/>
        </w:rPr>
        <w:t>二级活性炭</w:t>
      </w:r>
      <w:r>
        <w:rPr>
          <w:rFonts w:hint="eastAsia" w:ascii="Times New Roman" w:hAnsi="Times New Roman" w:cs="Times New Roman"/>
          <w:color w:val="auto"/>
          <w:szCs w:val="21"/>
          <w:highlight w:val="none"/>
          <w:lang w:val="en-US" w:eastAsia="zh-CN"/>
        </w:rPr>
        <w:t>吸附装置</w:t>
      </w:r>
      <w:r>
        <w:rPr>
          <w:rFonts w:ascii="Times New Roman" w:hAnsi="Times New Roman" w:cs="Times New Roman"/>
          <w:color w:val="auto"/>
          <w:szCs w:val="21"/>
          <w:highlight w:val="none"/>
        </w:rPr>
        <w:t>处理后，</w:t>
      </w:r>
      <w:r>
        <w:rPr>
          <w:rFonts w:hint="eastAsia" w:ascii="Times New Roman" w:hAnsi="Times New Roman" w:cs="Times New Roman"/>
          <w:color w:val="auto"/>
          <w:szCs w:val="21"/>
          <w:highlight w:val="none"/>
        </w:rPr>
        <w:t>分别</w:t>
      </w:r>
      <w:r>
        <w:rPr>
          <w:rFonts w:ascii="Times New Roman" w:hAnsi="Times New Roman" w:cs="Times New Roman"/>
          <w:color w:val="auto"/>
          <w:szCs w:val="21"/>
          <w:highlight w:val="none"/>
        </w:rPr>
        <w:t>通过</w:t>
      </w:r>
      <w:r>
        <w:rPr>
          <w:rFonts w:hint="eastAsia" w:ascii="Times New Roman" w:hAnsi="Times New Roman" w:cs="Times New Roman"/>
          <w:color w:val="auto"/>
          <w:szCs w:val="21"/>
          <w:highlight w:val="none"/>
        </w:rPr>
        <w:t>20m、</w:t>
      </w:r>
      <w:r>
        <w:rPr>
          <w:rFonts w:ascii="Times New Roman" w:hAnsi="Times New Roman" w:cs="Times New Roman"/>
          <w:color w:val="auto"/>
          <w:szCs w:val="21"/>
          <w:highlight w:val="none"/>
        </w:rPr>
        <w:t>15m高排气筒有组织排放，收集、去除率均达到90%以上。</w:t>
      </w:r>
    </w:p>
    <w:p w14:paraId="3253713F">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因此本项目符合《关于印发江苏省重点行业挥发性有机物污染控制指南的通知》（苏环办[2014]128号）要求。</w:t>
      </w:r>
    </w:p>
    <w:p w14:paraId="378426BE">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8</w:t>
      </w:r>
      <w:r>
        <w:rPr>
          <w:rFonts w:eastAsia="宋体"/>
          <w:b/>
          <w:bCs/>
          <w:color w:val="auto"/>
          <w:sz w:val="24"/>
          <w:szCs w:val="22"/>
          <w:highlight w:val="none"/>
        </w:rPr>
        <w:t>与《重点行业挥发性有机物综合治理方案》（环大气[2019]53号）相符性分析</w:t>
      </w:r>
    </w:p>
    <w:p w14:paraId="3892290D">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对照《重点行业挥发性有机物综合治理方案》（环大气[2019]53号）</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三、控制思路与要求、（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r>
        <w:rPr>
          <w:rFonts w:hint="eastAsia" w:ascii="Times New Roman" w:hAnsi="Times New Roman" w:cs="Times New Roman"/>
          <w:color w:val="auto"/>
          <w:szCs w:val="21"/>
          <w:highlight w:val="none"/>
        </w:rPr>
        <w:t>”</w:t>
      </w:r>
    </w:p>
    <w:p w14:paraId="48166582">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ascii="Times New Roman" w:hAnsi="Times New Roman" w:cs="Times New Roman"/>
          <w:color w:val="auto"/>
          <w:szCs w:val="21"/>
          <w:highlight w:val="none"/>
        </w:rPr>
        <w:t>”</w:t>
      </w:r>
    </w:p>
    <w:p w14:paraId="129B42DB">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szCs w:val="21"/>
          <w:highlight w:val="none"/>
        </w:rPr>
        <w:t>，生产过程中不使用溶剂型涂料、油墨</w:t>
      </w:r>
      <w:r>
        <w:rPr>
          <w:rFonts w:hint="eastAsia" w:ascii="Times New Roman" w:hAnsi="Times New Roman" w:cs="Times New Roman"/>
          <w:color w:val="auto"/>
          <w:highlight w:val="none"/>
        </w:rPr>
        <w:t>、清洗剂</w:t>
      </w:r>
      <w:r>
        <w:rPr>
          <w:rFonts w:ascii="Times New Roman" w:hAnsi="Times New Roman" w:cs="Times New Roman"/>
          <w:color w:val="auto"/>
          <w:szCs w:val="21"/>
          <w:highlight w:val="none"/>
        </w:rPr>
        <w:t>等高VOCs含量的原料，</w:t>
      </w:r>
      <w:r>
        <w:rPr>
          <w:rFonts w:ascii="Times New Roman" w:hAnsi="Times New Roman" w:cs="Times New Roman"/>
          <w:color w:val="auto"/>
          <w:szCs w:val="21"/>
          <w:highlight w:val="none"/>
        </w:rPr>
        <w:t>本项目</w:t>
      </w:r>
      <w:r>
        <w:rPr>
          <w:rFonts w:hint="eastAsia" w:ascii="Times New Roman" w:hAnsi="Times New Roman" w:cs="Times New Roman"/>
          <w:color w:val="auto"/>
          <w:szCs w:val="21"/>
          <w:highlight w:val="none"/>
        </w:rPr>
        <w:t>生产车间和实验室产生的</w:t>
      </w:r>
      <w:r>
        <w:rPr>
          <w:rFonts w:ascii="Times New Roman" w:hAnsi="Times New Roman" w:cs="Times New Roman"/>
          <w:color w:val="auto"/>
          <w:szCs w:val="21"/>
          <w:highlight w:val="none"/>
        </w:rPr>
        <w:t>废气</w:t>
      </w:r>
      <w:r>
        <w:rPr>
          <w:rFonts w:hint="eastAsia" w:ascii="Times New Roman" w:hAnsi="Times New Roman" w:cs="Times New Roman"/>
          <w:color w:val="auto"/>
          <w:szCs w:val="21"/>
          <w:highlight w:val="none"/>
        </w:rPr>
        <w:t>分别</w:t>
      </w:r>
      <w:r>
        <w:rPr>
          <w:rFonts w:ascii="Times New Roman" w:hAnsi="Times New Roman" w:cs="Times New Roman"/>
          <w:color w:val="auto"/>
          <w:szCs w:val="21"/>
          <w:highlight w:val="none"/>
        </w:rPr>
        <w:t>经</w:t>
      </w:r>
      <w:r>
        <w:rPr>
          <w:rFonts w:hint="eastAsia" w:ascii="Times New Roman" w:hAnsi="Times New Roman" w:cs="Times New Roman"/>
          <w:color w:val="auto"/>
          <w:szCs w:val="21"/>
          <w:highlight w:val="none"/>
        </w:rPr>
        <w:t>3级碱液喷淋+</w:t>
      </w:r>
      <w:r>
        <w:rPr>
          <w:rFonts w:ascii="Times New Roman" w:hAnsi="Times New Roman" w:cs="Times New Roman"/>
          <w:color w:val="auto"/>
          <w:szCs w:val="21"/>
          <w:highlight w:val="none"/>
        </w:rPr>
        <w:t>二级活性炭</w:t>
      </w:r>
      <w:r>
        <w:rPr>
          <w:rFonts w:hint="eastAsia" w:ascii="Times New Roman" w:hAnsi="Times New Roman" w:cs="Times New Roman"/>
          <w:color w:val="auto"/>
          <w:szCs w:val="21"/>
          <w:highlight w:val="none"/>
          <w:lang w:val="en-US" w:eastAsia="zh-CN"/>
        </w:rPr>
        <w:t>吸附装置</w:t>
      </w:r>
      <w:r>
        <w:rPr>
          <w:rFonts w:ascii="Times New Roman" w:hAnsi="Times New Roman" w:cs="Times New Roman"/>
          <w:color w:val="auto"/>
          <w:szCs w:val="21"/>
          <w:highlight w:val="none"/>
        </w:rPr>
        <w:t>处理</w:t>
      </w:r>
      <w:r>
        <w:rPr>
          <w:rFonts w:hint="eastAsia" w:ascii="Times New Roman" w:hAnsi="Times New Roman" w:cs="Times New Roman"/>
          <w:color w:val="auto"/>
          <w:szCs w:val="21"/>
          <w:highlight w:val="none"/>
        </w:rPr>
        <w:t>和</w:t>
      </w:r>
      <w:r>
        <w:rPr>
          <w:rFonts w:ascii="Times New Roman" w:hAnsi="Times New Roman" w:cs="Times New Roman"/>
          <w:color w:val="auto"/>
          <w:szCs w:val="21"/>
          <w:highlight w:val="none"/>
        </w:rPr>
        <w:t>二级活性炭</w:t>
      </w:r>
      <w:r>
        <w:rPr>
          <w:rFonts w:hint="eastAsia" w:ascii="Times New Roman" w:hAnsi="Times New Roman" w:cs="Times New Roman"/>
          <w:color w:val="auto"/>
          <w:szCs w:val="21"/>
          <w:highlight w:val="none"/>
          <w:lang w:val="en-US" w:eastAsia="zh-CN"/>
        </w:rPr>
        <w:t>吸附装置</w:t>
      </w:r>
      <w:r>
        <w:rPr>
          <w:rFonts w:ascii="Times New Roman" w:hAnsi="Times New Roman" w:cs="Times New Roman"/>
          <w:color w:val="auto"/>
          <w:szCs w:val="21"/>
          <w:highlight w:val="none"/>
        </w:rPr>
        <w:t>处理后，</w:t>
      </w:r>
      <w:r>
        <w:rPr>
          <w:rFonts w:hint="eastAsia" w:ascii="Times New Roman" w:hAnsi="Times New Roman" w:cs="Times New Roman"/>
          <w:color w:val="auto"/>
          <w:szCs w:val="21"/>
          <w:highlight w:val="none"/>
        </w:rPr>
        <w:t>分别</w:t>
      </w:r>
      <w:r>
        <w:rPr>
          <w:rFonts w:ascii="Times New Roman" w:hAnsi="Times New Roman" w:cs="Times New Roman"/>
          <w:color w:val="auto"/>
          <w:szCs w:val="21"/>
          <w:highlight w:val="none"/>
        </w:rPr>
        <w:t>通过</w:t>
      </w:r>
      <w:r>
        <w:rPr>
          <w:rFonts w:hint="eastAsia" w:ascii="Times New Roman" w:hAnsi="Times New Roman" w:cs="Times New Roman"/>
          <w:color w:val="auto"/>
          <w:szCs w:val="21"/>
          <w:highlight w:val="none"/>
        </w:rPr>
        <w:t>20m、</w:t>
      </w:r>
      <w:r>
        <w:rPr>
          <w:rFonts w:ascii="Times New Roman" w:hAnsi="Times New Roman" w:cs="Times New Roman"/>
          <w:color w:val="auto"/>
          <w:szCs w:val="21"/>
          <w:highlight w:val="none"/>
        </w:rPr>
        <w:t>15m高排气筒有组织排放，收集、去除率均达到90%以上。</w:t>
      </w:r>
    </w:p>
    <w:p w14:paraId="09F1BF6D">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因此本项目符合《重点行业挥发性有机物综合治理方案》（环大气[2019]53号）要求。</w:t>
      </w:r>
    </w:p>
    <w:p w14:paraId="3327F968">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9 与《关于做好生态环境和应急管理部门联动工作的意见》（苏环办[2020]101号）相符性分析</w:t>
      </w:r>
    </w:p>
    <w:p w14:paraId="1FF2B31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对照《关于做好生态环境和应急管理部门联动工作的意见》（苏环办[2020]101号）“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经排查，</w:t>
      </w:r>
      <w:r>
        <w:rPr>
          <w:rFonts w:hint="eastAsia"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使用二级活性炭吸附装置处理有机废气，故</w:t>
      </w:r>
      <w:r>
        <w:rPr>
          <w:rFonts w:hint="eastAsia" w:ascii="Times New Roman" w:hAnsi="Times New Roman" w:cs="Times New Roman"/>
          <w:color w:val="auto"/>
          <w:highlight w:val="none"/>
        </w:rPr>
        <w:t>不属于以上六类，</w:t>
      </w:r>
      <w:r>
        <w:rPr>
          <w:rFonts w:hint="eastAsia" w:ascii="Times New Roman" w:hAnsi="Times New Roman" w:cs="Times New Roman"/>
          <w:color w:val="auto"/>
          <w:highlight w:val="none"/>
        </w:rPr>
        <w:t>企业在项目竣工前应根据江苏省生态环境厅、江苏省应急管理厅《关于做好生态环境和应急管理部门联动工作的意见》（苏环办[2020]101号）、省生态环境厅印发《关于做好安全生产专项整治工作实施方案》（苏环办[2020]16号）做好环境治理设施安全风险评估论证，健全内部污染防治设施稳定运行和管理责任制度，严格依据标准规范建设环境治理设施，确保环境治理设施安全、稳定、有效运行及污染物达标排放。</w:t>
      </w:r>
    </w:p>
    <w:p w14:paraId="6F14811B">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hint="eastAsia" w:eastAsia="宋体"/>
          <w:b/>
          <w:bCs/>
          <w:color w:val="auto"/>
          <w:sz w:val="24"/>
          <w:szCs w:val="22"/>
          <w:highlight w:val="none"/>
        </w:rPr>
        <w:t>2.6.5.10与《江苏省工业废水与生活污水分质处理工作推进方案》相符性分析</w:t>
      </w:r>
    </w:p>
    <w:p w14:paraId="702B6A46">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二、准入条件及评估原则</w:t>
      </w:r>
    </w:p>
    <w:p w14:paraId="677AD5C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（二）现有企业</w:t>
      </w:r>
    </w:p>
    <w:p w14:paraId="1E788E6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现有纳管工业企业按照以下七项基本原则开展评估，评估结果分为“允许接入”“整改后接入”“限期退出”三种类型，作为分类整治管理的依据。</w:t>
      </w:r>
    </w:p>
    <w:p w14:paraId="1F625AB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1.可生化优先原则：以下制造业工业企业，生产废水可生化性较好，有利于城镇污水处理厂提高处理效能，与城镇污水处理厂约定纳管标准限值、签订书面合同、变更排污及排水许可证内容、完成备案手续后可优先接入城镇污水处理厂：（1）发酵酒精和白酒、啤酒、味精、制糖工业（依据行业标准修改单和排污</w:t>
      </w:r>
    </w:p>
    <w:p w14:paraId="054D5DD8">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许可证技术规范，排放浓度可协商）；（2）淀粉、酵母、柠檬酸工业（依据行业标准修改单征求意见稿，排放浓度可协商）；（3）肉类加工工业（依据行业标准，BOD</w:t>
      </w:r>
      <w:r>
        <w:rPr>
          <w:rFonts w:hint="eastAsia" w:ascii="Times New Roman" w:hAnsi="Times New Roman" w:cs="Times New Roman"/>
          <w:color w:val="auto"/>
          <w:highlight w:val="none"/>
          <w:vertAlign w:val="subscript"/>
        </w:rPr>
        <w:t>5</w:t>
      </w:r>
      <w:r>
        <w:rPr>
          <w:rFonts w:hint="eastAsia" w:ascii="Times New Roman" w:hAnsi="Times New Roman" w:cs="Times New Roman"/>
          <w:color w:val="auto"/>
          <w:highlight w:val="none"/>
        </w:rPr>
        <w:t>浓度可放宽至600mg/L，COD</w:t>
      </w:r>
      <w:r>
        <w:rPr>
          <w:rFonts w:hint="eastAsia" w:ascii="Times New Roman" w:hAnsi="Times New Roman" w:cs="Times New Roman"/>
          <w:color w:val="auto"/>
          <w:highlight w:val="none"/>
          <w:vertAlign w:val="subscript"/>
        </w:rPr>
        <w:t>Cr</w:t>
      </w:r>
      <w:r>
        <w:rPr>
          <w:rFonts w:hint="eastAsia" w:ascii="Times New Roman" w:hAnsi="Times New Roman" w:cs="Times New Roman"/>
          <w:color w:val="auto"/>
          <w:highlight w:val="none"/>
        </w:rPr>
        <w:t>浓度可放宽至1000 mg/L）。</w:t>
      </w:r>
    </w:p>
    <w:p w14:paraId="3CF565E7">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2.纳管浓度达标原则：工业企业排放的常规和特征污染物浓度均需达到相应的纳管标准和协议要求，其中部分行业污染物按照行业排放标准要求须达到直接排放限值，方可接入城镇污水处理厂。</w:t>
      </w:r>
    </w:p>
    <w:p w14:paraId="01397B3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3.总量达标双控原则：纳管工业企业其排放的废水和污染物总量，不得高于环评报告及批复、排污及排水许可证等核定的纳管总量控制限值；城镇污水处理厂排放的某一项特征污染物的总量不得高于所有纳管工业企业按照相应标准直接排放限值核算的该项特征污染物排放总量之和。</w:t>
      </w:r>
    </w:p>
    <w:p w14:paraId="6B467E65">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4.工业废水限量纳管原则：工业废水总量超过1万吨/日的省级以上工业园区，或者工业废水纳管量占比超过40%的城镇污水处理厂所在区域，原则上应配套专业的工业废水处理厂。</w:t>
      </w:r>
    </w:p>
    <w:p w14:paraId="375D061F">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5.污水处理厂稳定运行原则：纳管的工业企业废水不得影响城镇污水处理厂的稳定运行和达标排放，污水处理厂出现受纳管工业废水冲击负荷影响导致排水超标或者进水可生化污染物浓度过低时，应强化纳管企业的退出管控力度。</w:t>
      </w:r>
    </w:p>
    <w:p w14:paraId="3A98A017">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6.环境质量达标原则：区域内国省考断面、水源地等敏感水域不得出现氟化物、挥发酚等特征污染物检出超标情况，否则应强化对上游汇水区域范围内排放上述特征污染物纳管企业的退出管控力度。</w:t>
      </w:r>
    </w:p>
    <w:p w14:paraId="77DE13EA">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7.污水处理厂出水负责原则：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p w14:paraId="50DF1836">
      <w:pPr>
        <w:adjustRightInd w:val="0"/>
        <w:snapToGrid w:val="0"/>
        <w:spacing w:line="360" w:lineRule="auto"/>
        <w:ind w:left="-105" w:right="-105" w:firstLine="480" w:firstLineChars="200"/>
        <w:jc w:val="both"/>
        <w:rPr>
          <w:rFonts w:ascii="Times New Roman" w:hAnsi="Times New Roman" w:cs="Times New Roman"/>
          <w:color w:val="auto"/>
          <w:kern w:val="2"/>
          <w:szCs w:val="20"/>
          <w:highlight w:val="none"/>
        </w:rPr>
      </w:pPr>
      <w:r>
        <w:rPr>
          <w:rFonts w:hint="eastAsia"/>
          <w:color w:val="auto"/>
          <w:highlight w:val="none"/>
        </w:rPr>
        <w:t>本项目为扩建项目，行业类别为</w:t>
      </w:r>
      <w:r>
        <w:rPr>
          <w:rFonts w:hint="eastAsia" w:ascii="Times New Roman" w:hAnsi="Times New Roman" w:cs="Times New Roman"/>
          <w:color w:val="auto"/>
          <w:szCs w:val="21"/>
          <w:highlight w:val="none"/>
        </w:rPr>
        <w:t>C3985电子专用材料制造</w:t>
      </w:r>
      <w:r>
        <w:rPr>
          <w:rFonts w:hint="eastAsia"/>
          <w:color w:val="auto"/>
          <w:highlight w:val="none"/>
        </w:rPr>
        <w:t>，不属于</w:t>
      </w:r>
      <w:r>
        <w:rPr>
          <w:rFonts w:ascii="Times New Roman" w:hAnsi="Times New Roman" w:cs="Times New Roman"/>
          <w:color w:val="auto"/>
          <w:highlight w:val="none"/>
        </w:rPr>
        <w:t>冶金、化工、印染、原料药制造</w:t>
      </w:r>
      <w:r>
        <w:rPr>
          <w:rFonts w:hint="eastAsia" w:ascii="Times New Roman" w:hAnsi="Times New Roman" w:cs="Times New Roman"/>
          <w:color w:val="auto"/>
          <w:highlight w:val="none"/>
        </w:rPr>
        <w:t>、</w:t>
      </w:r>
      <w:r>
        <w:rPr>
          <w:rFonts w:ascii="Times New Roman" w:hAnsi="Times New Roman" w:cs="Times New Roman"/>
          <w:color w:val="auto"/>
          <w:highlight w:val="none"/>
        </w:rPr>
        <w:t>发酵酒精和白酒、啤酒、味精、制糖</w:t>
      </w:r>
      <w:r>
        <w:rPr>
          <w:rFonts w:hint="eastAsia" w:ascii="Times New Roman" w:hAnsi="Times New Roman" w:cs="Times New Roman"/>
          <w:color w:val="auto"/>
          <w:highlight w:val="none"/>
        </w:rPr>
        <w:t>、</w:t>
      </w:r>
      <w:r>
        <w:rPr>
          <w:rFonts w:ascii="Times New Roman" w:hAnsi="Times New Roman" w:cs="Times New Roman"/>
          <w:color w:val="auto"/>
          <w:highlight w:val="none"/>
        </w:rPr>
        <w:t>淀粉、酵母、柠檬酸</w:t>
      </w:r>
      <w:r>
        <w:rPr>
          <w:rFonts w:hint="eastAsia" w:ascii="Times New Roman" w:hAnsi="Times New Roman" w:cs="Times New Roman"/>
          <w:color w:val="auto"/>
          <w:highlight w:val="none"/>
        </w:rPr>
        <w:t>行业，不属于肉类加工工业企业。本项目实行雨污分流，</w:t>
      </w:r>
      <w:r>
        <w:rPr>
          <w:rFonts w:ascii="Times New Roman" w:hAnsi="Times New Roman" w:cs="Times New Roman"/>
          <w:color w:val="auto"/>
          <w:highlight w:val="none"/>
        </w:rPr>
        <w:t>本项目</w:t>
      </w:r>
      <w:r>
        <w:rPr>
          <w:rFonts w:hint="eastAsia" w:ascii="Times New Roman" w:hAnsi="Times New Roman"/>
          <w:color w:val="auto"/>
          <w:highlight w:val="none"/>
        </w:rPr>
        <w:t>超纯水装置浓水、超纯水装置反冲洗水不含氮磷，且水质简单，回用于冲厕，生活污水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s="Times New Roman"/>
          <w:color w:val="auto"/>
          <w:highlight w:val="none"/>
        </w:rPr>
        <w:t>，尾水排入</w:t>
      </w:r>
      <w:r>
        <w:rPr>
          <w:rFonts w:hint="eastAsia" w:ascii="Times New Roman" w:hAnsi="Times New Roman" w:cs="Times New Roman"/>
          <w:color w:val="auto"/>
          <w:highlight w:val="none"/>
        </w:rPr>
        <w:t>北兴塘河</w:t>
      </w:r>
      <w:r>
        <w:rPr>
          <w:rFonts w:ascii="Times New Roman" w:hAnsi="Times New Roman" w:cs="Times New Roman"/>
          <w:color w:val="auto"/>
          <w:highlight w:val="none"/>
        </w:rPr>
        <w:t>。</w:t>
      </w:r>
      <w:r>
        <w:rPr>
          <w:rFonts w:hint="eastAsia" w:ascii="Times New Roman" w:hAnsi="Times New Roman" w:cs="Times New Roman"/>
          <w:color w:val="auto"/>
          <w:kern w:val="2"/>
          <w:szCs w:val="20"/>
          <w:highlight w:val="none"/>
        </w:rPr>
        <w:t>项目建成后重新申领排污许可证。</w:t>
      </w:r>
    </w:p>
    <w:p w14:paraId="31A68DFD">
      <w:pPr>
        <w:adjustRightInd w:val="0"/>
        <w:snapToGrid w:val="0"/>
        <w:spacing w:line="360" w:lineRule="auto"/>
        <w:ind w:left="-105" w:right="-105" w:firstLine="480" w:firstLineChars="200"/>
        <w:jc w:val="both"/>
        <w:rPr>
          <w:color w:val="auto"/>
          <w:highlight w:val="none"/>
        </w:rPr>
      </w:pPr>
      <w:r>
        <w:rPr>
          <w:rFonts w:hint="eastAsia" w:ascii="Times New Roman" w:hAnsi="Times New Roman" w:cs="Times New Roman"/>
          <w:color w:val="auto"/>
          <w:kern w:val="2"/>
          <w:szCs w:val="20"/>
          <w:highlight w:val="none"/>
        </w:rPr>
        <w:t>因此，本项目符合《江苏省工业废水与生活污水分质处理工作推进方案》相关要求。</w:t>
      </w:r>
    </w:p>
    <w:p w14:paraId="4725413E">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hint="eastAsia" w:eastAsia="宋体"/>
          <w:b/>
          <w:bCs/>
          <w:color w:val="auto"/>
          <w:sz w:val="24"/>
          <w:szCs w:val="22"/>
          <w:highlight w:val="none"/>
        </w:rPr>
        <w:t>2.6.5.11与《“十四五”节能减排综合工作方案》相符性分析</w:t>
      </w:r>
    </w:p>
    <w:p w14:paraId="15046C76">
      <w:pPr>
        <w:pStyle w:val="2"/>
        <w:ind w:left="-105" w:right="-105"/>
        <w:rPr>
          <w:color w:val="auto"/>
          <w:highlight w:val="none"/>
        </w:rPr>
      </w:pPr>
      <w:r>
        <w:rPr>
          <w:color w:val="auto"/>
          <w:highlight w:val="none"/>
        </w:rPr>
        <w:t>对照《</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节能减排综合工作方案》分析如下：</w:t>
      </w:r>
      <w:r>
        <w:rPr>
          <w:rFonts w:hint="eastAsia"/>
          <w:color w:val="auto"/>
          <w:highlight w:val="none"/>
        </w:rPr>
        <w:t>“</w:t>
      </w:r>
      <w:r>
        <w:rPr>
          <w:color w:val="auto"/>
          <w:highlight w:val="none"/>
        </w:rPr>
        <w:t>（九）挥发性有机物综合整治工程</w:t>
      </w:r>
      <w:r>
        <w:rPr>
          <w:color w:val="auto"/>
          <w:highlight w:val="none"/>
        </w:rPr>
        <w:tab/>
      </w:r>
      <w:r>
        <w:rPr>
          <w:color w:val="auto"/>
          <w:highlight w:val="none"/>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r>
        <w:rPr>
          <w:rFonts w:hint="eastAsia"/>
          <w:color w:val="auto"/>
          <w:highlight w:val="none"/>
        </w:rPr>
        <w:t>”</w:t>
      </w:r>
    </w:p>
    <w:p w14:paraId="317C405A">
      <w:pPr>
        <w:pStyle w:val="2"/>
        <w:ind w:left="-105" w:right="-105"/>
        <w:rPr>
          <w:color w:val="auto"/>
          <w:highlight w:val="none"/>
        </w:rPr>
      </w:pPr>
      <w:r>
        <w:rPr>
          <w:rFonts w:hint="eastAsia"/>
          <w:color w:val="auto"/>
          <w:highlight w:val="none"/>
        </w:rPr>
        <w:t>本项目不使用涂料、油墨、胶粘剂、清洗剂，生产工艺均采取各类措施提高废气捕集效率，经有效处理后达标排放，严格控制各类废气无组织排放。因此本项目符合要求。</w:t>
      </w:r>
    </w:p>
    <w:p w14:paraId="7A00E0F0">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2.6.5.1</w:t>
      </w:r>
      <w:r>
        <w:rPr>
          <w:rFonts w:hint="eastAsia" w:eastAsia="宋体"/>
          <w:b/>
          <w:bCs/>
          <w:color w:val="auto"/>
          <w:sz w:val="24"/>
          <w:szCs w:val="22"/>
          <w:highlight w:val="none"/>
        </w:rPr>
        <w:t>2</w:t>
      </w:r>
      <w:r>
        <w:rPr>
          <w:rFonts w:eastAsia="宋体"/>
          <w:b/>
          <w:bCs/>
          <w:color w:val="auto"/>
          <w:sz w:val="24"/>
          <w:szCs w:val="22"/>
          <w:highlight w:val="none"/>
        </w:rPr>
        <w:t>与《市政府关于印发无锡市土壤污染防治工作方案的通知》（锡政发[2017]15号）相符性分析</w:t>
      </w:r>
    </w:p>
    <w:p w14:paraId="45445F0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严格执行相关行业企业布局选址要求，禁止在居民区、学校、医疗和养老机构等周边新建有色金属冶炼、焦化等行业企业；大力推进新型城镇化与城乡发展一体化、优化城乡空间布局，加快城区老工业区搬迁改造，结合产业结构调整、化解过剩产能等，有序搬迁或依法关闭对土壤造成严重污染的现有企业。结合区域功能定位和土壤污染防治需要，科学布局生活垃圾处理、污泥处理处置、危险废物处置、废旧资源再生利用等设施和场所，加快推进废弃物集中处置，支持具备条件的企业开展工业生产过程协同处理城市及产业废弃物。合理确定畜禽养殖布局和规模。</w:t>
      </w:r>
    </w:p>
    <w:p w14:paraId="75989FE9">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highlight w:val="none"/>
        </w:rPr>
        <w:t>，不属于有色金属冶炼、焦化等行业企业，项目产生的固废经合理处置，不外排。因此，本项目符合《市政府关于印发无锡市土壤污染防治工作方案的通知》（锡政发[2017]15号）相关要求。</w:t>
      </w:r>
    </w:p>
    <w:p w14:paraId="47EE6E3C">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2.6.5.1</w:t>
      </w:r>
      <w:r>
        <w:rPr>
          <w:rFonts w:hint="eastAsia" w:eastAsia="宋体"/>
          <w:b/>
          <w:bCs/>
          <w:color w:val="auto"/>
          <w:sz w:val="24"/>
          <w:szCs w:val="22"/>
          <w:highlight w:val="none"/>
        </w:rPr>
        <w:t>3</w:t>
      </w:r>
      <w:r>
        <w:rPr>
          <w:rFonts w:eastAsia="宋体"/>
          <w:b/>
          <w:bCs/>
          <w:color w:val="auto"/>
          <w:sz w:val="24"/>
          <w:szCs w:val="22"/>
          <w:highlight w:val="none"/>
        </w:rPr>
        <w:t>与《省生态环境厅关于进一步做好建设项目环评审批工作的通知》（苏环办[2019]36号）相符性分析</w:t>
      </w:r>
    </w:p>
    <w:p w14:paraId="75DB3EFF">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二、严格控制在优先保护类耕地集中区域新建有色金属冶炼、石油加工、化工、焦化、电镀、制革等行业企业，有关环境保护主管部门依法不予审批可能造成耕地土壤污染的建设项目环境影响报告书或者报告表。</w:t>
      </w:r>
      <w:r>
        <w:rPr>
          <w:rFonts w:hint="eastAsia" w:ascii="Times New Roman" w:hAnsi="Times New Roman" w:cs="Times New Roman"/>
          <w:color w:val="auto"/>
          <w:highlight w:val="none"/>
        </w:rPr>
        <w:t>”</w:t>
      </w:r>
    </w:p>
    <w:p w14:paraId="1268288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三、严格落实污染物排放总量控制制度，把主要污染物排放总量指标作为建设项目环境影响评价审批的前置条件。排放主要污染物的建设项目，在环境影响评价文件审批前，须取得主要污染物排放总量指标</w:t>
      </w:r>
      <w:r>
        <w:rPr>
          <w:rFonts w:hint="eastAsia" w:ascii="Times New Roman" w:hAnsi="Times New Roman" w:cs="Times New Roman"/>
          <w:color w:val="auto"/>
          <w:highlight w:val="none"/>
        </w:rPr>
        <w:t>。”</w:t>
      </w:r>
    </w:p>
    <w:p w14:paraId="4E71EDD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五、禁止在长江干支流1公里范围内新建、扩建化工园区和化工项目。禁止在合规园区外新建、扩建钢铁、石化、化工、焦化、建材、有色等高污染项目。</w:t>
      </w:r>
      <w:r>
        <w:rPr>
          <w:rFonts w:hint="eastAsia" w:ascii="Times New Roman" w:hAnsi="Times New Roman" w:cs="Times New Roman"/>
          <w:color w:val="auto"/>
          <w:highlight w:val="none"/>
        </w:rPr>
        <w:t>”</w:t>
      </w:r>
    </w:p>
    <w:p w14:paraId="245FBA18">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highlight w:val="none"/>
        </w:rPr>
        <w:t>，所在地属于工业用地，未占用耕地。项目实行总量控制制度，新增废气排放总量在锡山区内平衡，本项目位于</w:t>
      </w:r>
      <w:r>
        <w:rPr>
          <w:rFonts w:ascii="Times New Roman" w:hAnsi="Times New Roman"/>
          <w:color w:val="auto"/>
          <w:szCs w:val="18"/>
          <w:highlight w:val="none"/>
        </w:rPr>
        <w:t>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，距离长江</w:t>
      </w:r>
      <w:r>
        <w:rPr>
          <w:rFonts w:hint="eastAsia" w:ascii="Times New Roman" w:hAnsi="Times New Roman" w:cs="Times New Roman"/>
          <w:color w:val="auto"/>
          <w:highlight w:val="none"/>
        </w:rPr>
        <w:t>41.1</w:t>
      </w:r>
      <w:r>
        <w:rPr>
          <w:rFonts w:ascii="Times New Roman" w:hAnsi="Times New Roman" w:cs="Times New Roman"/>
          <w:color w:val="auto"/>
          <w:highlight w:val="none"/>
        </w:rPr>
        <w:t>km，因此，本项目符合《省生态环境厅关于进一步做好建设项目环评审批工作的通知》（苏环办[2019]36号）相关要求。</w:t>
      </w:r>
    </w:p>
    <w:p w14:paraId="523FE7B9">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14</w:t>
      </w:r>
      <w:r>
        <w:rPr>
          <w:rFonts w:eastAsia="宋体"/>
          <w:b/>
          <w:bCs/>
          <w:color w:val="auto"/>
          <w:sz w:val="24"/>
          <w:szCs w:val="22"/>
          <w:highlight w:val="none"/>
        </w:rPr>
        <w:t>与《关于在环评审批阶段开展“源头管控行动”的工作意见》（锡环办[2021]142号）相符性分析</w:t>
      </w:r>
    </w:p>
    <w:p w14:paraId="4AEB344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一）生产工艺、装备、原料、环境四替代：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w:t>
      </w:r>
    </w:p>
    <w:p w14:paraId="118F839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二）生产过程中水回用、物料回收：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w:t>
      </w:r>
    </w:p>
    <w:p w14:paraId="3E12322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三）治污设施提高标准、提高效率：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r>
        <w:rPr>
          <w:rFonts w:hint="eastAsia" w:ascii="Times New Roman" w:hAnsi="Times New Roman" w:cs="Times New Roman"/>
          <w:color w:val="auto"/>
          <w:highlight w:val="none"/>
        </w:rPr>
        <w:t>”</w:t>
      </w:r>
    </w:p>
    <w:p w14:paraId="6BD4A1AF">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highlight w:val="none"/>
        </w:rPr>
        <w:t>本项目生产过程中不使用溶剂型涂料、油墨、胶粘剂</w:t>
      </w:r>
      <w:r>
        <w:rPr>
          <w:rFonts w:hint="eastAsia" w:ascii="Times New Roman" w:hAnsi="Times New Roman" w:cs="Times New Roman"/>
          <w:color w:val="auto"/>
          <w:highlight w:val="none"/>
        </w:rPr>
        <w:t>、清洗剂</w:t>
      </w:r>
      <w:r>
        <w:rPr>
          <w:rFonts w:ascii="Times New Roman" w:hAnsi="Times New Roman" w:cs="Times New Roman"/>
          <w:color w:val="auto"/>
          <w:highlight w:val="none"/>
        </w:rPr>
        <w:t>等高VOCs含量的原料</w:t>
      </w:r>
      <w:r>
        <w:rPr>
          <w:rFonts w:ascii="Times New Roman" w:hAnsi="Times New Roman" w:cs="Times New Roman"/>
          <w:color w:val="auto"/>
          <w:szCs w:val="21"/>
          <w:highlight w:val="none"/>
        </w:rPr>
        <w:t>。废气产生工段采取</w:t>
      </w:r>
      <w:r>
        <w:rPr>
          <w:rFonts w:hint="eastAsia" w:ascii="Times New Roman" w:hAnsi="Times New Roman" w:cs="Times New Roman"/>
          <w:color w:val="auto"/>
          <w:szCs w:val="21"/>
          <w:highlight w:val="none"/>
        </w:rPr>
        <w:t>3级碱喷淋+二级活性炭或</w:t>
      </w:r>
      <w:r>
        <w:rPr>
          <w:rFonts w:ascii="Times New Roman" w:hAnsi="Times New Roman" w:cs="Times New Roman"/>
          <w:color w:val="auto"/>
          <w:szCs w:val="21"/>
          <w:highlight w:val="none"/>
        </w:rPr>
        <w:t>二级活性炭处理措施，减少无组织排放。</w:t>
      </w:r>
    </w:p>
    <w:p w14:paraId="60C5D0C5">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highlight w:val="none"/>
        </w:rPr>
        <w:t>，不属于有色金属冶炼，不属于</w:t>
      </w:r>
      <w:r>
        <w:rPr>
          <w:rFonts w:hint="eastAsia" w:ascii="Times New Roman" w:hAnsi="Times New Roman" w:cs="Times New Roman"/>
          <w:color w:val="auto"/>
          <w:highlight w:val="none"/>
        </w:rPr>
        <w:t>“</w:t>
      </w:r>
      <w:r>
        <w:rPr>
          <w:rFonts w:ascii="Times New Roman" w:hAnsi="Times New Roman" w:cs="Times New Roman"/>
          <w:color w:val="auto"/>
          <w:highlight w:val="none"/>
        </w:rPr>
        <w:t>两高</w:t>
      </w:r>
      <w:r>
        <w:rPr>
          <w:rFonts w:hint="eastAsia" w:ascii="Times New Roman" w:hAnsi="Times New Roman" w:cs="Times New Roman"/>
          <w:color w:val="auto"/>
          <w:highlight w:val="none"/>
        </w:rPr>
        <w:t>”</w:t>
      </w:r>
      <w:r>
        <w:rPr>
          <w:rFonts w:ascii="Times New Roman" w:hAnsi="Times New Roman" w:cs="Times New Roman"/>
          <w:color w:val="auto"/>
          <w:highlight w:val="none"/>
        </w:rPr>
        <w:t>行业。项目实行总量控制制度，满足生态环境准入清单、规划环评及行业建设环境准入条件。</w:t>
      </w:r>
    </w:p>
    <w:p w14:paraId="077DB972">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企业生活污水经化粪池预处理后与初期雨水收集后委托无锡先进化药化工有限公司处理达标后接入无锡市锡山云林污水处理有限公司</w:t>
      </w:r>
      <w:r>
        <w:rPr>
          <w:rFonts w:ascii="Times New Roman" w:hAnsi="Times New Roman" w:cs="Times New Roman"/>
          <w:color w:val="auto"/>
          <w:highlight w:val="none"/>
        </w:rPr>
        <w:t>。产生的固废或外卖，或委外处置，或由环卫部门定期清运。本项目治污设施满足先进水平，满足</w:t>
      </w:r>
      <w:r>
        <w:rPr>
          <w:rFonts w:hint="eastAsia" w:ascii="Times New Roman" w:hAnsi="Times New Roman" w:cs="Times New Roman"/>
          <w:snapToGrid w:val="0"/>
          <w:color w:val="auto"/>
          <w:szCs w:val="20"/>
          <w:highlight w:val="none"/>
        </w:rPr>
        <w:t>《排污许可证申请与核发技术规范专用化学产品制造工业》（HJ1103-2020）</w:t>
      </w:r>
      <w:r>
        <w:rPr>
          <w:rFonts w:ascii="Times New Roman" w:hAnsi="Times New Roman" w:cs="Times New Roman"/>
          <w:snapToGrid w:val="0"/>
          <w:color w:val="auto"/>
          <w:szCs w:val="20"/>
          <w:highlight w:val="none"/>
        </w:rPr>
        <w:t>等</w:t>
      </w:r>
      <w:r>
        <w:rPr>
          <w:rFonts w:ascii="Times New Roman" w:hAnsi="Times New Roman" w:cs="Times New Roman"/>
          <w:color w:val="auto"/>
          <w:highlight w:val="none"/>
        </w:rPr>
        <w:t>要求，因此，本项目符合《关于在环评审批阶段开展</w:t>
      </w:r>
      <w:r>
        <w:rPr>
          <w:rFonts w:hint="eastAsia" w:ascii="Times New Roman" w:hAnsi="Times New Roman" w:cs="Times New Roman"/>
          <w:color w:val="auto"/>
          <w:highlight w:val="none"/>
        </w:rPr>
        <w:t>“</w:t>
      </w:r>
      <w:r>
        <w:rPr>
          <w:rFonts w:ascii="Times New Roman" w:hAnsi="Times New Roman" w:cs="Times New Roman"/>
          <w:color w:val="auto"/>
          <w:highlight w:val="none"/>
        </w:rPr>
        <w:t>源头管控行动</w:t>
      </w:r>
      <w:r>
        <w:rPr>
          <w:rFonts w:hint="eastAsia" w:ascii="Times New Roman" w:hAnsi="Times New Roman" w:cs="Times New Roman"/>
          <w:color w:val="auto"/>
          <w:highlight w:val="none"/>
        </w:rPr>
        <w:t>”</w:t>
      </w:r>
      <w:r>
        <w:rPr>
          <w:rFonts w:ascii="Times New Roman" w:hAnsi="Times New Roman" w:cs="Times New Roman"/>
          <w:color w:val="auto"/>
          <w:highlight w:val="none"/>
        </w:rPr>
        <w:t>的工作意见》（锡环办[2021]142号）相关要求。</w:t>
      </w:r>
    </w:p>
    <w:p w14:paraId="093C4A06">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hint="eastAsia" w:eastAsia="宋体"/>
          <w:b/>
          <w:bCs/>
          <w:color w:val="auto"/>
          <w:sz w:val="24"/>
          <w:szCs w:val="22"/>
          <w:highlight w:val="none"/>
        </w:rPr>
        <w:t>2.6.5.15与《江苏省挥发性有机物清洁原料替代工作方案》（苏大气办[2021]2号）、《无锡市重点行业挥发性有机物清洁原料替代工作方案》（锡大气办[2021]11号）相符性分析</w:t>
      </w:r>
    </w:p>
    <w:p w14:paraId="782F5EF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以工业涂装、包装印刷、纺织、木材加工等行业为重点，按照源头替代具体要求（附件2），推进167家重点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r>
        <w:rPr>
          <w:rFonts w:hint="eastAsia" w:ascii="Times New Roman" w:hAnsi="Times New Roman" w:cs="Times New Roman"/>
          <w:color w:val="auto"/>
          <w:highlight w:val="none"/>
        </w:rPr>
        <w:t>”</w:t>
      </w:r>
    </w:p>
    <w:p w14:paraId="68E5B03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禁止建设生产和使用高VOCs含量的涂料、油墨、胶黏剂等项目。2021年起，全市工业涂装、包装印刷、纺织、木材加工等行业以及涂料、油墨等生产企业的新（改、扩）建项目需满足低（无）VOCs含量限值要求。市场上流通的水性涂料等低挥发性有机物含量涂料产品，执行国家《低挥发性有机化合物含量涂料产品技术要求》（GB/T38597-2020）</w:t>
      </w:r>
      <w:r>
        <w:rPr>
          <w:rFonts w:hint="eastAsia" w:ascii="Times New Roman" w:hAnsi="Times New Roman" w:cs="Times New Roman"/>
          <w:color w:val="auto"/>
          <w:highlight w:val="none"/>
        </w:rPr>
        <w:t>。”</w:t>
      </w:r>
    </w:p>
    <w:p w14:paraId="4E058393">
      <w:pPr>
        <w:adjustRightInd w:val="0"/>
        <w:snapToGrid w:val="0"/>
        <w:spacing w:line="360" w:lineRule="auto"/>
        <w:ind w:left="-105" w:right="-105" w:firstLine="480" w:firstLineChars="200"/>
        <w:jc w:val="both"/>
        <w:rPr>
          <w:color w:val="auto"/>
          <w:highlight w:val="none"/>
        </w:rPr>
      </w:pPr>
      <w:r>
        <w:rPr>
          <w:rFonts w:ascii="Times New Roman" w:hAnsi="Times New Roman" w:cs="Times New Roman"/>
          <w:color w:val="auto"/>
          <w:szCs w:val="21"/>
          <w:highlight w:val="none"/>
        </w:rPr>
        <w:t>本项目属于</w:t>
      </w:r>
      <w:r>
        <w:rPr>
          <w:rFonts w:hint="eastAsia" w:ascii="Times New Roman" w:hAnsi="Times New Roman" w:cs="Times New Roman"/>
          <w:color w:val="auto"/>
          <w:szCs w:val="21"/>
          <w:highlight w:val="none"/>
        </w:rPr>
        <w:t>C3985电子专用材料制造</w:t>
      </w:r>
      <w:r>
        <w:rPr>
          <w:rFonts w:ascii="Times New Roman" w:hAnsi="Times New Roman" w:cs="Times New Roman"/>
          <w:color w:val="auto"/>
          <w:szCs w:val="21"/>
          <w:highlight w:val="none"/>
        </w:rPr>
        <w:t>，生产过程中不使用溶剂型涂料、油墨</w:t>
      </w:r>
      <w:r>
        <w:rPr>
          <w:rFonts w:hint="eastAsia" w:ascii="Times New Roman" w:hAnsi="Times New Roman" w:cs="Times New Roman"/>
          <w:color w:val="auto"/>
          <w:highlight w:val="none"/>
        </w:rPr>
        <w:t>、清洗剂</w:t>
      </w:r>
      <w:r>
        <w:rPr>
          <w:rFonts w:ascii="Times New Roman" w:hAnsi="Times New Roman" w:cs="Times New Roman"/>
          <w:color w:val="auto"/>
          <w:szCs w:val="21"/>
          <w:highlight w:val="none"/>
        </w:rPr>
        <w:t>等高VOCs含量的原料</w:t>
      </w:r>
      <w:r>
        <w:rPr>
          <w:rFonts w:hint="eastAsia" w:ascii="Times New Roman" w:hAnsi="Times New Roman" w:cs="Times New Roman"/>
          <w:color w:val="auto"/>
          <w:szCs w:val="21"/>
          <w:highlight w:val="none"/>
        </w:rPr>
        <w:t>。</w:t>
      </w:r>
      <w:r>
        <w:rPr>
          <w:rFonts w:ascii="Times New Roman" w:hAnsi="Times New Roman" w:cs="Times New Roman"/>
          <w:color w:val="auto"/>
          <w:highlight w:val="none"/>
        </w:rPr>
        <w:t>因此本项目符合</w:t>
      </w:r>
      <w:r>
        <w:rPr>
          <w:rFonts w:hint="eastAsia" w:ascii="Times New Roman" w:hAnsi="Times New Roman" w:cs="Times New Roman"/>
          <w:color w:val="auto"/>
          <w:highlight w:val="none"/>
        </w:rPr>
        <w:t>《江苏省挥发性有机物清洁原料替代工作方案》（苏大气办[2021]2号）、</w:t>
      </w:r>
      <w:r>
        <w:rPr>
          <w:rFonts w:ascii="Times New Roman" w:hAnsi="Times New Roman" w:cs="Times New Roman"/>
          <w:color w:val="auto"/>
          <w:highlight w:val="none"/>
        </w:rPr>
        <w:t>《无锡市重点行业挥发性有机物清洁原料替代工作方案》（锡大气办[2021]11号）的要求。</w:t>
      </w:r>
    </w:p>
    <w:p w14:paraId="4FEDF2D2">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16</w:t>
      </w:r>
      <w:r>
        <w:rPr>
          <w:rFonts w:eastAsia="宋体"/>
          <w:b/>
          <w:bCs/>
          <w:color w:val="auto"/>
          <w:sz w:val="24"/>
          <w:szCs w:val="22"/>
          <w:highlight w:val="none"/>
        </w:rPr>
        <w:t>与</w:t>
      </w:r>
      <w:r>
        <w:rPr>
          <w:rFonts w:hint="eastAsia" w:eastAsia="宋体"/>
          <w:b/>
          <w:bCs/>
          <w:color w:val="auto"/>
          <w:sz w:val="24"/>
          <w:szCs w:val="22"/>
          <w:highlight w:val="none"/>
        </w:rPr>
        <w:t>《省政府办公厅关于加快推进城市污水处理能力建设全面提升污水集中收集处理率的实施意见》（苏政办发</w:t>
      </w:r>
      <w:r>
        <w:rPr>
          <w:rFonts w:eastAsia="宋体"/>
          <w:b/>
          <w:bCs/>
          <w:color w:val="auto"/>
          <w:sz w:val="24"/>
          <w:szCs w:val="22"/>
          <w:highlight w:val="none"/>
        </w:rPr>
        <w:t>[2022]42号）相符性分析</w:t>
      </w:r>
    </w:p>
    <w:p w14:paraId="04944F2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四）强化工业废水与生活污水分类收集、分质处理。加快推进工业污水集中处理设施建设。新建冶金、电镀、化工、印染、原料药制造（有工业废水处理资质且出水达到国家标准的原料药制造企业除外）等工业企业排放含重金属、难降解废水、高盐废水的，不得排入城市污水集中收集处理设施。已接管城市污水集中收集处理设施的工业企业组织全面排查评估，认定不能接入的限期退出，认定可以接入的须经预处理达标后方可接入。接管企业应依法取得排污许可和排水许可，出水应与污水处理厂联网实时监控。出现接管超标的，污水处理厂应及时向主管部门报告。</w:t>
      </w:r>
    </w:p>
    <w:p w14:paraId="6A05FF19">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企业生活污水经化粪池预处理后与初期雨水收集后委托无锡先进化药化工有限公司处理达标后接入无锡市锡山云林污水处理有限公司</w:t>
      </w:r>
      <w:r>
        <w:rPr>
          <w:rFonts w:ascii="Times New Roman" w:hAnsi="Times New Roman" w:cs="Times New Roman"/>
          <w:color w:val="auto"/>
          <w:highlight w:val="none"/>
        </w:rPr>
        <w:t>。产生的固废或外卖，或委外处置，或由环卫部门定期清运。</w:t>
      </w:r>
      <w:r>
        <w:rPr>
          <w:rFonts w:hint="eastAsia" w:ascii="Times New Roman" w:hAnsi="Times New Roman" w:cs="Times New Roman"/>
          <w:color w:val="auto"/>
          <w:highlight w:val="none"/>
        </w:rPr>
        <w:t>项目建成后将依法重新申领排污许可证，将按后续要求安装出水监控并与污水处理厂联网。</w:t>
      </w:r>
    </w:p>
    <w:p w14:paraId="140B9BB6">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因此，本项目符合《省政府办公厅关于加快推进城市污水处理能力建设全面提升污水集中收集处理率的实施意见》（苏政办发</w:t>
      </w:r>
      <w:r>
        <w:rPr>
          <w:rFonts w:ascii="Times New Roman" w:hAnsi="Times New Roman" w:cs="Times New Roman"/>
          <w:color w:val="auto"/>
          <w:highlight w:val="none"/>
        </w:rPr>
        <w:t>[2022]42号）</w:t>
      </w:r>
      <w:r>
        <w:rPr>
          <w:rFonts w:hint="eastAsia" w:ascii="Times New Roman" w:hAnsi="Times New Roman" w:cs="Times New Roman"/>
          <w:color w:val="auto"/>
          <w:highlight w:val="none"/>
        </w:rPr>
        <w:t>相关要求。</w:t>
      </w:r>
    </w:p>
    <w:p w14:paraId="44542E98">
      <w:pPr>
        <w:pStyle w:val="97"/>
        <w:keepNext/>
        <w:tabs>
          <w:tab w:val="left" w:pos="0"/>
          <w:tab w:val="left" w:pos="2550"/>
        </w:tabs>
        <w:spacing w:before="120" w:beforeLines="50" w:after="120" w:afterLines="50" w:line="360" w:lineRule="auto"/>
        <w:ind w:left="-105" w:right="-105" w:firstLine="0" w:firstLineChars="0"/>
        <w:outlineLvl w:val="3"/>
        <w:rPr>
          <w:rFonts w:eastAsia="宋体"/>
          <w:b/>
          <w:bCs/>
          <w:color w:val="auto"/>
          <w:sz w:val="24"/>
          <w:szCs w:val="22"/>
          <w:highlight w:val="none"/>
        </w:rPr>
      </w:pPr>
      <w:r>
        <w:rPr>
          <w:rFonts w:eastAsia="宋体"/>
          <w:b/>
          <w:bCs/>
          <w:color w:val="auto"/>
          <w:sz w:val="24"/>
          <w:szCs w:val="22"/>
          <w:highlight w:val="none"/>
        </w:rPr>
        <w:t>2.6.5.</w:t>
      </w:r>
      <w:r>
        <w:rPr>
          <w:rFonts w:hint="eastAsia" w:eastAsia="宋体"/>
          <w:b/>
          <w:bCs/>
          <w:color w:val="auto"/>
          <w:sz w:val="24"/>
          <w:szCs w:val="22"/>
          <w:highlight w:val="none"/>
        </w:rPr>
        <w:t>17</w:t>
      </w:r>
      <w:r>
        <w:rPr>
          <w:rFonts w:eastAsia="宋体"/>
          <w:b/>
          <w:bCs/>
          <w:color w:val="auto"/>
          <w:sz w:val="24"/>
          <w:szCs w:val="22"/>
          <w:highlight w:val="none"/>
        </w:rPr>
        <w:t>与</w:t>
      </w:r>
      <w:r>
        <w:rPr>
          <w:rFonts w:hint="eastAsia" w:eastAsia="宋体"/>
          <w:b/>
          <w:bCs/>
          <w:color w:val="auto"/>
          <w:sz w:val="24"/>
          <w:szCs w:val="22"/>
          <w:highlight w:val="none"/>
        </w:rPr>
        <w:t>“</w:t>
      </w:r>
      <w:r>
        <w:rPr>
          <w:rFonts w:eastAsia="宋体"/>
          <w:b/>
          <w:bCs/>
          <w:color w:val="auto"/>
          <w:sz w:val="24"/>
          <w:szCs w:val="22"/>
          <w:highlight w:val="none"/>
        </w:rPr>
        <w:t>三线一单</w:t>
      </w:r>
      <w:r>
        <w:rPr>
          <w:rFonts w:hint="eastAsia" w:eastAsia="宋体"/>
          <w:b/>
          <w:bCs/>
          <w:color w:val="auto"/>
          <w:sz w:val="24"/>
          <w:szCs w:val="22"/>
          <w:highlight w:val="none"/>
        </w:rPr>
        <w:t>”</w:t>
      </w:r>
      <w:r>
        <w:rPr>
          <w:rFonts w:eastAsia="宋体"/>
          <w:b/>
          <w:bCs/>
          <w:color w:val="auto"/>
          <w:sz w:val="24"/>
          <w:szCs w:val="22"/>
          <w:highlight w:val="none"/>
        </w:rPr>
        <w:t>相符性分析</w:t>
      </w:r>
    </w:p>
    <w:p w14:paraId="79A7DDF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生态保护红线</w:t>
      </w:r>
    </w:p>
    <w:p w14:paraId="2F2A6DB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省政府关于印发江苏省生态空间管控区域规划的通知》（苏政发[2020]1号），生态红线区域实行分级管理和分类管理，国家级生态保护红线原则上按禁止开发区域的要求进行管理，严禁不符合主体功能定位的各类开发活动，严禁任意改变用途。生态空间管控区域以生态保护为重点，原则上不得开展有损主导生态功能的开发建设活动，不得随意占用和调整。</w:t>
      </w:r>
    </w:p>
    <w:p w14:paraId="14D0969C">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经查阅《省政府关于印发&lt;江苏省国家级生态保护红线规划&gt;的通知（苏政发[2018]74号），本项目选址不在国家级生态保护红线规划范围内；经查阅《省政府关于印发江苏省生态空间管控区域规划的通知》(苏政发[2020]1号)</w:t>
      </w:r>
      <w:r>
        <w:rPr>
          <w:rFonts w:hint="eastAsia" w:ascii="Times New Roman" w:hAnsi="Times New Roman" w:cs="Times New Roman"/>
          <w:color w:val="auto"/>
          <w:highlight w:val="none"/>
        </w:rPr>
        <w:t>“</w:t>
      </w:r>
      <w:r>
        <w:rPr>
          <w:rFonts w:ascii="Times New Roman" w:hAnsi="Times New Roman" w:cs="Times New Roman"/>
          <w:color w:val="auto"/>
          <w:highlight w:val="none"/>
        </w:rPr>
        <w:t>无锡市生态空间保护区域名录</w:t>
      </w:r>
      <w:r>
        <w:rPr>
          <w:rFonts w:hint="eastAsia" w:ascii="Times New Roman" w:hAnsi="Times New Roman" w:cs="Times New Roman"/>
          <w:color w:val="auto"/>
          <w:highlight w:val="none"/>
        </w:rPr>
        <w:t>”</w:t>
      </w:r>
      <w:r>
        <w:rPr>
          <w:rFonts w:ascii="Times New Roman" w:hAnsi="Times New Roman" w:cs="Times New Roman"/>
          <w:color w:val="auto"/>
          <w:highlight w:val="none"/>
        </w:rPr>
        <w:t>，本项目不在生态红线区域范围内，另根据《无锡市锡山区生态文明建设规划》，本项目不在其生态红线区域范围内，距本项目最近的生态红线区域为</w:t>
      </w:r>
      <w:r>
        <w:rPr>
          <w:rFonts w:hint="eastAsia" w:ascii="Times New Roman" w:hAnsi="Times New Roman" w:cs="Times New Roman"/>
          <w:color w:val="auto"/>
          <w:highlight w:val="none"/>
        </w:rPr>
        <w:t>京沪高铁锡山段沿线生态防护林</w:t>
      </w:r>
      <w:r>
        <w:rPr>
          <w:rFonts w:ascii="Times New Roman" w:hAnsi="Times New Roman" w:cs="Times New Roman"/>
          <w:color w:val="auto"/>
          <w:highlight w:val="none"/>
        </w:rPr>
        <w:t>，位于本项目东侧厂界约</w:t>
      </w:r>
      <w:r>
        <w:rPr>
          <w:rFonts w:hint="eastAsia" w:ascii="Times New Roman" w:hAnsi="Times New Roman" w:cs="Times New Roman"/>
          <w:color w:val="auto"/>
          <w:highlight w:val="none"/>
        </w:rPr>
        <w:t>733</w:t>
      </w:r>
      <w:r>
        <w:rPr>
          <w:rFonts w:ascii="Times New Roman" w:hAnsi="Times New Roman" w:cs="Times New Roman"/>
          <w:color w:val="auto"/>
          <w:highlight w:val="none"/>
        </w:rPr>
        <w:t>m。因此，本项目的建设不会导致无锡市辖区内生态红线区域服务功能下降，符合生态红线保护的要求。</w:t>
      </w:r>
    </w:p>
    <w:p w14:paraId="0C5A1B42">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环境质量底线</w:t>
      </w:r>
    </w:p>
    <w:p w14:paraId="5300FC6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根据《市政府办公室关于转发市环保局无锡市环境空气质量功能区划规定的通知》，项目所在地属于二类环境空气质量功能区。根据《江苏省地表水（环境）功能区划（2021-2030年）》（苏环办[2022]82号），</w:t>
      </w:r>
      <w:r>
        <w:rPr>
          <w:rFonts w:hint="eastAsia" w:ascii="Times New Roman" w:hAnsi="Times New Roman" w:cs="Times New Roman"/>
          <w:color w:val="auto"/>
          <w:highlight w:val="none"/>
        </w:rPr>
        <w:t>无锡市锡山云林污水处理有限公司</w:t>
      </w:r>
      <w:r>
        <w:rPr>
          <w:rFonts w:ascii="Times New Roman" w:hAnsi="Times New Roman" w:cs="Times New Roman"/>
          <w:color w:val="auto"/>
          <w:highlight w:val="none"/>
        </w:rPr>
        <w:t>纳污河流</w:t>
      </w:r>
      <w:r>
        <w:rPr>
          <w:rFonts w:hint="eastAsia" w:ascii="Times New Roman" w:hAnsi="Times New Roman" w:cs="Times New Roman"/>
          <w:color w:val="auto"/>
          <w:highlight w:val="none"/>
        </w:rPr>
        <w:t>北兴塘</w:t>
      </w:r>
      <w:r>
        <w:rPr>
          <w:rFonts w:ascii="Times New Roman" w:hAnsi="Times New Roman" w:cs="Times New Roman"/>
          <w:color w:val="auto"/>
          <w:highlight w:val="none"/>
        </w:rPr>
        <w:t>河2030年水质目标为Ⅲ类水体。根据《市政府办公室关于印发无锡市区声环境功能区划分调整方案的通知》（锡政办发[2018]157号），该区域为3类声功能区。项目土壤环境质量执行第二类用地筛选值、管控值标准。区域地下水执行《地下水环境质量标准》（GB/T14848-2017）IV类标准。</w:t>
      </w:r>
    </w:p>
    <w:p w14:paraId="2D8E4797">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项目所在地大气环境为环境空气质量功能二类地区，根据《202</w:t>
      </w:r>
      <w:r>
        <w:rPr>
          <w:rFonts w:hint="eastAsia" w:ascii="Times New Roman" w:hAnsi="Times New Roman" w:cs="Times New Roman"/>
          <w:color w:val="auto"/>
          <w:highlight w:val="none"/>
        </w:rPr>
        <w:t>3</w:t>
      </w:r>
      <w:r>
        <w:rPr>
          <w:rFonts w:ascii="Times New Roman" w:hAnsi="Times New Roman" w:cs="Times New Roman"/>
          <w:color w:val="auto"/>
          <w:highlight w:val="none"/>
        </w:rPr>
        <w:t>年度无锡市生态环境状况公报》，评价区基本污染物臭氧未达到《环境空气质量标准》(GB3095-2012)表1中二级标准要求，因此，判定无锡市为环境空气质量非达标区，根据通过审批的《无锡市大气环境质量限期达标规划》，无锡市环境空气质量2025年可实现全面达标。根据无锡市恒信安全技术服务有限公司对项目所在地的监测数据，</w:t>
      </w:r>
      <w:r>
        <w:rPr>
          <w:rFonts w:hint="eastAsia" w:ascii="Times New Roman" w:hAnsi="Times New Roman" w:cs="Times New Roman"/>
          <w:color w:val="auto"/>
          <w:highlight w:val="none"/>
        </w:rPr>
        <w:t>各个监测点氮氧化物监测浓度可满足《环境空气质量标准》（GB3095-2012）表1中二级标准要求；甲醇监测浓度可满足《环境影中厂界噪声响评价技术导则大气环境》（HJ2.2-2018）附录D其他污染物空气质量浓度参考限值；非甲烷总烃监测浓度均可满足《大气污染物综合排放标准详解》中的推荐值，该区域环境空气质量较好</w:t>
      </w:r>
      <w:r>
        <w:rPr>
          <w:rFonts w:ascii="Times New Roman" w:hAnsi="Times New Roman" w:cs="Times New Roman"/>
          <w:color w:val="auto"/>
          <w:highlight w:val="none"/>
        </w:rPr>
        <w:t>。</w:t>
      </w:r>
    </w:p>
    <w:p w14:paraId="6884278C">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建设项目</w:t>
      </w:r>
      <w:r>
        <w:rPr>
          <w:rFonts w:hint="eastAsia" w:ascii="Times New Roman" w:hAnsi="Times New Roman" w:cs="Times New Roman"/>
          <w:color w:val="auto"/>
          <w:highlight w:val="none"/>
        </w:rPr>
        <w:t>接管的无锡市锡山云林污水处理有限公司</w:t>
      </w:r>
      <w:r>
        <w:rPr>
          <w:rFonts w:ascii="Times New Roman" w:hAnsi="Times New Roman" w:cs="Times New Roman"/>
          <w:color w:val="auto"/>
          <w:highlight w:val="none"/>
        </w:rPr>
        <w:t>纳污水体为</w:t>
      </w:r>
      <w:r>
        <w:rPr>
          <w:rFonts w:hint="eastAsia" w:ascii="Times New Roman" w:hAnsi="Times New Roman" w:cs="Times New Roman"/>
          <w:color w:val="auto"/>
          <w:highlight w:val="none"/>
        </w:rPr>
        <w:t>北兴塘</w:t>
      </w:r>
      <w:r>
        <w:rPr>
          <w:rFonts w:ascii="Times New Roman" w:hAnsi="Times New Roman" w:cs="Times New Roman"/>
          <w:color w:val="auto"/>
          <w:highlight w:val="none"/>
        </w:rPr>
        <w:t>河，根据</w:t>
      </w:r>
      <w:r>
        <w:rPr>
          <w:rFonts w:hint="eastAsia" w:ascii="Times New Roman" w:hAnsi="Times New Roman" w:cs="Times New Roman"/>
          <w:color w:val="auto"/>
          <w:highlight w:val="none"/>
        </w:rPr>
        <w:t>江苏国舜检测技术有限公司对北兴塘河地表水环境质量进行的现状监测（报告编号：GS2310054017）</w:t>
      </w:r>
      <w:r>
        <w:rPr>
          <w:rFonts w:ascii="Times New Roman" w:hAnsi="Times New Roman" w:cs="Times New Roman"/>
          <w:color w:val="auto"/>
          <w:highlight w:val="none"/>
        </w:rPr>
        <w:t>，</w:t>
      </w:r>
      <w:r>
        <w:rPr>
          <w:rFonts w:hint="eastAsia" w:ascii="Times New Roman" w:hAnsi="Times New Roman" w:cs="Times New Roman"/>
          <w:color w:val="auto"/>
          <w:highlight w:val="none"/>
        </w:rPr>
        <w:t>无锡市锡山云林污水处理有限公司</w:t>
      </w:r>
      <w:r>
        <w:rPr>
          <w:rFonts w:ascii="Times New Roman" w:hAnsi="Times New Roman" w:cs="Times New Roman"/>
          <w:color w:val="auto"/>
          <w:highlight w:val="none"/>
        </w:rPr>
        <w:t>上游500米断面、</w:t>
      </w:r>
      <w:r>
        <w:rPr>
          <w:rFonts w:hint="eastAsia" w:ascii="Times New Roman" w:hAnsi="Times New Roman" w:cs="Times New Roman"/>
          <w:color w:val="auto"/>
          <w:highlight w:val="none"/>
        </w:rPr>
        <w:t>排污口、</w:t>
      </w:r>
      <w:r>
        <w:rPr>
          <w:rFonts w:ascii="Times New Roman" w:hAnsi="Times New Roman" w:cs="Times New Roman"/>
          <w:color w:val="auto"/>
          <w:highlight w:val="none"/>
        </w:rPr>
        <w:t>下游1000米断面pH、</w:t>
      </w:r>
      <w:r>
        <w:rPr>
          <w:rFonts w:hint="eastAsia" w:ascii="Times New Roman" w:hAnsi="Times New Roman" w:cs="Times New Roman"/>
          <w:color w:val="auto"/>
          <w:highlight w:val="none"/>
        </w:rPr>
        <w:t>溶解氧、</w:t>
      </w:r>
      <w:r>
        <w:rPr>
          <w:rFonts w:ascii="Times New Roman" w:hAnsi="Times New Roman" w:cs="Times New Roman"/>
          <w:color w:val="auto"/>
          <w:highlight w:val="none"/>
        </w:rPr>
        <w:t>化学需氧量、</w:t>
      </w:r>
      <w:r>
        <w:rPr>
          <w:rFonts w:hint="eastAsia" w:ascii="Times New Roman" w:hAnsi="Times New Roman" w:cs="Times New Roman"/>
          <w:color w:val="auto"/>
          <w:highlight w:val="none"/>
        </w:rPr>
        <w:t>悬浮物</w:t>
      </w:r>
      <w:r>
        <w:rPr>
          <w:rFonts w:ascii="Times New Roman" w:hAnsi="Times New Roman" w:cs="Times New Roman"/>
          <w:color w:val="auto"/>
          <w:highlight w:val="none"/>
        </w:rPr>
        <w:t>、氨氮</w:t>
      </w:r>
      <w:r>
        <w:rPr>
          <w:rFonts w:hint="eastAsia" w:ascii="Times New Roman" w:hAnsi="Times New Roman" w:cs="Times New Roman"/>
          <w:color w:val="auto"/>
          <w:highlight w:val="none"/>
        </w:rPr>
        <w:t>、总磷</w:t>
      </w:r>
      <w:r>
        <w:rPr>
          <w:rFonts w:ascii="Times New Roman" w:hAnsi="Times New Roman" w:cs="Times New Roman"/>
          <w:color w:val="auto"/>
          <w:highlight w:val="none"/>
        </w:rPr>
        <w:t>能满足《地表水环境质量标准》（GB3838-2002）III类标准要求，总氮不能满足《地表水环境质量标准》（GB3838-2002）III类标准要求。根据锡山区《区政府办公室关于印发锡山区河道环境综合整治工作方案的通知》（锡府办[2016]30号），通过水环境综合整治工作，区域水环境质量会有所改善。</w:t>
      </w:r>
    </w:p>
    <w:p w14:paraId="46AA896A">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噪声现状</w:t>
      </w:r>
      <w:r>
        <w:rPr>
          <w:rFonts w:hint="eastAsia" w:ascii="Times New Roman" w:hAnsi="Times New Roman" w:cs="Times New Roman"/>
          <w:color w:val="auto"/>
          <w:highlight w:val="none"/>
        </w:rPr>
        <w:t>中厂界噪声</w:t>
      </w:r>
      <w:r>
        <w:rPr>
          <w:rFonts w:ascii="Times New Roman" w:hAnsi="Times New Roman" w:cs="Times New Roman"/>
          <w:color w:val="auto"/>
          <w:highlight w:val="none"/>
        </w:rPr>
        <w:t>均能达到《声环境质量标准》(GB3096-2008)中的3类声环境功能区要求</w:t>
      </w:r>
      <w:r>
        <w:rPr>
          <w:rFonts w:hint="eastAsia" w:ascii="Times New Roman" w:hAnsi="Times New Roman" w:cs="Times New Roman"/>
          <w:color w:val="auto"/>
          <w:highlight w:val="none"/>
        </w:rPr>
        <w:t>、敏感目标处均能</w:t>
      </w:r>
      <w:r>
        <w:rPr>
          <w:rFonts w:ascii="Times New Roman" w:hAnsi="Times New Roman" w:cs="Times New Roman"/>
          <w:color w:val="auto"/>
          <w:highlight w:val="none"/>
        </w:rPr>
        <w:t>达到《声环境质量标准》(GB3096-2008)中的</w:t>
      </w:r>
      <w:r>
        <w:rPr>
          <w:rFonts w:hint="eastAsia" w:ascii="Times New Roman" w:hAnsi="Times New Roman" w:cs="Times New Roman"/>
          <w:color w:val="auto"/>
          <w:highlight w:val="none"/>
        </w:rPr>
        <w:t>2</w:t>
      </w:r>
      <w:r>
        <w:rPr>
          <w:rFonts w:ascii="Times New Roman" w:hAnsi="Times New Roman" w:cs="Times New Roman"/>
          <w:color w:val="auto"/>
          <w:highlight w:val="none"/>
        </w:rPr>
        <w:t>类声环境功能区要求。</w:t>
      </w:r>
    </w:p>
    <w:p w14:paraId="0C1F51C9">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根据环境质量现状监测数据，监测点位土壤中各因子均满足《土壤环境质量建设用地土壤污染风险管控标准（试行）》（GB36600-2018）中表1筛选值中</w:t>
      </w:r>
      <w:r>
        <w:rPr>
          <w:rFonts w:hint="eastAsia" w:ascii="Times New Roman" w:hAnsi="Times New Roman" w:cs="Times New Roman"/>
          <w:color w:val="auto"/>
          <w:highlight w:val="none"/>
        </w:rPr>
        <w:t>“</w:t>
      </w:r>
      <w:r>
        <w:rPr>
          <w:rFonts w:ascii="Times New Roman" w:hAnsi="Times New Roman" w:cs="Times New Roman"/>
          <w:color w:val="auto"/>
          <w:highlight w:val="none"/>
        </w:rPr>
        <w:t>第二类用地</w:t>
      </w:r>
      <w:r>
        <w:rPr>
          <w:rFonts w:hint="eastAsia" w:ascii="Times New Roman" w:hAnsi="Times New Roman" w:cs="Times New Roman"/>
          <w:color w:val="auto"/>
          <w:highlight w:val="none"/>
        </w:rPr>
        <w:t>”</w:t>
      </w:r>
      <w:r>
        <w:rPr>
          <w:rFonts w:ascii="Times New Roman" w:hAnsi="Times New Roman" w:cs="Times New Roman"/>
          <w:color w:val="auto"/>
          <w:highlight w:val="none"/>
        </w:rPr>
        <w:t>标准，pH达到《环境影响评价技术导则土壤环境（试行）》（HJ964-2018）表D.2中标准，土壤无酸化或碱化情况。</w:t>
      </w:r>
    </w:p>
    <w:p w14:paraId="7E607ACF">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本项目建设后营运期产生的各项污染物通过相应的治理措施处理后均可达标排放，本项目环境风险可控制在安全范围内，因此，本项目的建设对区域环境质量影响较小，符合环境质量底线的相关规定要求。</w:t>
      </w:r>
    </w:p>
    <w:p w14:paraId="44DC6626">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资源利用上线</w:t>
      </w:r>
    </w:p>
    <w:p w14:paraId="389AA9EF">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本项目用水来自区域自来水管网，用电由市政电网供给，不会达到资源利用上线；项目用地为工业用地，符合当地土地规划要求，亦不会达到资源利用上线。</w:t>
      </w:r>
    </w:p>
    <w:p w14:paraId="055240B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④</w:t>
      </w:r>
      <w:r>
        <w:rPr>
          <w:rFonts w:ascii="Times New Roman" w:hAnsi="Times New Roman" w:cs="Times New Roman"/>
          <w:color w:val="auto"/>
          <w:highlight w:val="none"/>
        </w:rPr>
        <w:t>环境准入负面清单</w:t>
      </w:r>
    </w:p>
    <w:p w14:paraId="52EDA5C5">
      <w:pPr>
        <w:adjustRightInd w:val="0"/>
        <w:snapToGrid w:val="0"/>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highlight w:val="none"/>
        </w:rPr>
        <w:t>根据</w:t>
      </w:r>
      <w:r>
        <w:rPr>
          <w:rFonts w:hint="eastAsia" w:ascii="Times New Roman" w:hAnsi="Times New Roman" w:cs="Times New Roman"/>
          <w:color w:val="auto"/>
          <w:szCs w:val="22"/>
          <w:highlight w:val="none"/>
        </w:rPr>
        <w:t>《无锡市锡山区锡北镇工业集中区环境影响跟踪评价报告书》，锡山区锡北镇工业集中区禁止引入类项目为：禁止引进不符合规划布局和产业定位要求的项目</w:t>
      </w:r>
      <w:r>
        <w:rPr>
          <w:rFonts w:ascii="Times New Roman" w:hAnsi="Times New Roman" w:cs="Times New Roman"/>
          <w:color w:val="auto"/>
          <w:szCs w:val="22"/>
          <w:highlight w:val="none"/>
        </w:rPr>
        <w:t>(战略性新兴产业</w:t>
      </w:r>
      <w:r>
        <w:rPr>
          <w:rFonts w:hint="eastAsia" w:ascii="Times New Roman" w:hAnsi="Times New Roman" w:cs="Times New Roman"/>
          <w:color w:val="auto"/>
          <w:szCs w:val="22"/>
          <w:highlight w:val="none"/>
        </w:rPr>
        <w:t>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禁止引进不符合产能置换、能耗双控等要求的两高项目；禁止露天和敞开式喷涂作业</w:t>
      </w:r>
      <w:r>
        <w:rPr>
          <w:rFonts w:ascii="Times New Roman" w:hAnsi="Times New Roman" w:cs="Times New Roman"/>
          <w:color w:val="auto"/>
          <w:szCs w:val="22"/>
          <w:highlight w:val="none"/>
        </w:rPr>
        <w:t>(除工艺有特殊要求外)</w:t>
      </w:r>
      <w:r>
        <w:rPr>
          <w:rFonts w:hint="eastAsia" w:ascii="Times New Roman" w:hAnsi="Times New Roman" w:cs="Times New Roman"/>
          <w:color w:val="auto"/>
          <w:szCs w:val="22"/>
          <w:highlight w:val="none"/>
        </w:rPr>
        <w:t>；禁止建设生产和使用高</w:t>
      </w:r>
      <w:r>
        <w:rPr>
          <w:rFonts w:ascii="Times New Roman" w:hAnsi="Times New Roman" w:cs="Times New Roman"/>
          <w:color w:val="auto"/>
          <w:szCs w:val="22"/>
          <w:highlight w:val="none"/>
        </w:rPr>
        <w:t>VOCs含量(特殊情形暂不可替代除外)</w:t>
      </w:r>
      <w:r>
        <w:rPr>
          <w:rFonts w:hint="eastAsia" w:ascii="Times New Roman" w:hAnsi="Times New Roman" w:cs="Times New Roman"/>
          <w:color w:val="auto"/>
          <w:szCs w:val="22"/>
          <w:highlight w:val="none"/>
        </w:rPr>
        <w:t>的溶剂型涂料、油墨、胶粘剂等项目，新上</w:t>
      </w:r>
      <w:r>
        <w:rPr>
          <w:rFonts w:ascii="Times New Roman" w:hAnsi="Times New Roman" w:cs="Times New Roman"/>
          <w:color w:val="auto"/>
          <w:szCs w:val="22"/>
          <w:highlight w:val="none"/>
        </w:rPr>
        <w:t>VOCs的项目，实现</w:t>
      </w:r>
      <w:r>
        <w:rPr>
          <w:rFonts w:hint="eastAsia" w:ascii="Times New Roman" w:hAnsi="Times New Roman" w:cs="Times New Roman"/>
          <w:color w:val="auto"/>
          <w:szCs w:val="22"/>
          <w:highlight w:val="none"/>
        </w:rPr>
        <w:t>减二增一替代。禁止准入单纯表面喷涂项目</w:t>
      </w:r>
      <w:r>
        <w:rPr>
          <w:rFonts w:ascii="Times New Roman" w:hAnsi="Times New Roman" w:cs="Times New Roman"/>
          <w:color w:val="auto"/>
          <w:szCs w:val="22"/>
          <w:highlight w:val="none"/>
        </w:rPr>
        <w:t>(绿岛和战略性新兴</w:t>
      </w:r>
      <w:r>
        <w:rPr>
          <w:rFonts w:hint="eastAsia" w:ascii="Times New Roman" w:hAnsi="Times New Roman" w:cs="Times New Roman"/>
          <w:color w:val="auto"/>
          <w:szCs w:val="22"/>
          <w:highlight w:val="none"/>
        </w:rPr>
        <w:t>产业除外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安全风险大、工艺设施落后、安全水平低的企业或项目进入；禁止新建、扩建技术装备、污染排放、能耗达不到相关行业先进水平的项目；禁止新建、改建、扩建化学制浆造纸、制革、酿造、染料、电镀以及其他排放含磷、氮等污染物的企业和项目</w:t>
      </w:r>
      <w:r>
        <w:rPr>
          <w:rFonts w:ascii="Times New Roman" w:hAnsi="Times New Roman" w:cs="Times New Roman"/>
          <w:color w:val="auto"/>
          <w:szCs w:val="22"/>
          <w:highlight w:val="none"/>
        </w:rPr>
        <w:t>(战略性新兴产业</w:t>
      </w:r>
      <w:r>
        <w:rPr>
          <w:rFonts w:hint="eastAsia" w:ascii="Times New Roman" w:hAnsi="Times New Roman" w:cs="Times New Roman"/>
          <w:color w:val="auto"/>
          <w:szCs w:val="22"/>
          <w:highlight w:val="none"/>
        </w:rPr>
        <w:t>除外</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；禁止新建铅、汞、铬、镉、砷五类重点重金属污染物排放的项目；禁止准入水质经预处理不能满足污水厂接管要求的项目；禁止</w:t>
      </w:r>
      <w:r>
        <w:rPr>
          <w:rFonts w:ascii="Times New Roman" w:hAnsi="Times New Roman" w:cs="Times New Roman"/>
          <w:color w:val="auto"/>
          <w:szCs w:val="22"/>
          <w:highlight w:val="none"/>
        </w:rPr>
        <w:t>COD、氨氮、总磷、总氮、SO</w:t>
      </w:r>
      <w:r>
        <w:rPr>
          <w:rFonts w:ascii="Times New Roman" w:hAnsi="Times New Roman" w:cs="Times New Roman"/>
          <w:color w:val="auto"/>
          <w:szCs w:val="22"/>
          <w:highlight w:val="none"/>
          <w:vertAlign w:val="subscript"/>
        </w:rPr>
        <w:t>2</w:t>
      </w:r>
      <w:r>
        <w:rPr>
          <w:rFonts w:ascii="Times New Roman" w:hAnsi="Times New Roman" w:cs="Times New Roman"/>
          <w:color w:val="auto"/>
          <w:szCs w:val="22"/>
          <w:highlight w:val="none"/>
        </w:rPr>
        <w:t>、NOx、颗粒物、挥发性有</w:t>
      </w:r>
      <w:r>
        <w:rPr>
          <w:rFonts w:hint="eastAsia" w:ascii="Times New Roman" w:hAnsi="Times New Roman" w:cs="Times New Roman"/>
          <w:color w:val="auto"/>
          <w:szCs w:val="22"/>
          <w:highlight w:val="none"/>
        </w:rPr>
        <w:t>机物等污染物排放总量以及重点行业重点重金属总量指标未落实的项目；严禁引进排放“三致”</w:t>
      </w:r>
      <w:r>
        <w:rPr>
          <w:rFonts w:ascii="Times New Roman" w:hAnsi="Times New Roman" w:cs="Times New Roman"/>
          <w:color w:val="auto"/>
          <w:szCs w:val="22"/>
          <w:highlight w:val="none"/>
        </w:rPr>
        <w:t>(致癌、致畸、致突变)、光气、列入名录</w:t>
      </w:r>
      <w:r>
        <w:rPr>
          <w:rFonts w:hint="eastAsia" w:ascii="Times New Roman" w:hAnsi="Times New Roman" w:cs="Times New Roman"/>
          <w:color w:val="auto"/>
          <w:szCs w:val="22"/>
          <w:highlight w:val="none"/>
        </w:rPr>
        <w:t>的恶臭污染物及氰化物等高风险物质且严重影响人身健康和环境质量的项目。</w:t>
      </w:r>
    </w:p>
    <w:p w14:paraId="1D699942">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本项目符合规划布局和产业定位，不属于两高项目，生产过程中不使用溶剂型涂料、油墨、清洗剂等高VOCs含量的原料。</w:t>
      </w:r>
      <w:r>
        <w:rPr>
          <w:rFonts w:hint="eastAsia" w:ascii="Times New Roman" w:hAnsi="Times New Roman" w:cs="Times New Roman"/>
          <w:color w:val="auto"/>
          <w:szCs w:val="18"/>
          <w:highlight w:val="none"/>
        </w:rPr>
        <w:t>本项目工艺、设备先进，经安全设计后项目本质安全水平高，采用技术装备、污染排放、能耗均能达到相关行业先进水平。</w:t>
      </w:r>
      <w:r>
        <w:rPr>
          <w:rFonts w:hint="eastAsia" w:ascii="Times New Roman" w:hAnsi="Times New Roman" w:cs="Times New Roman"/>
          <w:color w:val="auto"/>
          <w:szCs w:val="22"/>
          <w:highlight w:val="none"/>
        </w:rPr>
        <w:t>本项目行业类别为</w:t>
      </w:r>
      <w:r>
        <w:rPr>
          <w:rFonts w:hint="eastAsia" w:ascii="Times New Roman" w:hAnsi="Times New Roman"/>
          <w:color w:val="auto"/>
          <w:highlight w:val="none"/>
        </w:rPr>
        <w:t>C3985电子专用材料制造</w:t>
      </w:r>
      <w:r>
        <w:rPr>
          <w:rFonts w:hint="eastAsia" w:ascii="Times New Roman" w:hAnsi="Times New Roman" w:cs="Times New Roman"/>
          <w:color w:val="auto"/>
          <w:szCs w:val="22"/>
          <w:highlight w:val="none"/>
        </w:rPr>
        <w:t>，不属于单纯表面喷涂、化学制浆造纸、制革、酿造、染料项目，</w:t>
      </w:r>
      <w:r>
        <w:rPr>
          <w:rFonts w:hint="eastAsia" w:ascii="Times New Roman" w:hAnsi="Times New Roman"/>
          <w:color w:val="auto"/>
          <w:highlight w:val="none"/>
        </w:rPr>
        <w:t>本项目超纯水装置浓水、超纯水装置反冲洗水不含氮磷，且水质简单，回用于冲厕，生活污水和初期雨水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hint="eastAsia" w:ascii="Times New Roman" w:hAnsi="Times New Roman" w:cs="Times New Roman"/>
          <w:color w:val="auto"/>
          <w:szCs w:val="18"/>
          <w:highlight w:val="none"/>
        </w:rPr>
        <w:t>，无含磷、氮生产废水排放</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项目产生的</w:t>
      </w:r>
      <w:r>
        <w:rPr>
          <w:rFonts w:ascii="Times New Roman" w:hAnsi="Times New Roman" w:cs="Times New Roman"/>
          <w:color w:val="auto"/>
          <w:szCs w:val="18"/>
          <w:highlight w:val="none"/>
        </w:rPr>
        <w:t>COD、氨氮、总磷、总氮、挥发性有机物等污染物排放总量</w:t>
      </w:r>
      <w:r>
        <w:rPr>
          <w:rFonts w:hint="eastAsia" w:ascii="Times New Roman" w:hAnsi="Times New Roman" w:cs="Times New Roman"/>
          <w:color w:val="auto"/>
          <w:szCs w:val="18"/>
          <w:highlight w:val="none"/>
        </w:rPr>
        <w:t>均已落实，在大气污染物总量在锡山区范围内平衡，水污染物总量在无锡市锡山云林污水处理有限公司内平衡，本项目不涉及排放“三致”（</w:t>
      </w:r>
      <w:r>
        <w:rPr>
          <w:rFonts w:ascii="Times New Roman" w:hAnsi="Times New Roman" w:cs="Times New Roman"/>
          <w:color w:val="auto"/>
          <w:szCs w:val="18"/>
          <w:highlight w:val="none"/>
        </w:rPr>
        <w:t>致癌、致畸、致突变</w:t>
      </w:r>
      <w:r>
        <w:rPr>
          <w:rFonts w:hint="eastAsia" w:ascii="Times New Roman" w:hAnsi="Times New Roman" w:cs="Times New Roman"/>
          <w:color w:val="auto"/>
          <w:szCs w:val="18"/>
          <w:highlight w:val="none"/>
        </w:rPr>
        <w:t>）</w:t>
      </w:r>
      <w:r>
        <w:rPr>
          <w:rFonts w:ascii="Times New Roman" w:hAnsi="Times New Roman" w:cs="Times New Roman"/>
          <w:color w:val="auto"/>
          <w:szCs w:val="18"/>
          <w:highlight w:val="none"/>
        </w:rPr>
        <w:t>、光气</w:t>
      </w:r>
      <w:r>
        <w:rPr>
          <w:rFonts w:hint="eastAsia" w:ascii="Times New Roman" w:hAnsi="Times New Roman" w:cs="Times New Roman"/>
          <w:color w:val="auto"/>
          <w:szCs w:val="18"/>
          <w:highlight w:val="none"/>
        </w:rPr>
        <w:t>及氰化物等高风险物质，不会对人身健康和环境质量造成严重影响。因此本项目不属于</w:t>
      </w:r>
      <w:r>
        <w:rPr>
          <w:rFonts w:hint="eastAsia" w:ascii="Times New Roman" w:hAnsi="Times New Roman" w:cs="Times New Roman"/>
          <w:color w:val="auto"/>
          <w:szCs w:val="22"/>
          <w:highlight w:val="none"/>
        </w:rPr>
        <w:t>锡北镇工业集中区禁止引入类项目。</w:t>
      </w:r>
    </w:p>
    <w:p w14:paraId="62CCB57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⑤</w:t>
      </w:r>
      <w:r>
        <w:rPr>
          <w:rFonts w:ascii="Times New Roman" w:hAnsi="Times New Roman" w:cs="Times New Roman"/>
          <w:color w:val="auto"/>
          <w:highlight w:val="none"/>
        </w:rPr>
        <w:t>与《江苏省</w:t>
      </w:r>
      <w:r>
        <w:rPr>
          <w:rFonts w:hint="eastAsia" w:ascii="Times New Roman" w:hAnsi="Times New Roman" w:cs="Times New Roman"/>
          <w:color w:val="auto"/>
          <w:highlight w:val="none"/>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rPr>
        <w:t>”</w:t>
      </w:r>
      <w:r>
        <w:rPr>
          <w:rFonts w:ascii="Times New Roman" w:hAnsi="Times New Roman" w:cs="Times New Roman"/>
          <w:color w:val="auto"/>
          <w:highlight w:val="none"/>
        </w:rPr>
        <w:t>生态环境分区管控方案》（苏政发[2020]49号）相符性</w:t>
      </w:r>
    </w:p>
    <w:p w14:paraId="7BD19B5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根据《江苏省“三线一单”生态环境分区管控方案》（苏政发[2020]49号）中</w:t>
      </w:r>
      <w:r>
        <w:rPr>
          <w:rFonts w:hint="eastAsia" w:ascii="Times New Roman" w:hAnsi="Times New Roman" w:cs="Times New Roman"/>
          <w:color w:val="auto"/>
          <w:highlight w:val="none"/>
        </w:rPr>
        <w:t>“</w:t>
      </w:r>
      <w:r>
        <w:rPr>
          <w:rFonts w:ascii="Times New Roman" w:hAnsi="Times New Roman" w:cs="Times New Roman"/>
          <w:color w:val="auto"/>
          <w:highlight w:val="none"/>
        </w:rPr>
        <w:t>二、太湖流域</w:t>
      </w:r>
      <w:r>
        <w:rPr>
          <w:rFonts w:hint="eastAsia" w:ascii="Times New Roman" w:hAnsi="Times New Roman" w:cs="Times New Roman"/>
          <w:color w:val="auto"/>
          <w:highlight w:val="none"/>
        </w:rPr>
        <w:t>”</w:t>
      </w:r>
      <w:r>
        <w:rPr>
          <w:rFonts w:ascii="Times New Roman" w:hAnsi="Times New Roman" w:cs="Times New Roman"/>
          <w:color w:val="auto"/>
          <w:highlight w:val="none"/>
        </w:rPr>
        <w:t>要求：</w:t>
      </w:r>
    </w:p>
    <w:p w14:paraId="617CD128">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6252BB5">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在太湖流域一级保护区，禁止新建、扩建向水体排放污染物的建设项目，禁止新建、扩建畜禽养殖场，禁止新建、扩建高尔夫球场、水上游乐等开发项目以及设置水上餐饮经营设施。在太湖流域二级保护区，禁止新建、扩建化工、医药生产项目，禁止新建、扩建污水集中处理设施排污口以外的排污口。城镇污水处理厂、纺织工业、化学工业、造纸工业、钢铁工业、电镀工业和食品工业的污水处理设施执行《太湖地区城镇污水处理厂及重点工业行业主要水污染物排放限值》。运输剧毒物质、危险化学品的船舶不得进入太湖。禁止向太湖流域水体排放或者倾倒油类、酸液、碱液、剧毒废渣废液、含放射性废渣废液、含病原体污水、工业废渣以及其他废弃物。加强太湖流域生态环境风险应急管控，着力提高防控太湖蓝藻水华风险预警和应急处置能力。太湖流域加强水资源配置与调度，优先满足居民生活用水，兼顾生产、生态用水以及航运等需要。2020年底前，太湖流域所有省级以上开发区开展园区循环化改造。</w:t>
      </w:r>
    </w:p>
    <w:p w14:paraId="0F9B29F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本项目属于</w:t>
      </w:r>
      <w:r>
        <w:rPr>
          <w:rFonts w:hint="eastAsia" w:ascii="Times New Roman" w:hAnsi="Times New Roman"/>
          <w:color w:val="auto"/>
          <w:highlight w:val="none"/>
        </w:rPr>
        <w:t>C3985电子专用材料制造</w:t>
      </w:r>
      <w:r>
        <w:rPr>
          <w:rFonts w:ascii="Times New Roman" w:hAnsi="Times New Roman" w:cs="Times New Roman"/>
          <w:color w:val="auto"/>
          <w:highlight w:val="none"/>
        </w:rPr>
        <w:t>。本项目位于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，根据《省政府办公厅关于公布江苏省太湖流域三级保护区范围的通知》（苏政办发[2012]221号）的规定，本项目不在太湖流域一级、二级保护区范围内，因此，本项目位于太湖流域三级保护区内。</w:t>
      </w:r>
      <w:r>
        <w:rPr>
          <w:rFonts w:hint="eastAsia" w:ascii="Times New Roman" w:hAnsi="Times New Roman"/>
          <w:color w:val="auto"/>
          <w:highlight w:val="none"/>
        </w:rPr>
        <w:t>本项目超纯水装置浓水、超纯水装置反冲洗水不含氮磷，且水质简单，回用于冲厕，生活污水和初期雨水</w:t>
      </w:r>
      <w:r>
        <w:rPr>
          <w:rFonts w:ascii="Times New Roman" w:hAnsi="Times New Roman"/>
          <w:color w:val="auto"/>
          <w:highlight w:val="none"/>
        </w:rPr>
        <w:t>由企业</w:t>
      </w:r>
      <w:r>
        <w:rPr>
          <w:rFonts w:hint="eastAsia" w:ascii="Times New Roman" w:hAnsi="Times New Roman"/>
          <w:color w:val="auto"/>
          <w:highlight w:val="none"/>
        </w:rPr>
        <w:t>收集后委托无锡先进化药化工有限公司处理达标后接入无锡市锡山云林污水处理有限公司</w:t>
      </w:r>
      <w:r>
        <w:rPr>
          <w:rFonts w:ascii="Times New Roman" w:hAnsi="Times New Roman" w:cs="Times New Roman"/>
          <w:color w:val="auto"/>
          <w:highlight w:val="none"/>
        </w:rPr>
        <w:t>。产生的危险废物均委托资质单位处置，</w:t>
      </w:r>
      <w:r>
        <w:rPr>
          <w:rFonts w:hint="eastAsia" w:ascii="Times New Roman" w:hAnsi="Times New Roman" w:cs="Times New Roman"/>
          <w:color w:val="auto"/>
          <w:highlight w:val="none"/>
        </w:rPr>
        <w:t>一般固废外卖物资回收单位，固废零排放</w:t>
      </w:r>
      <w:r>
        <w:rPr>
          <w:rFonts w:ascii="Times New Roman" w:hAnsi="Times New Roman" w:cs="Times New Roman"/>
          <w:color w:val="auto"/>
          <w:highlight w:val="none"/>
        </w:rPr>
        <w:t>。本项目用水量不会影响居民生活用水。</w:t>
      </w:r>
    </w:p>
    <w:p w14:paraId="68D99E5B">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综上，本项目的建设符合《江苏省</w:t>
      </w:r>
      <w:r>
        <w:rPr>
          <w:rFonts w:hint="eastAsia" w:ascii="Times New Roman" w:hAnsi="Times New Roman" w:cs="Times New Roman"/>
          <w:color w:val="auto"/>
          <w:highlight w:val="none"/>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rPr>
        <w:t>”</w:t>
      </w:r>
      <w:r>
        <w:rPr>
          <w:rFonts w:ascii="Times New Roman" w:hAnsi="Times New Roman" w:cs="Times New Roman"/>
          <w:color w:val="auto"/>
          <w:highlight w:val="none"/>
        </w:rPr>
        <w:t>生态环境分区管控方案》（苏政发[2020]49号）的要求。</w:t>
      </w:r>
    </w:p>
    <w:p w14:paraId="285E8DE4">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⑥</w:t>
      </w:r>
      <w:r>
        <w:rPr>
          <w:rFonts w:ascii="Times New Roman" w:hAnsi="Times New Roman" w:cs="Times New Roman"/>
          <w:color w:val="auto"/>
          <w:highlight w:val="none"/>
        </w:rPr>
        <w:t>与《长江经济带发展负面清单指南》（2022版）相符性</w:t>
      </w:r>
    </w:p>
    <w:p w14:paraId="7F6AD087">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根据《长江经济带发展负面清单指南》（2022版）：</w:t>
      </w:r>
    </w:p>
    <w:p w14:paraId="24011C5B">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（1）禁止建设不符合全国和省级港口布局规划以及港口总体规划的码头项目，禁止建设不符合《长江干线过江通道布局规划》的过长江通道项目。</w:t>
      </w:r>
    </w:p>
    <w:p w14:paraId="2E98DFB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（2）禁止在自然保护区核心区、缓冲区的岸线和河段范围内投资建设旅游和生产经营项目。禁止在风景名胜区核心景区的岸线和河段范围内投资建设与风景名胜资源保护无关的项目。</w:t>
      </w:r>
    </w:p>
    <w:p w14:paraId="24EC5FF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p w14:paraId="00CA44C6">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（4）禁止在水产种质资源保护区的岸线和河段范围内新建围湖造田、围海造地或围填海等投资建设项目。禁止在国家湿地公园的岸线和河段范围内挖沙、采矿，以及任何不符合主体功能定位的投资建设项目。</w:t>
      </w:r>
    </w:p>
    <w:p w14:paraId="6CAA7DE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0727107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（6）禁止未经许可在长江干支流及湖泊新设、改设或扩大排污口。</w:t>
      </w:r>
    </w:p>
    <w:p w14:paraId="4C6B8489">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（7）禁止在“一江一口两湖七河”和332个水生生物保护区开展生产性捕捞。</w:t>
      </w:r>
    </w:p>
    <w:p w14:paraId="20B1ED5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p w14:paraId="7831800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（9）禁止在合规园区外新建、扩建钢铁、石化、化工、焦化、建材、有色、制浆造纸等高污染项目。</w:t>
      </w:r>
    </w:p>
    <w:p w14:paraId="07930CB8">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（10）禁止新建、扩建不符合国家石化、现代煤化工等产业布局规划的项目。</w:t>
      </w:r>
    </w:p>
    <w:p w14:paraId="15E18567">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（11）禁止新建、扩建法律法规和相关政策明令禁止的落后产能项目。禁止新建、扩建不符合国家产能置换要求的严重过剩产能行业的项目。禁止新建、扩建不符合要求的高耗能高排放项目。</w:t>
      </w:r>
    </w:p>
    <w:p w14:paraId="27C7F725">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（12）法律法规及相关政策文件有更加严格规定的从其规定。</w:t>
      </w:r>
    </w:p>
    <w:p w14:paraId="33EE858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本项目属于C3</w:t>
      </w:r>
      <w:r>
        <w:rPr>
          <w:rFonts w:hint="eastAsia" w:ascii="Times New Roman" w:hAnsi="Times New Roman" w:cs="Times New Roman"/>
          <w:color w:val="auto"/>
          <w:highlight w:val="none"/>
        </w:rPr>
        <w:t>985</w:t>
      </w:r>
      <w:r>
        <w:rPr>
          <w:rFonts w:hint="eastAsia" w:ascii="Times New Roman" w:hAnsi="Times New Roman"/>
          <w:color w:val="auto"/>
          <w:szCs w:val="18"/>
          <w:highlight w:val="none"/>
        </w:rPr>
        <w:t>电子专用材料制造</w:t>
      </w:r>
      <w:r>
        <w:rPr>
          <w:rFonts w:ascii="Times New Roman" w:hAnsi="Times New Roman" w:cs="Times New Roman"/>
          <w:color w:val="auto"/>
          <w:highlight w:val="none"/>
        </w:rPr>
        <w:t>，不属于钢铁、石化、化工、焦化、建材、有色、制浆造纸等高污染项目。本项目位于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，距离长江</w:t>
      </w:r>
      <w:r>
        <w:rPr>
          <w:rFonts w:hint="eastAsia" w:ascii="Times New Roman" w:hAnsi="Times New Roman" w:cs="Times New Roman"/>
          <w:color w:val="auto"/>
          <w:highlight w:val="none"/>
        </w:rPr>
        <w:t>41.1</w:t>
      </w:r>
      <w:r>
        <w:rPr>
          <w:rFonts w:ascii="Times New Roman" w:hAnsi="Times New Roman" w:cs="Times New Roman"/>
          <w:color w:val="auto"/>
          <w:highlight w:val="none"/>
        </w:rPr>
        <w:t>km；本项目不在自然保护区核心区、缓冲区的岸线和河段范围，不在饮用水水源一级保护区、二级保护区的岸线和河段范围，不在水产种质资源保护区的岸线和河段范围，不在《长江岸线保护和开发利用总体规划》划定的岸线保护区内，也不在生态保护红线和永久基本农田范围内；不属于法律法规和相关政策明令禁止的落后产能项目和国家产能置换要求的严重过剩产能行业的项目。因此本项目不在长江经济带发展负面清单中。</w:t>
      </w:r>
    </w:p>
    <w:p w14:paraId="16BE3692">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hint="eastAsia"/>
          <w:color w:val="auto"/>
          <w:highlight w:val="none"/>
        </w:rPr>
        <w:t>⑦</w:t>
      </w:r>
      <w:r>
        <w:rPr>
          <w:rFonts w:ascii="Times New Roman" w:hAnsi="Times New Roman" w:cs="Times New Roman"/>
          <w:color w:val="auto"/>
          <w:highlight w:val="none"/>
        </w:rPr>
        <w:t>与《无锡市</w:t>
      </w:r>
      <w:r>
        <w:rPr>
          <w:rFonts w:hint="eastAsia" w:ascii="Times New Roman" w:hAnsi="Times New Roman" w:cs="Times New Roman"/>
          <w:color w:val="auto"/>
          <w:highlight w:val="none"/>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rPr>
        <w:t>”</w:t>
      </w:r>
      <w:r>
        <w:rPr>
          <w:rFonts w:ascii="Times New Roman" w:hAnsi="Times New Roman" w:cs="Times New Roman"/>
          <w:color w:val="auto"/>
          <w:highlight w:val="none"/>
        </w:rPr>
        <w:t>生态环境分区管控实施方案》（锡环委办[2020]40号）相符性分析</w:t>
      </w:r>
    </w:p>
    <w:p w14:paraId="7A8C746C">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根据《无锡市</w:t>
      </w:r>
      <w:r>
        <w:rPr>
          <w:rFonts w:hint="eastAsia" w:ascii="Times New Roman" w:hAnsi="Times New Roman" w:cs="Times New Roman"/>
          <w:color w:val="auto"/>
          <w:highlight w:val="none"/>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rPr>
        <w:t>”</w:t>
      </w:r>
      <w:r>
        <w:rPr>
          <w:rFonts w:ascii="Times New Roman" w:hAnsi="Times New Roman" w:cs="Times New Roman"/>
          <w:color w:val="auto"/>
          <w:highlight w:val="none"/>
        </w:rPr>
        <w:t>生态环境分区管控实施方案》（锡环委办[2020]40号）</w:t>
      </w:r>
      <w:r>
        <w:rPr>
          <w:rFonts w:hint="eastAsia" w:ascii="Times New Roman" w:hAnsi="Times New Roman" w:cs="Times New Roman"/>
          <w:color w:val="auto"/>
          <w:highlight w:val="none"/>
        </w:rPr>
        <w:t>“</w:t>
      </w:r>
      <w:r>
        <w:rPr>
          <w:rFonts w:ascii="Times New Roman" w:hAnsi="Times New Roman" w:cs="Times New Roman"/>
          <w:color w:val="auto"/>
          <w:highlight w:val="none"/>
        </w:rPr>
        <w:t>以环境管控单元为基础，从空间布局约束、污染物排放管控、环境风险防控和资源利用效率等方面明确准入、限制和禁止的要求，建立无锡市市域生态环境管控要求和194个环境管控单元的生态环境准入清单。</w:t>
      </w:r>
      <w:r>
        <w:rPr>
          <w:rFonts w:hint="eastAsia" w:ascii="Times New Roman" w:hAnsi="Times New Roman" w:cs="Times New Roman"/>
          <w:color w:val="auto"/>
          <w:highlight w:val="none"/>
        </w:rPr>
        <w:t>”</w:t>
      </w:r>
    </w:p>
    <w:p w14:paraId="22632963">
      <w:pPr>
        <w:pStyle w:val="15"/>
        <w:ind w:left="-105" w:right="-105" w:firstLine="482"/>
        <w:rPr>
          <w:rFonts w:eastAsia="宋体"/>
          <w:b w:val="0"/>
          <w:bCs/>
          <w:color w:val="auto"/>
          <w:sz w:val="24"/>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2</w:t>
      </w:r>
      <w:r>
        <w:rPr>
          <w:rFonts w:eastAsia="宋体"/>
          <w:color w:val="auto"/>
          <w:sz w:val="24"/>
          <w:szCs w:val="18"/>
          <w:highlight w:val="none"/>
        </w:rPr>
        <w:fldChar w:fldCharType="end"/>
      </w:r>
      <w:r>
        <w:rPr>
          <w:rFonts w:eastAsia="宋体"/>
          <w:color w:val="auto"/>
          <w:sz w:val="24"/>
          <w:szCs w:val="18"/>
          <w:highlight w:val="none"/>
        </w:rPr>
        <w:t>无锡市市域生态环境管控要求</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86"/>
        <w:gridCol w:w="3580"/>
        <w:gridCol w:w="2996"/>
        <w:gridCol w:w="998"/>
      </w:tblGrid>
      <w:tr w14:paraId="07BF37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576" w:type="pct"/>
            <w:vAlign w:val="center"/>
          </w:tcPr>
          <w:p w14:paraId="2675690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管控类别</w:t>
            </w:r>
          </w:p>
        </w:tc>
        <w:tc>
          <w:tcPr>
            <w:tcW w:w="2091" w:type="pct"/>
            <w:vAlign w:val="center"/>
          </w:tcPr>
          <w:p w14:paraId="095B5E4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管控要求</w:t>
            </w:r>
          </w:p>
        </w:tc>
        <w:tc>
          <w:tcPr>
            <w:tcW w:w="1750" w:type="pct"/>
            <w:vAlign w:val="center"/>
          </w:tcPr>
          <w:p w14:paraId="059F9B1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kern w:val="2"/>
                <w:sz w:val="21"/>
                <w:szCs w:val="21"/>
                <w:highlight w:val="none"/>
              </w:rPr>
            </w:pPr>
            <w:r>
              <w:rPr>
                <w:rFonts w:ascii="Times New Roman" w:hAnsi="Times New Roman" w:cs="Times New Roman"/>
                <w:b/>
                <w:bCs/>
                <w:color w:val="auto"/>
                <w:kern w:val="2"/>
                <w:sz w:val="21"/>
                <w:szCs w:val="21"/>
                <w:highlight w:val="none"/>
              </w:rPr>
              <w:t>相符性分析</w:t>
            </w:r>
          </w:p>
        </w:tc>
        <w:tc>
          <w:tcPr>
            <w:tcW w:w="583" w:type="pct"/>
            <w:vAlign w:val="center"/>
          </w:tcPr>
          <w:p w14:paraId="30E293F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bCs/>
                <w:color w:val="auto"/>
                <w:kern w:val="2"/>
                <w:sz w:val="21"/>
                <w:szCs w:val="21"/>
                <w:highlight w:val="none"/>
              </w:rPr>
            </w:pPr>
            <w:r>
              <w:rPr>
                <w:rFonts w:hint="eastAsia" w:ascii="Times New Roman" w:hAnsi="Times New Roman" w:cs="Times New Roman"/>
                <w:b/>
                <w:bCs/>
                <w:color w:val="auto"/>
                <w:kern w:val="2"/>
                <w:sz w:val="21"/>
                <w:szCs w:val="21"/>
                <w:highlight w:val="none"/>
              </w:rPr>
              <w:t>是否相符</w:t>
            </w:r>
          </w:p>
        </w:tc>
      </w:tr>
      <w:tr w14:paraId="0AA765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62" w:hRule="atLeast"/>
          <w:jc w:val="center"/>
        </w:trPr>
        <w:tc>
          <w:tcPr>
            <w:tcW w:w="576" w:type="pct"/>
            <w:vAlign w:val="center"/>
          </w:tcPr>
          <w:p w14:paraId="1945D1E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空间布局约束</w:t>
            </w:r>
          </w:p>
        </w:tc>
        <w:tc>
          <w:tcPr>
            <w:tcW w:w="2091" w:type="pct"/>
            <w:vAlign w:val="center"/>
          </w:tcPr>
          <w:p w14:paraId="3325011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（1）严格执行《江苏省“三线一单”生态环境分区管控方案》（苏政发[2020]49号）附件3江苏省省域生态环境管控要求中“空间布局约束”的相关要求。</w:t>
            </w:r>
          </w:p>
          <w:p w14:paraId="2AAAAC3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严格执行《无锡市“两减六治三提升”专项行动实施方案》（锡委发[2017]4号）《无锡市长江保护修复攻坚战行动计划工作方案》《无锡市打赢蓝天保卫战三年行动计划实施方案》（锡政发[2018]45号）《无锡市土壤污染防治工作方案》（锡政发[2017]15号）等文件要求。</w:t>
            </w:r>
          </w:p>
          <w:p w14:paraId="2D351FB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（3）禁止引进列入《无锡市产业结构调整指导目录》（锡政办发[2008]6号）淘汰类的产业。</w:t>
            </w:r>
          </w:p>
          <w:p w14:paraId="239D12E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4）根据《关于印发无锡市长江经济带生态环境保护重点任务实施方案的通知》（锡环发[2018]228号），沿江地区不再新布局石化项目。严格控制沿江石油加工、化学原料和化学制品制造、医药制造、化学纤维制造、有色金属、印染、造纸等项目环境风险。禁止在长江干流自然保护区、风景名胜区、“四大家鱼”产卵场等管控重点区域新建工业类和污染类项目，现有高风险企业实施限期治理。自然保护区核心区及缓冲区内禁止新建码头工程，逐步拆除已有的各类生产设施以及危险化学品、石油类泊位。严禁新增危险化学品码头，加大长江沿岸现有危险化学品码头和储罐的清理整顿力度，加强沿江危险化学品码头运行管理。</w:t>
            </w:r>
          </w:p>
          <w:p w14:paraId="40DBAF0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5）根据《无锡市政府办公室关于印发无锡市化工行业建设项目准入暂行管理办法的通知》（锡政办发[2017]200号），新建（含搬迁）化工项目必须进入已经依法完成规划环评审查的化工园区。禁止国家确定的过剩行业新增产能，禁止新改扩建染料以及其他排放含磷、氮污染物的化工项目，相关部门和机构不得办理土地供应、能评、环评、取水、接电和新增授信等业务，对符合政策要求的先进工艺改造提升项目应实行等量或减量置换。禁止限制类项目产能（搬迁改造升级项目除外）进入化工园区。限制新建剧毒化学品、有毒气体类项目，不再批准新的光气生产装置和生产点建设项目，从严审批涉及重点监管危险化学品和涉及高危工艺的化工项目。禁止建设排放致癌、致畸、致突变物质及列入名录的恶臭污染物等严重影响人身健康和环境质量的化工项目。</w:t>
            </w:r>
          </w:p>
          <w:p w14:paraId="284091E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6）依据《无锡市加快化工钢铁煤电行业转型升级三年行动计划（2018-2020年）》（锡委办发[2018]101号），严格限制在长江沿线新建扩建石油化工、煤化工等化工项目，禁止建设新增污染物排放的项目；严禁在干流及主要支流岸线1公里范围内布局新建化工园区和化工企业。2020年底前，全市危化品码头仓储企业数量只减不增，液体化工码头入园进区率不低于全市化工企业入园进区率，实现危化品码头专业化、规范化和良性发展。重点实施环太湖、沿江、沿运河等区域相对落后冶炼产能的退出和搬迁工作，距太湖直线距离10公里以内的所有冶炼产能，20公里以内的600m</w:t>
            </w:r>
            <w:r>
              <w:rPr>
                <w:rFonts w:ascii="Times New Roman" w:hAnsi="Times New Roman" w:cs="Times New Roman"/>
                <w:color w:val="auto"/>
                <w:kern w:val="2"/>
                <w:sz w:val="21"/>
                <w:szCs w:val="21"/>
                <w:highlight w:val="none"/>
                <w:vertAlign w:val="superscript"/>
              </w:rPr>
              <w:t>3</w:t>
            </w:r>
            <w:r>
              <w:rPr>
                <w:rFonts w:ascii="Times New Roman" w:hAnsi="Times New Roman" w:cs="Times New Roman"/>
                <w:color w:val="auto"/>
                <w:kern w:val="2"/>
                <w:sz w:val="21"/>
                <w:szCs w:val="21"/>
                <w:highlight w:val="none"/>
              </w:rPr>
              <w:t>及以下高炉、50吨及以下转(电)炉必须在2020年前全部退出、搬迁，40公里以内的500m</w:t>
            </w:r>
            <w:r>
              <w:rPr>
                <w:rFonts w:ascii="Times New Roman" w:hAnsi="Times New Roman" w:cs="Times New Roman"/>
                <w:color w:val="auto"/>
                <w:kern w:val="2"/>
                <w:sz w:val="21"/>
                <w:szCs w:val="21"/>
                <w:highlight w:val="none"/>
                <w:vertAlign w:val="superscript"/>
              </w:rPr>
              <w:t>3</w:t>
            </w:r>
            <w:r>
              <w:rPr>
                <w:rFonts w:ascii="Times New Roman" w:hAnsi="Times New Roman" w:cs="Times New Roman"/>
                <w:color w:val="auto"/>
                <w:kern w:val="2"/>
                <w:sz w:val="21"/>
                <w:szCs w:val="21"/>
                <w:highlight w:val="none"/>
              </w:rPr>
              <w:t>及以下高炉、45吨及以下转(电)炉必须在2020年底前按照国家减量置换要求，技改升级为国家产业结构指导目录明确的鼓励类装备。确保完成省下达的钢铁行业去产能任务、关停落后煤电机组任务，全市煤炭消费总量完成省下达目标。</w:t>
            </w:r>
          </w:p>
        </w:tc>
        <w:tc>
          <w:tcPr>
            <w:tcW w:w="1750" w:type="pct"/>
            <w:vAlign w:val="center"/>
          </w:tcPr>
          <w:p w14:paraId="3B7B262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（1）本项目的建设符合《江苏省“三线一单”生态环境分区管控方案》（苏政发[2020]49号）的要求。</w:t>
            </w:r>
          </w:p>
          <w:p w14:paraId="47382BF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（2）本项目符合《无锡市“两减六治三提升”专项行动实施方案》（锡委发[2017]4号）《无锡市长江保护修复攻坚战行动计划工作方案》《无锡市土壤污染防治工作方案》（锡政发[2017]15号）等文件要求。</w:t>
            </w:r>
          </w:p>
          <w:p w14:paraId="6E4197C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（3）本项目不属于《无锡市产业结构调整指导目录》（锡政办发[2008]6号）淘汰类的产业。</w:t>
            </w:r>
          </w:p>
          <w:p w14:paraId="1529B14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（4）本项目属于</w:t>
            </w:r>
            <w:r>
              <w:rPr>
                <w:rFonts w:hint="eastAsia" w:ascii="Times New Roman" w:hAnsi="Times New Roman" w:cs="Times New Roman"/>
                <w:color w:val="auto"/>
                <w:kern w:val="2"/>
                <w:sz w:val="21"/>
                <w:szCs w:val="21"/>
                <w:highlight w:val="none"/>
              </w:rPr>
              <w:t>C3985电子专用材料制造</w:t>
            </w:r>
            <w:r>
              <w:rPr>
                <w:rFonts w:ascii="Times New Roman" w:hAnsi="Times New Roman" w:cs="Times New Roman"/>
                <w:color w:val="auto"/>
                <w:kern w:val="2"/>
                <w:sz w:val="21"/>
                <w:szCs w:val="21"/>
                <w:highlight w:val="none"/>
              </w:rPr>
              <w:t>，本项目位于</w:t>
            </w:r>
            <w:r>
              <w:rPr>
                <w:rFonts w:hint="eastAsia" w:ascii="Times New Roman" w:hAnsi="Times New Roman" w:cs="Times New Roman"/>
                <w:color w:val="auto"/>
                <w:kern w:val="2"/>
                <w:sz w:val="21"/>
                <w:szCs w:val="21"/>
                <w:highlight w:val="none"/>
              </w:rPr>
              <w:t>无锡市锡山区锡北镇新坝村新达路6号</w:t>
            </w:r>
            <w:r>
              <w:rPr>
                <w:rFonts w:ascii="Times New Roman" w:hAnsi="Times New Roman" w:cs="Times New Roman"/>
                <w:color w:val="auto"/>
                <w:kern w:val="2"/>
                <w:sz w:val="21"/>
                <w:szCs w:val="21"/>
                <w:highlight w:val="none"/>
              </w:rPr>
              <w:t>，距离长江</w:t>
            </w:r>
            <w:r>
              <w:rPr>
                <w:rFonts w:hint="eastAsia" w:ascii="Times New Roman" w:hAnsi="Times New Roman" w:cs="Times New Roman"/>
                <w:color w:val="auto"/>
                <w:kern w:val="2"/>
                <w:sz w:val="21"/>
                <w:szCs w:val="21"/>
                <w:highlight w:val="none"/>
              </w:rPr>
              <w:t>41.1</w:t>
            </w:r>
            <w:r>
              <w:rPr>
                <w:rFonts w:ascii="Times New Roman" w:hAnsi="Times New Roman" w:cs="Times New Roman"/>
                <w:color w:val="auto"/>
                <w:kern w:val="2"/>
                <w:sz w:val="21"/>
                <w:szCs w:val="21"/>
                <w:highlight w:val="none"/>
              </w:rPr>
              <w:t>km。本项目不在自然保护区核心区、缓冲区的岸线和河段范围，不在饮用水水源一级保护区、二级保护区的岸线和河段范围，不在水产种质资源保护区的岸线和河段范围，不在《长江岸线保护和开发利用总体规划》划定的岸线保护区内，也不在生态保护红线和永久基本农田范围内。</w:t>
            </w:r>
          </w:p>
          <w:p w14:paraId="29ABA21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（5）本项目不属于化工项目。</w:t>
            </w:r>
          </w:p>
          <w:p w14:paraId="44CA4E0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（6）本项目不属于化工、冶炼项目，本项目距离太湖2</w:t>
            </w:r>
            <w:r>
              <w:rPr>
                <w:rFonts w:hint="eastAsia" w:ascii="Times New Roman" w:hAnsi="Times New Roman" w:cs="Times New Roman"/>
                <w:color w:val="auto"/>
                <w:kern w:val="2"/>
                <w:sz w:val="21"/>
                <w:szCs w:val="21"/>
                <w:highlight w:val="none"/>
              </w:rPr>
              <w:t>0.6</w:t>
            </w:r>
            <w:r>
              <w:rPr>
                <w:rFonts w:ascii="Times New Roman" w:hAnsi="Times New Roman" w:cs="Times New Roman"/>
                <w:color w:val="auto"/>
                <w:kern w:val="2"/>
                <w:sz w:val="21"/>
                <w:szCs w:val="21"/>
                <w:highlight w:val="none"/>
              </w:rPr>
              <w:t>km。</w:t>
            </w:r>
          </w:p>
        </w:tc>
        <w:tc>
          <w:tcPr>
            <w:tcW w:w="583" w:type="pct"/>
            <w:vAlign w:val="center"/>
          </w:tcPr>
          <w:p w14:paraId="2BF03ED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符合</w:t>
            </w:r>
          </w:p>
        </w:tc>
      </w:tr>
      <w:tr w14:paraId="66829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0" w:hRule="atLeast"/>
          <w:jc w:val="center"/>
        </w:trPr>
        <w:tc>
          <w:tcPr>
            <w:tcW w:w="576" w:type="pct"/>
            <w:vAlign w:val="center"/>
          </w:tcPr>
          <w:p w14:paraId="4889F2C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污染物排放管控</w:t>
            </w:r>
          </w:p>
        </w:tc>
        <w:tc>
          <w:tcPr>
            <w:tcW w:w="2091" w:type="pct"/>
            <w:vAlign w:val="center"/>
          </w:tcPr>
          <w:p w14:paraId="0EBD584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（1）坚持生态环境质量只能更好、不能变坏，实施污染物总量控制，以环境容量定产业、定项目、定规模，确保开发建设行为不突破生态环境承载力。</w:t>
            </w:r>
          </w:p>
          <w:p w14:paraId="2291619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依据《关于印发“十三五”各市（县）、区环保约束性指标计划的通知》（锡环委办[2016]38号），2020年无锡市化学需氧量、氨氮、总氮、总磷、二氧化硫、氮氧化物排放量不得超过3.09万吨/年、0.31万吨/年、1.09万吨/年、0.07万吨/年、5.98万吨/年、9.73万吨/年。</w:t>
            </w:r>
          </w:p>
        </w:tc>
        <w:tc>
          <w:tcPr>
            <w:tcW w:w="1750" w:type="pct"/>
            <w:vAlign w:val="center"/>
          </w:tcPr>
          <w:p w14:paraId="60D57EF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本项目用水来自区域自来水管网，用电由市政电网供给，不会达到资源利用上线，污染物排放量施行总量控制，经查阅《省政府关于印发&lt;江苏省国家级生态保护红线规划&gt;的通知（苏政发[2018]74号），本项目选址不在国家级生态保护红线规划范围内；经查阅《省政府关于印发江苏省生态空间管控区域规划的通知》(苏政发[2020]1号)</w:t>
            </w:r>
            <w:r>
              <w:rPr>
                <w:rFonts w:hint="eastAsia" w:ascii="Times New Roman" w:hAnsi="Times New Roman" w:cs="Times New Roman"/>
                <w:color w:val="auto"/>
                <w:kern w:val="2"/>
                <w:sz w:val="21"/>
                <w:szCs w:val="21"/>
                <w:highlight w:val="none"/>
              </w:rPr>
              <w:t>“</w:t>
            </w:r>
            <w:r>
              <w:rPr>
                <w:rFonts w:ascii="Times New Roman" w:hAnsi="Times New Roman" w:cs="Times New Roman"/>
                <w:color w:val="auto"/>
                <w:kern w:val="2"/>
                <w:sz w:val="21"/>
                <w:szCs w:val="21"/>
                <w:highlight w:val="none"/>
              </w:rPr>
              <w:t>无锡市生态空间保护区域名录</w:t>
            </w:r>
            <w:r>
              <w:rPr>
                <w:rFonts w:hint="eastAsia" w:ascii="Times New Roman" w:hAnsi="Times New Roman" w:cs="Times New Roman"/>
                <w:color w:val="auto"/>
                <w:kern w:val="2"/>
                <w:sz w:val="21"/>
                <w:szCs w:val="21"/>
                <w:highlight w:val="none"/>
              </w:rPr>
              <w:t>”</w:t>
            </w:r>
            <w:r>
              <w:rPr>
                <w:rFonts w:ascii="Times New Roman" w:hAnsi="Times New Roman" w:cs="Times New Roman"/>
                <w:color w:val="auto"/>
                <w:kern w:val="2"/>
                <w:sz w:val="21"/>
                <w:szCs w:val="21"/>
                <w:highlight w:val="none"/>
              </w:rPr>
              <w:t>，本项目不在生态空间保护区域范围内，另根据《无锡市锡山区生态文明建设规划》，本项目不在其生态红线区域范围内，距本项目最近的生态红线区域为</w:t>
            </w:r>
            <w:r>
              <w:rPr>
                <w:rFonts w:hint="eastAsia" w:ascii="Times New Roman" w:hAnsi="Times New Roman" w:cs="Times New Roman"/>
                <w:color w:val="auto"/>
                <w:kern w:val="2"/>
                <w:sz w:val="21"/>
                <w:szCs w:val="21"/>
                <w:highlight w:val="none"/>
              </w:rPr>
              <w:t>京沪高铁锡山段沿线生态防护林</w:t>
            </w:r>
            <w:r>
              <w:rPr>
                <w:rFonts w:ascii="Times New Roman" w:hAnsi="Times New Roman" w:cs="Times New Roman"/>
                <w:color w:val="auto"/>
                <w:kern w:val="2"/>
                <w:sz w:val="21"/>
                <w:szCs w:val="21"/>
                <w:highlight w:val="none"/>
              </w:rPr>
              <w:t>，位于本项目东侧厂界约</w:t>
            </w:r>
            <w:r>
              <w:rPr>
                <w:rFonts w:hint="eastAsia" w:ascii="Times New Roman" w:hAnsi="Times New Roman" w:cs="Times New Roman"/>
                <w:color w:val="auto"/>
                <w:kern w:val="2"/>
                <w:sz w:val="21"/>
                <w:szCs w:val="21"/>
                <w:highlight w:val="none"/>
              </w:rPr>
              <w:t>733</w:t>
            </w:r>
            <w:r>
              <w:rPr>
                <w:rFonts w:ascii="Times New Roman" w:hAnsi="Times New Roman" w:cs="Times New Roman"/>
                <w:color w:val="auto"/>
                <w:kern w:val="2"/>
                <w:sz w:val="21"/>
                <w:szCs w:val="21"/>
                <w:highlight w:val="none"/>
              </w:rPr>
              <w:t>m。因此，本项目的建设不会导致无锡市辖区内生态红线区域服务功能下降。</w:t>
            </w:r>
          </w:p>
          <w:p w14:paraId="2C1F109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（2）本项目</w:t>
            </w:r>
            <w:r>
              <w:rPr>
                <w:rFonts w:hint="eastAsia" w:ascii="Times New Roman" w:hAnsi="Times New Roman" w:cs="Times New Roman"/>
                <w:color w:val="auto"/>
                <w:kern w:val="2"/>
                <w:sz w:val="21"/>
                <w:szCs w:val="21"/>
                <w:highlight w:val="none"/>
              </w:rPr>
              <w:t>不</w:t>
            </w:r>
            <w:r>
              <w:rPr>
                <w:rFonts w:ascii="Times New Roman" w:hAnsi="Times New Roman" w:cs="Times New Roman"/>
                <w:color w:val="auto"/>
                <w:kern w:val="2"/>
                <w:sz w:val="21"/>
                <w:szCs w:val="21"/>
                <w:highlight w:val="none"/>
              </w:rPr>
              <w:t>排放二氧化硫</w:t>
            </w:r>
            <w:r>
              <w:rPr>
                <w:rFonts w:hint="eastAsia" w:ascii="Times New Roman" w:hAnsi="Times New Roman" w:cs="Times New Roman"/>
                <w:color w:val="auto"/>
                <w:kern w:val="2"/>
                <w:sz w:val="21"/>
                <w:szCs w:val="21"/>
                <w:highlight w:val="none"/>
              </w:rPr>
              <w:t>，排放的</w:t>
            </w:r>
            <w:r>
              <w:rPr>
                <w:rFonts w:ascii="Times New Roman" w:hAnsi="Times New Roman" w:cs="Times New Roman"/>
                <w:color w:val="auto"/>
                <w:kern w:val="2"/>
                <w:sz w:val="21"/>
                <w:szCs w:val="21"/>
                <w:highlight w:val="none"/>
              </w:rPr>
              <w:t>氮氧化物</w:t>
            </w:r>
            <w:r>
              <w:rPr>
                <w:rFonts w:hint="eastAsia" w:ascii="Times New Roman" w:hAnsi="Times New Roman" w:cs="Times New Roman"/>
                <w:color w:val="auto"/>
                <w:kern w:val="2"/>
                <w:sz w:val="21"/>
                <w:szCs w:val="21"/>
                <w:highlight w:val="none"/>
              </w:rPr>
              <w:t>极少</w:t>
            </w:r>
            <w:r>
              <w:rPr>
                <w:rFonts w:ascii="Times New Roman" w:hAnsi="Times New Roman" w:cs="Times New Roman"/>
                <w:color w:val="auto"/>
                <w:kern w:val="2"/>
                <w:sz w:val="21"/>
                <w:szCs w:val="21"/>
                <w:highlight w:val="none"/>
              </w:rPr>
              <w:t>。在</w:t>
            </w:r>
            <w:r>
              <w:rPr>
                <w:rFonts w:hint="eastAsia" w:ascii="Times New Roman" w:hAnsi="Times New Roman" w:cs="Times New Roman"/>
                <w:color w:val="auto"/>
                <w:kern w:val="2"/>
                <w:sz w:val="21"/>
                <w:szCs w:val="21"/>
                <w:highlight w:val="none"/>
              </w:rPr>
              <w:t>已批复项目和</w:t>
            </w:r>
            <w:r>
              <w:rPr>
                <w:rFonts w:ascii="Times New Roman" w:hAnsi="Times New Roman" w:cs="Times New Roman"/>
                <w:color w:val="auto"/>
                <w:kern w:val="2"/>
                <w:sz w:val="21"/>
                <w:szCs w:val="21"/>
                <w:highlight w:val="none"/>
              </w:rPr>
              <w:t>锡山区范围内平衡。</w:t>
            </w:r>
          </w:p>
        </w:tc>
        <w:tc>
          <w:tcPr>
            <w:tcW w:w="583" w:type="pct"/>
            <w:vAlign w:val="center"/>
          </w:tcPr>
          <w:p w14:paraId="5420474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符合</w:t>
            </w:r>
          </w:p>
        </w:tc>
      </w:tr>
      <w:tr w14:paraId="258819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576" w:type="pct"/>
            <w:vAlign w:val="center"/>
          </w:tcPr>
          <w:p w14:paraId="2D317A3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环境风险防控</w:t>
            </w:r>
          </w:p>
        </w:tc>
        <w:tc>
          <w:tcPr>
            <w:tcW w:w="2091" w:type="pct"/>
            <w:vAlign w:val="center"/>
          </w:tcPr>
          <w:p w14:paraId="0AF25A0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（1）严格执行《江苏省“三线一单”生态环境分区管控方案》（苏政发[2020]49号）附件3江苏省省域生态环境管控要求中“环境风险防控”的相关要求。</w:t>
            </w:r>
          </w:p>
          <w:p w14:paraId="2790670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（2）强化饮用水水源环境风险管控，建成应急水源工程。</w:t>
            </w:r>
          </w:p>
          <w:p w14:paraId="439B75A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（3）落实《市政府办公室关于印发无锡市突发环境事件应急预案的通知》（锡政办函[2020]45号）的要求。</w:t>
            </w:r>
          </w:p>
          <w:p w14:paraId="0E9C84A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750" w:type="pct"/>
            <w:vAlign w:val="center"/>
          </w:tcPr>
          <w:p w14:paraId="7D7DF20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（1）本项目符合《江苏省“三线一单”生态环境分区管控方案》（苏政发[2020]49号）附件3江苏省省域生态环境管控要求中“环境风险防控”的相关要求。</w:t>
            </w:r>
          </w:p>
          <w:p w14:paraId="18E9A29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（2）项目建成后将落实《市政府办公室关于印发无锡市突发环境事件应急预案的通知》（锡政办函[2020]45号）的要求。</w:t>
            </w:r>
          </w:p>
        </w:tc>
        <w:tc>
          <w:tcPr>
            <w:tcW w:w="583" w:type="pct"/>
            <w:vAlign w:val="center"/>
          </w:tcPr>
          <w:p w14:paraId="30E29FA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符合</w:t>
            </w:r>
          </w:p>
        </w:tc>
      </w:tr>
      <w:tr w14:paraId="72D6A5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64" w:hRule="atLeast"/>
          <w:jc w:val="center"/>
        </w:trPr>
        <w:tc>
          <w:tcPr>
            <w:tcW w:w="576" w:type="pct"/>
            <w:vAlign w:val="center"/>
          </w:tcPr>
          <w:p w14:paraId="4748FF1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资源利用效率要求</w:t>
            </w:r>
          </w:p>
        </w:tc>
        <w:tc>
          <w:tcPr>
            <w:tcW w:w="2091" w:type="pct"/>
            <w:vAlign w:val="center"/>
          </w:tcPr>
          <w:p w14:paraId="78E53FD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1）依据《关于印发《无锡市节水型社会建设“十三五”规划纲要（规划简本）》的通知》（锡水资[2017]59号），2020年无锡市用水总量不得超过40.54亿立方米，万元工业增加值用水量较2015年降低18%，万元GDP用水量较2015年降低23%，农田灌溉水有效利用系数达到0.67。</w:t>
            </w:r>
          </w:p>
          <w:p w14:paraId="2DDAFA5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（2）依据《无锡市土地利用总体规划（2006-2020）调整方案》（苏国土资函[2017]648号），2020年无锡市耕地保有量不得低于11.08万公顷，基本农田保护面积不低于9.04万公顷。</w:t>
            </w:r>
          </w:p>
        </w:tc>
        <w:tc>
          <w:tcPr>
            <w:tcW w:w="1750" w:type="pct"/>
            <w:vAlign w:val="center"/>
          </w:tcPr>
          <w:p w14:paraId="3BFB4AC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企业总</w:t>
            </w:r>
            <w:r>
              <w:rPr>
                <w:rFonts w:ascii="Times New Roman" w:hAnsi="Times New Roman" w:cs="Times New Roman"/>
                <w:color w:val="auto"/>
                <w:kern w:val="2"/>
                <w:sz w:val="21"/>
                <w:szCs w:val="21"/>
                <w:highlight w:val="none"/>
              </w:rPr>
              <w:t>用水总量为</w:t>
            </w:r>
            <w:r>
              <w:rPr>
                <w:rFonts w:hint="eastAsia" w:ascii="Times New Roman" w:hAnsi="Times New Roman" w:cs="Times New Roman"/>
                <w:color w:val="auto"/>
                <w:kern w:val="2"/>
                <w:sz w:val="21"/>
                <w:szCs w:val="21"/>
                <w:highlight w:val="none"/>
              </w:rPr>
              <w:t>40</w:t>
            </w:r>
            <w:r>
              <w:rPr>
                <w:rFonts w:hint="eastAsia" w:ascii="Times New Roman" w:hAnsi="Times New Roman" w:cs="Times New Roman"/>
                <w:color w:val="auto"/>
                <w:kern w:val="2"/>
                <w:sz w:val="21"/>
                <w:szCs w:val="21"/>
                <w:highlight w:val="none"/>
                <w:lang w:val="en-US" w:eastAsia="zh-CN"/>
              </w:rPr>
              <w:t>57.6</w:t>
            </w:r>
            <w:r>
              <w:rPr>
                <w:rFonts w:ascii="Times New Roman" w:hAnsi="Times New Roman" w:cs="Times New Roman"/>
                <w:color w:val="auto"/>
                <w:kern w:val="2"/>
                <w:sz w:val="21"/>
                <w:szCs w:val="21"/>
                <w:highlight w:val="none"/>
              </w:rPr>
              <w:t>t/a，本项目土地利用类型为二类工业用地。</w:t>
            </w:r>
          </w:p>
        </w:tc>
        <w:tc>
          <w:tcPr>
            <w:tcW w:w="583" w:type="pct"/>
            <w:vAlign w:val="center"/>
          </w:tcPr>
          <w:p w14:paraId="272E727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符合</w:t>
            </w:r>
          </w:p>
        </w:tc>
      </w:tr>
    </w:tbl>
    <w:p w14:paraId="0A06C8D6">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本项目位于</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，属于锡山区锡北镇工业集聚区。根据《无锡市</w:t>
      </w:r>
      <w:r>
        <w:rPr>
          <w:rFonts w:hint="eastAsia" w:ascii="Times New Roman" w:hAnsi="Times New Roman" w:cs="Times New Roman"/>
          <w:color w:val="auto"/>
          <w:highlight w:val="none"/>
        </w:rPr>
        <w:t>“</w:t>
      </w:r>
      <w:r>
        <w:rPr>
          <w:rFonts w:ascii="Times New Roman" w:hAnsi="Times New Roman" w:cs="Times New Roman"/>
          <w:color w:val="auto"/>
          <w:highlight w:val="none"/>
        </w:rPr>
        <w:t>三线一单</w:t>
      </w:r>
      <w:r>
        <w:rPr>
          <w:rFonts w:hint="eastAsia" w:ascii="Times New Roman" w:hAnsi="Times New Roman" w:cs="Times New Roman"/>
          <w:color w:val="auto"/>
          <w:highlight w:val="none"/>
        </w:rPr>
        <w:t>”</w:t>
      </w:r>
      <w:r>
        <w:rPr>
          <w:rFonts w:ascii="Times New Roman" w:hAnsi="Times New Roman" w:cs="Times New Roman"/>
          <w:color w:val="auto"/>
          <w:highlight w:val="none"/>
        </w:rPr>
        <w:t>生态环境分区管控实施方案》（锡环委办[2020]40号），锡山区锡北镇工业集聚区属于无锡市重点管控单元，其相符性分析见下表：</w:t>
      </w:r>
    </w:p>
    <w:p w14:paraId="0A2EF126">
      <w:pPr>
        <w:pStyle w:val="15"/>
        <w:ind w:left="-105" w:right="-105" w:firstLine="482"/>
        <w:rPr>
          <w:rFonts w:eastAsia="宋体"/>
          <w:color w:val="auto"/>
          <w:sz w:val="24"/>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2.6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3</w:t>
      </w:r>
      <w:r>
        <w:rPr>
          <w:rFonts w:eastAsia="宋体"/>
          <w:color w:val="auto"/>
          <w:sz w:val="24"/>
          <w:szCs w:val="18"/>
          <w:highlight w:val="none"/>
        </w:rPr>
        <w:fldChar w:fldCharType="end"/>
      </w:r>
      <w:r>
        <w:rPr>
          <w:rFonts w:eastAsia="宋体"/>
          <w:color w:val="auto"/>
          <w:sz w:val="24"/>
          <w:szCs w:val="18"/>
          <w:highlight w:val="none"/>
        </w:rPr>
        <w:t>本项目与锡山区锡北镇工业集聚区聚区准入清单相符性分析</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
        <w:gridCol w:w="3432"/>
        <w:gridCol w:w="3488"/>
        <w:gridCol w:w="871"/>
      </w:tblGrid>
      <w:tr w14:paraId="35834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14:paraId="63695FAE">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类型</w:t>
            </w:r>
          </w:p>
        </w:tc>
        <w:tc>
          <w:tcPr>
            <w:tcW w:w="3347" w:type="dxa"/>
            <w:vAlign w:val="center"/>
          </w:tcPr>
          <w:p w14:paraId="03498B69">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内容</w:t>
            </w:r>
          </w:p>
        </w:tc>
        <w:tc>
          <w:tcPr>
            <w:tcW w:w="3402" w:type="dxa"/>
            <w:vAlign w:val="center"/>
          </w:tcPr>
          <w:p w14:paraId="026589C8">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相符性分析</w:t>
            </w:r>
          </w:p>
        </w:tc>
        <w:tc>
          <w:tcPr>
            <w:tcW w:w="849" w:type="dxa"/>
          </w:tcPr>
          <w:p w14:paraId="03CBEC60">
            <w:pPr>
              <w:adjustRightInd w:val="0"/>
              <w:snapToGrid w:val="0"/>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是否相符</w:t>
            </w:r>
          </w:p>
        </w:tc>
      </w:tr>
      <w:tr w14:paraId="52EC7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6" w:type="dxa"/>
            <w:vAlign w:val="center"/>
          </w:tcPr>
          <w:p w14:paraId="6F473C17">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空间布局约束</w:t>
            </w:r>
          </w:p>
        </w:tc>
        <w:tc>
          <w:tcPr>
            <w:tcW w:w="3347" w:type="dxa"/>
            <w:vAlign w:val="center"/>
          </w:tcPr>
          <w:p w14:paraId="139198D7">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（1）各类开发建设活动应符合无锡市国土空间总体规划、控制性详细规划等相关要求。</w:t>
            </w:r>
          </w:p>
          <w:p w14:paraId="547F42DF">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（2）优化产业布局和结构，实施分区差别化的产业准入要求。</w:t>
            </w:r>
          </w:p>
          <w:p w14:paraId="230220CA">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（3）合理规划居住区与园区，在居住区和园区、企业之间设置防护绿地、生态绿地等隔离带。</w:t>
            </w:r>
          </w:p>
        </w:tc>
        <w:tc>
          <w:tcPr>
            <w:tcW w:w="3402" w:type="dxa"/>
            <w:vAlign w:val="center"/>
          </w:tcPr>
          <w:p w14:paraId="3B65C77F">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（1）本项目位于</w:t>
            </w:r>
            <w:r>
              <w:rPr>
                <w:rFonts w:hint="eastAsia" w:ascii="Times New Roman" w:hAnsi="Times New Roman" w:cs="Times New Roman"/>
                <w:color w:val="auto"/>
                <w:sz w:val="21"/>
                <w:szCs w:val="21"/>
                <w:highlight w:val="none"/>
              </w:rPr>
              <w:t>无锡市锡山区锡北镇新坝村新达路6号</w:t>
            </w:r>
            <w:r>
              <w:rPr>
                <w:rFonts w:ascii="Times New Roman" w:hAnsi="Times New Roman" w:cs="Times New Roman"/>
                <w:color w:val="auto"/>
                <w:sz w:val="21"/>
                <w:szCs w:val="21"/>
                <w:highlight w:val="none"/>
              </w:rPr>
              <w:t>，根据《无锡市锡山区锡北镇总体规划（2015-2030）》</w:t>
            </w:r>
            <w:r>
              <w:rPr>
                <w:rFonts w:hint="eastAsia" w:ascii="Times New Roman" w:hAnsi="Times New Roman" w:cs="Times New Roman"/>
                <w:color w:val="auto"/>
                <w:sz w:val="21"/>
                <w:szCs w:val="21"/>
                <w:highlight w:val="none"/>
              </w:rPr>
              <w:t>、《八士-陆家巷、八士-八士管理单元更新后土地利用规划图》</w:t>
            </w:r>
            <w:r>
              <w:rPr>
                <w:rFonts w:ascii="Times New Roman" w:hAnsi="Times New Roman" w:cs="Times New Roman"/>
                <w:color w:val="auto"/>
                <w:sz w:val="21"/>
                <w:szCs w:val="21"/>
                <w:highlight w:val="none"/>
              </w:rPr>
              <w:t>，该地块为二类工业用地，该地块符合无锡市锡山区用地规划的要求；</w:t>
            </w:r>
          </w:p>
          <w:p w14:paraId="0986A5B6">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（2）本项目属于C</w:t>
            </w:r>
            <w:r>
              <w:rPr>
                <w:rFonts w:hint="eastAsia" w:ascii="Times New Roman" w:hAnsi="Times New Roman" w:cs="Times New Roman"/>
                <w:color w:val="auto"/>
                <w:sz w:val="21"/>
                <w:szCs w:val="21"/>
                <w:highlight w:val="none"/>
              </w:rPr>
              <w:t>3985电子专用材料制造</w:t>
            </w:r>
            <w:r>
              <w:rPr>
                <w:rFonts w:ascii="Times New Roman" w:hAnsi="Times New Roman" w:cs="Times New Roman"/>
                <w:color w:val="auto"/>
                <w:sz w:val="21"/>
                <w:szCs w:val="21"/>
                <w:highlight w:val="none"/>
              </w:rPr>
              <w:t>，属于非禁止产业；</w:t>
            </w:r>
          </w:p>
          <w:p w14:paraId="4C6BD32E">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（3）本项目满足防护距离要求，环境事故风险防范和应急措施可落实到位。</w:t>
            </w:r>
          </w:p>
        </w:tc>
        <w:tc>
          <w:tcPr>
            <w:tcW w:w="849" w:type="dxa"/>
            <w:vAlign w:val="center"/>
          </w:tcPr>
          <w:p w14:paraId="74424C4D">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2D40F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6" w:type="dxa"/>
            <w:vAlign w:val="center"/>
          </w:tcPr>
          <w:p w14:paraId="00852935">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snapToGrid w:val="0"/>
                <w:color w:val="auto"/>
                <w:sz w:val="21"/>
                <w:szCs w:val="21"/>
                <w:highlight w:val="none"/>
              </w:rPr>
              <w:t>污染物排放管控</w:t>
            </w:r>
          </w:p>
        </w:tc>
        <w:tc>
          <w:tcPr>
            <w:tcW w:w="3347" w:type="dxa"/>
            <w:vAlign w:val="center"/>
          </w:tcPr>
          <w:p w14:paraId="1D3DFA8B">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严格实施污染物总量控制制度，根据区域环境质量改善目标，采取有效措施减少主要污染物排放总量，确保区域环境质量持续改善。</w:t>
            </w:r>
          </w:p>
        </w:tc>
        <w:tc>
          <w:tcPr>
            <w:tcW w:w="3402" w:type="dxa"/>
            <w:vAlign w:val="center"/>
          </w:tcPr>
          <w:p w14:paraId="15B49D5F">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本项目产生废气经收集、处理后排放，</w:t>
            </w:r>
            <w:r>
              <w:rPr>
                <w:rFonts w:hint="eastAsia" w:ascii="Times New Roman" w:hAnsi="Times New Roman" w:cs="Times New Roman"/>
                <w:color w:val="auto"/>
                <w:sz w:val="21"/>
                <w:szCs w:val="21"/>
                <w:highlight w:val="none"/>
              </w:rPr>
              <w:t>不新增生产废水</w:t>
            </w:r>
            <w:r>
              <w:rPr>
                <w:rFonts w:ascii="Times New Roman" w:hAnsi="Times New Roman" w:cs="Times New Roman"/>
                <w:color w:val="auto"/>
                <w:sz w:val="21"/>
                <w:szCs w:val="21"/>
                <w:highlight w:val="none"/>
              </w:rPr>
              <w:t>，固废零排放。因此，本项目废水在</w:t>
            </w:r>
            <w:r>
              <w:rPr>
                <w:rFonts w:hint="eastAsia" w:ascii="Times New Roman" w:hAnsi="Times New Roman" w:cs="Times New Roman"/>
                <w:color w:val="auto"/>
                <w:sz w:val="21"/>
                <w:szCs w:val="21"/>
                <w:highlight w:val="none"/>
              </w:rPr>
              <w:t>无锡市锡山云林污水处理有限公司</w:t>
            </w:r>
            <w:r>
              <w:rPr>
                <w:rFonts w:ascii="Times New Roman" w:hAnsi="Times New Roman" w:cs="Times New Roman"/>
                <w:color w:val="auto"/>
                <w:sz w:val="21"/>
                <w:szCs w:val="21"/>
                <w:highlight w:val="none"/>
              </w:rPr>
              <w:t>核定的指标内平衡，废气在锡山区范围内平衡，对环境影响较小。</w:t>
            </w:r>
          </w:p>
        </w:tc>
        <w:tc>
          <w:tcPr>
            <w:tcW w:w="849" w:type="dxa"/>
            <w:vAlign w:val="center"/>
          </w:tcPr>
          <w:p w14:paraId="5E3EFDF8">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301A4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6" w:type="dxa"/>
            <w:vAlign w:val="center"/>
          </w:tcPr>
          <w:p w14:paraId="4BA49783">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snapToGrid w:val="0"/>
                <w:color w:val="auto"/>
                <w:sz w:val="21"/>
                <w:szCs w:val="21"/>
                <w:highlight w:val="none"/>
              </w:rPr>
              <w:t>环境风险防控</w:t>
            </w:r>
          </w:p>
        </w:tc>
        <w:tc>
          <w:tcPr>
            <w:tcW w:w="3347" w:type="dxa"/>
            <w:vAlign w:val="center"/>
          </w:tcPr>
          <w:p w14:paraId="0B08D5B6">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（1）园区建立环境应急体系，完善事故应急救援体系，加强应急物资装备储备，编制突发环境事件应急预案，定期开展演练。</w:t>
            </w:r>
          </w:p>
          <w:p w14:paraId="5AD5D0F7">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（2）生产、使用、储存危险化学品或其他存在环境风险的企事业单位，应当制定风险防范措施，编制完善突发环境事件应急预案，防止发生环境污染事故。</w:t>
            </w:r>
          </w:p>
          <w:p w14:paraId="5476221C">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（3）加强环境影响跟踪监测，建立健全各环境要素监控体系，完善并落实园区日常环境监测与污染源监控计划。</w:t>
            </w:r>
          </w:p>
        </w:tc>
        <w:tc>
          <w:tcPr>
            <w:tcW w:w="3402" w:type="dxa"/>
            <w:vAlign w:val="center"/>
          </w:tcPr>
          <w:p w14:paraId="224AA5EE">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企业投产后将编制突发环境事件应急预案并建立环境影响监控体系</w:t>
            </w:r>
          </w:p>
        </w:tc>
        <w:tc>
          <w:tcPr>
            <w:tcW w:w="849" w:type="dxa"/>
            <w:vAlign w:val="center"/>
          </w:tcPr>
          <w:p w14:paraId="16B9280F">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r w14:paraId="3E1C3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6" w:type="dxa"/>
            <w:vAlign w:val="center"/>
          </w:tcPr>
          <w:p w14:paraId="5CCA2DDC">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bCs/>
                <w:snapToGrid w:val="0"/>
                <w:color w:val="auto"/>
                <w:sz w:val="21"/>
                <w:szCs w:val="21"/>
                <w:highlight w:val="none"/>
              </w:rPr>
              <w:t>资源开发效率要求</w:t>
            </w:r>
          </w:p>
        </w:tc>
        <w:tc>
          <w:tcPr>
            <w:tcW w:w="3347" w:type="dxa"/>
            <w:vAlign w:val="center"/>
          </w:tcPr>
          <w:p w14:paraId="61696C20">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禁止销售使用燃料为“Ⅱ类”（较严），具体包括：1、除单台出力大于等于20蒸吨/小时锅炉以外燃用的煤炭及其制品。2、石油焦、油页岩、原油、重油、渣油、煤焦油。</w:t>
            </w:r>
          </w:p>
        </w:tc>
        <w:tc>
          <w:tcPr>
            <w:tcW w:w="3402" w:type="dxa"/>
            <w:vAlign w:val="center"/>
          </w:tcPr>
          <w:p w14:paraId="0D7A3F8D">
            <w:pPr>
              <w:adjustRightInd w:val="0"/>
              <w:snapToGrid w:val="0"/>
              <w:ind w:left="-105" w:right="-105"/>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本项目不使用煤炭及其制品、石油焦、油页岩、原油、重油、渣油、煤焦油。</w:t>
            </w:r>
          </w:p>
        </w:tc>
        <w:tc>
          <w:tcPr>
            <w:tcW w:w="849" w:type="dxa"/>
            <w:vAlign w:val="center"/>
          </w:tcPr>
          <w:p w14:paraId="00AD58FE">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符合</w:t>
            </w:r>
          </w:p>
        </w:tc>
      </w:tr>
    </w:tbl>
    <w:p w14:paraId="6AB498E4">
      <w:pPr>
        <w:adjustRightInd w:val="0"/>
        <w:snapToGrid w:val="0"/>
        <w:spacing w:line="360" w:lineRule="auto"/>
        <w:ind w:left="-105" w:right="-105" w:firstLine="480" w:firstLineChars="200"/>
        <w:jc w:val="both"/>
        <w:rPr>
          <w:rFonts w:ascii="Times New Roman" w:hAnsi="Times New Roman" w:cs="Times New Roman"/>
          <w:color w:val="auto"/>
          <w:szCs w:val="21"/>
          <w:highlight w:val="none"/>
        </w:rPr>
      </w:pPr>
      <w:r>
        <w:rPr>
          <w:rFonts w:ascii="Times New Roman" w:hAnsi="Times New Roman" w:cs="Times New Roman"/>
          <w:color w:val="auto"/>
          <w:highlight w:val="none"/>
        </w:rPr>
        <w:t>综上所述，建设项目符合环境准入负面清单，并能够满足生态保护红线、环境质量底线以及资源利用上限的要求。</w:t>
      </w:r>
      <w:bookmarkEnd w:id="190"/>
    </w:p>
    <w:p w14:paraId="743AEBCC">
      <w:pPr>
        <w:spacing w:line="360" w:lineRule="auto"/>
        <w:ind w:left="-105" w:right="-105" w:firstLine="480" w:firstLineChars="200"/>
        <w:rPr>
          <w:rFonts w:ascii="Times New Roman" w:hAnsi="Times New Roman" w:cs="Times New Roman"/>
          <w:color w:val="auto"/>
          <w:szCs w:val="21"/>
          <w:highlight w:val="none"/>
        </w:rPr>
        <w:sectPr>
          <w:headerReference r:id="rId13" w:type="default"/>
          <w:headerReference r:id="rId14" w:type="even"/>
          <w:pgSz w:w="11906" w:h="16838"/>
          <w:pgMar w:top="1440" w:right="1701" w:bottom="1440" w:left="1701" w:header="851" w:footer="992" w:gutter="0"/>
          <w:pgBorders>
            <w:top w:val="none" w:sz="0" w:space="0"/>
            <w:left w:val="none" w:sz="0" w:space="0"/>
            <w:bottom w:val="none" w:sz="0" w:space="0"/>
            <w:right w:val="none" w:sz="0" w:space="0"/>
          </w:pgBorders>
          <w:cols w:space="720" w:num="1"/>
          <w:docGrid w:linePitch="312" w:charSpace="0"/>
        </w:sectPr>
      </w:pPr>
    </w:p>
    <w:p w14:paraId="7103D170">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192" w:name="_Toc32471"/>
      <w:r>
        <w:rPr>
          <w:rFonts w:ascii="Times New Roman" w:eastAsia="宋体"/>
          <w:color w:val="auto"/>
          <w:sz w:val="32"/>
          <w:szCs w:val="32"/>
          <w:highlight w:val="none"/>
        </w:rPr>
        <w:t>现有项目</w:t>
      </w:r>
      <w:bookmarkEnd w:id="174"/>
      <w:bookmarkEnd w:id="175"/>
      <w:bookmarkEnd w:id="176"/>
      <w:bookmarkEnd w:id="177"/>
      <w:bookmarkEnd w:id="178"/>
      <w:bookmarkEnd w:id="179"/>
      <w:bookmarkEnd w:id="180"/>
      <w:bookmarkEnd w:id="181"/>
      <w:bookmarkEnd w:id="182"/>
      <w:bookmarkEnd w:id="183"/>
      <w:r>
        <w:rPr>
          <w:rFonts w:ascii="Times New Roman" w:eastAsia="宋体"/>
          <w:color w:val="auto"/>
          <w:sz w:val="32"/>
          <w:szCs w:val="32"/>
          <w:highlight w:val="none"/>
        </w:rPr>
        <w:t>情况</w:t>
      </w:r>
      <w:bookmarkEnd w:id="184"/>
      <w:bookmarkEnd w:id="192"/>
    </w:p>
    <w:p w14:paraId="5B7F8286">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193" w:name="_Toc30038"/>
      <w:bookmarkStart w:id="194" w:name="_Toc60653465"/>
      <w:r>
        <w:rPr>
          <w:rFonts w:ascii="Times New Roman" w:eastAsia="宋体"/>
          <w:color w:val="auto"/>
          <w:sz w:val="28"/>
          <w:szCs w:val="28"/>
          <w:highlight w:val="none"/>
        </w:rPr>
        <w:t>现有项目概况</w:t>
      </w:r>
      <w:bookmarkEnd w:id="193"/>
      <w:bookmarkEnd w:id="194"/>
    </w:p>
    <w:p w14:paraId="13EF6FE1">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化药化工（无锡）有限公司成立于2002年，位于无锡市锡山区锡北镇新坝村，主要从事聚氨酯丙烯酸酯、丙烯酸酯组成物和环氧丙烯酸树脂的生产。现有项目设计产品及规模为：年产聚氨酯丙烯酸酯5000t、丙烯酸酯组成物10000t和环氧丙烯酸树脂3100t。公司已于2020年6月8日取得了排污许可证（详见附件，证书编号913202057394398127001P，有效期为2023-02-21至2028-02-20。</w:t>
      </w:r>
    </w:p>
    <w:p w14:paraId="5C9C18EA">
      <w:pPr>
        <w:spacing w:line="360" w:lineRule="auto"/>
        <w:ind w:left="-105" w:right="-105" w:firstLine="480" w:firstLineChars="200"/>
        <w:jc w:val="both"/>
        <w:rPr>
          <w:rFonts w:ascii="Times New Roman" w:hAnsi="Times New Roman"/>
          <w:color w:val="auto"/>
          <w:szCs w:val="22"/>
          <w:highlight w:val="none"/>
        </w:rPr>
      </w:pPr>
      <w:r>
        <w:rPr>
          <w:rFonts w:ascii="Times New Roman" w:hAnsi="Times New Roman"/>
          <w:color w:val="auto"/>
          <w:szCs w:val="22"/>
          <w:highlight w:val="none"/>
        </w:rPr>
        <w:t>目前，企业在职员工85人，年工作3</w:t>
      </w:r>
      <w:r>
        <w:rPr>
          <w:rFonts w:hint="eastAsia" w:ascii="Times New Roman" w:hAnsi="Times New Roman"/>
          <w:color w:val="auto"/>
          <w:szCs w:val="22"/>
          <w:highlight w:val="none"/>
        </w:rPr>
        <w:t>5</w:t>
      </w:r>
      <w:r>
        <w:rPr>
          <w:rFonts w:ascii="Times New Roman" w:hAnsi="Times New Roman"/>
          <w:color w:val="auto"/>
          <w:szCs w:val="22"/>
          <w:highlight w:val="none"/>
        </w:rPr>
        <w:t>0天，每日</w:t>
      </w:r>
      <w:r>
        <w:rPr>
          <w:rFonts w:hint="eastAsia" w:ascii="Times New Roman" w:hAnsi="Times New Roman"/>
          <w:color w:val="auto"/>
          <w:szCs w:val="22"/>
          <w:highlight w:val="none"/>
        </w:rPr>
        <w:t>3</w:t>
      </w:r>
      <w:r>
        <w:rPr>
          <w:rFonts w:ascii="Times New Roman" w:hAnsi="Times New Roman"/>
          <w:color w:val="auto"/>
          <w:szCs w:val="22"/>
          <w:highlight w:val="none"/>
        </w:rPr>
        <w:t>班24小时生产。厂内不设宿舍，设食堂为员工提供简餐、</w:t>
      </w:r>
      <w:r>
        <w:rPr>
          <w:rFonts w:hint="eastAsia" w:ascii="Times New Roman" w:hAnsi="Times New Roman"/>
          <w:color w:val="auto"/>
          <w:szCs w:val="22"/>
          <w:highlight w:val="none"/>
        </w:rPr>
        <w:t>设</w:t>
      </w:r>
      <w:r>
        <w:rPr>
          <w:rFonts w:ascii="Times New Roman" w:hAnsi="Times New Roman"/>
          <w:color w:val="auto"/>
          <w:szCs w:val="22"/>
          <w:highlight w:val="none"/>
        </w:rPr>
        <w:t>浴室</w:t>
      </w:r>
      <w:r>
        <w:rPr>
          <w:rFonts w:hint="eastAsia" w:ascii="Times New Roman" w:hAnsi="Times New Roman"/>
          <w:color w:val="auto"/>
          <w:szCs w:val="22"/>
          <w:highlight w:val="none"/>
        </w:rPr>
        <w:t>供员工淋浴</w:t>
      </w:r>
      <w:r>
        <w:rPr>
          <w:rFonts w:ascii="Times New Roman" w:hAnsi="Times New Roman"/>
          <w:color w:val="auto"/>
          <w:szCs w:val="22"/>
          <w:highlight w:val="none"/>
        </w:rPr>
        <w:t>。</w:t>
      </w:r>
      <w:r>
        <w:rPr>
          <w:rFonts w:hint="eastAsia" w:ascii="Times New Roman" w:hAnsi="Times New Roman"/>
          <w:color w:val="auto"/>
          <w:szCs w:val="22"/>
          <w:highlight w:val="none"/>
        </w:rPr>
        <w:t>化药化工（无锡）有限公司自2002年建厂至今，进行了三期项目的建设，现有项目实际产品产能为：年产聚氨酯丙烯酸酯3000t、丙烯酸酯组成物5000t和环氧丙烯酸树脂3100t。</w:t>
      </w:r>
    </w:p>
    <w:p w14:paraId="010B5528">
      <w:pPr>
        <w:spacing w:line="360" w:lineRule="auto"/>
        <w:ind w:left="-105" w:right="-105" w:firstLine="480" w:firstLineChars="200"/>
        <w:jc w:val="both"/>
        <w:rPr>
          <w:rFonts w:ascii="Times New Roman" w:hAnsi="Times New Roman"/>
          <w:color w:val="auto"/>
          <w:szCs w:val="22"/>
          <w:highlight w:val="none"/>
        </w:rPr>
      </w:pPr>
      <w:r>
        <w:rPr>
          <w:rFonts w:ascii="Times New Roman" w:hAnsi="Times New Roman"/>
          <w:color w:val="auto"/>
          <w:szCs w:val="22"/>
          <w:highlight w:val="none"/>
        </w:rPr>
        <w:t>各期项目建设历程见</w:t>
      </w:r>
      <w:r>
        <w:rPr>
          <w:rFonts w:hint="eastAsia" w:ascii="Times New Roman" w:hAnsi="Times New Roman"/>
          <w:color w:val="auto"/>
          <w:szCs w:val="22"/>
          <w:highlight w:val="none"/>
        </w:rPr>
        <w:t>下表</w:t>
      </w:r>
      <w:r>
        <w:rPr>
          <w:rFonts w:ascii="Times New Roman" w:hAnsi="Times New Roman"/>
          <w:color w:val="auto"/>
          <w:szCs w:val="22"/>
          <w:highlight w:val="none"/>
        </w:rPr>
        <w:t>。</w:t>
      </w:r>
    </w:p>
    <w:p w14:paraId="4F8EAD24">
      <w:pPr>
        <w:pStyle w:val="15"/>
        <w:spacing w:line="360" w:lineRule="auto"/>
        <w:ind w:left="-105" w:right="-105" w:firstLine="482"/>
        <w:rPr>
          <w:rFonts w:eastAsia="宋体" w:cs="Times New Roman"/>
          <w:color w:val="auto"/>
          <w:sz w:val="24"/>
          <w:szCs w:val="22"/>
          <w:highlight w:val="none"/>
        </w:rPr>
      </w:pPr>
      <w:bookmarkStart w:id="195" w:name="_Ref32823818"/>
      <w:r>
        <w:rPr>
          <w:rFonts w:eastAsia="宋体" w:cs="Times New Roman"/>
          <w:color w:val="auto"/>
          <w:sz w:val="24"/>
          <w:szCs w:val="22"/>
          <w:highlight w:val="none"/>
        </w:rPr>
        <w:t>表</w:t>
      </w:r>
      <w:bookmarkEnd w:id="195"/>
      <w:r>
        <w:rPr>
          <w:rFonts w:eastAsia="宋体" w:cs="Times New Roman"/>
          <w:color w:val="auto"/>
          <w:sz w:val="24"/>
          <w:szCs w:val="22"/>
          <w:highlight w:val="none"/>
        </w:rPr>
        <w:fldChar w:fldCharType="begin"/>
      </w:r>
      <w:r>
        <w:rPr>
          <w:rFonts w:eastAsia="宋体" w:cs="Times New Roman"/>
          <w:color w:val="auto"/>
          <w:sz w:val="24"/>
          <w:szCs w:val="22"/>
          <w:highlight w:val="none"/>
        </w:rPr>
        <w:instrText xml:space="preserve"> STYLEREF 2 \s </w:instrText>
      </w:r>
      <w:r>
        <w:rPr>
          <w:rFonts w:eastAsia="宋体" w:cs="Times New Roman"/>
          <w:color w:val="auto"/>
          <w:sz w:val="24"/>
          <w:szCs w:val="22"/>
          <w:highlight w:val="none"/>
        </w:rPr>
        <w:fldChar w:fldCharType="separate"/>
      </w:r>
      <w:r>
        <w:rPr>
          <w:rFonts w:eastAsia="宋体" w:cs="Times New Roman"/>
          <w:color w:val="auto"/>
          <w:sz w:val="24"/>
          <w:szCs w:val="22"/>
          <w:highlight w:val="none"/>
        </w:rPr>
        <w:t>3.1</w:t>
      </w:r>
      <w:r>
        <w:rPr>
          <w:rFonts w:eastAsia="宋体" w:cs="Times New Roman"/>
          <w:color w:val="auto"/>
          <w:sz w:val="24"/>
          <w:szCs w:val="22"/>
          <w:highlight w:val="none"/>
        </w:rPr>
        <w:fldChar w:fldCharType="end"/>
      </w:r>
      <w:r>
        <w:rPr>
          <w:rFonts w:eastAsia="宋体" w:cs="Times New Roman"/>
          <w:color w:val="auto"/>
          <w:sz w:val="24"/>
          <w:szCs w:val="22"/>
          <w:highlight w:val="none"/>
        </w:rPr>
        <w:noBreakHyphen/>
      </w:r>
      <w:r>
        <w:rPr>
          <w:rFonts w:eastAsia="宋体" w:cs="Times New Roman"/>
          <w:color w:val="auto"/>
          <w:sz w:val="24"/>
          <w:szCs w:val="22"/>
          <w:highlight w:val="none"/>
        </w:rPr>
        <w:fldChar w:fldCharType="begin"/>
      </w:r>
      <w:r>
        <w:rPr>
          <w:rFonts w:eastAsia="宋体" w:cs="Times New Roman"/>
          <w:color w:val="auto"/>
          <w:sz w:val="24"/>
          <w:szCs w:val="22"/>
          <w:highlight w:val="none"/>
        </w:rPr>
        <w:instrText xml:space="preserve"> SEQ 表 \* ARABIC \s 2 </w:instrText>
      </w:r>
      <w:r>
        <w:rPr>
          <w:rFonts w:eastAsia="宋体" w:cs="Times New Roman"/>
          <w:color w:val="auto"/>
          <w:sz w:val="24"/>
          <w:szCs w:val="22"/>
          <w:highlight w:val="none"/>
        </w:rPr>
        <w:fldChar w:fldCharType="separate"/>
      </w:r>
      <w:r>
        <w:rPr>
          <w:rFonts w:eastAsia="宋体" w:cs="Times New Roman"/>
          <w:color w:val="auto"/>
          <w:sz w:val="24"/>
          <w:szCs w:val="22"/>
          <w:highlight w:val="none"/>
        </w:rPr>
        <w:t>1</w:t>
      </w:r>
      <w:r>
        <w:rPr>
          <w:rFonts w:eastAsia="宋体" w:cs="Times New Roman"/>
          <w:color w:val="auto"/>
          <w:sz w:val="24"/>
          <w:szCs w:val="22"/>
          <w:highlight w:val="none"/>
        </w:rPr>
        <w:fldChar w:fldCharType="end"/>
      </w:r>
      <w:r>
        <w:rPr>
          <w:rFonts w:eastAsia="宋体" w:cs="Times New Roman"/>
          <w:color w:val="auto"/>
          <w:sz w:val="24"/>
          <w:szCs w:val="22"/>
          <w:highlight w:val="none"/>
        </w:rPr>
        <w:t>历期项目情况一览表</w:t>
      </w:r>
    </w:p>
    <w:tbl>
      <w:tblPr>
        <w:tblStyle w:val="45"/>
        <w:tblW w:w="88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943"/>
        <w:gridCol w:w="2039"/>
        <w:gridCol w:w="926"/>
        <w:gridCol w:w="2055"/>
        <w:gridCol w:w="1909"/>
        <w:gridCol w:w="986"/>
      </w:tblGrid>
      <w:tr w14:paraId="1BAC4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1" w:hRule="atLeast"/>
          <w:jc w:val="center"/>
        </w:trPr>
        <w:tc>
          <w:tcPr>
            <w:tcW w:w="943" w:type="dxa"/>
            <w:tcBorders>
              <w:tl2br w:val="nil"/>
              <w:tr2bl w:val="nil"/>
            </w:tcBorders>
            <w:vAlign w:val="center"/>
          </w:tcPr>
          <w:p w14:paraId="050F24A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ascii="Times New Roman" w:hAnsi="Times New Roman"/>
                <w:b/>
                <w:color w:val="auto"/>
                <w:sz w:val="21"/>
                <w:szCs w:val="21"/>
                <w:highlight w:val="none"/>
                <w:lang w:bidi="ar"/>
              </w:rPr>
              <w:t>序号</w:t>
            </w:r>
          </w:p>
        </w:tc>
        <w:tc>
          <w:tcPr>
            <w:tcW w:w="2039" w:type="dxa"/>
            <w:tcBorders>
              <w:tl2br w:val="nil"/>
              <w:tr2bl w:val="nil"/>
            </w:tcBorders>
            <w:vAlign w:val="center"/>
          </w:tcPr>
          <w:p w14:paraId="2FF6E7B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ascii="Times New Roman" w:hAnsi="Times New Roman"/>
                <w:b/>
                <w:color w:val="auto"/>
                <w:sz w:val="21"/>
                <w:szCs w:val="21"/>
                <w:highlight w:val="none"/>
                <w:lang w:bidi="ar"/>
              </w:rPr>
              <w:t>项目名称</w:t>
            </w:r>
          </w:p>
        </w:tc>
        <w:tc>
          <w:tcPr>
            <w:tcW w:w="926" w:type="dxa"/>
            <w:tcBorders>
              <w:tl2br w:val="nil"/>
              <w:tr2bl w:val="nil"/>
            </w:tcBorders>
            <w:vAlign w:val="center"/>
          </w:tcPr>
          <w:p w14:paraId="0BA1D38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lang w:bidi="ar"/>
              </w:rPr>
            </w:pPr>
            <w:r>
              <w:rPr>
                <w:rFonts w:ascii="Times New Roman" w:hAnsi="Times New Roman"/>
                <w:b/>
                <w:color w:val="auto"/>
                <w:sz w:val="21"/>
                <w:szCs w:val="21"/>
                <w:highlight w:val="none"/>
                <w:lang w:bidi="ar"/>
              </w:rPr>
              <w:t>报告</w:t>
            </w:r>
          </w:p>
          <w:p w14:paraId="7FD1E73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ascii="Times New Roman" w:hAnsi="Times New Roman"/>
                <w:b/>
                <w:color w:val="auto"/>
                <w:sz w:val="21"/>
                <w:szCs w:val="21"/>
                <w:highlight w:val="none"/>
                <w:lang w:bidi="ar"/>
              </w:rPr>
              <w:t>类别</w:t>
            </w:r>
          </w:p>
        </w:tc>
        <w:tc>
          <w:tcPr>
            <w:tcW w:w="2055" w:type="dxa"/>
            <w:tcBorders>
              <w:tl2br w:val="nil"/>
              <w:tr2bl w:val="nil"/>
            </w:tcBorders>
            <w:vAlign w:val="center"/>
          </w:tcPr>
          <w:p w14:paraId="44E13F8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ascii="Times New Roman" w:hAnsi="Times New Roman"/>
                <w:b/>
                <w:color w:val="auto"/>
                <w:sz w:val="21"/>
                <w:szCs w:val="21"/>
                <w:highlight w:val="none"/>
                <w:lang w:bidi="ar"/>
              </w:rPr>
              <w:t>环评审批</w:t>
            </w:r>
            <w:r>
              <w:rPr>
                <w:rFonts w:hint="eastAsia" w:ascii="Times New Roman" w:hAnsi="Times New Roman"/>
                <w:b/>
                <w:color w:val="auto"/>
                <w:sz w:val="21"/>
                <w:szCs w:val="21"/>
                <w:highlight w:val="none"/>
                <w:lang w:bidi="ar"/>
              </w:rPr>
              <w:t>情况</w:t>
            </w:r>
          </w:p>
        </w:tc>
        <w:tc>
          <w:tcPr>
            <w:tcW w:w="1909" w:type="dxa"/>
            <w:tcBorders>
              <w:tl2br w:val="nil"/>
              <w:tr2bl w:val="nil"/>
            </w:tcBorders>
            <w:vAlign w:val="center"/>
          </w:tcPr>
          <w:p w14:paraId="4D2C2A4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竣工验收情况</w:t>
            </w:r>
          </w:p>
        </w:tc>
        <w:tc>
          <w:tcPr>
            <w:tcW w:w="986" w:type="dxa"/>
            <w:tcBorders>
              <w:tl2br w:val="nil"/>
              <w:tr2bl w:val="nil"/>
            </w:tcBorders>
            <w:vAlign w:val="center"/>
          </w:tcPr>
          <w:p w14:paraId="3442B59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lang w:bidi="ar"/>
              </w:rPr>
            </w:pPr>
            <w:r>
              <w:rPr>
                <w:rFonts w:ascii="Times New Roman" w:hAnsi="Times New Roman"/>
                <w:b/>
                <w:color w:val="auto"/>
                <w:sz w:val="21"/>
                <w:szCs w:val="21"/>
                <w:highlight w:val="none"/>
                <w:lang w:bidi="ar"/>
              </w:rPr>
              <w:t>项目建</w:t>
            </w:r>
          </w:p>
          <w:p w14:paraId="71A05EE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b/>
                <w:color w:val="auto"/>
                <w:sz w:val="21"/>
                <w:szCs w:val="21"/>
                <w:highlight w:val="none"/>
              </w:rPr>
            </w:pPr>
            <w:r>
              <w:rPr>
                <w:rFonts w:ascii="Times New Roman" w:hAnsi="Times New Roman"/>
                <w:b/>
                <w:color w:val="auto"/>
                <w:sz w:val="21"/>
                <w:szCs w:val="21"/>
                <w:highlight w:val="none"/>
                <w:lang w:bidi="ar"/>
              </w:rPr>
              <w:t>设情况</w:t>
            </w:r>
          </w:p>
        </w:tc>
      </w:tr>
      <w:tr w14:paraId="3907E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0" w:hRule="atLeast"/>
          <w:jc w:val="center"/>
        </w:trPr>
        <w:tc>
          <w:tcPr>
            <w:tcW w:w="943" w:type="dxa"/>
            <w:tcBorders>
              <w:tl2br w:val="nil"/>
              <w:tr2bl w:val="nil"/>
            </w:tcBorders>
            <w:vAlign w:val="center"/>
          </w:tcPr>
          <w:p w14:paraId="03ABBA1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一期</w:t>
            </w:r>
          </w:p>
        </w:tc>
        <w:tc>
          <w:tcPr>
            <w:tcW w:w="2039" w:type="dxa"/>
            <w:tcBorders>
              <w:tl2br w:val="nil"/>
              <w:tr2bl w:val="nil"/>
            </w:tcBorders>
            <w:vAlign w:val="center"/>
          </w:tcPr>
          <w:p w14:paraId="7784344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年产1900吨丙烯酸改性环氧酚醛树脂项目</w:t>
            </w:r>
          </w:p>
        </w:tc>
        <w:tc>
          <w:tcPr>
            <w:tcW w:w="926" w:type="dxa"/>
            <w:tcBorders>
              <w:tl2br w:val="nil"/>
              <w:tr2bl w:val="nil"/>
            </w:tcBorders>
            <w:vAlign w:val="center"/>
          </w:tcPr>
          <w:p w14:paraId="5396911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报告表</w:t>
            </w:r>
          </w:p>
        </w:tc>
        <w:tc>
          <w:tcPr>
            <w:tcW w:w="2055" w:type="dxa"/>
            <w:tcBorders>
              <w:tl2br w:val="nil"/>
              <w:tr2bl w:val="nil"/>
            </w:tcBorders>
            <w:vAlign w:val="center"/>
          </w:tcPr>
          <w:p w14:paraId="55C19EA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2003年5月30日通过无锡市环境保护局审批</w:t>
            </w:r>
          </w:p>
        </w:tc>
        <w:tc>
          <w:tcPr>
            <w:tcW w:w="1909" w:type="dxa"/>
            <w:tcBorders>
              <w:tl2br w:val="nil"/>
              <w:tr2bl w:val="nil"/>
            </w:tcBorders>
            <w:vAlign w:val="center"/>
          </w:tcPr>
          <w:p w14:paraId="45D2AB7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2006年8月2日通过无锡市锡山区环境保护局的“三同时”竣工验收</w:t>
            </w:r>
          </w:p>
        </w:tc>
        <w:tc>
          <w:tcPr>
            <w:tcW w:w="986" w:type="dxa"/>
            <w:tcBorders>
              <w:tl2br w:val="nil"/>
              <w:tr2bl w:val="nil"/>
            </w:tcBorders>
            <w:vAlign w:val="center"/>
          </w:tcPr>
          <w:p w14:paraId="35ECB63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正常生产</w:t>
            </w:r>
          </w:p>
        </w:tc>
      </w:tr>
      <w:tr w14:paraId="446511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598" w:hRule="atLeast"/>
          <w:jc w:val="center"/>
        </w:trPr>
        <w:tc>
          <w:tcPr>
            <w:tcW w:w="943" w:type="dxa"/>
            <w:tcBorders>
              <w:tl2br w:val="nil"/>
              <w:tr2bl w:val="nil"/>
            </w:tcBorders>
            <w:vAlign w:val="center"/>
          </w:tcPr>
          <w:p w14:paraId="058FBE1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二期</w:t>
            </w:r>
          </w:p>
        </w:tc>
        <w:tc>
          <w:tcPr>
            <w:tcW w:w="2039" w:type="dxa"/>
            <w:tcBorders>
              <w:tl2br w:val="nil"/>
              <w:tr2bl w:val="nil"/>
            </w:tcBorders>
            <w:vAlign w:val="center"/>
          </w:tcPr>
          <w:p w14:paraId="09A9E1C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年产聚氨酯丙烯酸酯5000t、丙烯酸酯组成物10000t和环氧丙烯酸树脂1200t生产线技改扩建项目</w:t>
            </w:r>
          </w:p>
        </w:tc>
        <w:tc>
          <w:tcPr>
            <w:tcW w:w="926" w:type="dxa"/>
            <w:tcBorders>
              <w:tl2br w:val="nil"/>
              <w:tr2bl w:val="nil"/>
            </w:tcBorders>
            <w:vAlign w:val="center"/>
          </w:tcPr>
          <w:p w14:paraId="0ABA410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报告书</w:t>
            </w:r>
          </w:p>
        </w:tc>
        <w:tc>
          <w:tcPr>
            <w:tcW w:w="2055" w:type="dxa"/>
            <w:tcBorders>
              <w:tl2br w:val="nil"/>
              <w:tr2bl w:val="nil"/>
            </w:tcBorders>
            <w:vAlign w:val="center"/>
          </w:tcPr>
          <w:p w14:paraId="0A9323F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2012年2月27日通过无锡市环境保护局审批</w:t>
            </w:r>
          </w:p>
        </w:tc>
        <w:tc>
          <w:tcPr>
            <w:tcW w:w="1909" w:type="dxa"/>
            <w:tcBorders>
              <w:right w:val="single" w:color="auto" w:sz="4" w:space="0"/>
              <w:tl2br w:val="nil"/>
              <w:tr2bl w:val="nil"/>
            </w:tcBorders>
            <w:vAlign w:val="center"/>
          </w:tcPr>
          <w:p w14:paraId="6C38697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一阶段“年产聚氨酯丙烯酸酯3000t、丙烯酸酯组成物5000t和环氧丙烯酸树脂1200t”于2014年7月3日通过无锡市环境保护局的“三同时”竣工验收；二阶段“年产聚氨酯丙烯酸酯2000t、丙烯酸酯组成物5000t”于2023年7月27日通过自主验收</w:t>
            </w:r>
          </w:p>
        </w:tc>
        <w:tc>
          <w:tcPr>
            <w:tcW w:w="986" w:type="dxa"/>
            <w:tcBorders>
              <w:left w:val="single" w:color="auto" w:sz="4" w:space="0"/>
              <w:tl2br w:val="nil"/>
              <w:tr2bl w:val="nil"/>
            </w:tcBorders>
            <w:vAlign w:val="center"/>
          </w:tcPr>
          <w:p w14:paraId="35C8A0D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正常生产</w:t>
            </w:r>
          </w:p>
        </w:tc>
      </w:tr>
      <w:tr w14:paraId="71CBE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5" w:hRule="atLeast"/>
          <w:jc w:val="center"/>
        </w:trPr>
        <w:tc>
          <w:tcPr>
            <w:tcW w:w="943" w:type="dxa"/>
            <w:tcBorders>
              <w:tl2br w:val="nil"/>
              <w:tr2bl w:val="nil"/>
            </w:tcBorders>
            <w:vAlign w:val="center"/>
          </w:tcPr>
          <w:p w14:paraId="1E652E0E">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三期</w:t>
            </w:r>
          </w:p>
        </w:tc>
        <w:tc>
          <w:tcPr>
            <w:tcW w:w="2039" w:type="dxa"/>
            <w:tcBorders>
              <w:tl2br w:val="nil"/>
              <w:tr2bl w:val="nil"/>
            </w:tcBorders>
            <w:vAlign w:val="center"/>
          </w:tcPr>
          <w:p w14:paraId="5F0BA1E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废气升级改造项目环境影响登记表</w:t>
            </w:r>
          </w:p>
        </w:tc>
        <w:tc>
          <w:tcPr>
            <w:tcW w:w="926" w:type="dxa"/>
            <w:tcBorders>
              <w:tl2br w:val="nil"/>
              <w:tr2bl w:val="nil"/>
            </w:tcBorders>
            <w:vAlign w:val="center"/>
          </w:tcPr>
          <w:p w14:paraId="58DC8C0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登记表</w:t>
            </w:r>
          </w:p>
        </w:tc>
        <w:tc>
          <w:tcPr>
            <w:tcW w:w="2055" w:type="dxa"/>
            <w:tcBorders>
              <w:tl2br w:val="nil"/>
              <w:tr2bl w:val="nil"/>
            </w:tcBorders>
            <w:vAlign w:val="center"/>
          </w:tcPr>
          <w:p w14:paraId="2373B8D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2022年3月17日进行备案登记，备案号：202232020500000122</w:t>
            </w:r>
          </w:p>
        </w:tc>
        <w:tc>
          <w:tcPr>
            <w:tcW w:w="1909" w:type="dxa"/>
            <w:tcBorders>
              <w:tl2br w:val="nil"/>
              <w:tr2bl w:val="nil"/>
            </w:tcBorders>
            <w:vAlign w:val="center"/>
          </w:tcPr>
          <w:p w14:paraId="601BD57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986" w:type="dxa"/>
            <w:tcBorders>
              <w:tl2br w:val="nil"/>
              <w:tr2bl w:val="nil"/>
            </w:tcBorders>
            <w:vAlign w:val="center"/>
          </w:tcPr>
          <w:p w14:paraId="35F4ABA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正常投入使用</w:t>
            </w:r>
          </w:p>
        </w:tc>
      </w:tr>
    </w:tbl>
    <w:p w14:paraId="605D2A0A">
      <w:pPr>
        <w:spacing w:before="120" w:beforeLines="50" w:line="360" w:lineRule="auto"/>
        <w:ind w:left="-105" w:right="-105" w:firstLine="480" w:firstLineChars="200"/>
        <w:jc w:val="both"/>
        <w:rPr>
          <w:rFonts w:ascii="Times New Roman" w:hAnsi="Times New Roman"/>
          <w:color w:val="auto"/>
          <w:szCs w:val="22"/>
          <w:highlight w:val="none"/>
        </w:rPr>
      </w:pPr>
      <w:bookmarkStart w:id="196" w:name="_Toc60653466"/>
      <w:r>
        <w:rPr>
          <w:rFonts w:hint="eastAsia" w:ascii="Times New Roman" w:hAnsi="Times New Roman"/>
          <w:color w:val="auto"/>
          <w:szCs w:val="22"/>
          <w:highlight w:val="none"/>
        </w:rPr>
        <w:t>根据上表，企业《年产聚氨酯丙烯酸酯5000t、丙烯酸酯组成物10000t和环氧丙烯酸树脂1200t生产线技改扩建项目（二期年产聚氨酯丙烯酸酯2000t、丙烯酸酯组成物5000t）》已完成验收正常投产中，与环评及批复相比发生了变动。根据中华人民共和国生态环境部办公厅《污染影响类建设项目重大变动清单（试行）》（环办环评函〔2020〕688号），项目性质、规模、地点、生产工艺及环境保护措施均未发生重大变动。企业根据《省生态环境厅关于加强涉变动项目环评与排污许可管理衔接的通知》（苏环办〔2021〕122号）编制了《化药化工（无锡）有限公司年产聚氨酯丙烯酸酯5000t、丙烯酸酯组成物10000t和环氧丙烯酸树脂1200t生产线技改扩建项目一般变动环境影响分析报告》，本报告现有项目实际生产情况依据该变动分析报告进行梳理。</w:t>
      </w:r>
    </w:p>
    <w:p w14:paraId="6C188E15">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197" w:name="_Toc722"/>
      <w:r>
        <w:rPr>
          <w:rFonts w:ascii="Times New Roman" w:eastAsia="宋体"/>
          <w:color w:val="auto"/>
          <w:sz w:val="28"/>
          <w:szCs w:val="28"/>
          <w:highlight w:val="none"/>
        </w:rPr>
        <w:t>现有项目生产规模及工程内容</w:t>
      </w:r>
      <w:bookmarkEnd w:id="196"/>
      <w:bookmarkEnd w:id="197"/>
    </w:p>
    <w:p w14:paraId="6A6A0B72">
      <w:pPr>
        <w:spacing w:line="360" w:lineRule="auto"/>
        <w:ind w:left="-105" w:right="-105" w:firstLine="480" w:firstLineChars="200"/>
        <w:rPr>
          <w:rFonts w:ascii="Times New Roman" w:hAnsi="Times New Roman"/>
          <w:color w:val="auto"/>
          <w:szCs w:val="22"/>
          <w:highlight w:val="none"/>
        </w:rPr>
      </w:pPr>
      <w:bookmarkStart w:id="198" w:name="_Toc60653467"/>
      <w:bookmarkStart w:id="199" w:name="_Toc17377630"/>
      <w:r>
        <w:rPr>
          <w:rFonts w:hint="eastAsia" w:ascii="Times New Roman" w:hAnsi="Times New Roman"/>
          <w:color w:val="auto"/>
          <w:szCs w:val="22"/>
          <w:highlight w:val="none"/>
        </w:rPr>
        <w:t>现有项目环评批复落实情况见下表：</w:t>
      </w:r>
    </w:p>
    <w:p w14:paraId="4D3D46AC">
      <w:pPr>
        <w:pStyle w:val="15"/>
        <w:spacing w:line="360" w:lineRule="auto"/>
        <w:ind w:left="-105" w:right="-105" w:firstLine="482"/>
        <w:rPr>
          <w:rFonts w:eastAsia="宋体" w:cs="Times New Roman"/>
          <w:bCs/>
          <w:color w:val="auto"/>
          <w:sz w:val="24"/>
          <w:szCs w:val="22"/>
          <w:highlight w:val="none"/>
        </w:rPr>
      </w:pPr>
      <w:r>
        <w:rPr>
          <w:rFonts w:eastAsia="宋体" w:cs="Times New Roman"/>
          <w:bCs/>
          <w:color w:val="auto"/>
          <w:sz w:val="24"/>
          <w:szCs w:val="22"/>
          <w:highlight w:val="none"/>
        </w:rPr>
        <w:t>表</w:t>
      </w:r>
      <w:r>
        <w:rPr>
          <w:rFonts w:eastAsia="宋体" w:cs="Times New Roman"/>
          <w:bCs/>
          <w:color w:val="auto"/>
          <w:sz w:val="24"/>
          <w:szCs w:val="22"/>
          <w:highlight w:val="none"/>
        </w:rPr>
        <w:fldChar w:fldCharType="begin"/>
      </w:r>
      <w:r>
        <w:rPr>
          <w:rFonts w:eastAsia="宋体" w:cs="Times New Roman"/>
          <w:bCs/>
          <w:color w:val="auto"/>
          <w:sz w:val="24"/>
          <w:szCs w:val="22"/>
          <w:highlight w:val="none"/>
        </w:rPr>
        <w:instrText xml:space="preserve"> STYLEREF 2 \s </w:instrText>
      </w:r>
      <w:r>
        <w:rPr>
          <w:rFonts w:eastAsia="宋体" w:cs="Times New Roman"/>
          <w:bCs/>
          <w:color w:val="auto"/>
          <w:sz w:val="24"/>
          <w:szCs w:val="22"/>
          <w:highlight w:val="none"/>
        </w:rPr>
        <w:fldChar w:fldCharType="separate"/>
      </w:r>
      <w:r>
        <w:rPr>
          <w:rFonts w:eastAsia="宋体" w:cs="Times New Roman"/>
          <w:bCs/>
          <w:color w:val="auto"/>
          <w:sz w:val="24"/>
          <w:szCs w:val="22"/>
          <w:highlight w:val="none"/>
        </w:rPr>
        <w:t>3.2</w:t>
      </w:r>
      <w:r>
        <w:rPr>
          <w:rFonts w:eastAsia="宋体" w:cs="Times New Roman"/>
          <w:bCs/>
          <w:color w:val="auto"/>
          <w:sz w:val="24"/>
          <w:szCs w:val="22"/>
          <w:highlight w:val="none"/>
        </w:rPr>
        <w:fldChar w:fldCharType="end"/>
      </w:r>
      <w:r>
        <w:rPr>
          <w:rFonts w:eastAsia="宋体" w:cs="Times New Roman"/>
          <w:bCs/>
          <w:color w:val="auto"/>
          <w:sz w:val="24"/>
          <w:szCs w:val="22"/>
          <w:highlight w:val="none"/>
        </w:rPr>
        <w:noBreakHyphen/>
      </w:r>
      <w:r>
        <w:rPr>
          <w:rFonts w:eastAsia="宋体" w:cs="Times New Roman"/>
          <w:bCs/>
          <w:color w:val="auto"/>
          <w:sz w:val="24"/>
          <w:szCs w:val="22"/>
          <w:highlight w:val="none"/>
        </w:rPr>
        <w:fldChar w:fldCharType="begin"/>
      </w:r>
      <w:r>
        <w:rPr>
          <w:rFonts w:eastAsia="宋体" w:cs="Times New Roman"/>
          <w:bCs/>
          <w:color w:val="auto"/>
          <w:sz w:val="24"/>
          <w:szCs w:val="22"/>
          <w:highlight w:val="none"/>
        </w:rPr>
        <w:instrText xml:space="preserve"> SEQ 表 \* ARABIC \s 2 </w:instrText>
      </w:r>
      <w:r>
        <w:rPr>
          <w:rFonts w:eastAsia="宋体" w:cs="Times New Roman"/>
          <w:bCs/>
          <w:color w:val="auto"/>
          <w:sz w:val="24"/>
          <w:szCs w:val="22"/>
          <w:highlight w:val="none"/>
        </w:rPr>
        <w:fldChar w:fldCharType="separate"/>
      </w:r>
      <w:r>
        <w:rPr>
          <w:rFonts w:eastAsia="宋体" w:cs="Times New Roman"/>
          <w:bCs/>
          <w:color w:val="auto"/>
          <w:sz w:val="24"/>
          <w:szCs w:val="22"/>
          <w:highlight w:val="none"/>
        </w:rPr>
        <w:t>3</w:t>
      </w:r>
      <w:r>
        <w:rPr>
          <w:rFonts w:eastAsia="宋体" w:cs="Times New Roman"/>
          <w:bCs/>
          <w:color w:val="auto"/>
          <w:sz w:val="24"/>
          <w:szCs w:val="22"/>
          <w:highlight w:val="none"/>
        </w:rPr>
        <w:fldChar w:fldCharType="end"/>
      </w:r>
      <w:r>
        <w:rPr>
          <w:rFonts w:hint="eastAsia" w:eastAsia="宋体" w:cs="Times New Roman"/>
          <w:bCs/>
          <w:color w:val="auto"/>
          <w:sz w:val="24"/>
          <w:szCs w:val="22"/>
          <w:highlight w:val="none"/>
        </w:rPr>
        <w:t>现有项目环评批复落实情况一览表</w:t>
      </w:r>
    </w:p>
    <w:tbl>
      <w:tblPr>
        <w:tblStyle w:val="4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3655"/>
        <w:gridCol w:w="3563"/>
        <w:gridCol w:w="944"/>
      </w:tblGrid>
      <w:tr w14:paraId="4CB8E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2B3699A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序号</w:t>
            </w:r>
          </w:p>
        </w:tc>
        <w:tc>
          <w:tcPr>
            <w:tcW w:w="3655" w:type="dxa"/>
            <w:tcBorders>
              <w:tl2br w:val="nil"/>
              <w:tr2bl w:val="nil"/>
            </w:tcBorders>
            <w:vAlign w:val="center"/>
          </w:tcPr>
          <w:p w14:paraId="1B4C501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批复内容</w:t>
            </w:r>
          </w:p>
        </w:tc>
        <w:tc>
          <w:tcPr>
            <w:tcW w:w="3563" w:type="dxa"/>
            <w:tcBorders>
              <w:tl2br w:val="nil"/>
              <w:tr2bl w:val="nil"/>
            </w:tcBorders>
            <w:vAlign w:val="center"/>
          </w:tcPr>
          <w:p w14:paraId="0EAE7F6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建设情况</w:t>
            </w:r>
          </w:p>
        </w:tc>
        <w:tc>
          <w:tcPr>
            <w:tcW w:w="944" w:type="dxa"/>
            <w:tcBorders>
              <w:tl2br w:val="nil"/>
              <w:tr2bl w:val="nil"/>
            </w:tcBorders>
            <w:vAlign w:val="center"/>
          </w:tcPr>
          <w:p w14:paraId="507CAEA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相符性</w:t>
            </w:r>
          </w:p>
        </w:tc>
      </w:tr>
      <w:tr w14:paraId="0B72B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2ACCFA26">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28E70139">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按“雨污分流、清污分流”的原则完善厂区污水管网和雨水管网。全厂生产废水及生活污水等所有废污水在厂内经废水收集池集中后全部排入无锡先进化药化工有限公司污水处理站预处理，达接管标准后经市政污水管网接入锡山区污水处理厂集中处理。</w:t>
            </w:r>
          </w:p>
        </w:tc>
        <w:tc>
          <w:tcPr>
            <w:tcW w:w="3563" w:type="dxa"/>
            <w:tcBorders>
              <w:tl2br w:val="nil"/>
              <w:tr2bl w:val="nil"/>
            </w:tcBorders>
            <w:vAlign w:val="center"/>
          </w:tcPr>
          <w:p w14:paraId="59769BC2">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实际建设完成后，雨污分流，全厂生产废水均作为危废处置，仅生活污水和初期雨水经收集后排入无锡先进化药化工有限公司污水处理站预处理，达接管标准后经市政污水管网接入无锡市锡山云林污水处理有限公司。</w:t>
            </w:r>
          </w:p>
        </w:tc>
        <w:tc>
          <w:tcPr>
            <w:tcW w:w="944" w:type="dxa"/>
            <w:tcBorders>
              <w:tl2br w:val="nil"/>
              <w:tr2bl w:val="nil"/>
            </w:tcBorders>
            <w:vAlign w:val="center"/>
          </w:tcPr>
          <w:p w14:paraId="07AFCBB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1531B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0ADEC415">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723A632F">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落实“以新带老”要求，淘汰原有两台燃油锅炉，公司生产使用商品蒸汽；对原有项目的废气处理装置进行改进，新老项目所产生的各类工艺废气均经有效收集，并按报告书中提出的低温冷凝+三级碱液喷淋处理后，通过排气筒有组织排放，所排污染物执行《大气污染物综合排放标准》（GB16297-1996）表2中的二级标准。</w:t>
            </w:r>
          </w:p>
          <w:p w14:paraId="2058FD9A">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加强对无组织排放源的监控管理，按报告书提出的各项措施，减少全厂废气的无组织排放。各类无组织排放废气须达到《大气污染物综合排放标准》（GB16297-1996）表2中无组织排放监控浓度限值要求。</w:t>
            </w:r>
          </w:p>
        </w:tc>
        <w:tc>
          <w:tcPr>
            <w:tcW w:w="3563" w:type="dxa"/>
            <w:tcBorders>
              <w:tl2br w:val="nil"/>
              <w:tr2bl w:val="nil"/>
            </w:tcBorders>
            <w:vAlign w:val="center"/>
          </w:tcPr>
          <w:p w14:paraId="51F987E1">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已按要求淘汰燃油锅炉，改用蒸汽；废气处理设施均改造为低温冷凝+三级碱液喷淋+活性炭吸附装置，通过排气筒有组织排放；通过收集车间无组织废气后经废气处理设施处理后有组织排放，故有组织和无组织所排的污染物均达到《大气污染物综合排放标准》（GB16297-1996）表2要求。</w:t>
            </w:r>
          </w:p>
        </w:tc>
        <w:tc>
          <w:tcPr>
            <w:tcW w:w="944" w:type="dxa"/>
            <w:tcBorders>
              <w:tl2br w:val="nil"/>
              <w:tr2bl w:val="nil"/>
            </w:tcBorders>
            <w:vAlign w:val="center"/>
          </w:tcPr>
          <w:p w14:paraId="654130E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1BF54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1A325626">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0BEC1D53">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选用低噪声设备并合理布局，采取有效的减振、隔声、消音等降噪措施，确保厂界噪声达到《工业企业厂界环境噪声排放标准》（GB12348-2008）表1中厂界外2类声环境功能区排放限值要求。</w:t>
            </w:r>
          </w:p>
        </w:tc>
        <w:tc>
          <w:tcPr>
            <w:tcW w:w="3563" w:type="dxa"/>
            <w:tcBorders>
              <w:tl2br w:val="nil"/>
              <w:tr2bl w:val="nil"/>
            </w:tcBorders>
            <w:vAlign w:val="center"/>
          </w:tcPr>
          <w:p w14:paraId="5BD00651">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企业选用的均为低噪声设备，并合理布局，通过隔声、消音等措施降噪，厂界噪声均可达到《工业企业厂界环境噪声排放标准》（GB12348-2008）表1中厂界外2类声环境功能区排放限值要求。</w:t>
            </w:r>
          </w:p>
        </w:tc>
        <w:tc>
          <w:tcPr>
            <w:tcW w:w="944" w:type="dxa"/>
            <w:tcBorders>
              <w:tl2br w:val="nil"/>
              <w:tr2bl w:val="nil"/>
            </w:tcBorders>
            <w:vAlign w:val="center"/>
          </w:tcPr>
          <w:p w14:paraId="220A059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1AF97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0F78A9BF">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7E0A580F">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按“减量化、资源化、无害化”的处置原则，落实各类固体废物的收集、处置和综合利用措施，实现固体废物零排放。过滤残渣、浸润废料、废滤芯、废丁酮须按危险废物处置的要求委托有资质单位处置。厂内危险废物的收集和贮存须符合《危险废物贮存污染控制标准》（GB18597-2001）和《江苏省固体废物污染环境防治条例》的有关要求。</w:t>
            </w:r>
          </w:p>
        </w:tc>
        <w:tc>
          <w:tcPr>
            <w:tcW w:w="3563" w:type="dxa"/>
            <w:tcBorders>
              <w:tl2br w:val="nil"/>
              <w:tr2bl w:val="nil"/>
            </w:tcBorders>
            <w:vAlign w:val="center"/>
          </w:tcPr>
          <w:p w14:paraId="338FAEA6">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产生的危废包括过滤残渣、浸润废料、废滤芯、废丁酮（含废树脂）、废活性炭、废包装桶、喷淋废液，均委托有资质单位处置，厂内危废仓库和危废储罐的贮存符合《江苏省固体废物污染环境防治条例》及《省生态环境厅关于印发&lt;江苏省固体废物全过程环境监管工作意见&gt;的通知（苏环办〔2024〕16号）》的要求。</w:t>
            </w:r>
          </w:p>
        </w:tc>
        <w:tc>
          <w:tcPr>
            <w:tcW w:w="944" w:type="dxa"/>
            <w:tcBorders>
              <w:tl2br w:val="nil"/>
              <w:tr2bl w:val="nil"/>
            </w:tcBorders>
            <w:vAlign w:val="center"/>
          </w:tcPr>
          <w:p w14:paraId="02AF676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5030F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0D6B9F21">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2383D5E9">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加强施工期环境管理，落实施工期污染防治措施，文明施工，防止、减缓施工作业对周边环境的影响。施工期噪声执行《建筑施工场界噪声限值》（GB12523-90）要求。</w:t>
            </w:r>
          </w:p>
        </w:tc>
        <w:tc>
          <w:tcPr>
            <w:tcW w:w="3563" w:type="dxa"/>
            <w:tcBorders>
              <w:tl2br w:val="nil"/>
              <w:tr2bl w:val="nil"/>
            </w:tcBorders>
            <w:vAlign w:val="center"/>
          </w:tcPr>
          <w:p w14:paraId="691554AD">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企业施工期间已落实污染防治措施，减少了施工作业对周边环境的影响，施工期噪声满足《建筑施工场界噪声限值》（GB12523-90）要求。</w:t>
            </w:r>
          </w:p>
        </w:tc>
        <w:tc>
          <w:tcPr>
            <w:tcW w:w="944" w:type="dxa"/>
            <w:tcBorders>
              <w:tl2br w:val="nil"/>
              <w:tr2bl w:val="nil"/>
            </w:tcBorders>
            <w:vAlign w:val="center"/>
          </w:tcPr>
          <w:p w14:paraId="1376746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6943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49BAB1FF">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11E9C8AE">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按《江苏省排污口设置及规范化整治管理办法》（苏环控［1997］122号）的要求规范化设置各类排污口和标识。全厂不设废水排放口，排气筒须设置永久性测试采样孔和采样平台。</w:t>
            </w:r>
          </w:p>
        </w:tc>
        <w:tc>
          <w:tcPr>
            <w:tcW w:w="3563" w:type="dxa"/>
            <w:tcBorders>
              <w:tl2br w:val="nil"/>
              <w:tr2bl w:val="nil"/>
            </w:tcBorders>
            <w:vAlign w:val="center"/>
          </w:tcPr>
          <w:p w14:paraId="690753E9">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企业已按《江苏省排污口设置及规范化整治管理办法》（苏环控［1997］122号）的要求规范化设置各类排污口和标识。排气筒设置了永久性测试采样孔和采样平台。</w:t>
            </w:r>
          </w:p>
        </w:tc>
        <w:tc>
          <w:tcPr>
            <w:tcW w:w="944" w:type="dxa"/>
            <w:tcBorders>
              <w:tl2br w:val="nil"/>
              <w:tr2bl w:val="nil"/>
            </w:tcBorders>
            <w:vAlign w:val="center"/>
          </w:tcPr>
          <w:p w14:paraId="71DA0AF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4BE19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547966D8">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3AB83C5C">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报告书设置环氧丙烯酸树脂收罐车间、丙烯酸酯组成物收罐车间卫生防护距离为100米、丁酮储罐区卫生防护距离为50米，上述卫生防护距离内不得设置环境敏感目标。</w:t>
            </w:r>
          </w:p>
        </w:tc>
        <w:tc>
          <w:tcPr>
            <w:tcW w:w="3563" w:type="dxa"/>
            <w:tcBorders>
              <w:tl2br w:val="nil"/>
              <w:tr2bl w:val="nil"/>
            </w:tcBorders>
            <w:vAlign w:val="center"/>
          </w:tcPr>
          <w:p w14:paraId="53F288F6">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根据现场踏勘情况，环氧丙烯酸树脂收罐车间、丙烯酸酯组成物收罐车间外100米卫生防护距离和丁酮储罐区外50米卫生防护距离围成的包络线范围内物环境敏感目标。</w:t>
            </w:r>
          </w:p>
        </w:tc>
        <w:tc>
          <w:tcPr>
            <w:tcW w:w="944" w:type="dxa"/>
            <w:tcBorders>
              <w:tl2br w:val="nil"/>
              <w:tr2bl w:val="nil"/>
            </w:tcBorders>
            <w:vAlign w:val="center"/>
          </w:tcPr>
          <w:p w14:paraId="604CBEC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7E1F6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655728CA">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467B51BE">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三、加强环境管理，严格落实报告书环境风险评价篇章中的应急预案和事故防范、减缓措施，防止污染治理设施、生产过程、化学品储运过程中污染事故的发生。</w:t>
            </w:r>
          </w:p>
          <w:p w14:paraId="259F96DA">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在化学品贮存区和使用该类化学品的生产装置周边设置应对物料泄漏等事故的截流沟或围堰。危险化学品的储存和使用区应安装泄漏检测报警装置，危化品仓库的管理和投运应按报告书和锡山区环保局相关要求落实。厂内设置容积足够的事故应急池和消防水收集池，防止泄漏物料、消防排水及初期雨水外排。如发现化学品或生产废水等污染物泄漏入外界水体，必须立即启动应急预案并报所在地环保局。</w:t>
            </w:r>
          </w:p>
        </w:tc>
        <w:tc>
          <w:tcPr>
            <w:tcW w:w="3563" w:type="dxa"/>
            <w:tcBorders>
              <w:tl2br w:val="nil"/>
              <w:tr2bl w:val="nil"/>
            </w:tcBorders>
            <w:vAlign w:val="center"/>
          </w:tcPr>
          <w:p w14:paraId="6F0B2E0A">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企业已编制了突发环境事件应急预案并完成备案（备案号：320205-2023-082-H），并设置了事故防范、减缓措施：企业在储罐区设置围堰、危废库设置截流沟和收集池，全厂设置了540m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的事故应急池和2m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初期雨水池，收集事故废水和初期雨水，容量符合相关要求；危化品仓库已安装泄漏检测报警装置</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并设置截流沟和收集池</w:t>
            </w:r>
            <w:r>
              <w:rPr>
                <w:rFonts w:hint="eastAsia" w:ascii="Times New Roman" w:hAnsi="Times New Roman"/>
                <w:color w:val="auto"/>
                <w:sz w:val="21"/>
                <w:szCs w:val="21"/>
                <w:highlight w:val="none"/>
              </w:rPr>
              <w:t>。</w:t>
            </w:r>
          </w:p>
        </w:tc>
        <w:tc>
          <w:tcPr>
            <w:tcW w:w="944" w:type="dxa"/>
            <w:tcBorders>
              <w:tl2br w:val="nil"/>
              <w:tr2bl w:val="nil"/>
            </w:tcBorders>
            <w:vAlign w:val="center"/>
          </w:tcPr>
          <w:p w14:paraId="342FAAD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r w14:paraId="0F32F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4C443C08">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2D0C7C6D">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四、本项目正式投产后，全厂污染物排放考核量不得突破“建设项目排放污染物指标申请表”核定的限值，其中：</w:t>
            </w:r>
          </w:p>
          <w:p w14:paraId="1BEBE9F7">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污水接管考核量：水量≤4300吨/年（12.3吨/日）、COD≤0.65吨/年、SS≤0.268吨/年、NH</w:t>
            </w:r>
            <w:r>
              <w:rPr>
                <w:rFonts w:hint="eastAsia" w:ascii="Times New Roman" w:hAnsi="Times New Roman"/>
                <w:color w:val="auto"/>
                <w:sz w:val="21"/>
                <w:szCs w:val="21"/>
                <w:highlight w:val="none"/>
                <w:vertAlign w:val="subscript"/>
              </w:rPr>
              <w:t>3</w:t>
            </w:r>
            <w:r>
              <w:rPr>
                <w:rFonts w:hint="eastAsia" w:ascii="Times New Roman" w:hAnsi="Times New Roman"/>
                <w:color w:val="auto"/>
                <w:sz w:val="21"/>
                <w:szCs w:val="21"/>
                <w:highlight w:val="none"/>
              </w:rPr>
              <w:t>-N（生活）≤0.06吨/年、TP（生活）≤0.004吨/年、TN（生活）≤0.1188吨/年、石油类≤0.0135吨/年。</w:t>
            </w:r>
          </w:p>
          <w:p w14:paraId="6529557D">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有组织排放大气污染物：非甲烷总烃≤0.667吨/年。</w:t>
            </w:r>
          </w:p>
          <w:p w14:paraId="380DE486">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固体废物：“零排放”。</w:t>
            </w:r>
          </w:p>
        </w:tc>
        <w:tc>
          <w:tcPr>
            <w:tcW w:w="3563" w:type="dxa"/>
            <w:tcBorders>
              <w:tl2br w:val="nil"/>
              <w:tr2bl w:val="nil"/>
            </w:tcBorders>
            <w:vAlign w:val="center"/>
          </w:tcPr>
          <w:p w14:paraId="23EB7EAA">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根据企业2023年排污许可执行报告年报，企业大气污染物非甲烷总烃排放量超过环评批复量，水污染物各因子排放量均未超过环评批复量。</w:t>
            </w:r>
          </w:p>
        </w:tc>
        <w:tc>
          <w:tcPr>
            <w:tcW w:w="944" w:type="dxa"/>
            <w:tcBorders>
              <w:tl2br w:val="nil"/>
              <w:tr2bl w:val="nil"/>
            </w:tcBorders>
            <w:vAlign w:val="center"/>
          </w:tcPr>
          <w:p w14:paraId="7983529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不</w:t>
            </w:r>
            <w:r>
              <w:rPr>
                <w:rFonts w:hint="eastAsia" w:ascii="Times New Roman" w:hAnsi="Times New Roman"/>
                <w:color w:val="auto"/>
                <w:sz w:val="21"/>
                <w:szCs w:val="21"/>
                <w:highlight w:val="none"/>
              </w:rPr>
              <w:t>符</w:t>
            </w:r>
          </w:p>
        </w:tc>
      </w:tr>
      <w:tr w14:paraId="2060E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dxa"/>
            <w:tcBorders>
              <w:tl2br w:val="nil"/>
              <w:tr2bl w:val="nil"/>
            </w:tcBorders>
            <w:vAlign w:val="center"/>
          </w:tcPr>
          <w:p w14:paraId="41B72039">
            <w:pPr>
              <w:keepNext w:val="0"/>
              <w:keepLines w:val="0"/>
              <w:pageBreakBefore w:val="0"/>
              <w:widowControl/>
              <w:numPr>
                <w:ilvl w:val="0"/>
                <w:numId w:val="15"/>
              </w:numPr>
              <w:kinsoku/>
              <w:wordWrap/>
              <w:overflowPunct/>
              <w:topLinePunct w:val="0"/>
              <w:autoSpaceDE/>
              <w:autoSpaceDN/>
              <w:bidi w:val="0"/>
              <w:adjustRightInd/>
              <w:snapToGrid/>
              <w:ind w:left="0" w:leftChars="0" w:right="0" w:firstLine="0" w:firstLineChars="0"/>
              <w:jc w:val="center"/>
              <w:textAlignment w:val="auto"/>
              <w:rPr>
                <w:rFonts w:ascii="Times New Roman" w:hAnsi="Times New Roman"/>
                <w:color w:val="auto"/>
                <w:sz w:val="21"/>
                <w:szCs w:val="21"/>
                <w:highlight w:val="none"/>
              </w:rPr>
            </w:pPr>
          </w:p>
        </w:tc>
        <w:tc>
          <w:tcPr>
            <w:tcW w:w="3655" w:type="dxa"/>
            <w:tcBorders>
              <w:tl2br w:val="nil"/>
              <w:tr2bl w:val="nil"/>
            </w:tcBorders>
            <w:vAlign w:val="center"/>
          </w:tcPr>
          <w:p w14:paraId="449E30B4">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五、本项目按规定需征得相关部门核准同意后方可开工建设。本项目的环保设施必须与主体工程同时建成，项目建设期间的环境现场监督管理由锡山区环保局负责，无锡市环境监察局负责不定期抽查。根据《建设项目竣工环境保护验收管理办法》，工程完工后须向我局申请办理项目竣工环保验收手续，合格后方可投入使用。</w:t>
            </w:r>
          </w:p>
        </w:tc>
        <w:tc>
          <w:tcPr>
            <w:tcW w:w="3563" w:type="dxa"/>
            <w:tcBorders>
              <w:tl2br w:val="nil"/>
              <w:tr2bl w:val="nil"/>
            </w:tcBorders>
            <w:vAlign w:val="center"/>
          </w:tcPr>
          <w:p w14:paraId="03916945">
            <w:pPr>
              <w:keepNext w:val="0"/>
              <w:keepLines w:val="0"/>
              <w:pageBreakBefore w:val="0"/>
              <w:widowControl/>
              <w:kinsoku/>
              <w:wordWrap/>
              <w:overflowPunct/>
              <w:topLinePunct w:val="0"/>
              <w:autoSpaceDE/>
              <w:autoSpaceDN/>
              <w:bidi w:val="0"/>
              <w:adjustRightInd/>
              <w:snapToGrid/>
              <w:ind w:left="0" w:right="0" w:firstLine="420" w:firstLineChars="200"/>
              <w:jc w:val="both"/>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企业于2023年7月完成二阶段“年产聚氨酯丙烯酸酯2000t、丙烯酸酯组成物5000t”验收，已正式投入正常生产。</w:t>
            </w:r>
          </w:p>
        </w:tc>
        <w:tc>
          <w:tcPr>
            <w:tcW w:w="944" w:type="dxa"/>
            <w:tcBorders>
              <w:tl2br w:val="nil"/>
              <w:tr2bl w:val="nil"/>
            </w:tcBorders>
            <w:vAlign w:val="center"/>
          </w:tcPr>
          <w:p w14:paraId="53261D4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相符</w:t>
            </w:r>
          </w:p>
        </w:tc>
      </w:tr>
    </w:tbl>
    <w:p w14:paraId="158D520A">
      <w:pPr>
        <w:spacing w:line="360" w:lineRule="auto"/>
        <w:ind w:left="-105" w:right="-105"/>
        <w:rPr>
          <w:rFonts w:ascii="Times New Roman" w:hAnsi="Times New Roman"/>
          <w:color w:val="auto"/>
          <w:szCs w:val="22"/>
          <w:highlight w:val="none"/>
        </w:rPr>
      </w:pPr>
    </w:p>
    <w:p w14:paraId="3E698070">
      <w:pPr>
        <w:spacing w:line="360" w:lineRule="auto"/>
        <w:ind w:left="-105" w:right="-105" w:firstLine="480" w:firstLineChars="200"/>
        <w:rPr>
          <w:rFonts w:ascii="Times New Roman" w:hAnsi="Times New Roman"/>
          <w:color w:val="auto"/>
          <w:szCs w:val="22"/>
          <w:highlight w:val="none"/>
        </w:rPr>
      </w:pPr>
    </w:p>
    <w:p w14:paraId="3BB8C333">
      <w:pPr>
        <w:spacing w:line="360" w:lineRule="auto"/>
        <w:ind w:left="-105" w:right="-105" w:firstLine="480" w:firstLineChars="200"/>
        <w:rPr>
          <w:rFonts w:ascii="Times New Roman" w:hAnsi="Times New Roman"/>
          <w:color w:val="auto"/>
          <w:szCs w:val="22"/>
          <w:highlight w:val="none"/>
        </w:rPr>
        <w:sectPr>
          <w:headerReference r:id="rId15" w:type="default"/>
          <w:headerReference r:id="rId16"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69577EE2">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00" w:name="_Toc3106"/>
      <w:r>
        <w:rPr>
          <w:rFonts w:ascii="Times New Roman" w:eastAsia="宋体"/>
          <w:color w:val="auto"/>
          <w:sz w:val="28"/>
          <w:szCs w:val="28"/>
          <w:highlight w:val="none"/>
        </w:rPr>
        <w:t>现有项目工程分析</w:t>
      </w:r>
      <w:bookmarkEnd w:id="198"/>
      <w:bookmarkEnd w:id="199"/>
      <w:bookmarkEnd w:id="200"/>
    </w:p>
    <w:p w14:paraId="1A6604C0">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01" w:name="_Toc60653468"/>
      <w:r>
        <w:rPr>
          <w:rFonts w:eastAsia="宋体"/>
          <w:color w:val="auto"/>
          <w:sz w:val="28"/>
          <w:szCs w:val="28"/>
          <w:highlight w:val="none"/>
        </w:rPr>
        <w:t>主要原辅材料及能源消耗</w:t>
      </w:r>
      <w:bookmarkEnd w:id="201"/>
    </w:p>
    <w:p w14:paraId="6D0A44FC">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02" w:name="_Toc17377631"/>
      <w:bookmarkStart w:id="203" w:name="_Toc60653469"/>
      <w:r>
        <w:rPr>
          <w:rFonts w:eastAsia="宋体"/>
          <w:color w:val="auto"/>
          <w:sz w:val="28"/>
          <w:szCs w:val="28"/>
          <w:highlight w:val="none"/>
        </w:rPr>
        <w:t>主要生产设备</w:t>
      </w:r>
      <w:bookmarkEnd w:id="202"/>
      <w:bookmarkEnd w:id="203"/>
    </w:p>
    <w:p w14:paraId="2193F953">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04" w:name="_Toc60653470"/>
      <w:r>
        <w:rPr>
          <w:rFonts w:eastAsia="宋体"/>
          <w:color w:val="auto"/>
          <w:sz w:val="28"/>
          <w:szCs w:val="28"/>
          <w:highlight w:val="none"/>
        </w:rPr>
        <w:t>工艺流程及产污环节分析</w:t>
      </w:r>
      <w:bookmarkEnd w:id="204"/>
    </w:p>
    <w:p w14:paraId="03790708">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05" w:name="_Toc60653471"/>
      <w:r>
        <w:rPr>
          <w:rFonts w:eastAsia="宋体"/>
          <w:color w:val="auto"/>
          <w:sz w:val="28"/>
          <w:szCs w:val="28"/>
          <w:highlight w:val="none"/>
        </w:rPr>
        <w:t>水平衡分析</w:t>
      </w:r>
      <w:bookmarkEnd w:id="205"/>
    </w:p>
    <w:p w14:paraId="7AE741FF">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污染治理及排放状况</w:t>
      </w:r>
    </w:p>
    <w:p w14:paraId="6BCCCB48">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废气</w:t>
      </w:r>
    </w:p>
    <w:p w14:paraId="53F238D7">
      <w:pPr>
        <w:spacing w:line="360" w:lineRule="auto"/>
        <w:ind w:left="-105" w:right="-105" w:firstLine="482" w:firstLineChars="200"/>
        <w:rPr>
          <w:rFonts w:ascii="Times New Roman" w:hAnsi="Times New Roman"/>
          <w:b/>
          <w:bCs/>
          <w:color w:val="auto"/>
          <w:szCs w:val="22"/>
          <w:highlight w:val="none"/>
        </w:rPr>
      </w:pPr>
      <w:r>
        <w:rPr>
          <w:rFonts w:hint="eastAsia" w:ascii="Times New Roman" w:hAnsi="Times New Roman"/>
          <w:b/>
          <w:bCs/>
          <w:color w:val="auto"/>
          <w:szCs w:val="22"/>
          <w:highlight w:val="none"/>
        </w:rPr>
        <w:t>（1）现有项目废气处置、排放情况</w:t>
      </w:r>
    </w:p>
    <w:p w14:paraId="6E19B45F">
      <w:pPr>
        <w:pStyle w:val="2"/>
        <w:ind w:left="-105" w:right="-105"/>
        <w:rPr>
          <w:color w:val="auto"/>
          <w:highlight w:val="none"/>
        </w:rPr>
      </w:pPr>
      <w:r>
        <w:rPr>
          <w:rFonts w:hint="eastAsia"/>
          <w:color w:val="auto"/>
          <w:highlight w:val="none"/>
        </w:rPr>
        <w:t>与原环评相比变动情况如下：</w:t>
      </w:r>
    </w:p>
    <w:p w14:paraId="4D4F307E">
      <w:pPr>
        <w:pStyle w:val="2"/>
        <w:ind w:left="-105" w:right="-105"/>
        <w:rPr>
          <w:color w:val="auto"/>
          <w:highlight w:val="none"/>
        </w:rPr>
      </w:pPr>
      <w:r>
        <w:rPr>
          <w:color w:val="auto"/>
          <w:highlight w:val="none"/>
        </w:rPr>
        <w:t>1）企业</w:t>
      </w:r>
      <w:r>
        <w:rPr>
          <w:rFonts w:hint="eastAsia"/>
          <w:color w:val="auto"/>
          <w:highlight w:val="none"/>
          <w:lang w:eastAsia="zh-CN"/>
        </w:rPr>
        <w:t>一工场</w:t>
      </w:r>
      <w:r>
        <w:rPr>
          <w:color w:val="auto"/>
          <w:highlight w:val="none"/>
        </w:rPr>
        <w:t>南侧的2个反应釜（600L）产生废气经密闭收集接入冷凝处理，再汇入一阶段一套3级碱液喷淋+活性炭吸附处理设施处理后经20m高排气筒DA002排放；</w:t>
      </w:r>
    </w:p>
    <w:p w14:paraId="72932D31">
      <w:pPr>
        <w:pStyle w:val="2"/>
        <w:ind w:left="-105" w:right="-105"/>
        <w:rPr>
          <w:color w:val="auto"/>
          <w:highlight w:val="none"/>
        </w:rPr>
      </w:pPr>
      <w:r>
        <w:rPr>
          <w:color w:val="auto"/>
          <w:highlight w:val="none"/>
        </w:rPr>
        <w:t>2）</w:t>
      </w:r>
      <w:r>
        <w:rPr>
          <w:rFonts w:hint="eastAsia"/>
          <w:color w:val="auto"/>
          <w:highlight w:val="none"/>
        </w:rPr>
        <w:t>二工场</w:t>
      </w:r>
      <w:r>
        <w:rPr>
          <w:color w:val="auto"/>
          <w:highlight w:val="none"/>
        </w:rPr>
        <w:t>北面的3个反应釜（8000L、8000L、3000L）产生的废气经密闭收集接入冷凝处理后，再汇入一阶段现有的1套3级碱液喷淋+活性炭吸附处理设施处理后20m高排气筒DA004排放；</w:t>
      </w:r>
    </w:p>
    <w:p w14:paraId="175E019B">
      <w:pPr>
        <w:pStyle w:val="2"/>
        <w:ind w:left="-105" w:right="-105"/>
        <w:rPr>
          <w:color w:val="auto"/>
          <w:highlight w:val="none"/>
        </w:rPr>
      </w:pPr>
      <w:r>
        <w:rPr>
          <w:color w:val="auto"/>
          <w:highlight w:val="none"/>
        </w:rPr>
        <w:t>3）</w:t>
      </w:r>
      <w:r>
        <w:rPr>
          <w:rFonts w:hint="eastAsia"/>
          <w:color w:val="auto"/>
          <w:highlight w:val="none"/>
        </w:rPr>
        <w:t>二工场</w:t>
      </w:r>
      <w:r>
        <w:rPr>
          <w:color w:val="auto"/>
          <w:highlight w:val="none"/>
        </w:rPr>
        <w:t>车间内无组织废气经1套新增的3级碱液喷淋+</w:t>
      </w:r>
      <w:r>
        <w:rPr>
          <w:rFonts w:hint="eastAsia"/>
          <w:color w:val="auto"/>
          <w:highlight w:val="none"/>
        </w:rPr>
        <w:t>二级</w:t>
      </w:r>
      <w:r>
        <w:rPr>
          <w:color w:val="auto"/>
          <w:highlight w:val="none"/>
        </w:rPr>
        <w:t>活性炭吸附装置处理后经DA005排放；</w:t>
      </w:r>
    </w:p>
    <w:p w14:paraId="437E2201">
      <w:pPr>
        <w:pStyle w:val="2"/>
        <w:ind w:left="-105" w:right="-105"/>
        <w:rPr>
          <w:color w:val="auto"/>
          <w:highlight w:val="none"/>
        </w:rPr>
      </w:pPr>
      <w:r>
        <w:rPr>
          <w:color w:val="auto"/>
          <w:highlight w:val="none"/>
        </w:rPr>
        <w:t>4）取消丁酮储罐，变动后无丁酮储罐大小呼吸产生的废气</w:t>
      </w:r>
      <w:r>
        <w:rPr>
          <w:rFonts w:hint="eastAsia"/>
          <w:color w:val="auto"/>
          <w:highlight w:val="none"/>
          <w:lang w:eastAsia="zh-CN"/>
        </w:rPr>
        <w:t>；废液储罐收集喷淋废水，其中主要为水，酸碱等浓度低，不易挥发，且储罐为常温常压，故不考虑</w:t>
      </w:r>
      <w:r>
        <w:rPr>
          <w:rFonts w:hint="eastAsia"/>
          <w:color w:val="auto"/>
          <w:highlight w:val="none"/>
          <w:lang w:val="en-US" w:eastAsia="zh-CN"/>
        </w:rPr>
        <w:t>废液储罐产生</w:t>
      </w:r>
      <w:r>
        <w:rPr>
          <w:rFonts w:hint="eastAsia"/>
          <w:color w:val="auto"/>
          <w:highlight w:val="none"/>
          <w:lang w:eastAsia="zh-CN"/>
        </w:rPr>
        <w:t>大小呼吸废气</w:t>
      </w:r>
      <w:r>
        <w:rPr>
          <w:color w:val="auto"/>
          <w:highlight w:val="none"/>
        </w:rPr>
        <w:t>。</w:t>
      </w:r>
    </w:p>
    <w:p w14:paraId="6E3FAA83">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现有项目涉及的有组织废气来源及污染物如下：</w:t>
      </w:r>
    </w:p>
    <w:p w14:paraId="49A61630">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①企业</w:t>
      </w:r>
      <w:r>
        <w:rPr>
          <w:rFonts w:hint="eastAsia" w:ascii="Times New Roman" w:hAnsi="Times New Roman"/>
          <w:color w:val="auto"/>
          <w:szCs w:val="22"/>
          <w:highlight w:val="none"/>
          <w:lang w:eastAsia="zh-CN"/>
        </w:rPr>
        <w:t>一工场</w:t>
      </w:r>
      <w:r>
        <w:rPr>
          <w:rFonts w:hint="eastAsia" w:ascii="Times New Roman" w:hAnsi="Times New Roman"/>
          <w:color w:val="auto"/>
          <w:szCs w:val="22"/>
          <w:highlight w:val="none"/>
        </w:rPr>
        <w:t>北侧4台反应釜（5000L*2、8000L*2）废气经冷凝+3级碱液喷淋+活性炭吸附处理设施处理后经20m高排气筒DA001排放；</w:t>
      </w:r>
    </w:p>
    <w:p w14:paraId="5FD16C1B">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②</w:t>
      </w:r>
      <w:r>
        <w:rPr>
          <w:rFonts w:hint="eastAsia" w:ascii="Times New Roman" w:hAnsi="Times New Roman"/>
          <w:color w:val="auto"/>
          <w:szCs w:val="22"/>
          <w:highlight w:val="none"/>
          <w:lang w:eastAsia="zh-CN"/>
        </w:rPr>
        <w:t>一工场</w:t>
      </w:r>
      <w:r>
        <w:rPr>
          <w:rFonts w:hint="eastAsia" w:ascii="Times New Roman" w:hAnsi="Times New Roman"/>
          <w:color w:val="auto"/>
          <w:szCs w:val="22"/>
          <w:highlight w:val="none"/>
        </w:rPr>
        <w:t>南侧2台反应釜（600L*2）废气经冷凝处理后与车间无组织废气一起经3级碱液喷淋+活性炭吸附处理设施处理后经20m高排气筒DA002排放；</w:t>
      </w:r>
    </w:p>
    <w:p w14:paraId="64EE5CE8">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③二工场</w:t>
      </w:r>
      <w:r>
        <w:rPr>
          <w:rFonts w:hint="eastAsia" w:ascii="Times New Roman" w:hAnsi="Times New Roman"/>
          <w:color w:val="auto"/>
          <w:szCs w:val="22"/>
          <w:highlight w:val="none"/>
        </w:rPr>
        <w:t>南面4台反应釜（1000L、2000L、5000L、8000L）产生的废气经冷凝+3级碱液喷淋+活性炭吸附处理设施处理后20m高排气筒DA003排放；</w:t>
      </w:r>
    </w:p>
    <w:p w14:paraId="2312B716">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④二工场北面4台反应釜（2000L、3000L、8000L*2）废气经冷凝+3级碱液喷淋+活性炭吸附处理设施处理后经20m高排气筒DA004排放；</w:t>
      </w:r>
    </w:p>
    <w:p w14:paraId="2ADDB945">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⑤二工场车间内无组织废气经一套3级碱液喷淋+二级活性炭吸附装置处理后经DA005排放。</w:t>
      </w:r>
    </w:p>
    <w:p w14:paraId="06D8CAF8">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现有项目废气处置、排放情况</w:t>
      </w:r>
      <w:r>
        <w:rPr>
          <w:rFonts w:ascii="Times New Roman" w:hAnsi="Times New Roman"/>
          <w:color w:val="auto"/>
          <w:szCs w:val="22"/>
          <w:highlight w:val="none"/>
        </w:rPr>
        <w:t>见下</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REF _Ref38799774 \h  \* MERGEFORMAT </w:instrText>
      </w:r>
      <w:r>
        <w:rPr>
          <w:rFonts w:ascii="Times New Roman" w:hAnsi="Times New Roman" w:cs="Times New Roman"/>
          <w:color w:val="auto"/>
          <w:szCs w:val="22"/>
          <w:highlight w:val="none"/>
        </w:rPr>
        <w:fldChar w:fldCharType="separate"/>
      </w:r>
      <w:r>
        <w:rPr>
          <w:rFonts w:ascii="Times New Roman" w:hAnsi="Times New Roman" w:cs="Times New Roman"/>
          <w:bCs/>
          <w:color w:val="auto"/>
          <w:szCs w:val="22"/>
          <w:highlight w:val="none"/>
        </w:rPr>
        <w:t>表</w:t>
      </w:r>
      <w:r>
        <w:rPr>
          <w:rFonts w:ascii="Times New Roman" w:hAnsi="Times New Roman" w:cs="Times New Roman"/>
          <w:bCs/>
          <w:color w:val="auto"/>
          <w:szCs w:val="22"/>
          <w:highlight w:val="none"/>
        </w:rPr>
        <w:fldChar w:fldCharType="begin"/>
      </w:r>
      <w:r>
        <w:rPr>
          <w:rFonts w:ascii="Times New Roman" w:hAnsi="Times New Roman" w:cs="Times New Roman"/>
          <w:bCs/>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4</w:t>
      </w:r>
      <w:r>
        <w:rPr>
          <w:rFonts w:ascii="Times New Roman" w:hAnsi="Times New Roman" w:cs="Times New Roman"/>
          <w:color w:val="auto"/>
          <w:szCs w:val="22"/>
          <w:highlight w:val="none"/>
        </w:rPr>
        <w:fldChar w:fldCharType="end"/>
      </w:r>
      <w:r>
        <w:rPr>
          <w:rFonts w:ascii="Times New Roman" w:hAnsi="Times New Roman" w:cs="Times New Roman"/>
          <w:color w:val="auto"/>
          <w:szCs w:val="22"/>
          <w:highlight w:val="none"/>
        </w:rPr>
        <w:t>。</w:t>
      </w:r>
    </w:p>
    <w:p w14:paraId="64094414">
      <w:pPr>
        <w:pStyle w:val="15"/>
        <w:spacing w:line="360" w:lineRule="auto"/>
        <w:ind w:left="-105" w:right="-105" w:firstLine="482"/>
        <w:rPr>
          <w:rFonts w:eastAsia="宋体" w:cs="Times New Roman"/>
          <w:bCs/>
          <w:color w:val="auto"/>
          <w:sz w:val="24"/>
          <w:szCs w:val="18"/>
          <w:highlight w:val="none"/>
        </w:rPr>
      </w:pPr>
      <w:bookmarkStart w:id="206" w:name="_Ref38799774"/>
      <w:bookmarkStart w:id="207" w:name="_Ref38799771"/>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4</w:t>
      </w:r>
      <w:r>
        <w:rPr>
          <w:rFonts w:eastAsia="宋体" w:cs="Times New Roman"/>
          <w:bCs/>
          <w:color w:val="auto"/>
          <w:sz w:val="24"/>
          <w:szCs w:val="18"/>
          <w:highlight w:val="none"/>
        </w:rPr>
        <w:fldChar w:fldCharType="end"/>
      </w:r>
      <w:bookmarkEnd w:id="206"/>
      <w:r>
        <w:rPr>
          <w:rFonts w:eastAsia="宋体" w:cs="Times New Roman"/>
          <w:bCs/>
          <w:color w:val="auto"/>
          <w:sz w:val="24"/>
          <w:szCs w:val="18"/>
          <w:highlight w:val="none"/>
        </w:rPr>
        <w:t>废气收集、处理措施及效率一览表</w:t>
      </w:r>
      <w:bookmarkEnd w:id="207"/>
    </w:p>
    <w:tbl>
      <w:tblPr>
        <w:tblStyle w:val="45"/>
        <w:tblW w:w="50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142"/>
        <w:gridCol w:w="659"/>
        <w:gridCol w:w="1019"/>
        <w:gridCol w:w="1041"/>
        <w:gridCol w:w="899"/>
        <w:gridCol w:w="786"/>
        <w:gridCol w:w="644"/>
        <w:gridCol w:w="644"/>
        <w:gridCol w:w="721"/>
        <w:gridCol w:w="817"/>
      </w:tblGrid>
      <w:tr w14:paraId="3519E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4" w:type="dxa"/>
            <w:vMerge w:val="restart"/>
            <w:vAlign w:val="center"/>
          </w:tcPr>
          <w:p w14:paraId="51453650">
            <w:pPr>
              <w:ind w:left="-105" w:right="-105"/>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序号</w:t>
            </w:r>
          </w:p>
        </w:tc>
        <w:tc>
          <w:tcPr>
            <w:tcW w:w="1146" w:type="dxa"/>
            <w:vMerge w:val="restart"/>
            <w:vAlign w:val="center"/>
          </w:tcPr>
          <w:p w14:paraId="5A8BBB8F">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废气名称</w:t>
            </w:r>
          </w:p>
        </w:tc>
        <w:tc>
          <w:tcPr>
            <w:tcW w:w="658" w:type="dxa"/>
            <w:vMerge w:val="restart"/>
            <w:vAlign w:val="center"/>
          </w:tcPr>
          <w:p w14:paraId="6CBCF82D">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排放形式</w:t>
            </w:r>
          </w:p>
        </w:tc>
        <w:tc>
          <w:tcPr>
            <w:tcW w:w="1022" w:type="dxa"/>
            <w:vMerge w:val="restart"/>
            <w:vAlign w:val="center"/>
          </w:tcPr>
          <w:p w14:paraId="0F5C7E88">
            <w:pPr>
              <w:ind w:left="-105" w:right="-105"/>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污染物</w:t>
            </w:r>
            <w:r>
              <w:rPr>
                <w:rFonts w:hint="eastAsia" w:ascii="Times New Roman" w:hAnsi="Times New Roman"/>
                <w:b/>
                <w:color w:val="auto"/>
                <w:sz w:val="21"/>
                <w:szCs w:val="21"/>
                <w:highlight w:val="none"/>
              </w:rPr>
              <w:t>种类</w:t>
            </w:r>
          </w:p>
        </w:tc>
        <w:tc>
          <w:tcPr>
            <w:tcW w:w="1044" w:type="dxa"/>
            <w:vMerge w:val="restart"/>
            <w:vAlign w:val="center"/>
          </w:tcPr>
          <w:p w14:paraId="176407AB">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治理</w:t>
            </w:r>
            <w:r>
              <w:rPr>
                <w:rFonts w:ascii="Times New Roman" w:hAnsi="Times New Roman"/>
                <w:b/>
                <w:color w:val="auto"/>
                <w:sz w:val="21"/>
                <w:szCs w:val="21"/>
                <w:highlight w:val="none"/>
              </w:rPr>
              <w:t>措施</w:t>
            </w:r>
          </w:p>
        </w:tc>
        <w:tc>
          <w:tcPr>
            <w:tcW w:w="900" w:type="dxa"/>
            <w:vMerge w:val="restart"/>
            <w:vAlign w:val="center"/>
          </w:tcPr>
          <w:p w14:paraId="310A1476">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排气量(m</w:t>
            </w:r>
            <w:r>
              <w:rPr>
                <w:rFonts w:hint="eastAsia" w:ascii="Times New Roman" w:hAnsi="Times New Roman"/>
                <w:b/>
                <w:color w:val="auto"/>
                <w:sz w:val="21"/>
                <w:szCs w:val="21"/>
                <w:highlight w:val="none"/>
                <w:vertAlign w:val="superscript"/>
              </w:rPr>
              <w:t>3</w:t>
            </w:r>
            <w:r>
              <w:rPr>
                <w:rFonts w:hint="eastAsia" w:ascii="Times New Roman" w:hAnsi="Times New Roman"/>
                <w:b/>
                <w:color w:val="auto"/>
                <w:sz w:val="21"/>
                <w:szCs w:val="21"/>
                <w:highlight w:val="none"/>
              </w:rPr>
              <w:t>/h)</w:t>
            </w:r>
          </w:p>
        </w:tc>
        <w:tc>
          <w:tcPr>
            <w:tcW w:w="786" w:type="dxa"/>
            <w:vMerge w:val="restart"/>
            <w:vAlign w:val="center"/>
          </w:tcPr>
          <w:p w14:paraId="0B61597E">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去除率(%)</w:t>
            </w:r>
          </w:p>
        </w:tc>
        <w:tc>
          <w:tcPr>
            <w:tcW w:w="2004" w:type="dxa"/>
            <w:gridSpan w:val="3"/>
            <w:vAlign w:val="center"/>
          </w:tcPr>
          <w:p w14:paraId="16E1DC2D">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排气筒(m)</w:t>
            </w:r>
          </w:p>
        </w:tc>
        <w:tc>
          <w:tcPr>
            <w:tcW w:w="818" w:type="dxa"/>
            <w:vMerge w:val="restart"/>
            <w:vAlign w:val="center"/>
          </w:tcPr>
          <w:p w14:paraId="41530485">
            <w:pPr>
              <w:ind w:left="-105" w:right="-105"/>
              <w:jc w:val="center"/>
              <w:textAlignment w:val="baseline"/>
              <w:rPr>
                <w:rFonts w:ascii="Times New Roman" w:hAnsi="Times New Roman"/>
                <w:b/>
                <w:color w:val="auto"/>
                <w:sz w:val="21"/>
                <w:szCs w:val="21"/>
                <w:highlight w:val="none"/>
              </w:rPr>
            </w:pPr>
            <w:r>
              <w:rPr>
                <w:rFonts w:ascii="Times New Roman" w:hAnsi="Times New Roman"/>
                <w:b/>
                <w:color w:val="auto"/>
                <w:sz w:val="21"/>
                <w:szCs w:val="21"/>
                <w:highlight w:val="none"/>
              </w:rPr>
              <w:t>工作时间</w:t>
            </w:r>
          </w:p>
          <w:p w14:paraId="5EC940A7">
            <w:pPr>
              <w:ind w:left="-105" w:right="-105"/>
              <w:jc w:val="center"/>
              <w:textAlignment w:val="baseline"/>
              <w:rPr>
                <w:rFonts w:ascii="Times New Roman" w:hAnsi="Times New Roman"/>
                <w:color w:val="auto"/>
                <w:sz w:val="21"/>
                <w:szCs w:val="21"/>
                <w:highlight w:val="none"/>
              </w:rPr>
            </w:pPr>
            <w:r>
              <w:rPr>
                <w:rFonts w:ascii="Times New Roman" w:hAnsi="Times New Roman"/>
                <w:b/>
                <w:color w:val="auto"/>
                <w:sz w:val="21"/>
                <w:szCs w:val="21"/>
                <w:highlight w:val="none"/>
              </w:rPr>
              <w:t>(h/a)</w:t>
            </w:r>
          </w:p>
        </w:tc>
      </w:tr>
      <w:tr w14:paraId="6E906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4" w:type="dxa"/>
            <w:vMerge w:val="continue"/>
            <w:vAlign w:val="center"/>
          </w:tcPr>
          <w:p w14:paraId="176D9D0F">
            <w:pPr>
              <w:ind w:left="-105" w:right="-105"/>
              <w:jc w:val="center"/>
              <w:textAlignment w:val="baseline"/>
              <w:rPr>
                <w:color w:val="auto"/>
                <w:sz w:val="21"/>
                <w:szCs w:val="21"/>
                <w:highlight w:val="none"/>
              </w:rPr>
            </w:pPr>
          </w:p>
        </w:tc>
        <w:tc>
          <w:tcPr>
            <w:tcW w:w="1146" w:type="dxa"/>
            <w:vMerge w:val="continue"/>
            <w:vAlign w:val="center"/>
          </w:tcPr>
          <w:p w14:paraId="486FCFB7">
            <w:pPr>
              <w:ind w:left="-105" w:right="-105"/>
              <w:jc w:val="center"/>
              <w:textAlignment w:val="baseline"/>
              <w:rPr>
                <w:color w:val="auto"/>
                <w:sz w:val="21"/>
                <w:szCs w:val="21"/>
                <w:highlight w:val="none"/>
              </w:rPr>
            </w:pPr>
          </w:p>
        </w:tc>
        <w:tc>
          <w:tcPr>
            <w:tcW w:w="658" w:type="dxa"/>
            <w:vMerge w:val="continue"/>
            <w:vAlign w:val="center"/>
          </w:tcPr>
          <w:p w14:paraId="0E3D6620">
            <w:pPr>
              <w:ind w:left="-105" w:right="-105"/>
              <w:jc w:val="center"/>
              <w:textAlignment w:val="baseline"/>
              <w:rPr>
                <w:color w:val="auto"/>
                <w:sz w:val="21"/>
                <w:szCs w:val="21"/>
                <w:highlight w:val="none"/>
              </w:rPr>
            </w:pPr>
          </w:p>
        </w:tc>
        <w:tc>
          <w:tcPr>
            <w:tcW w:w="1022" w:type="dxa"/>
            <w:vMerge w:val="continue"/>
            <w:vAlign w:val="center"/>
          </w:tcPr>
          <w:p w14:paraId="78294776">
            <w:pPr>
              <w:ind w:left="-105" w:right="-105"/>
              <w:jc w:val="center"/>
              <w:textAlignment w:val="baseline"/>
              <w:rPr>
                <w:color w:val="auto"/>
                <w:sz w:val="21"/>
                <w:szCs w:val="21"/>
                <w:highlight w:val="none"/>
              </w:rPr>
            </w:pPr>
          </w:p>
        </w:tc>
        <w:tc>
          <w:tcPr>
            <w:tcW w:w="1044" w:type="dxa"/>
            <w:vMerge w:val="continue"/>
            <w:vAlign w:val="center"/>
          </w:tcPr>
          <w:p w14:paraId="710127D5">
            <w:pPr>
              <w:ind w:left="-105" w:right="-105"/>
              <w:jc w:val="center"/>
              <w:textAlignment w:val="baseline"/>
              <w:rPr>
                <w:color w:val="auto"/>
                <w:sz w:val="21"/>
                <w:szCs w:val="21"/>
                <w:highlight w:val="none"/>
              </w:rPr>
            </w:pPr>
          </w:p>
        </w:tc>
        <w:tc>
          <w:tcPr>
            <w:tcW w:w="900" w:type="dxa"/>
            <w:vMerge w:val="continue"/>
            <w:vAlign w:val="center"/>
          </w:tcPr>
          <w:p w14:paraId="1F8EB72C">
            <w:pPr>
              <w:ind w:left="-105" w:right="-105"/>
              <w:jc w:val="center"/>
              <w:textAlignment w:val="baseline"/>
              <w:rPr>
                <w:color w:val="auto"/>
                <w:sz w:val="21"/>
                <w:szCs w:val="21"/>
                <w:highlight w:val="none"/>
              </w:rPr>
            </w:pPr>
          </w:p>
        </w:tc>
        <w:tc>
          <w:tcPr>
            <w:tcW w:w="786" w:type="dxa"/>
            <w:vMerge w:val="continue"/>
            <w:vAlign w:val="center"/>
          </w:tcPr>
          <w:p w14:paraId="52B6B558">
            <w:pPr>
              <w:ind w:left="-105" w:right="-105"/>
              <w:jc w:val="center"/>
              <w:textAlignment w:val="baseline"/>
              <w:rPr>
                <w:color w:val="auto"/>
                <w:sz w:val="21"/>
                <w:szCs w:val="21"/>
                <w:highlight w:val="none"/>
              </w:rPr>
            </w:pPr>
          </w:p>
        </w:tc>
        <w:tc>
          <w:tcPr>
            <w:tcW w:w="642" w:type="dxa"/>
            <w:vAlign w:val="center"/>
          </w:tcPr>
          <w:p w14:paraId="4DB9AFDE">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名称</w:t>
            </w:r>
          </w:p>
        </w:tc>
        <w:tc>
          <w:tcPr>
            <w:tcW w:w="642" w:type="dxa"/>
            <w:vAlign w:val="center"/>
          </w:tcPr>
          <w:p w14:paraId="686EA375">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内径</w:t>
            </w:r>
          </w:p>
        </w:tc>
        <w:tc>
          <w:tcPr>
            <w:tcW w:w="720" w:type="dxa"/>
            <w:vAlign w:val="center"/>
          </w:tcPr>
          <w:p w14:paraId="30D76A67">
            <w:pPr>
              <w:ind w:left="-105" w:right="-105"/>
              <w:jc w:val="center"/>
              <w:textAlignment w:val="baseline"/>
              <w:rPr>
                <w:rFonts w:ascii="Times New Roman" w:hAnsi="Times New Roman"/>
                <w:b/>
                <w:color w:val="auto"/>
                <w:sz w:val="21"/>
                <w:szCs w:val="21"/>
                <w:highlight w:val="none"/>
              </w:rPr>
            </w:pPr>
            <w:r>
              <w:rPr>
                <w:rFonts w:hint="eastAsia" w:ascii="Times New Roman" w:hAnsi="Times New Roman"/>
                <w:b/>
                <w:color w:val="auto"/>
                <w:sz w:val="21"/>
                <w:szCs w:val="21"/>
                <w:highlight w:val="none"/>
              </w:rPr>
              <w:t>高度</w:t>
            </w:r>
          </w:p>
        </w:tc>
        <w:tc>
          <w:tcPr>
            <w:tcW w:w="818" w:type="dxa"/>
            <w:vMerge w:val="continue"/>
            <w:vAlign w:val="center"/>
          </w:tcPr>
          <w:p w14:paraId="6989E112">
            <w:pPr>
              <w:ind w:left="-105" w:right="-105"/>
              <w:jc w:val="center"/>
              <w:textAlignment w:val="baseline"/>
              <w:rPr>
                <w:rFonts w:ascii="Times New Roman" w:hAnsi="Times New Roman"/>
                <w:b/>
                <w:color w:val="auto"/>
                <w:sz w:val="21"/>
                <w:szCs w:val="21"/>
                <w:highlight w:val="none"/>
              </w:rPr>
            </w:pPr>
          </w:p>
        </w:tc>
      </w:tr>
      <w:tr w14:paraId="6A8F9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restart"/>
            <w:vAlign w:val="center"/>
          </w:tcPr>
          <w:p w14:paraId="178CC4C0">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lang w:bidi="ar"/>
              </w:rPr>
              <w:t>1</w:t>
            </w:r>
          </w:p>
        </w:tc>
        <w:tc>
          <w:tcPr>
            <w:tcW w:w="1146" w:type="dxa"/>
            <w:vMerge w:val="restart"/>
            <w:vAlign w:val="center"/>
          </w:tcPr>
          <w:p w14:paraId="3791F685">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一工场</w:t>
            </w:r>
            <w:r>
              <w:rPr>
                <w:rFonts w:hint="eastAsia" w:ascii="Times New Roman" w:hAnsi="Times New Roman"/>
                <w:color w:val="auto"/>
                <w:sz w:val="21"/>
                <w:szCs w:val="21"/>
                <w:highlight w:val="none"/>
              </w:rPr>
              <w:t>北侧4台反应釜（5000L*2、8000L*2）</w:t>
            </w:r>
          </w:p>
        </w:tc>
        <w:tc>
          <w:tcPr>
            <w:tcW w:w="658" w:type="dxa"/>
            <w:vMerge w:val="restart"/>
            <w:vAlign w:val="center"/>
          </w:tcPr>
          <w:p w14:paraId="193C815A">
            <w:pPr>
              <w:ind w:left="-105" w:right="-105"/>
              <w:jc w:val="center"/>
              <w:textAlignment w:val="center"/>
              <w:rPr>
                <w:rFonts w:ascii="Times New Roman" w:hAnsi="Times New Roman"/>
                <w:color w:val="auto"/>
                <w:sz w:val="21"/>
                <w:szCs w:val="21"/>
                <w:highlight w:val="none"/>
                <w:lang w:bidi="ar"/>
              </w:rPr>
            </w:pPr>
            <w:r>
              <w:rPr>
                <w:rFonts w:hint="eastAsia" w:ascii="Times New Roman" w:hAnsi="Times New Roman"/>
                <w:color w:val="auto"/>
                <w:sz w:val="21"/>
                <w:szCs w:val="21"/>
                <w:highlight w:val="none"/>
                <w:lang w:bidi="ar"/>
              </w:rPr>
              <w:t>有组织</w:t>
            </w:r>
          </w:p>
        </w:tc>
        <w:tc>
          <w:tcPr>
            <w:tcW w:w="1022" w:type="dxa"/>
            <w:vAlign w:val="center"/>
          </w:tcPr>
          <w:p w14:paraId="4F4E9943">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2-乙二醇单乙醚醋酸酯</w:t>
            </w:r>
          </w:p>
        </w:tc>
        <w:tc>
          <w:tcPr>
            <w:tcW w:w="1044" w:type="dxa"/>
            <w:vMerge w:val="restart"/>
            <w:vAlign w:val="center"/>
          </w:tcPr>
          <w:p w14:paraId="1559280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冷凝+3级碱液喷淋+活性炭吸附装置</w:t>
            </w:r>
          </w:p>
        </w:tc>
        <w:tc>
          <w:tcPr>
            <w:tcW w:w="900" w:type="dxa"/>
            <w:vMerge w:val="restart"/>
            <w:vAlign w:val="center"/>
          </w:tcPr>
          <w:p w14:paraId="6C81B2C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5000</w:t>
            </w:r>
          </w:p>
        </w:tc>
        <w:tc>
          <w:tcPr>
            <w:tcW w:w="786" w:type="dxa"/>
            <w:vAlign w:val="center"/>
          </w:tcPr>
          <w:p w14:paraId="24FCA17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restart"/>
            <w:vAlign w:val="center"/>
          </w:tcPr>
          <w:p w14:paraId="33E53AE7">
            <w:pPr>
              <w:ind w:left="-105" w:right="-105"/>
              <w:jc w:val="center"/>
              <w:textAlignment w:val="center"/>
              <w:rPr>
                <w:rStyle w:val="115"/>
                <w:rFonts w:hint="default" w:ascii="Times New Roman" w:hAnsi="Times New Roman" w:cs="Times New Roman"/>
                <w:color w:val="auto"/>
                <w:highlight w:val="none"/>
                <w:lang w:bidi="ar"/>
              </w:rPr>
            </w:pPr>
            <w:r>
              <w:rPr>
                <w:rStyle w:val="115"/>
                <w:rFonts w:hint="default" w:ascii="Times New Roman" w:hAnsi="Times New Roman" w:cs="Times New Roman"/>
                <w:color w:val="auto"/>
                <w:highlight w:val="none"/>
                <w:lang w:bidi="ar"/>
              </w:rPr>
              <w:t>DA001</w:t>
            </w:r>
          </w:p>
        </w:tc>
        <w:tc>
          <w:tcPr>
            <w:tcW w:w="642" w:type="dxa"/>
            <w:vMerge w:val="restart"/>
            <w:vAlign w:val="center"/>
          </w:tcPr>
          <w:p w14:paraId="4E53300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0.32</w:t>
            </w:r>
          </w:p>
        </w:tc>
        <w:tc>
          <w:tcPr>
            <w:tcW w:w="720" w:type="dxa"/>
            <w:vMerge w:val="restart"/>
            <w:vAlign w:val="center"/>
          </w:tcPr>
          <w:p w14:paraId="6D9F424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818" w:type="dxa"/>
            <w:vMerge w:val="restart"/>
            <w:vAlign w:val="center"/>
          </w:tcPr>
          <w:p w14:paraId="1FC177E9">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8400</w:t>
            </w:r>
          </w:p>
        </w:tc>
      </w:tr>
      <w:tr w14:paraId="004B6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35D1DF49">
            <w:pPr>
              <w:ind w:left="-105" w:right="-105"/>
              <w:jc w:val="center"/>
              <w:rPr>
                <w:rFonts w:ascii="Times New Roman" w:hAnsi="Times New Roman"/>
                <w:color w:val="auto"/>
                <w:sz w:val="21"/>
                <w:szCs w:val="21"/>
                <w:highlight w:val="none"/>
              </w:rPr>
            </w:pPr>
          </w:p>
        </w:tc>
        <w:tc>
          <w:tcPr>
            <w:tcW w:w="1146" w:type="dxa"/>
            <w:vMerge w:val="continue"/>
            <w:vAlign w:val="center"/>
          </w:tcPr>
          <w:p w14:paraId="307B634E">
            <w:pPr>
              <w:ind w:left="-105" w:right="-105"/>
              <w:jc w:val="center"/>
              <w:rPr>
                <w:rFonts w:ascii="Times New Roman" w:hAnsi="Times New Roman"/>
                <w:color w:val="auto"/>
                <w:sz w:val="21"/>
                <w:szCs w:val="21"/>
                <w:highlight w:val="none"/>
              </w:rPr>
            </w:pPr>
          </w:p>
        </w:tc>
        <w:tc>
          <w:tcPr>
            <w:tcW w:w="658" w:type="dxa"/>
            <w:vMerge w:val="continue"/>
            <w:vAlign w:val="center"/>
          </w:tcPr>
          <w:p w14:paraId="6A0FB8E5">
            <w:pPr>
              <w:ind w:left="-105" w:right="-105"/>
              <w:jc w:val="center"/>
              <w:rPr>
                <w:rFonts w:ascii="Times New Roman" w:hAnsi="Times New Roman"/>
                <w:color w:val="auto"/>
                <w:sz w:val="21"/>
                <w:szCs w:val="21"/>
                <w:highlight w:val="none"/>
                <w:lang w:bidi="ar"/>
              </w:rPr>
            </w:pPr>
          </w:p>
        </w:tc>
        <w:tc>
          <w:tcPr>
            <w:tcW w:w="1022" w:type="dxa"/>
            <w:vAlign w:val="center"/>
          </w:tcPr>
          <w:p w14:paraId="77209C6B">
            <w:pPr>
              <w:ind w:left="-105" w:right="-105"/>
              <w:jc w:val="center"/>
              <w:textAlignment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丙烯酸</w:t>
            </w:r>
          </w:p>
        </w:tc>
        <w:tc>
          <w:tcPr>
            <w:tcW w:w="1044" w:type="dxa"/>
            <w:vMerge w:val="continue"/>
            <w:vAlign w:val="center"/>
          </w:tcPr>
          <w:p w14:paraId="60F131CE">
            <w:pPr>
              <w:ind w:left="-105" w:right="-105"/>
              <w:jc w:val="center"/>
              <w:rPr>
                <w:rFonts w:ascii="Times New Roman" w:hAnsi="Times New Roman"/>
                <w:color w:val="auto"/>
                <w:sz w:val="21"/>
                <w:szCs w:val="21"/>
                <w:highlight w:val="none"/>
              </w:rPr>
            </w:pPr>
          </w:p>
        </w:tc>
        <w:tc>
          <w:tcPr>
            <w:tcW w:w="900" w:type="dxa"/>
            <w:vMerge w:val="continue"/>
            <w:vAlign w:val="center"/>
          </w:tcPr>
          <w:p w14:paraId="3E95EC0E">
            <w:pPr>
              <w:ind w:left="-105" w:right="-105"/>
              <w:jc w:val="center"/>
              <w:rPr>
                <w:rFonts w:ascii="Times New Roman" w:hAnsi="Times New Roman"/>
                <w:color w:val="auto"/>
                <w:sz w:val="21"/>
                <w:szCs w:val="21"/>
                <w:highlight w:val="none"/>
              </w:rPr>
            </w:pPr>
          </w:p>
        </w:tc>
        <w:tc>
          <w:tcPr>
            <w:tcW w:w="786" w:type="dxa"/>
            <w:vAlign w:val="center"/>
          </w:tcPr>
          <w:p w14:paraId="6A911C8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98</w:t>
            </w:r>
          </w:p>
        </w:tc>
        <w:tc>
          <w:tcPr>
            <w:tcW w:w="642" w:type="dxa"/>
            <w:vMerge w:val="continue"/>
            <w:vAlign w:val="center"/>
          </w:tcPr>
          <w:p w14:paraId="214D3D41">
            <w:pPr>
              <w:ind w:left="-105" w:right="-105"/>
              <w:jc w:val="center"/>
              <w:rPr>
                <w:rFonts w:ascii="Times New Roman" w:hAnsi="Times New Roman"/>
                <w:color w:val="auto"/>
                <w:sz w:val="21"/>
                <w:szCs w:val="21"/>
                <w:highlight w:val="none"/>
              </w:rPr>
            </w:pPr>
          </w:p>
        </w:tc>
        <w:tc>
          <w:tcPr>
            <w:tcW w:w="642" w:type="dxa"/>
            <w:vMerge w:val="continue"/>
            <w:vAlign w:val="center"/>
          </w:tcPr>
          <w:p w14:paraId="633081DD">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2EAACBF7">
            <w:pPr>
              <w:ind w:left="-105" w:right="-105"/>
              <w:jc w:val="center"/>
              <w:rPr>
                <w:rFonts w:ascii="Times New Roman" w:hAnsi="Times New Roman"/>
                <w:color w:val="auto"/>
                <w:sz w:val="21"/>
                <w:szCs w:val="21"/>
                <w:highlight w:val="none"/>
              </w:rPr>
            </w:pPr>
          </w:p>
        </w:tc>
        <w:tc>
          <w:tcPr>
            <w:tcW w:w="818" w:type="dxa"/>
            <w:vMerge w:val="continue"/>
            <w:vAlign w:val="center"/>
          </w:tcPr>
          <w:p w14:paraId="65279A6E">
            <w:pPr>
              <w:ind w:left="-105" w:right="-105"/>
              <w:jc w:val="center"/>
              <w:textAlignment w:val="center"/>
              <w:rPr>
                <w:rFonts w:ascii="Times New Roman" w:hAnsi="Times New Roman"/>
                <w:color w:val="auto"/>
                <w:sz w:val="21"/>
                <w:szCs w:val="21"/>
                <w:highlight w:val="none"/>
              </w:rPr>
            </w:pPr>
          </w:p>
        </w:tc>
      </w:tr>
      <w:tr w14:paraId="4891B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0176F339">
            <w:pPr>
              <w:ind w:left="-105" w:right="-105"/>
              <w:jc w:val="center"/>
              <w:rPr>
                <w:rFonts w:ascii="Times New Roman" w:hAnsi="Times New Roman"/>
                <w:color w:val="auto"/>
                <w:sz w:val="21"/>
                <w:szCs w:val="21"/>
                <w:highlight w:val="none"/>
              </w:rPr>
            </w:pPr>
          </w:p>
        </w:tc>
        <w:tc>
          <w:tcPr>
            <w:tcW w:w="1146" w:type="dxa"/>
            <w:vMerge w:val="continue"/>
            <w:vAlign w:val="center"/>
          </w:tcPr>
          <w:p w14:paraId="7257C9A1">
            <w:pPr>
              <w:ind w:left="-105" w:right="-105"/>
              <w:jc w:val="center"/>
              <w:rPr>
                <w:rFonts w:ascii="Times New Roman" w:hAnsi="Times New Roman"/>
                <w:color w:val="auto"/>
                <w:sz w:val="21"/>
                <w:szCs w:val="21"/>
                <w:highlight w:val="none"/>
              </w:rPr>
            </w:pPr>
          </w:p>
        </w:tc>
        <w:tc>
          <w:tcPr>
            <w:tcW w:w="658" w:type="dxa"/>
            <w:vMerge w:val="continue"/>
            <w:vAlign w:val="center"/>
          </w:tcPr>
          <w:p w14:paraId="24267B8D">
            <w:pPr>
              <w:ind w:left="-105" w:right="-105"/>
              <w:jc w:val="center"/>
              <w:rPr>
                <w:rFonts w:ascii="Times New Roman" w:hAnsi="Times New Roman"/>
                <w:color w:val="auto"/>
                <w:sz w:val="21"/>
                <w:szCs w:val="21"/>
                <w:highlight w:val="none"/>
                <w:lang w:bidi="ar"/>
              </w:rPr>
            </w:pPr>
          </w:p>
        </w:tc>
        <w:tc>
          <w:tcPr>
            <w:tcW w:w="1022" w:type="dxa"/>
            <w:vAlign w:val="center"/>
          </w:tcPr>
          <w:p w14:paraId="3709D59E">
            <w:pPr>
              <w:ind w:left="-105" w:right="-105"/>
              <w:jc w:val="center"/>
              <w:textAlignment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丁酮</w:t>
            </w:r>
          </w:p>
        </w:tc>
        <w:tc>
          <w:tcPr>
            <w:tcW w:w="1044" w:type="dxa"/>
            <w:vMerge w:val="continue"/>
            <w:vAlign w:val="center"/>
          </w:tcPr>
          <w:p w14:paraId="4CCF7FA7">
            <w:pPr>
              <w:ind w:left="-105" w:right="-105"/>
              <w:jc w:val="center"/>
              <w:rPr>
                <w:rFonts w:ascii="Times New Roman" w:hAnsi="Times New Roman"/>
                <w:color w:val="auto"/>
                <w:sz w:val="21"/>
                <w:szCs w:val="21"/>
                <w:highlight w:val="none"/>
              </w:rPr>
            </w:pPr>
          </w:p>
        </w:tc>
        <w:tc>
          <w:tcPr>
            <w:tcW w:w="900" w:type="dxa"/>
            <w:vMerge w:val="continue"/>
            <w:vAlign w:val="center"/>
          </w:tcPr>
          <w:p w14:paraId="5E65C783">
            <w:pPr>
              <w:ind w:left="-105" w:right="-105"/>
              <w:jc w:val="center"/>
              <w:rPr>
                <w:rFonts w:ascii="Times New Roman" w:hAnsi="Times New Roman"/>
                <w:color w:val="auto"/>
                <w:sz w:val="21"/>
                <w:szCs w:val="21"/>
                <w:highlight w:val="none"/>
              </w:rPr>
            </w:pPr>
          </w:p>
        </w:tc>
        <w:tc>
          <w:tcPr>
            <w:tcW w:w="786" w:type="dxa"/>
            <w:vAlign w:val="center"/>
          </w:tcPr>
          <w:p w14:paraId="3DB3254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94</w:t>
            </w:r>
          </w:p>
        </w:tc>
        <w:tc>
          <w:tcPr>
            <w:tcW w:w="642" w:type="dxa"/>
            <w:vMerge w:val="continue"/>
            <w:vAlign w:val="center"/>
          </w:tcPr>
          <w:p w14:paraId="50028CF4">
            <w:pPr>
              <w:ind w:left="-105" w:right="-105"/>
              <w:jc w:val="center"/>
              <w:rPr>
                <w:rFonts w:ascii="Times New Roman" w:hAnsi="Times New Roman"/>
                <w:color w:val="auto"/>
                <w:sz w:val="21"/>
                <w:szCs w:val="21"/>
                <w:highlight w:val="none"/>
              </w:rPr>
            </w:pPr>
          </w:p>
        </w:tc>
        <w:tc>
          <w:tcPr>
            <w:tcW w:w="642" w:type="dxa"/>
            <w:vMerge w:val="continue"/>
            <w:vAlign w:val="center"/>
          </w:tcPr>
          <w:p w14:paraId="61975E7C">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34744DD">
            <w:pPr>
              <w:ind w:left="-105" w:right="-105"/>
              <w:jc w:val="center"/>
              <w:rPr>
                <w:rFonts w:ascii="Times New Roman" w:hAnsi="Times New Roman"/>
                <w:color w:val="auto"/>
                <w:sz w:val="21"/>
                <w:szCs w:val="21"/>
                <w:highlight w:val="none"/>
              </w:rPr>
            </w:pPr>
          </w:p>
        </w:tc>
        <w:tc>
          <w:tcPr>
            <w:tcW w:w="818" w:type="dxa"/>
            <w:vMerge w:val="continue"/>
            <w:vAlign w:val="center"/>
          </w:tcPr>
          <w:p w14:paraId="193579B9">
            <w:pPr>
              <w:ind w:left="-105" w:right="-105"/>
              <w:jc w:val="center"/>
              <w:textAlignment w:val="center"/>
              <w:rPr>
                <w:rFonts w:ascii="Times New Roman" w:hAnsi="Times New Roman"/>
                <w:color w:val="auto"/>
                <w:sz w:val="21"/>
                <w:szCs w:val="21"/>
                <w:highlight w:val="none"/>
              </w:rPr>
            </w:pPr>
          </w:p>
        </w:tc>
      </w:tr>
      <w:tr w14:paraId="13F02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restart"/>
            <w:vAlign w:val="center"/>
          </w:tcPr>
          <w:p w14:paraId="3CE34CB9">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146" w:type="dxa"/>
            <w:vMerge w:val="restart"/>
            <w:vAlign w:val="center"/>
          </w:tcPr>
          <w:p w14:paraId="345E9FD6">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一工场</w:t>
            </w:r>
            <w:r>
              <w:rPr>
                <w:rFonts w:hint="eastAsia" w:ascii="Times New Roman" w:hAnsi="Times New Roman"/>
                <w:color w:val="auto"/>
                <w:sz w:val="21"/>
                <w:szCs w:val="21"/>
                <w:highlight w:val="none"/>
              </w:rPr>
              <w:t>南侧2台反应釜（600L*2）与车间无组织废气</w:t>
            </w:r>
          </w:p>
        </w:tc>
        <w:tc>
          <w:tcPr>
            <w:tcW w:w="658" w:type="dxa"/>
            <w:vMerge w:val="continue"/>
            <w:vAlign w:val="center"/>
          </w:tcPr>
          <w:p w14:paraId="060F7A46">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49A4FDBE">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丙烯酸</w:t>
            </w:r>
          </w:p>
        </w:tc>
        <w:tc>
          <w:tcPr>
            <w:tcW w:w="1044" w:type="dxa"/>
            <w:vMerge w:val="restart"/>
            <w:vAlign w:val="center"/>
          </w:tcPr>
          <w:p w14:paraId="6033CDA2">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冷凝+3级碱液喷淋+活性炭吸附装置</w:t>
            </w:r>
          </w:p>
        </w:tc>
        <w:tc>
          <w:tcPr>
            <w:tcW w:w="900" w:type="dxa"/>
            <w:vMerge w:val="restart"/>
            <w:vAlign w:val="center"/>
          </w:tcPr>
          <w:p w14:paraId="091D77A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15000</w:t>
            </w:r>
          </w:p>
        </w:tc>
        <w:tc>
          <w:tcPr>
            <w:tcW w:w="786" w:type="dxa"/>
            <w:vAlign w:val="center"/>
          </w:tcPr>
          <w:p w14:paraId="2F1F7DC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98</w:t>
            </w:r>
          </w:p>
        </w:tc>
        <w:tc>
          <w:tcPr>
            <w:tcW w:w="642" w:type="dxa"/>
            <w:vMerge w:val="restart"/>
            <w:vAlign w:val="center"/>
          </w:tcPr>
          <w:p w14:paraId="4C01E9B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DA002</w:t>
            </w:r>
          </w:p>
        </w:tc>
        <w:tc>
          <w:tcPr>
            <w:tcW w:w="642" w:type="dxa"/>
            <w:vMerge w:val="restart"/>
            <w:vAlign w:val="center"/>
          </w:tcPr>
          <w:p w14:paraId="29C5C32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0.6</w:t>
            </w:r>
          </w:p>
        </w:tc>
        <w:tc>
          <w:tcPr>
            <w:tcW w:w="720" w:type="dxa"/>
            <w:vMerge w:val="restart"/>
            <w:vAlign w:val="center"/>
          </w:tcPr>
          <w:p w14:paraId="0770D719">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818" w:type="dxa"/>
            <w:vMerge w:val="continue"/>
            <w:vAlign w:val="center"/>
          </w:tcPr>
          <w:p w14:paraId="6E508069">
            <w:pPr>
              <w:ind w:left="-105" w:right="-105"/>
              <w:jc w:val="center"/>
              <w:textAlignment w:val="center"/>
              <w:rPr>
                <w:rFonts w:ascii="Times New Roman" w:hAnsi="Times New Roman"/>
                <w:color w:val="auto"/>
                <w:sz w:val="21"/>
                <w:szCs w:val="21"/>
                <w:highlight w:val="none"/>
              </w:rPr>
            </w:pPr>
          </w:p>
        </w:tc>
      </w:tr>
      <w:tr w14:paraId="4F7D6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20F20957">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72EAA078">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0BB73055">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60C0F40B">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2-乙二醇单乙醚醋酸酯</w:t>
            </w:r>
          </w:p>
        </w:tc>
        <w:tc>
          <w:tcPr>
            <w:tcW w:w="1044" w:type="dxa"/>
            <w:vMerge w:val="continue"/>
            <w:vAlign w:val="center"/>
          </w:tcPr>
          <w:p w14:paraId="3A5E8783">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5431867E">
            <w:pPr>
              <w:ind w:left="-105" w:right="-105"/>
              <w:jc w:val="center"/>
              <w:textAlignment w:val="center"/>
              <w:rPr>
                <w:rFonts w:ascii="Times New Roman" w:hAnsi="Times New Roman"/>
                <w:color w:val="auto"/>
                <w:sz w:val="21"/>
                <w:szCs w:val="21"/>
                <w:highlight w:val="none"/>
              </w:rPr>
            </w:pPr>
          </w:p>
        </w:tc>
        <w:tc>
          <w:tcPr>
            <w:tcW w:w="786" w:type="dxa"/>
            <w:vAlign w:val="center"/>
          </w:tcPr>
          <w:p w14:paraId="150A8DC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46A5E77A">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0802B400">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BC30402">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4F917ADB">
            <w:pPr>
              <w:ind w:left="-105" w:right="-105"/>
              <w:jc w:val="center"/>
              <w:textAlignment w:val="center"/>
              <w:rPr>
                <w:rFonts w:ascii="Times New Roman" w:hAnsi="Times New Roman"/>
                <w:color w:val="auto"/>
                <w:sz w:val="21"/>
                <w:szCs w:val="21"/>
                <w:highlight w:val="none"/>
              </w:rPr>
            </w:pPr>
          </w:p>
        </w:tc>
      </w:tr>
      <w:tr w14:paraId="3254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3237601C">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08E40973">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7EEFFAB7">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6A6AFCF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044" w:type="dxa"/>
            <w:vMerge w:val="continue"/>
            <w:vAlign w:val="center"/>
          </w:tcPr>
          <w:p w14:paraId="7C351CBA">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4314B109">
            <w:pPr>
              <w:ind w:left="-105" w:right="-105"/>
              <w:jc w:val="center"/>
              <w:textAlignment w:val="center"/>
              <w:rPr>
                <w:rFonts w:ascii="Times New Roman" w:hAnsi="Times New Roman"/>
                <w:color w:val="auto"/>
                <w:sz w:val="21"/>
                <w:szCs w:val="21"/>
                <w:highlight w:val="none"/>
              </w:rPr>
            </w:pPr>
          </w:p>
        </w:tc>
        <w:tc>
          <w:tcPr>
            <w:tcW w:w="786" w:type="dxa"/>
            <w:vAlign w:val="center"/>
          </w:tcPr>
          <w:p w14:paraId="1FB2C1D6">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3CB4D331">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1DCDF4FF">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FB04EAE">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1D6008E0">
            <w:pPr>
              <w:ind w:left="-105" w:right="-105"/>
              <w:jc w:val="center"/>
              <w:textAlignment w:val="center"/>
              <w:rPr>
                <w:rFonts w:ascii="Times New Roman" w:hAnsi="Times New Roman"/>
                <w:color w:val="auto"/>
                <w:sz w:val="21"/>
                <w:szCs w:val="21"/>
                <w:highlight w:val="none"/>
              </w:rPr>
            </w:pPr>
          </w:p>
        </w:tc>
      </w:tr>
      <w:tr w14:paraId="58231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10F7A236">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11E1A852">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5F39AE4B">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5298EBED">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异氰酸酯</w:t>
            </w:r>
          </w:p>
        </w:tc>
        <w:tc>
          <w:tcPr>
            <w:tcW w:w="1044" w:type="dxa"/>
            <w:vMerge w:val="continue"/>
            <w:vAlign w:val="center"/>
          </w:tcPr>
          <w:p w14:paraId="669F15A3">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627789D1">
            <w:pPr>
              <w:ind w:left="-105" w:right="-105"/>
              <w:jc w:val="center"/>
              <w:textAlignment w:val="center"/>
              <w:rPr>
                <w:rFonts w:ascii="Times New Roman" w:hAnsi="Times New Roman"/>
                <w:color w:val="auto"/>
                <w:sz w:val="21"/>
                <w:szCs w:val="21"/>
                <w:highlight w:val="none"/>
              </w:rPr>
            </w:pPr>
          </w:p>
        </w:tc>
        <w:tc>
          <w:tcPr>
            <w:tcW w:w="786" w:type="dxa"/>
            <w:vAlign w:val="center"/>
          </w:tcPr>
          <w:p w14:paraId="145D0116">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39CB62EC">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0D740E90">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1B5D68E6">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32C97DA9">
            <w:pPr>
              <w:ind w:left="-105" w:right="-105"/>
              <w:jc w:val="center"/>
              <w:textAlignment w:val="center"/>
              <w:rPr>
                <w:rFonts w:ascii="Times New Roman" w:hAnsi="Times New Roman"/>
                <w:color w:val="auto"/>
                <w:sz w:val="21"/>
                <w:szCs w:val="21"/>
                <w:highlight w:val="none"/>
              </w:rPr>
            </w:pPr>
          </w:p>
        </w:tc>
      </w:tr>
      <w:tr w14:paraId="4C47E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42532BA8">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3ACB5FC1">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0EACAFDE">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28D4F58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丁酮</w:t>
            </w:r>
          </w:p>
        </w:tc>
        <w:tc>
          <w:tcPr>
            <w:tcW w:w="1044" w:type="dxa"/>
            <w:vMerge w:val="continue"/>
            <w:vAlign w:val="center"/>
          </w:tcPr>
          <w:p w14:paraId="7713E552">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2B4F83A0">
            <w:pPr>
              <w:ind w:left="-105" w:right="-105"/>
              <w:jc w:val="center"/>
              <w:textAlignment w:val="center"/>
              <w:rPr>
                <w:rFonts w:ascii="Times New Roman" w:hAnsi="Times New Roman"/>
                <w:color w:val="auto"/>
                <w:sz w:val="21"/>
                <w:szCs w:val="21"/>
                <w:highlight w:val="none"/>
              </w:rPr>
            </w:pPr>
          </w:p>
        </w:tc>
        <w:tc>
          <w:tcPr>
            <w:tcW w:w="786" w:type="dxa"/>
            <w:vAlign w:val="center"/>
          </w:tcPr>
          <w:p w14:paraId="598429A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94</w:t>
            </w:r>
          </w:p>
        </w:tc>
        <w:tc>
          <w:tcPr>
            <w:tcW w:w="642" w:type="dxa"/>
            <w:vMerge w:val="continue"/>
            <w:vAlign w:val="center"/>
          </w:tcPr>
          <w:p w14:paraId="5FDE6BBF">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7BA527E8">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9672F3C">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5DBC73FA">
            <w:pPr>
              <w:ind w:left="-105" w:right="-105"/>
              <w:jc w:val="center"/>
              <w:textAlignment w:val="center"/>
              <w:rPr>
                <w:rFonts w:ascii="Times New Roman" w:hAnsi="Times New Roman"/>
                <w:color w:val="auto"/>
                <w:sz w:val="21"/>
                <w:szCs w:val="21"/>
                <w:highlight w:val="none"/>
              </w:rPr>
            </w:pPr>
          </w:p>
        </w:tc>
      </w:tr>
      <w:tr w14:paraId="2825A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restart"/>
            <w:vAlign w:val="center"/>
          </w:tcPr>
          <w:p w14:paraId="6DA181C8">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1146" w:type="dxa"/>
            <w:vMerge w:val="restart"/>
            <w:vAlign w:val="center"/>
          </w:tcPr>
          <w:p w14:paraId="1642F50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二工场南面4台反应釜（1000L、2000L、5000L、8000L）</w:t>
            </w:r>
          </w:p>
        </w:tc>
        <w:tc>
          <w:tcPr>
            <w:tcW w:w="658" w:type="dxa"/>
            <w:vMerge w:val="continue"/>
            <w:vAlign w:val="center"/>
          </w:tcPr>
          <w:p w14:paraId="55070292">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41B3103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异氰酸酯</w:t>
            </w:r>
          </w:p>
        </w:tc>
        <w:tc>
          <w:tcPr>
            <w:tcW w:w="1044" w:type="dxa"/>
            <w:vMerge w:val="restart"/>
            <w:vAlign w:val="center"/>
          </w:tcPr>
          <w:p w14:paraId="3851ED7D">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冷凝+3级碱液喷淋+活性炭吸附装置</w:t>
            </w:r>
          </w:p>
        </w:tc>
        <w:tc>
          <w:tcPr>
            <w:tcW w:w="900" w:type="dxa"/>
            <w:vMerge w:val="restart"/>
            <w:vAlign w:val="center"/>
          </w:tcPr>
          <w:p w14:paraId="1DA09C0D">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5000</w:t>
            </w:r>
          </w:p>
        </w:tc>
        <w:tc>
          <w:tcPr>
            <w:tcW w:w="786" w:type="dxa"/>
            <w:vAlign w:val="center"/>
          </w:tcPr>
          <w:p w14:paraId="5156B61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restart"/>
            <w:vAlign w:val="center"/>
          </w:tcPr>
          <w:p w14:paraId="5BD853F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DA003</w:t>
            </w:r>
          </w:p>
        </w:tc>
        <w:tc>
          <w:tcPr>
            <w:tcW w:w="642" w:type="dxa"/>
            <w:vMerge w:val="restart"/>
            <w:vAlign w:val="center"/>
          </w:tcPr>
          <w:p w14:paraId="4566667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0.32</w:t>
            </w:r>
          </w:p>
        </w:tc>
        <w:tc>
          <w:tcPr>
            <w:tcW w:w="720" w:type="dxa"/>
            <w:vMerge w:val="restart"/>
            <w:vAlign w:val="center"/>
          </w:tcPr>
          <w:p w14:paraId="69B40E0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818" w:type="dxa"/>
            <w:vMerge w:val="continue"/>
            <w:vAlign w:val="center"/>
          </w:tcPr>
          <w:p w14:paraId="6789114B">
            <w:pPr>
              <w:ind w:left="-105" w:right="-105"/>
              <w:jc w:val="center"/>
              <w:textAlignment w:val="center"/>
              <w:rPr>
                <w:rFonts w:ascii="Times New Roman" w:hAnsi="Times New Roman"/>
                <w:color w:val="auto"/>
                <w:sz w:val="21"/>
                <w:szCs w:val="21"/>
                <w:highlight w:val="none"/>
              </w:rPr>
            </w:pPr>
          </w:p>
        </w:tc>
      </w:tr>
      <w:tr w14:paraId="42545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3826C5FC">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34F72A27">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433DE0D8">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697D0185">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丁酮</w:t>
            </w:r>
          </w:p>
        </w:tc>
        <w:tc>
          <w:tcPr>
            <w:tcW w:w="1044" w:type="dxa"/>
            <w:vMerge w:val="continue"/>
            <w:vAlign w:val="center"/>
          </w:tcPr>
          <w:p w14:paraId="7DB66B45">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0780E23B">
            <w:pPr>
              <w:ind w:left="-105" w:right="-105"/>
              <w:jc w:val="center"/>
              <w:textAlignment w:val="center"/>
              <w:rPr>
                <w:rFonts w:ascii="Times New Roman" w:hAnsi="Times New Roman"/>
                <w:color w:val="auto"/>
                <w:sz w:val="21"/>
                <w:szCs w:val="21"/>
                <w:highlight w:val="none"/>
              </w:rPr>
            </w:pPr>
          </w:p>
        </w:tc>
        <w:tc>
          <w:tcPr>
            <w:tcW w:w="786" w:type="dxa"/>
            <w:vAlign w:val="center"/>
          </w:tcPr>
          <w:p w14:paraId="4119DCB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94</w:t>
            </w:r>
          </w:p>
        </w:tc>
        <w:tc>
          <w:tcPr>
            <w:tcW w:w="642" w:type="dxa"/>
            <w:vMerge w:val="continue"/>
            <w:vAlign w:val="center"/>
          </w:tcPr>
          <w:p w14:paraId="3DC6D633">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201C1DB9">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32A6CEE9">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5D2C5978">
            <w:pPr>
              <w:ind w:left="-105" w:right="-105"/>
              <w:jc w:val="center"/>
              <w:textAlignment w:val="center"/>
              <w:rPr>
                <w:rFonts w:ascii="Times New Roman" w:hAnsi="Times New Roman"/>
                <w:color w:val="auto"/>
                <w:sz w:val="21"/>
                <w:szCs w:val="21"/>
                <w:highlight w:val="none"/>
              </w:rPr>
            </w:pPr>
          </w:p>
        </w:tc>
      </w:tr>
      <w:tr w14:paraId="00F88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22B8C840">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78E87DDA">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30BE9232">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13C846D4">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丙烯酸</w:t>
            </w:r>
          </w:p>
        </w:tc>
        <w:tc>
          <w:tcPr>
            <w:tcW w:w="1044" w:type="dxa"/>
            <w:vMerge w:val="continue"/>
            <w:vAlign w:val="center"/>
          </w:tcPr>
          <w:p w14:paraId="752CF1A0">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3B96188C">
            <w:pPr>
              <w:ind w:left="-105" w:right="-105"/>
              <w:jc w:val="center"/>
              <w:textAlignment w:val="center"/>
              <w:rPr>
                <w:rFonts w:ascii="Times New Roman" w:hAnsi="Times New Roman"/>
                <w:color w:val="auto"/>
                <w:sz w:val="21"/>
                <w:szCs w:val="21"/>
                <w:highlight w:val="none"/>
              </w:rPr>
            </w:pPr>
          </w:p>
        </w:tc>
        <w:tc>
          <w:tcPr>
            <w:tcW w:w="786" w:type="dxa"/>
            <w:vAlign w:val="center"/>
          </w:tcPr>
          <w:p w14:paraId="42FAF9E4">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98</w:t>
            </w:r>
          </w:p>
        </w:tc>
        <w:tc>
          <w:tcPr>
            <w:tcW w:w="642" w:type="dxa"/>
            <w:vMerge w:val="continue"/>
            <w:vAlign w:val="center"/>
          </w:tcPr>
          <w:p w14:paraId="1C5A4C04">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58ECC5A6">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E526D66">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3861B7F6">
            <w:pPr>
              <w:ind w:left="-105" w:right="-105"/>
              <w:jc w:val="center"/>
              <w:textAlignment w:val="center"/>
              <w:rPr>
                <w:rFonts w:ascii="Times New Roman" w:hAnsi="Times New Roman"/>
                <w:color w:val="auto"/>
                <w:sz w:val="21"/>
                <w:szCs w:val="21"/>
                <w:highlight w:val="none"/>
              </w:rPr>
            </w:pPr>
          </w:p>
        </w:tc>
      </w:tr>
      <w:tr w14:paraId="39549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0D12B85C">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2A8B6742">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7773B4C7">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3C7E80B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044" w:type="dxa"/>
            <w:vMerge w:val="continue"/>
            <w:vAlign w:val="center"/>
          </w:tcPr>
          <w:p w14:paraId="788B5032">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7B197A78">
            <w:pPr>
              <w:ind w:left="-105" w:right="-105"/>
              <w:jc w:val="center"/>
              <w:textAlignment w:val="center"/>
              <w:rPr>
                <w:rFonts w:ascii="Times New Roman" w:hAnsi="Times New Roman"/>
                <w:color w:val="auto"/>
                <w:sz w:val="21"/>
                <w:szCs w:val="21"/>
                <w:highlight w:val="none"/>
              </w:rPr>
            </w:pPr>
          </w:p>
        </w:tc>
        <w:tc>
          <w:tcPr>
            <w:tcW w:w="786" w:type="dxa"/>
            <w:vAlign w:val="center"/>
          </w:tcPr>
          <w:p w14:paraId="08644EDF">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5324969B">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442A099D">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75760C67">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54DC284B">
            <w:pPr>
              <w:ind w:left="-105" w:right="-105"/>
              <w:jc w:val="center"/>
              <w:textAlignment w:val="center"/>
              <w:rPr>
                <w:rFonts w:ascii="Times New Roman" w:hAnsi="Times New Roman"/>
                <w:color w:val="auto"/>
                <w:sz w:val="21"/>
                <w:szCs w:val="21"/>
                <w:highlight w:val="none"/>
              </w:rPr>
            </w:pPr>
          </w:p>
        </w:tc>
      </w:tr>
      <w:tr w14:paraId="5E5C8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4" w:type="dxa"/>
            <w:vMerge w:val="restart"/>
            <w:vAlign w:val="center"/>
          </w:tcPr>
          <w:p w14:paraId="3ECB3EF1">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1146" w:type="dxa"/>
            <w:vMerge w:val="restart"/>
            <w:vAlign w:val="center"/>
          </w:tcPr>
          <w:p w14:paraId="3D3AB08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二工场北面4台反应釜（2000L、3000L、8000L*2）</w:t>
            </w:r>
          </w:p>
        </w:tc>
        <w:tc>
          <w:tcPr>
            <w:tcW w:w="658" w:type="dxa"/>
            <w:vMerge w:val="continue"/>
            <w:vAlign w:val="center"/>
          </w:tcPr>
          <w:p w14:paraId="76D45FA1">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37DFC725">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丙烯酸</w:t>
            </w:r>
          </w:p>
        </w:tc>
        <w:tc>
          <w:tcPr>
            <w:tcW w:w="1044" w:type="dxa"/>
            <w:vMerge w:val="restart"/>
            <w:vAlign w:val="center"/>
          </w:tcPr>
          <w:p w14:paraId="47DEC54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冷凝+3级碱液喷淋+活性炭吸附装置</w:t>
            </w:r>
          </w:p>
        </w:tc>
        <w:tc>
          <w:tcPr>
            <w:tcW w:w="900" w:type="dxa"/>
            <w:vMerge w:val="restart"/>
            <w:vAlign w:val="center"/>
          </w:tcPr>
          <w:p w14:paraId="7F9F79FB">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5000</w:t>
            </w:r>
          </w:p>
        </w:tc>
        <w:tc>
          <w:tcPr>
            <w:tcW w:w="786" w:type="dxa"/>
            <w:vAlign w:val="center"/>
          </w:tcPr>
          <w:p w14:paraId="41817629">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restart"/>
            <w:vAlign w:val="center"/>
          </w:tcPr>
          <w:p w14:paraId="4BFCC649">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DA004</w:t>
            </w:r>
          </w:p>
        </w:tc>
        <w:tc>
          <w:tcPr>
            <w:tcW w:w="642" w:type="dxa"/>
            <w:vMerge w:val="restart"/>
            <w:vAlign w:val="center"/>
          </w:tcPr>
          <w:p w14:paraId="53131595">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0.37</w:t>
            </w:r>
          </w:p>
        </w:tc>
        <w:tc>
          <w:tcPr>
            <w:tcW w:w="720" w:type="dxa"/>
            <w:vMerge w:val="restart"/>
            <w:vAlign w:val="center"/>
          </w:tcPr>
          <w:p w14:paraId="7DD2077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818" w:type="dxa"/>
            <w:vMerge w:val="continue"/>
            <w:vAlign w:val="center"/>
          </w:tcPr>
          <w:p w14:paraId="1472C8DF">
            <w:pPr>
              <w:ind w:left="-105" w:right="-105"/>
              <w:jc w:val="center"/>
              <w:textAlignment w:val="center"/>
              <w:rPr>
                <w:rFonts w:ascii="Times New Roman" w:hAnsi="Times New Roman"/>
                <w:color w:val="auto"/>
                <w:sz w:val="21"/>
                <w:szCs w:val="21"/>
                <w:highlight w:val="none"/>
              </w:rPr>
            </w:pPr>
          </w:p>
        </w:tc>
      </w:tr>
      <w:tr w14:paraId="4DBC4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4" w:type="dxa"/>
            <w:vMerge w:val="continue"/>
            <w:vAlign w:val="center"/>
          </w:tcPr>
          <w:p w14:paraId="13E96CEB">
            <w:pPr>
              <w:ind w:left="-105" w:right="-105"/>
              <w:jc w:val="center"/>
              <w:textAlignment w:val="center"/>
              <w:rPr>
                <w:color w:val="auto"/>
                <w:sz w:val="21"/>
                <w:szCs w:val="21"/>
                <w:highlight w:val="none"/>
              </w:rPr>
            </w:pPr>
          </w:p>
        </w:tc>
        <w:tc>
          <w:tcPr>
            <w:tcW w:w="1146" w:type="dxa"/>
            <w:vMerge w:val="continue"/>
            <w:vAlign w:val="center"/>
          </w:tcPr>
          <w:p w14:paraId="46790EC8">
            <w:pPr>
              <w:ind w:left="-105" w:right="-105"/>
              <w:jc w:val="center"/>
              <w:textAlignment w:val="center"/>
              <w:rPr>
                <w:color w:val="auto"/>
                <w:sz w:val="21"/>
                <w:szCs w:val="21"/>
                <w:highlight w:val="none"/>
              </w:rPr>
            </w:pPr>
          </w:p>
        </w:tc>
        <w:tc>
          <w:tcPr>
            <w:tcW w:w="658" w:type="dxa"/>
            <w:vMerge w:val="continue"/>
            <w:vAlign w:val="center"/>
          </w:tcPr>
          <w:p w14:paraId="75749FA7">
            <w:pPr>
              <w:ind w:left="-105" w:right="-105"/>
              <w:jc w:val="center"/>
              <w:textAlignment w:val="center"/>
              <w:rPr>
                <w:color w:val="auto"/>
                <w:sz w:val="21"/>
                <w:szCs w:val="21"/>
                <w:highlight w:val="none"/>
              </w:rPr>
            </w:pPr>
          </w:p>
        </w:tc>
        <w:tc>
          <w:tcPr>
            <w:tcW w:w="1022" w:type="dxa"/>
            <w:vAlign w:val="center"/>
          </w:tcPr>
          <w:p w14:paraId="4E95303F">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044" w:type="dxa"/>
            <w:vMerge w:val="continue"/>
            <w:vAlign w:val="center"/>
          </w:tcPr>
          <w:p w14:paraId="6BBA7C47">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4AB7CC25">
            <w:pPr>
              <w:ind w:left="-105" w:right="-105"/>
              <w:jc w:val="center"/>
              <w:textAlignment w:val="center"/>
              <w:rPr>
                <w:rFonts w:ascii="Times New Roman" w:hAnsi="Times New Roman"/>
                <w:color w:val="auto"/>
                <w:sz w:val="21"/>
                <w:szCs w:val="21"/>
                <w:highlight w:val="none"/>
              </w:rPr>
            </w:pPr>
          </w:p>
        </w:tc>
        <w:tc>
          <w:tcPr>
            <w:tcW w:w="786" w:type="dxa"/>
            <w:vAlign w:val="center"/>
          </w:tcPr>
          <w:p w14:paraId="227361EC">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94</w:t>
            </w:r>
          </w:p>
        </w:tc>
        <w:tc>
          <w:tcPr>
            <w:tcW w:w="642" w:type="dxa"/>
            <w:vMerge w:val="continue"/>
            <w:vAlign w:val="center"/>
          </w:tcPr>
          <w:p w14:paraId="273CC0C0">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0F08BC29">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0C0F6DA6">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6AD209E0">
            <w:pPr>
              <w:ind w:left="-105" w:right="-105"/>
              <w:jc w:val="center"/>
              <w:textAlignment w:val="center"/>
              <w:rPr>
                <w:rFonts w:ascii="Times New Roman" w:hAnsi="Times New Roman"/>
                <w:color w:val="auto"/>
                <w:sz w:val="21"/>
                <w:szCs w:val="21"/>
                <w:highlight w:val="none"/>
              </w:rPr>
            </w:pPr>
          </w:p>
        </w:tc>
      </w:tr>
      <w:tr w14:paraId="021DE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4" w:type="dxa"/>
            <w:vMerge w:val="continue"/>
            <w:vAlign w:val="center"/>
          </w:tcPr>
          <w:p w14:paraId="6D4F0CC6">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45AF5746">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7485F818">
            <w:pPr>
              <w:ind w:left="-105" w:right="-105"/>
              <w:jc w:val="center"/>
              <w:textAlignment w:val="center"/>
              <w:rPr>
                <w:rFonts w:ascii="Times New Roman" w:hAnsi="Times New Roman"/>
                <w:color w:val="auto"/>
                <w:sz w:val="21"/>
                <w:szCs w:val="21"/>
                <w:highlight w:val="none"/>
              </w:rPr>
            </w:pPr>
          </w:p>
        </w:tc>
        <w:tc>
          <w:tcPr>
            <w:tcW w:w="1022" w:type="dxa"/>
            <w:vAlign w:val="center"/>
          </w:tcPr>
          <w:p w14:paraId="79F783CD">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异氰酸酯</w:t>
            </w:r>
          </w:p>
        </w:tc>
        <w:tc>
          <w:tcPr>
            <w:tcW w:w="1044" w:type="dxa"/>
            <w:vMerge w:val="continue"/>
            <w:vAlign w:val="center"/>
          </w:tcPr>
          <w:p w14:paraId="55DE4C45">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50298DBE">
            <w:pPr>
              <w:ind w:left="-105" w:right="-105"/>
              <w:jc w:val="center"/>
              <w:textAlignment w:val="center"/>
              <w:rPr>
                <w:rFonts w:ascii="Times New Roman" w:hAnsi="Times New Roman"/>
                <w:color w:val="auto"/>
                <w:sz w:val="21"/>
                <w:szCs w:val="21"/>
                <w:highlight w:val="none"/>
              </w:rPr>
            </w:pPr>
          </w:p>
        </w:tc>
        <w:tc>
          <w:tcPr>
            <w:tcW w:w="786" w:type="dxa"/>
            <w:vAlign w:val="center"/>
          </w:tcPr>
          <w:p w14:paraId="2420A296">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98</w:t>
            </w:r>
          </w:p>
        </w:tc>
        <w:tc>
          <w:tcPr>
            <w:tcW w:w="642" w:type="dxa"/>
            <w:vMerge w:val="continue"/>
            <w:vAlign w:val="center"/>
          </w:tcPr>
          <w:p w14:paraId="797DAF9C">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5A8099E2">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2CEDBDCB">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1469C102">
            <w:pPr>
              <w:ind w:left="-105" w:right="-105"/>
              <w:jc w:val="center"/>
              <w:textAlignment w:val="center"/>
              <w:rPr>
                <w:rFonts w:ascii="Times New Roman" w:hAnsi="Times New Roman"/>
                <w:color w:val="auto"/>
                <w:sz w:val="21"/>
                <w:szCs w:val="21"/>
                <w:highlight w:val="none"/>
              </w:rPr>
            </w:pPr>
          </w:p>
        </w:tc>
      </w:tr>
      <w:tr w14:paraId="06254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04" w:type="dxa"/>
            <w:vMerge w:val="continue"/>
            <w:vAlign w:val="center"/>
          </w:tcPr>
          <w:p w14:paraId="4DFB247D">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1E2340BA">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59B7CA0A">
            <w:pPr>
              <w:ind w:left="-105" w:right="-105"/>
              <w:jc w:val="center"/>
              <w:textAlignment w:val="center"/>
              <w:rPr>
                <w:rFonts w:ascii="Times New Roman" w:hAnsi="Times New Roman"/>
                <w:color w:val="auto"/>
                <w:sz w:val="21"/>
                <w:szCs w:val="21"/>
                <w:highlight w:val="none"/>
              </w:rPr>
            </w:pPr>
          </w:p>
        </w:tc>
        <w:tc>
          <w:tcPr>
            <w:tcW w:w="1022" w:type="dxa"/>
            <w:vAlign w:val="center"/>
          </w:tcPr>
          <w:p w14:paraId="7D03146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丁酮</w:t>
            </w:r>
          </w:p>
        </w:tc>
        <w:tc>
          <w:tcPr>
            <w:tcW w:w="1044" w:type="dxa"/>
            <w:vMerge w:val="continue"/>
            <w:vAlign w:val="center"/>
          </w:tcPr>
          <w:p w14:paraId="239F410B">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16C00576">
            <w:pPr>
              <w:ind w:left="-105" w:right="-105"/>
              <w:jc w:val="center"/>
              <w:textAlignment w:val="center"/>
              <w:rPr>
                <w:rFonts w:ascii="Times New Roman" w:hAnsi="Times New Roman"/>
                <w:color w:val="auto"/>
                <w:sz w:val="21"/>
                <w:szCs w:val="21"/>
                <w:highlight w:val="none"/>
              </w:rPr>
            </w:pPr>
          </w:p>
        </w:tc>
        <w:tc>
          <w:tcPr>
            <w:tcW w:w="786" w:type="dxa"/>
            <w:vAlign w:val="center"/>
          </w:tcPr>
          <w:p w14:paraId="3A65727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65A36827">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592D3B9F">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184A500">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37680C0C">
            <w:pPr>
              <w:ind w:left="-105" w:right="-105"/>
              <w:jc w:val="center"/>
              <w:textAlignment w:val="center"/>
              <w:rPr>
                <w:rFonts w:ascii="Times New Roman" w:hAnsi="Times New Roman"/>
                <w:color w:val="auto"/>
                <w:sz w:val="21"/>
                <w:szCs w:val="21"/>
                <w:highlight w:val="none"/>
              </w:rPr>
            </w:pPr>
          </w:p>
        </w:tc>
      </w:tr>
      <w:tr w14:paraId="1ED62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restart"/>
            <w:vAlign w:val="center"/>
          </w:tcPr>
          <w:p w14:paraId="59311A14">
            <w:pPr>
              <w:ind w:left="-105" w:right="-105"/>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1146" w:type="dxa"/>
            <w:vMerge w:val="restart"/>
            <w:vAlign w:val="center"/>
          </w:tcPr>
          <w:p w14:paraId="566DAC8C">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二工场车间内无组织废气</w:t>
            </w:r>
          </w:p>
        </w:tc>
        <w:tc>
          <w:tcPr>
            <w:tcW w:w="658" w:type="dxa"/>
            <w:vMerge w:val="continue"/>
            <w:vAlign w:val="center"/>
          </w:tcPr>
          <w:p w14:paraId="1372C67E">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10F88D74">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丙烯酸</w:t>
            </w:r>
          </w:p>
        </w:tc>
        <w:tc>
          <w:tcPr>
            <w:tcW w:w="1044" w:type="dxa"/>
            <w:vMerge w:val="restart"/>
            <w:vAlign w:val="center"/>
          </w:tcPr>
          <w:p w14:paraId="30FA6F2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3级碱液喷淋+</w:t>
            </w:r>
            <w:r>
              <w:rPr>
                <w:rFonts w:hint="eastAsia" w:ascii="Times New Roman" w:hAnsi="Times New Roman"/>
                <w:color w:val="auto"/>
                <w:sz w:val="21"/>
                <w:szCs w:val="20"/>
                <w:highlight w:val="none"/>
              </w:rPr>
              <w:t>二级</w:t>
            </w:r>
            <w:r>
              <w:rPr>
                <w:rFonts w:hint="eastAsia" w:ascii="Times New Roman" w:hAnsi="Times New Roman"/>
                <w:color w:val="auto"/>
                <w:sz w:val="21"/>
                <w:szCs w:val="21"/>
                <w:highlight w:val="none"/>
              </w:rPr>
              <w:t>活性炭吸附装置</w:t>
            </w:r>
          </w:p>
        </w:tc>
        <w:tc>
          <w:tcPr>
            <w:tcW w:w="900" w:type="dxa"/>
            <w:vMerge w:val="restart"/>
            <w:vAlign w:val="center"/>
          </w:tcPr>
          <w:p w14:paraId="35437E0C">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20000</w:t>
            </w:r>
          </w:p>
        </w:tc>
        <w:tc>
          <w:tcPr>
            <w:tcW w:w="786" w:type="dxa"/>
            <w:vAlign w:val="center"/>
          </w:tcPr>
          <w:p w14:paraId="3EEFD6C3">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98</w:t>
            </w:r>
          </w:p>
        </w:tc>
        <w:tc>
          <w:tcPr>
            <w:tcW w:w="642" w:type="dxa"/>
            <w:vMerge w:val="restart"/>
            <w:vAlign w:val="center"/>
          </w:tcPr>
          <w:p w14:paraId="5FA84CA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DA005</w:t>
            </w:r>
          </w:p>
        </w:tc>
        <w:tc>
          <w:tcPr>
            <w:tcW w:w="642" w:type="dxa"/>
            <w:vMerge w:val="restart"/>
            <w:vAlign w:val="center"/>
          </w:tcPr>
          <w:p w14:paraId="5C5CF23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0.70</w:t>
            </w:r>
          </w:p>
        </w:tc>
        <w:tc>
          <w:tcPr>
            <w:tcW w:w="720" w:type="dxa"/>
            <w:vMerge w:val="restart"/>
            <w:vAlign w:val="center"/>
          </w:tcPr>
          <w:p w14:paraId="04703FDB">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818" w:type="dxa"/>
            <w:vMerge w:val="continue"/>
            <w:vAlign w:val="center"/>
          </w:tcPr>
          <w:p w14:paraId="70362C71">
            <w:pPr>
              <w:ind w:left="-105" w:right="-105"/>
              <w:jc w:val="center"/>
              <w:textAlignment w:val="center"/>
              <w:rPr>
                <w:rFonts w:ascii="Times New Roman" w:hAnsi="Times New Roman"/>
                <w:color w:val="auto"/>
                <w:sz w:val="21"/>
                <w:szCs w:val="21"/>
                <w:highlight w:val="none"/>
              </w:rPr>
            </w:pPr>
          </w:p>
        </w:tc>
      </w:tr>
      <w:tr w14:paraId="454F1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0919A9AE">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0B5BBD57">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2C0CCE9A">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466DAD48">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2-乙二醇单乙醚醋酸酯</w:t>
            </w:r>
          </w:p>
        </w:tc>
        <w:tc>
          <w:tcPr>
            <w:tcW w:w="1044" w:type="dxa"/>
            <w:vMerge w:val="continue"/>
            <w:vAlign w:val="center"/>
          </w:tcPr>
          <w:p w14:paraId="2954E88E">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175A5E7F">
            <w:pPr>
              <w:ind w:left="-105" w:right="-105"/>
              <w:jc w:val="center"/>
              <w:textAlignment w:val="center"/>
              <w:rPr>
                <w:rFonts w:ascii="Times New Roman" w:hAnsi="Times New Roman"/>
                <w:color w:val="auto"/>
                <w:sz w:val="21"/>
                <w:szCs w:val="21"/>
                <w:highlight w:val="none"/>
              </w:rPr>
            </w:pPr>
          </w:p>
        </w:tc>
        <w:tc>
          <w:tcPr>
            <w:tcW w:w="786" w:type="dxa"/>
            <w:vAlign w:val="center"/>
          </w:tcPr>
          <w:p w14:paraId="63DC5B1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7C2AC021">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3744CFBD">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55C35444">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45F78C6A">
            <w:pPr>
              <w:ind w:left="-105" w:right="-105"/>
              <w:jc w:val="center"/>
              <w:textAlignment w:val="center"/>
              <w:rPr>
                <w:rFonts w:ascii="Times New Roman" w:hAnsi="Times New Roman"/>
                <w:color w:val="auto"/>
                <w:sz w:val="21"/>
                <w:szCs w:val="21"/>
                <w:highlight w:val="none"/>
              </w:rPr>
            </w:pPr>
          </w:p>
        </w:tc>
      </w:tr>
      <w:tr w14:paraId="72A5F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3E890CE0">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717B365F">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39371F8B">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4EF0AFF4">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044" w:type="dxa"/>
            <w:vMerge w:val="continue"/>
            <w:vAlign w:val="center"/>
          </w:tcPr>
          <w:p w14:paraId="69482DC8">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49AEB741">
            <w:pPr>
              <w:ind w:left="-105" w:right="-105"/>
              <w:jc w:val="center"/>
              <w:textAlignment w:val="center"/>
              <w:rPr>
                <w:rFonts w:ascii="Times New Roman" w:hAnsi="Times New Roman"/>
                <w:color w:val="auto"/>
                <w:sz w:val="21"/>
                <w:szCs w:val="21"/>
                <w:highlight w:val="none"/>
              </w:rPr>
            </w:pPr>
          </w:p>
        </w:tc>
        <w:tc>
          <w:tcPr>
            <w:tcW w:w="786" w:type="dxa"/>
            <w:vAlign w:val="center"/>
          </w:tcPr>
          <w:p w14:paraId="48D3B01F">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642" w:type="dxa"/>
            <w:vMerge w:val="continue"/>
            <w:vAlign w:val="center"/>
          </w:tcPr>
          <w:p w14:paraId="64B6508E">
            <w:pPr>
              <w:ind w:left="-105" w:right="-105"/>
              <w:jc w:val="center"/>
              <w:textAlignment w:val="center"/>
              <w:rPr>
                <w:rFonts w:ascii="Times New Roman" w:hAnsi="Times New Roman"/>
                <w:color w:val="auto"/>
                <w:sz w:val="21"/>
                <w:szCs w:val="21"/>
                <w:highlight w:val="none"/>
              </w:rPr>
            </w:pPr>
          </w:p>
        </w:tc>
        <w:tc>
          <w:tcPr>
            <w:tcW w:w="642" w:type="dxa"/>
            <w:vMerge w:val="continue"/>
            <w:vAlign w:val="center"/>
          </w:tcPr>
          <w:p w14:paraId="14FFD641">
            <w:pPr>
              <w:ind w:left="-105" w:right="-105"/>
              <w:jc w:val="center"/>
              <w:textAlignment w:val="center"/>
              <w:rPr>
                <w:rFonts w:ascii="Times New Roman" w:hAnsi="Times New Roman"/>
                <w:color w:val="auto"/>
                <w:sz w:val="21"/>
                <w:szCs w:val="21"/>
                <w:highlight w:val="none"/>
              </w:rPr>
            </w:pPr>
          </w:p>
        </w:tc>
        <w:tc>
          <w:tcPr>
            <w:tcW w:w="720" w:type="dxa"/>
            <w:vMerge w:val="continue"/>
            <w:vAlign w:val="center"/>
          </w:tcPr>
          <w:p w14:paraId="4E6F0565">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0C0F89F6">
            <w:pPr>
              <w:ind w:left="-105" w:right="-105"/>
              <w:jc w:val="center"/>
              <w:textAlignment w:val="center"/>
              <w:rPr>
                <w:rFonts w:ascii="Times New Roman" w:hAnsi="Times New Roman"/>
                <w:color w:val="auto"/>
                <w:sz w:val="21"/>
                <w:szCs w:val="21"/>
                <w:highlight w:val="none"/>
              </w:rPr>
            </w:pPr>
          </w:p>
        </w:tc>
      </w:tr>
      <w:tr w14:paraId="3A54B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04" w:type="dxa"/>
            <w:vMerge w:val="restart"/>
            <w:vAlign w:val="center"/>
          </w:tcPr>
          <w:p w14:paraId="6D25CF78">
            <w:pPr>
              <w:ind w:left="-105" w:right="-105"/>
              <w:jc w:val="center"/>
              <w:textAlignment w:val="center"/>
              <w:rPr>
                <w:rFonts w:ascii="Times New Roman" w:hAnsi="Times New Roman"/>
                <w:color w:val="auto"/>
                <w:sz w:val="21"/>
                <w:szCs w:val="21"/>
                <w:highlight w:val="none"/>
                <w:lang w:bidi="ar"/>
              </w:rPr>
            </w:pPr>
            <w:r>
              <w:rPr>
                <w:rFonts w:ascii="Times New Roman" w:hAnsi="Times New Roman"/>
                <w:color w:val="auto"/>
                <w:sz w:val="21"/>
                <w:szCs w:val="21"/>
                <w:highlight w:val="none"/>
                <w:lang w:bidi="ar"/>
              </w:rPr>
              <w:t>6</w:t>
            </w:r>
          </w:p>
        </w:tc>
        <w:tc>
          <w:tcPr>
            <w:tcW w:w="1146" w:type="dxa"/>
            <w:vMerge w:val="restart"/>
            <w:vAlign w:val="center"/>
          </w:tcPr>
          <w:p w14:paraId="006D3B6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未捕集废气</w:t>
            </w:r>
          </w:p>
        </w:tc>
        <w:tc>
          <w:tcPr>
            <w:tcW w:w="658" w:type="dxa"/>
            <w:vMerge w:val="restart"/>
            <w:vAlign w:val="center"/>
          </w:tcPr>
          <w:p w14:paraId="57CCB07B">
            <w:pPr>
              <w:ind w:left="-105" w:right="-105"/>
              <w:jc w:val="center"/>
              <w:textAlignment w:val="center"/>
              <w:rPr>
                <w:rFonts w:ascii="Times New Roman" w:hAnsi="Times New Roman"/>
                <w:color w:val="auto"/>
                <w:sz w:val="21"/>
                <w:szCs w:val="21"/>
                <w:highlight w:val="none"/>
                <w:lang w:bidi="ar"/>
              </w:rPr>
            </w:pPr>
            <w:r>
              <w:rPr>
                <w:rFonts w:hint="eastAsia" w:ascii="Times New Roman" w:hAnsi="Times New Roman"/>
                <w:color w:val="auto"/>
                <w:sz w:val="21"/>
                <w:szCs w:val="21"/>
                <w:highlight w:val="none"/>
                <w:lang w:bidi="ar"/>
              </w:rPr>
              <w:t>无组织</w:t>
            </w:r>
          </w:p>
        </w:tc>
        <w:tc>
          <w:tcPr>
            <w:tcW w:w="1022" w:type="dxa"/>
            <w:vAlign w:val="center"/>
          </w:tcPr>
          <w:p w14:paraId="55C21110">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丙烯酸</w:t>
            </w:r>
          </w:p>
        </w:tc>
        <w:tc>
          <w:tcPr>
            <w:tcW w:w="1044" w:type="dxa"/>
            <w:vMerge w:val="restart"/>
            <w:vAlign w:val="center"/>
          </w:tcPr>
          <w:p w14:paraId="063DED21">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车间通风</w:t>
            </w:r>
          </w:p>
        </w:tc>
        <w:tc>
          <w:tcPr>
            <w:tcW w:w="900" w:type="dxa"/>
            <w:vMerge w:val="restart"/>
            <w:vAlign w:val="center"/>
          </w:tcPr>
          <w:p w14:paraId="2819229A">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786" w:type="dxa"/>
            <w:vMerge w:val="restart"/>
            <w:vAlign w:val="center"/>
          </w:tcPr>
          <w:p w14:paraId="781D03AC">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2004" w:type="dxa"/>
            <w:gridSpan w:val="3"/>
            <w:vMerge w:val="restart"/>
            <w:vAlign w:val="center"/>
          </w:tcPr>
          <w:p w14:paraId="7B1511F7">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c>
          <w:tcPr>
            <w:tcW w:w="818" w:type="dxa"/>
            <w:vMerge w:val="continue"/>
            <w:vAlign w:val="center"/>
          </w:tcPr>
          <w:p w14:paraId="0A35B680">
            <w:pPr>
              <w:ind w:left="-105" w:right="-105"/>
              <w:jc w:val="center"/>
              <w:textAlignment w:val="center"/>
              <w:rPr>
                <w:rFonts w:ascii="Times New Roman" w:hAnsi="Times New Roman"/>
                <w:color w:val="auto"/>
                <w:sz w:val="21"/>
                <w:szCs w:val="21"/>
                <w:highlight w:val="none"/>
              </w:rPr>
            </w:pPr>
          </w:p>
        </w:tc>
      </w:tr>
      <w:tr w14:paraId="5F563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04" w:type="dxa"/>
            <w:vMerge w:val="continue"/>
            <w:vAlign w:val="center"/>
          </w:tcPr>
          <w:p w14:paraId="52139594">
            <w:pPr>
              <w:ind w:left="-105" w:right="-105"/>
              <w:jc w:val="center"/>
              <w:textAlignment w:val="center"/>
              <w:rPr>
                <w:rFonts w:ascii="Times New Roman" w:hAnsi="Times New Roman"/>
                <w:color w:val="auto"/>
                <w:sz w:val="21"/>
                <w:szCs w:val="21"/>
                <w:highlight w:val="none"/>
                <w:lang w:bidi="ar"/>
              </w:rPr>
            </w:pPr>
          </w:p>
        </w:tc>
        <w:tc>
          <w:tcPr>
            <w:tcW w:w="1146" w:type="dxa"/>
            <w:vMerge w:val="continue"/>
            <w:vAlign w:val="center"/>
          </w:tcPr>
          <w:p w14:paraId="319DA159">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67D8B723">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106A0453">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2-乙二醇单乙醚醋酸酯</w:t>
            </w:r>
          </w:p>
        </w:tc>
        <w:tc>
          <w:tcPr>
            <w:tcW w:w="1044" w:type="dxa"/>
            <w:vMerge w:val="continue"/>
            <w:vAlign w:val="center"/>
          </w:tcPr>
          <w:p w14:paraId="119B7D99">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670F8936">
            <w:pPr>
              <w:ind w:left="-105" w:right="-105"/>
              <w:jc w:val="center"/>
              <w:textAlignment w:val="center"/>
              <w:rPr>
                <w:rFonts w:ascii="Times New Roman" w:hAnsi="Times New Roman"/>
                <w:color w:val="auto"/>
                <w:sz w:val="21"/>
                <w:szCs w:val="21"/>
                <w:highlight w:val="none"/>
              </w:rPr>
            </w:pPr>
          </w:p>
        </w:tc>
        <w:tc>
          <w:tcPr>
            <w:tcW w:w="786" w:type="dxa"/>
            <w:vMerge w:val="continue"/>
            <w:vAlign w:val="center"/>
          </w:tcPr>
          <w:p w14:paraId="192A70B5">
            <w:pPr>
              <w:ind w:left="-105" w:right="-105"/>
              <w:jc w:val="center"/>
              <w:textAlignment w:val="center"/>
              <w:rPr>
                <w:rFonts w:ascii="Times New Roman" w:hAnsi="Times New Roman"/>
                <w:color w:val="auto"/>
                <w:sz w:val="21"/>
                <w:szCs w:val="21"/>
                <w:highlight w:val="none"/>
              </w:rPr>
            </w:pPr>
          </w:p>
        </w:tc>
        <w:tc>
          <w:tcPr>
            <w:tcW w:w="2004" w:type="dxa"/>
            <w:gridSpan w:val="3"/>
            <w:vMerge w:val="continue"/>
            <w:vAlign w:val="center"/>
          </w:tcPr>
          <w:p w14:paraId="4C5222E7">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14B32161">
            <w:pPr>
              <w:ind w:left="-105" w:right="-105"/>
              <w:jc w:val="center"/>
              <w:textAlignment w:val="center"/>
              <w:rPr>
                <w:rFonts w:ascii="Times New Roman" w:hAnsi="Times New Roman"/>
                <w:color w:val="auto"/>
                <w:sz w:val="21"/>
                <w:szCs w:val="21"/>
                <w:highlight w:val="none"/>
              </w:rPr>
            </w:pPr>
          </w:p>
        </w:tc>
      </w:tr>
      <w:tr w14:paraId="61C05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04" w:type="dxa"/>
            <w:vMerge w:val="continue"/>
            <w:vAlign w:val="center"/>
          </w:tcPr>
          <w:p w14:paraId="62922CEC">
            <w:pPr>
              <w:ind w:left="-105" w:right="-105"/>
              <w:jc w:val="center"/>
              <w:textAlignment w:val="center"/>
              <w:rPr>
                <w:rFonts w:ascii="Times New Roman" w:hAnsi="Times New Roman"/>
                <w:color w:val="auto"/>
                <w:sz w:val="21"/>
                <w:szCs w:val="21"/>
                <w:highlight w:val="none"/>
                <w:lang w:bidi="ar"/>
              </w:rPr>
            </w:pPr>
          </w:p>
        </w:tc>
        <w:tc>
          <w:tcPr>
            <w:tcW w:w="1146" w:type="dxa"/>
            <w:vMerge w:val="continue"/>
            <w:vAlign w:val="center"/>
          </w:tcPr>
          <w:p w14:paraId="32694F09">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40CAC6F2">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51E22A0C">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044" w:type="dxa"/>
            <w:vMerge w:val="continue"/>
            <w:vAlign w:val="center"/>
          </w:tcPr>
          <w:p w14:paraId="680F78D2">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5EC2F662">
            <w:pPr>
              <w:ind w:left="-105" w:right="-105"/>
              <w:jc w:val="center"/>
              <w:textAlignment w:val="center"/>
              <w:rPr>
                <w:rFonts w:ascii="Times New Roman" w:hAnsi="Times New Roman"/>
                <w:color w:val="auto"/>
                <w:sz w:val="21"/>
                <w:szCs w:val="21"/>
                <w:highlight w:val="none"/>
              </w:rPr>
            </w:pPr>
          </w:p>
        </w:tc>
        <w:tc>
          <w:tcPr>
            <w:tcW w:w="786" w:type="dxa"/>
            <w:vMerge w:val="continue"/>
            <w:vAlign w:val="center"/>
          </w:tcPr>
          <w:p w14:paraId="573A0BB5">
            <w:pPr>
              <w:ind w:left="-105" w:right="-105"/>
              <w:jc w:val="center"/>
              <w:textAlignment w:val="center"/>
              <w:rPr>
                <w:rFonts w:ascii="Times New Roman" w:hAnsi="Times New Roman"/>
                <w:color w:val="auto"/>
                <w:sz w:val="21"/>
                <w:szCs w:val="21"/>
                <w:highlight w:val="none"/>
              </w:rPr>
            </w:pPr>
          </w:p>
        </w:tc>
        <w:tc>
          <w:tcPr>
            <w:tcW w:w="2004" w:type="dxa"/>
            <w:gridSpan w:val="3"/>
            <w:vMerge w:val="continue"/>
            <w:vAlign w:val="center"/>
          </w:tcPr>
          <w:p w14:paraId="5316350D">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7F5DC81E">
            <w:pPr>
              <w:ind w:left="-105" w:right="-105"/>
              <w:jc w:val="center"/>
              <w:textAlignment w:val="center"/>
              <w:rPr>
                <w:rFonts w:ascii="Times New Roman" w:hAnsi="Times New Roman"/>
                <w:color w:val="auto"/>
                <w:sz w:val="21"/>
                <w:szCs w:val="21"/>
                <w:highlight w:val="none"/>
              </w:rPr>
            </w:pPr>
          </w:p>
        </w:tc>
      </w:tr>
      <w:tr w14:paraId="77E50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04" w:type="dxa"/>
            <w:vMerge w:val="continue"/>
            <w:vAlign w:val="center"/>
          </w:tcPr>
          <w:p w14:paraId="7D605802">
            <w:pPr>
              <w:ind w:left="-105" w:right="-105"/>
              <w:jc w:val="center"/>
              <w:textAlignment w:val="center"/>
              <w:rPr>
                <w:rFonts w:ascii="Times New Roman" w:hAnsi="Times New Roman"/>
                <w:color w:val="auto"/>
                <w:sz w:val="21"/>
                <w:szCs w:val="21"/>
                <w:highlight w:val="none"/>
                <w:lang w:bidi="ar"/>
              </w:rPr>
            </w:pPr>
          </w:p>
        </w:tc>
        <w:tc>
          <w:tcPr>
            <w:tcW w:w="1146" w:type="dxa"/>
            <w:vMerge w:val="continue"/>
            <w:vAlign w:val="center"/>
          </w:tcPr>
          <w:p w14:paraId="0C41AB3F">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699D7A1A">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5B133A7B">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异氰酸酯</w:t>
            </w:r>
          </w:p>
        </w:tc>
        <w:tc>
          <w:tcPr>
            <w:tcW w:w="1044" w:type="dxa"/>
            <w:vMerge w:val="continue"/>
            <w:vAlign w:val="center"/>
          </w:tcPr>
          <w:p w14:paraId="4F1454A7">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414A0053">
            <w:pPr>
              <w:ind w:left="-105" w:right="-105"/>
              <w:jc w:val="center"/>
              <w:textAlignment w:val="center"/>
              <w:rPr>
                <w:rFonts w:ascii="Times New Roman" w:hAnsi="Times New Roman"/>
                <w:color w:val="auto"/>
                <w:sz w:val="21"/>
                <w:szCs w:val="21"/>
                <w:highlight w:val="none"/>
              </w:rPr>
            </w:pPr>
          </w:p>
        </w:tc>
        <w:tc>
          <w:tcPr>
            <w:tcW w:w="786" w:type="dxa"/>
            <w:vMerge w:val="continue"/>
            <w:vAlign w:val="center"/>
          </w:tcPr>
          <w:p w14:paraId="0C2E5996">
            <w:pPr>
              <w:ind w:left="-105" w:right="-105"/>
              <w:jc w:val="center"/>
              <w:textAlignment w:val="center"/>
              <w:rPr>
                <w:rFonts w:ascii="Times New Roman" w:hAnsi="Times New Roman"/>
                <w:color w:val="auto"/>
                <w:sz w:val="21"/>
                <w:szCs w:val="21"/>
                <w:highlight w:val="none"/>
              </w:rPr>
            </w:pPr>
          </w:p>
        </w:tc>
        <w:tc>
          <w:tcPr>
            <w:tcW w:w="2004" w:type="dxa"/>
            <w:gridSpan w:val="3"/>
            <w:vMerge w:val="continue"/>
            <w:vAlign w:val="center"/>
          </w:tcPr>
          <w:p w14:paraId="06C9DA65">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175C6FC2">
            <w:pPr>
              <w:ind w:left="-105" w:right="-105"/>
              <w:jc w:val="center"/>
              <w:textAlignment w:val="center"/>
              <w:rPr>
                <w:rFonts w:ascii="Times New Roman" w:hAnsi="Times New Roman"/>
                <w:color w:val="auto"/>
                <w:sz w:val="21"/>
                <w:szCs w:val="21"/>
                <w:highlight w:val="none"/>
              </w:rPr>
            </w:pPr>
          </w:p>
        </w:tc>
      </w:tr>
      <w:tr w14:paraId="75860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4" w:type="dxa"/>
            <w:vMerge w:val="continue"/>
            <w:vAlign w:val="center"/>
          </w:tcPr>
          <w:p w14:paraId="734F4718">
            <w:pPr>
              <w:ind w:left="-105" w:right="-105"/>
              <w:jc w:val="center"/>
              <w:textAlignment w:val="center"/>
              <w:rPr>
                <w:rFonts w:ascii="Times New Roman" w:hAnsi="Times New Roman"/>
                <w:color w:val="auto"/>
                <w:sz w:val="21"/>
                <w:szCs w:val="21"/>
                <w:highlight w:val="none"/>
              </w:rPr>
            </w:pPr>
          </w:p>
        </w:tc>
        <w:tc>
          <w:tcPr>
            <w:tcW w:w="1146" w:type="dxa"/>
            <w:vMerge w:val="continue"/>
            <w:vAlign w:val="center"/>
          </w:tcPr>
          <w:p w14:paraId="4B3756F8">
            <w:pPr>
              <w:ind w:left="-105" w:right="-105"/>
              <w:jc w:val="center"/>
              <w:textAlignment w:val="center"/>
              <w:rPr>
                <w:rFonts w:ascii="Times New Roman" w:hAnsi="Times New Roman"/>
                <w:color w:val="auto"/>
                <w:sz w:val="21"/>
                <w:szCs w:val="21"/>
                <w:highlight w:val="none"/>
              </w:rPr>
            </w:pPr>
          </w:p>
        </w:tc>
        <w:tc>
          <w:tcPr>
            <w:tcW w:w="658" w:type="dxa"/>
            <w:vMerge w:val="continue"/>
            <w:vAlign w:val="center"/>
          </w:tcPr>
          <w:p w14:paraId="49C2C4B2">
            <w:pPr>
              <w:ind w:left="-105" w:right="-105"/>
              <w:jc w:val="center"/>
              <w:textAlignment w:val="center"/>
              <w:rPr>
                <w:rFonts w:ascii="Times New Roman" w:hAnsi="Times New Roman"/>
                <w:color w:val="auto"/>
                <w:sz w:val="21"/>
                <w:szCs w:val="21"/>
                <w:highlight w:val="none"/>
                <w:lang w:bidi="ar"/>
              </w:rPr>
            </w:pPr>
          </w:p>
        </w:tc>
        <w:tc>
          <w:tcPr>
            <w:tcW w:w="1022" w:type="dxa"/>
            <w:vAlign w:val="center"/>
          </w:tcPr>
          <w:p w14:paraId="6683D80B">
            <w:pPr>
              <w:ind w:left="-105" w:right="-105"/>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丁酮</w:t>
            </w:r>
          </w:p>
        </w:tc>
        <w:tc>
          <w:tcPr>
            <w:tcW w:w="1044" w:type="dxa"/>
            <w:vMerge w:val="continue"/>
            <w:vAlign w:val="center"/>
          </w:tcPr>
          <w:p w14:paraId="4BFA6320">
            <w:pPr>
              <w:ind w:left="-105" w:right="-105"/>
              <w:jc w:val="center"/>
              <w:textAlignment w:val="center"/>
              <w:rPr>
                <w:rFonts w:ascii="Times New Roman" w:hAnsi="Times New Roman"/>
                <w:color w:val="auto"/>
                <w:sz w:val="21"/>
                <w:szCs w:val="21"/>
                <w:highlight w:val="none"/>
              </w:rPr>
            </w:pPr>
          </w:p>
        </w:tc>
        <w:tc>
          <w:tcPr>
            <w:tcW w:w="900" w:type="dxa"/>
            <w:vMerge w:val="continue"/>
            <w:vAlign w:val="center"/>
          </w:tcPr>
          <w:p w14:paraId="0898DECD">
            <w:pPr>
              <w:ind w:left="-105" w:right="-105"/>
              <w:jc w:val="center"/>
              <w:textAlignment w:val="center"/>
              <w:rPr>
                <w:rFonts w:ascii="Times New Roman" w:hAnsi="Times New Roman"/>
                <w:color w:val="auto"/>
                <w:sz w:val="21"/>
                <w:szCs w:val="21"/>
                <w:highlight w:val="none"/>
              </w:rPr>
            </w:pPr>
          </w:p>
        </w:tc>
        <w:tc>
          <w:tcPr>
            <w:tcW w:w="786" w:type="dxa"/>
            <w:vMerge w:val="continue"/>
            <w:vAlign w:val="center"/>
          </w:tcPr>
          <w:p w14:paraId="4473AF4E">
            <w:pPr>
              <w:ind w:left="-105" w:right="-105"/>
              <w:jc w:val="center"/>
              <w:textAlignment w:val="center"/>
              <w:rPr>
                <w:rFonts w:ascii="Times New Roman" w:hAnsi="Times New Roman"/>
                <w:color w:val="auto"/>
                <w:sz w:val="21"/>
                <w:szCs w:val="21"/>
                <w:highlight w:val="none"/>
              </w:rPr>
            </w:pPr>
          </w:p>
        </w:tc>
        <w:tc>
          <w:tcPr>
            <w:tcW w:w="2004" w:type="dxa"/>
            <w:gridSpan w:val="3"/>
            <w:vMerge w:val="continue"/>
            <w:vAlign w:val="center"/>
          </w:tcPr>
          <w:p w14:paraId="2A2D3448">
            <w:pPr>
              <w:ind w:left="-105" w:right="-105"/>
              <w:jc w:val="center"/>
              <w:textAlignment w:val="center"/>
              <w:rPr>
                <w:rFonts w:ascii="Times New Roman" w:hAnsi="Times New Roman"/>
                <w:color w:val="auto"/>
                <w:sz w:val="21"/>
                <w:szCs w:val="21"/>
                <w:highlight w:val="none"/>
              </w:rPr>
            </w:pPr>
          </w:p>
        </w:tc>
        <w:tc>
          <w:tcPr>
            <w:tcW w:w="818" w:type="dxa"/>
            <w:vMerge w:val="continue"/>
            <w:vAlign w:val="center"/>
          </w:tcPr>
          <w:p w14:paraId="60908C5D">
            <w:pPr>
              <w:ind w:left="-105" w:right="-105"/>
              <w:jc w:val="center"/>
              <w:textAlignment w:val="center"/>
              <w:rPr>
                <w:rFonts w:ascii="Times New Roman" w:hAnsi="Times New Roman"/>
                <w:color w:val="auto"/>
                <w:sz w:val="21"/>
                <w:szCs w:val="21"/>
                <w:highlight w:val="none"/>
              </w:rPr>
            </w:pPr>
          </w:p>
        </w:tc>
      </w:tr>
    </w:tbl>
    <w:p w14:paraId="384AB286">
      <w:pPr>
        <w:spacing w:before="120" w:beforeLines="50" w:line="360" w:lineRule="auto"/>
        <w:ind w:left="-105" w:right="-105" w:firstLine="480" w:firstLineChars="200"/>
        <w:rPr>
          <w:rFonts w:ascii="Times New Roman" w:hAnsi="Times New Roman"/>
          <w:color w:val="auto"/>
          <w:szCs w:val="22"/>
          <w:highlight w:val="none"/>
        </w:rPr>
        <w:sectPr>
          <w:headerReference r:id="rId17" w:type="default"/>
          <w:headerReference r:id="rId18"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17AB0027">
      <w:pPr>
        <w:spacing w:before="120" w:beforeLines="50"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全厂有组织废气排放情况见下表：</w:t>
      </w:r>
    </w:p>
    <w:p w14:paraId="1D0B2A99">
      <w:pPr>
        <w:pStyle w:val="15"/>
        <w:spacing w:line="360" w:lineRule="auto"/>
        <w:ind w:left="-105" w:right="-105" w:firstLine="482"/>
        <w:rPr>
          <w:rFonts w:eastAsia="宋体" w:cs="Times New Roman"/>
          <w:bCs/>
          <w:color w:val="auto"/>
          <w:sz w:val="24"/>
          <w:szCs w:val="18"/>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5</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全厂有组织废气排放结果</w:t>
      </w:r>
      <w:r>
        <w:rPr>
          <w:rFonts w:eastAsia="宋体" w:cs="Times New Roman"/>
          <w:bCs/>
          <w:color w:val="auto"/>
          <w:sz w:val="24"/>
          <w:szCs w:val="18"/>
          <w:highlight w:val="none"/>
        </w:rPr>
        <w:t>一览表</w:t>
      </w:r>
    </w:p>
    <w:tbl>
      <w:tblPr>
        <w:tblStyle w:val="9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0"/>
        <w:gridCol w:w="825"/>
        <w:gridCol w:w="855"/>
        <w:gridCol w:w="1590"/>
        <w:gridCol w:w="1065"/>
        <w:gridCol w:w="1125"/>
        <w:gridCol w:w="1065"/>
        <w:gridCol w:w="1717"/>
        <w:gridCol w:w="696"/>
        <w:gridCol w:w="1133"/>
        <w:gridCol w:w="1131"/>
        <w:gridCol w:w="1136"/>
        <w:gridCol w:w="680"/>
      </w:tblGrid>
      <w:tr w14:paraId="49251A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654A92B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14:textOutline w14:w="3797" w14:cap="flat" w14:cmpd="sng" w14:algn="ctr">
                  <w14:solidFill>
                    <w14:srgbClr w14:val="000000"/>
                  </w14:solidFill>
                  <w14:prstDash w14:val="solid"/>
                  <w14:miter w14:val="0"/>
                </w14:textOutline>
              </w:rPr>
              <w:t>排气筒</w:t>
            </w:r>
          </w:p>
        </w:tc>
        <w:tc>
          <w:tcPr>
            <w:tcW w:w="825" w:type="dxa"/>
            <w:vMerge w:val="restart"/>
            <w:tcBorders>
              <w:tl2br w:val="nil"/>
              <w:tr2bl w:val="nil"/>
            </w:tcBorders>
            <w:vAlign w:val="center"/>
          </w:tcPr>
          <w:p w14:paraId="0C76A56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14:textOutline w14:w="3797" w14:cap="flat" w14:cmpd="sng" w14:algn="ctr">
                  <w14:solidFill>
                    <w14:srgbClr w14:val="000000"/>
                  </w14:solidFill>
                  <w14:prstDash w14:val="solid"/>
                  <w14:miter w14:val="0"/>
                </w14:textOutline>
              </w:rPr>
              <w:t>年工作</w:t>
            </w:r>
            <w:r>
              <w:rPr>
                <w:rFonts w:ascii="Times New Roman" w:hAnsi="Times New Roman" w:cs="Times New Roman"/>
                <w:color w:val="auto"/>
                <w:spacing w:val="1"/>
                <w:sz w:val="21"/>
                <w:szCs w:val="21"/>
                <w:highlight w:val="none"/>
                <w:lang w:eastAsia="en-US"/>
                <w14:textOutline w14:w="3797" w14:cap="flat" w14:cmpd="sng" w14:algn="ctr">
                  <w14:solidFill>
                    <w14:srgbClr w14:val="000000"/>
                  </w14:solidFill>
                  <w14:prstDash w14:val="solid"/>
                  <w14:miter w14:val="0"/>
                </w14:textOutline>
              </w:rPr>
              <w:t>时间</w:t>
            </w:r>
          </w:p>
          <w:p w14:paraId="575EF0C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14:textOutline w14:w="3797" w14:cap="flat" w14:cmpd="sng" w14:algn="ctr">
                  <w14:solidFill>
                    <w14:srgbClr w14:val="000000"/>
                  </w14:solidFill>
                  <w14:prstDash w14:val="solid"/>
                  <w14:miter w14:val="0"/>
                </w14:textOutline>
              </w:rPr>
              <w:t>（</w:t>
            </w:r>
            <w:r>
              <w:rPr>
                <w:rFonts w:ascii="Times New Roman" w:hAnsi="Times New Roman" w:eastAsia="宋体" w:cs="Times New Roman"/>
                <w:b/>
                <w:bCs/>
                <w:color w:val="auto"/>
                <w:sz w:val="21"/>
                <w:szCs w:val="21"/>
                <w:highlight w:val="none"/>
              </w:rPr>
              <w:t>h/a</w:t>
            </w:r>
            <w:r>
              <w:rPr>
                <w:rFonts w:ascii="Times New Roman" w:hAnsi="Times New Roman" w:eastAsia="宋体" w:cs="Times New Roman"/>
                <w:color w:val="auto"/>
                <w:sz w:val="21"/>
                <w:szCs w:val="21"/>
                <w:highlight w:val="none"/>
                <w14:textOutline w14:w="3797" w14:cap="flat" w14:cmpd="sng" w14:algn="ctr">
                  <w14:solidFill>
                    <w14:srgbClr w14:val="000000"/>
                  </w14:solidFill>
                  <w14:prstDash w14:val="solid"/>
                  <w14:miter w14:val="0"/>
                </w14:textOutline>
              </w:rPr>
              <w:t>）</w:t>
            </w:r>
          </w:p>
        </w:tc>
        <w:tc>
          <w:tcPr>
            <w:tcW w:w="855" w:type="dxa"/>
            <w:vMerge w:val="restart"/>
            <w:tcBorders>
              <w:tl2br w:val="nil"/>
              <w:tr2bl w:val="nil"/>
            </w:tcBorders>
            <w:vAlign w:val="center"/>
          </w:tcPr>
          <w:p w14:paraId="63C5CF4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14:textOutline w14:w="3797" w14:cap="flat" w14:cmpd="sng" w14:algn="ctr">
                  <w14:solidFill>
                    <w14:srgbClr w14:val="000000"/>
                  </w14:solidFill>
                  <w14:prstDash w14:val="solid"/>
                  <w14:miter w14:val="0"/>
                </w14:textOutline>
              </w:rPr>
              <w:t>排气量</w:t>
            </w:r>
            <w:r>
              <w:rPr>
                <w:rFonts w:ascii="Times New Roman" w:hAnsi="Times New Roman" w:eastAsia="宋体" w:cs="Times New Roman"/>
                <w:b/>
                <w:bCs/>
                <w:color w:val="auto"/>
                <w:spacing w:val="2"/>
                <w:sz w:val="21"/>
                <w:szCs w:val="21"/>
                <w:highlight w:val="none"/>
              </w:rPr>
              <w:t>(m</w:t>
            </w:r>
            <w:r>
              <w:rPr>
                <w:rFonts w:hint="eastAsia" w:ascii="Times New Roman" w:hAnsi="Times New Roman" w:eastAsia="宋体" w:cs="Times New Roman"/>
                <w:b/>
                <w:bCs/>
                <w:color w:val="auto"/>
                <w:spacing w:val="2"/>
                <w:sz w:val="21"/>
                <w:szCs w:val="21"/>
                <w:highlight w:val="none"/>
                <w:vertAlign w:val="superscript"/>
                <w:lang w:val="en-US" w:eastAsia="zh-CN"/>
              </w:rPr>
              <w:t>3</w:t>
            </w:r>
            <w:r>
              <w:rPr>
                <w:rFonts w:ascii="Times New Roman" w:hAnsi="Times New Roman" w:eastAsia="宋体" w:cs="Times New Roman"/>
                <w:b/>
                <w:bCs/>
                <w:color w:val="auto"/>
                <w:spacing w:val="2"/>
                <w:sz w:val="21"/>
                <w:szCs w:val="21"/>
                <w:highlight w:val="none"/>
              </w:rPr>
              <w:t>/h)</w:t>
            </w:r>
          </w:p>
        </w:tc>
        <w:tc>
          <w:tcPr>
            <w:tcW w:w="1590" w:type="dxa"/>
            <w:vMerge w:val="restart"/>
            <w:tcBorders>
              <w:tl2br w:val="nil"/>
              <w:tr2bl w:val="nil"/>
            </w:tcBorders>
            <w:vAlign w:val="center"/>
          </w:tcPr>
          <w:p w14:paraId="11E906D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14:textOutline w14:w="3797" w14:cap="flat" w14:cmpd="sng" w14:algn="ctr">
                  <w14:solidFill>
                    <w14:srgbClr w14:val="000000"/>
                  </w14:solidFill>
                  <w14:prstDash w14:val="solid"/>
                  <w14:miter w14:val="0"/>
                </w14:textOutline>
              </w:rPr>
              <w:t>污染物名称</w:t>
            </w:r>
          </w:p>
        </w:tc>
        <w:tc>
          <w:tcPr>
            <w:tcW w:w="3255" w:type="dxa"/>
            <w:gridSpan w:val="3"/>
            <w:tcBorders>
              <w:tl2br w:val="nil"/>
              <w:tr2bl w:val="nil"/>
            </w:tcBorders>
            <w:vAlign w:val="center"/>
          </w:tcPr>
          <w:p w14:paraId="6C2AF5F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14:textOutline w14:w="3797" w14:cap="flat" w14:cmpd="sng" w14:algn="ctr">
                  <w14:solidFill>
                    <w14:srgbClr w14:val="000000"/>
                  </w14:solidFill>
                  <w14:prstDash w14:val="solid"/>
                  <w14:miter w14:val="0"/>
                </w14:textOutline>
              </w:rPr>
              <w:t>产生状况</w:t>
            </w:r>
          </w:p>
        </w:tc>
        <w:tc>
          <w:tcPr>
            <w:tcW w:w="1717" w:type="dxa"/>
            <w:vMerge w:val="restart"/>
            <w:tcBorders>
              <w:tl2br w:val="nil"/>
              <w:tr2bl w:val="nil"/>
            </w:tcBorders>
            <w:vAlign w:val="center"/>
          </w:tcPr>
          <w:p w14:paraId="40045C6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14:textOutline w14:w="3797" w14:cap="flat" w14:cmpd="sng" w14:algn="ctr">
                  <w14:solidFill>
                    <w14:srgbClr w14:val="000000"/>
                  </w14:solidFill>
                  <w14:prstDash w14:val="solid"/>
                  <w14:miter w14:val="0"/>
                </w14:textOutline>
              </w:rPr>
              <w:t>治理措施</w:t>
            </w:r>
          </w:p>
        </w:tc>
        <w:tc>
          <w:tcPr>
            <w:tcW w:w="696" w:type="dxa"/>
            <w:vMerge w:val="restart"/>
            <w:tcBorders>
              <w:tl2br w:val="nil"/>
              <w:tr2bl w:val="nil"/>
            </w:tcBorders>
            <w:vAlign w:val="center"/>
          </w:tcPr>
          <w:p w14:paraId="5F29C3E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14:textOutline w14:w="3797" w14:cap="flat" w14:cmpd="sng" w14:algn="ctr">
                  <w14:solidFill>
                    <w14:srgbClr w14:val="000000"/>
                  </w14:solidFill>
                  <w14:prstDash w14:val="solid"/>
                  <w14:miter w14:val="0"/>
                </w14:textOutline>
              </w:rPr>
              <w:t>去除率</w:t>
            </w:r>
            <w:r>
              <w:rPr>
                <w:rFonts w:ascii="Times New Roman" w:hAnsi="Times New Roman" w:eastAsia="宋体" w:cs="Times New Roman"/>
                <w:b/>
                <w:bCs/>
                <w:color w:val="auto"/>
                <w:spacing w:val="2"/>
                <w:sz w:val="21"/>
                <w:szCs w:val="21"/>
                <w:highlight w:val="none"/>
              </w:rPr>
              <w:t>(%)</w:t>
            </w:r>
          </w:p>
        </w:tc>
        <w:tc>
          <w:tcPr>
            <w:tcW w:w="3400" w:type="dxa"/>
            <w:gridSpan w:val="3"/>
            <w:tcBorders>
              <w:tl2br w:val="nil"/>
              <w:tr2bl w:val="nil"/>
            </w:tcBorders>
            <w:vAlign w:val="center"/>
          </w:tcPr>
          <w:p w14:paraId="40C92C9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14:textOutline w14:w="3797" w14:cap="flat" w14:cmpd="sng" w14:algn="ctr">
                  <w14:solidFill>
                    <w14:srgbClr w14:val="000000"/>
                  </w14:solidFill>
                  <w14:prstDash w14:val="solid"/>
                  <w14:miter w14:val="0"/>
                </w14:textOutline>
              </w:rPr>
              <w:t>排放状况</w:t>
            </w:r>
          </w:p>
        </w:tc>
        <w:tc>
          <w:tcPr>
            <w:tcW w:w="680" w:type="dxa"/>
            <w:vMerge w:val="restart"/>
            <w:tcBorders>
              <w:tl2br w:val="nil"/>
              <w:tr2bl w:val="nil"/>
            </w:tcBorders>
            <w:vAlign w:val="center"/>
          </w:tcPr>
          <w:p w14:paraId="2A0726C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14:textOutline w14:w="3797" w14:cap="flat" w14:cmpd="sng" w14:algn="ctr">
                  <w14:solidFill>
                    <w14:srgbClr w14:val="000000"/>
                  </w14:solidFill>
                  <w14:prstDash w14:val="solid"/>
                  <w14:miter w14:val="0"/>
                </w14:textOutline>
              </w:rPr>
              <w:t>排放</w:t>
            </w:r>
            <w:r>
              <w:rPr>
                <w:rFonts w:ascii="Times New Roman" w:hAnsi="Times New Roman" w:eastAsia="宋体" w:cs="Times New Roman"/>
                <w:color w:val="auto"/>
                <w:spacing w:val="3"/>
                <w:sz w:val="21"/>
                <w:szCs w:val="21"/>
                <w:highlight w:val="none"/>
                <w14:textOutline w14:w="3797" w14:cap="flat" w14:cmpd="sng" w14:algn="ctr">
                  <w14:solidFill>
                    <w14:srgbClr w14:val="000000"/>
                  </w14:solidFill>
                  <w14:prstDash w14:val="solid"/>
                  <w14:miter w14:val="0"/>
                </w14:textOutline>
              </w:rPr>
              <w:t>高度</w:t>
            </w:r>
            <w:r>
              <w:rPr>
                <w:rFonts w:ascii="Times New Roman" w:hAnsi="Times New Roman" w:eastAsia="宋体" w:cs="Times New Roman"/>
                <w:b/>
                <w:bCs/>
                <w:color w:val="auto"/>
                <w:spacing w:val="17"/>
                <w:sz w:val="21"/>
                <w:szCs w:val="21"/>
                <w:highlight w:val="none"/>
              </w:rPr>
              <w:t>(m)</w:t>
            </w:r>
          </w:p>
        </w:tc>
      </w:tr>
      <w:tr w14:paraId="340708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3CF3A85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3E474389">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5FD18483">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vMerge w:val="continue"/>
            <w:tcBorders>
              <w:tl2br w:val="nil"/>
              <w:tr2bl w:val="nil"/>
            </w:tcBorders>
            <w:vAlign w:val="center"/>
          </w:tcPr>
          <w:p w14:paraId="6B1CED3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065" w:type="dxa"/>
            <w:tcBorders>
              <w:tl2br w:val="nil"/>
              <w:tr2bl w:val="nil"/>
            </w:tcBorders>
            <w:vAlign w:val="center"/>
          </w:tcPr>
          <w:p w14:paraId="63D24F6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14:textOutline w14:w="3797" w14:cap="flat" w14:cmpd="sng" w14:algn="ctr">
                  <w14:solidFill>
                    <w14:srgbClr w14:val="000000"/>
                  </w14:solidFill>
                  <w14:prstDash w14:val="solid"/>
                  <w14:miter w14:val="0"/>
                </w14:textOutline>
              </w:rPr>
              <w:t>浓度</w:t>
            </w:r>
            <w:r>
              <w:rPr>
                <w:rFonts w:ascii="Times New Roman" w:hAnsi="Times New Roman" w:eastAsia="宋体" w:cs="Times New Roman"/>
                <w:b/>
                <w:bCs/>
                <w:color w:val="auto"/>
                <w:spacing w:val="4"/>
                <w:sz w:val="21"/>
                <w:szCs w:val="21"/>
                <w:highlight w:val="none"/>
              </w:rPr>
              <w:t>(</w:t>
            </w:r>
            <w:r>
              <w:rPr>
                <w:rFonts w:ascii="Times New Roman" w:hAnsi="Times New Roman" w:eastAsia="宋体" w:cs="Times New Roman"/>
                <w:b/>
                <w:bCs/>
                <w:color w:val="auto"/>
                <w:sz w:val="21"/>
                <w:szCs w:val="21"/>
                <w:highlight w:val="none"/>
              </w:rPr>
              <w:t>mg</w:t>
            </w:r>
            <w:r>
              <w:rPr>
                <w:rFonts w:ascii="Times New Roman" w:hAnsi="Times New Roman" w:eastAsia="宋体" w:cs="Times New Roman"/>
                <w:b/>
                <w:bCs/>
                <w:color w:val="auto"/>
                <w:spacing w:val="4"/>
                <w:sz w:val="21"/>
                <w:szCs w:val="21"/>
                <w:highlight w:val="none"/>
              </w:rPr>
              <w:t>/m</w:t>
            </w:r>
            <w:r>
              <w:rPr>
                <w:rFonts w:hint="eastAsia" w:ascii="Times New Roman" w:hAnsi="Times New Roman" w:eastAsia="宋体" w:cs="Times New Roman"/>
                <w:b/>
                <w:bCs/>
                <w:color w:val="auto"/>
                <w:spacing w:val="2"/>
                <w:sz w:val="21"/>
                <w:szCs w:val="21"/>
                <w:highlight w:val="none"/>
                <w:vertAlign w:val="superscript"/>
                <w:lang w:val="en-US" w:eastAsia="zh-CN"/>
              </w:rPr>
              <w:t>3</w:t>
            </w:r>
            <w:r>
              <w:rPr>
                <w:rFonts w:ascii="Times New Roman" w:hAnsi="Times New Roman" w:eastAsia="宋体" w:cs="Times New Roman"/>
                <w:b/>
                <w:bCs/>
                <w:color w:val="auto"/>
                <w:spacing w:val="4"/>
                <w:sz w:val="21"/>
                <w:szCs w:val="21"/>
                <w:highlight w:val="none"/>
              </w:rPr>
              <w:t>)</w:t>
            </w:r>
          </w:p>
        </w:tc>
        <w:tc>
          <w:tcPr>
            <w:tcW w:w="1125" w:type="dxa"/>
            <w:tcBorders>
              <w:tl2br w:val="nil"/>
              <w:tr2bl w:val="nil"/>
            </w:tcBorders>
            <w:vAlign w:val="center"/>
          </w:tcPr>
          <w:p w14:paraId="3CC8518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6"/>
                <w:position w:val="6"/>
                <w:sz w:val="21"/>
                <w:szCs w:val="21"/>
                <w:highlight w:val="none"/>
                <w:lang w:eastAsia="en-US"/>
                <w14:textOutline w14:w="3797" w14:cap="flat" w14:cmpd="sng" w14:algn="ctr">
                  <w14:solidFill>
                    <w14:srgbClr w14:val="000000"/>
                  </w14:solidFill>
                  <w14:prstDash w14:val="solid"/>
                  <w14:miter w14:val="0"/>
                </w14:textOutline>
              </w:rPr>
              <w:t>速率</w:t>
            </w:r>
          </w:p>
          <w:p w14:paraId="42BACD5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4"/>
                <w:sz w:val="21"/>
                <w:szCs w:val="21"/>
                <w:highlight w:val="none"/>
              </w:rPr>
              <w:t>(</w:t>
            </w:r>
            <w:r>
              <w:rPr>
                <w:rFonts w:ascii="Times New Roman" w:hAnsi="Times New Roman" w:eastAsia="宋体" w:cs="Times New Roman"/>
                <w:b/>
                <w:bCs/>
                <w:color w:val="auto"/>
                <w:sz w:val="21"/>
                <w:szCs w:val="21"/>
                <w:highlight w:val="none"/>
              </w:rPr>
              <w:t>kg</w:t>
            </w:r>
            <w:r>
              <w:rPr>
                <w:rFonts w:ascii="Times New Roman" w:hAnsi="Times New Roman" w:eastAsia="宋体" w:cs="Times New Roman"/>
                <w:b/>
                <w:bCs/>
                <w:color w:val="auto"/>
                <w:spacing w:val="4"/>
                <w:sz w:val="21"/>
                <w:szCs w:val="21"/>
                <w:highlight w:val="none"/>
              </w:rPr>
              <w:t>/h)</w:t>
            </w:r>
          </w:p>
        </w:tc>
        <w:tc>
          <w:tcPr>
            <w:tcW w:w="1065" w:type="dxa"/>
            <w:tcBorders>
              <w:tl2br w:val="nil"/>
              <w:tr2bl w:val="nil"/>
            </w:tcBorders>
            <w:vAlign w:val="center"/>
          </w:tcPr>
          <w:p w14:paraId="63FF1FC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pacing w:val="7"/>
                <w:sz w:val="21"/>
                <w:szCs w:val="21"/>
                <w:highlight w:val="none"/>
                <w14:textOutline w14:w="3797" w14:cap="flat" w14:cmpd="sng" w14:algn="ctr">
                  <w14:solidFill>
                    <w14:srgbClr w14:val="000000"/>
                  </w14:solidFill>
                  <w14:prstDash w14:val="solid"/>
                  <w14:miter w14:val="0"/>
                </w14:textOutline>
              </w:rPr>
            </w:pPr>
            <w:r>
              <w:rPr>
                <w:rFonts w:ascii="Times New Roman" w:hAnsi="Times New Roman" w:eastAsia="宋体" w:cs="Times New Roman"/>
                <w:color w:val="auto"/>
                <w:spacing w:val="7"/>
                <w:sz w:val="21"/>
                <w:szCs w:val="21"/>
                <w:highlight w:val="none"/>
                <w14:textOutline w14:w="3797" w14:cap="flat" w14:cmpd="sng" w14:algn="ctr">
                  <w14:solidFill>
                    <w14:srgbClr w14:val="000000"/>
                  </w14:solidFill>
                  <w14:prstDash w14:val="solid"/>
                  <w14:miter w14:val="0"/>
                </w14:textOutline>
              </w:rPr>
              <w:t>产生量</w:t>
            </w:r>
          </w:p>
          <w:p w14:paraId="06AD88C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14:textOutline w14:w="3797" w14:cap="flat" w14:cmpd="sng" w14:algn="ctr">
                  <w14:solidFill>
                    <w14:srgbClr w14:val="000000"/>
                  </w14:solidFill>
                  <w14:prstDash w14:val="solid"/>
                  <w14:miter w14:val="0"/>
                </w14:textOutline>
              </w:rPr>
              <w:t>（</w:t>
            </w:r>
            <w:r>
              <w:rPr>
                <w:rFonts w:ascii="Times New Roman" w:hAnsi="Times New Roman" w:eastAsia="宋体" w:cs="Times New Roman"/>
                <w:b/>
                <w:bCs/>
                <w:color w:val="auto"/>
                <w:spacing w:val="-2"/>
                <w:sz w:val="21"/>
                <w:szCs w:val="21"/>
                <w:highlight w:val="none"/>
              </w:rPr>
              <w:t>t/a</w:t>
            </w:r>
            <w:r>
              <w:rPr>
                <w:rFonts w:ascii="Times New Roman" w:hAnsi="Times New Roman" w:eastAsia="宋体" w:cs="Times New Roman"/>
                <w:color w:val="auto"/>
                <w:spacing w:val="-2"/>
                <w:sz w:val="21"/>
                <w:szCs w:val="21"/>
                <w:highlight w:val="none"/>
                <w14:textOutline w14:w="3797" w14:cap="flat" w14:cmpd="sng" w14:algn="ctr">
                  <w14:solidFill>
                    <w14:srgbClr w14:val="000000"/>
                  </w14:solidFill>
                  <w14:prstDash w14:val="solid"/>
                  <w14:miter w14:val="0"/>
                </w14:textOutline>
              </w:rPr>
              <w:t>）</w:t>
            </w:r>
          </w:p>
        </w:tc>
        <w:tc>
          <w:tcPr>
            <w:tcW w:w="1717" w:type="dxa"/>
            <w:vMerge w:val="continue"/>
            <w:tcBorders>
              <w:tl2br w:val="nil"/>
              <w:tr2bl w:val="nil"/>
            </w:tcBorders>
            <w:vAlign w:val="center"/>
          </w:tcPr>
          <w:p w14:paraId="3E1E08A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vMerge w:val="continue"/>
            <w:tcBorders>
              <w:tl2br w:val="nil"/>
              <w:tr2bl w:val="nil"/>
            </w:tcBorders>
            <w:vAlign w:val="center"/>
          </w:tcPr>
          <w:p w14:paraId="464021E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133" w:type="dxa"/>
            <w:tcBorders>
              <w:tl2br w:val="nil"/>
              <w:tr2bl w:val="nil"/>
            </w:tcBorders>
            <w:vAlign w:val="center"/>
          </w:tcPr>
          <w:p w14:paraId="3DFB16A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14:textOutline w14:w="3797" w14:cap="flat" w14:cmpd="sng" w14:algn="ctr">
                  <w14:solidFill>
                    <w14:srgbClr w14:val="000000"/>
                  </w14:solidFill>
                  <w14:prstDash w14:val="solid"/>
                  <w14:miter w14:val="0"/>
                </w14:textOutline>
              </w:rPr>
              <w:t>浓度</w:t>
            </w:r>
            <w:r>
              <w:rPr>
                <w:rFonts w:ascii="Times New Roman" w:hAnsi="Times New Roman" w:eastAsia="宋体" w:cs="Times New Roman"/>
                <w:b/>
                <w:bCs/>
                <w:color w:val="auto"/>
                <w:spacing w:val="5"/>
                <w:sz w:val="21"/>
                <w:szCs w:val="21"/>
                <w:highlight w:val="none"/>
              </w:rPr>
              <w:t>(</w:t>
            </w:r>
            <w:r>
              <w:rPr>
                <w:rFonts w:ascii="Times New Roman" w:hAnsi="Times New Roman" w:eastAsia="宋体" w:cs="Times New Roman"/>
                <w:b/>
                <w:bCs/>
                <w:color w:val="auto"/>
                <w:sz w:val="21"/>
                <w:szCs w:val="21"/>
                <w:highlight w:val="none"/>
              </w:rPr>
              <w:t>mg</w:t>
            </w:r>
            <w:r>
              <w:rPr>
                <w:rFonts w:ascii="Times New Roman" w:hAnsi="Times New Roman" w:eastAsia="宋体" w:cs="Times New Roman"/>
                <w:b/>
                <w:bCs/>
                <w:color w:val="auto"/>
                <w:spacing w:val="5"/>
                <w:sz w:val="21"/>
                <w:szCs w:val="21"/>
                <w:highlight w:val="none"/>
              </w:rPr>
              <w:t>/m</w:t>
            </w:r>
            <w:r>
              <w:rPr>
                <w:rFonts w:hint="eastAsia" w:ascii="Times New Roman" w:hAnsi="Times New Roman" w:eastAsia="宋体" w:cs="Times New Roman"/>
                <w:b/>
                <w:bCs/>
                <w:color w:val="auto"/>
                <w:spacing w:val="2"/>
                <w:sz w:val="21"/>
                <w:szCs w:val="21"/>
                <w:highlight w:val="none"/>
                <w:vertAlign w:val="superscript"/>
                <w:lang w:val="en-US" w:eastAsia="zh-CN"/>
              </w:rPr>
              <w:t>3</w:t>
            </w:r>
            <w:r>
              <w:rPr>
                <w:rFonts w:ascii="Times New Roman" w:hAnsi="Times New Roman" w:eastAsia="宋体" w:cs="Times New Roman"/>
                <w:b/>
                <w:bCs/>
                <w:color w:val="auto"/>
                <w:spacing w:val="5"/>
                <w:sz w:val="21"/>
                <w:szCs w:val="21"/>
                <w:highlight w:val="none"/>
              </w:rPr>
              <w:t>)</w:t>
            </w:r>
          </w:p>
        </w:tc>
        <w:tc>
          <w:tcPr>
            <w:tcW w:w="1131" w:type="dxa"/>
            <w:tcBorders>
              <w:tl2br w:val="nil"/>
              <w:tr2bl w:val="nil"/>
            </w:tcBorders>
            <w:vAlign w:val="center"/>
          </w:tcPr>
          <w:p w14:paraId="5788B56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6"/>
                <w:position w:val="6"/>
                <w:sz w:val="21"/>
                <w:szCs w:val="21"/>
                <w:highlight w:val="none"/>
                <w:lang w:eastAsia="en-US"/>
                <w14:textOutline w14:w="3797" w14:cap="flat" w14:cmpd="sng" w14:algn="ctr">
                  <w14:solidFill>
                    <w14:srgbClr w14:val="000000"/>
                  </w14:solidFill>
                  <w14:prstDash w14:val="solid"/>
                  <w14:miter w14:val="0"/>
                </w14:textOutline>
              </w:rPr>
              <w:t>速率</w:t>
            </w:r>
          </w:p>
          <w:p w14:paraId="5A84FF7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3"/>
                <w:sz w:val="21"/>
                <w:szCs w:val="21"/>
                <w:highlight w:val="none"/>
              </w:rPr>
              <w:t>(</w:t>
            </w:r>
            <w:r>
              <w:rPr>
                <w:rFonts w:ascii="Times New Roman" w:hAnsi="Times New Roman" w:eastAsia="宋体" w:cs="Times New Roman"/>
                <w:b/>
                <w:bCs/>
                <w:color w:val="auto"/>
                <w:sz w:val="21"/>
                <w:szCs w:val="21"/>
                <w:highlight w:val="none"/>
              </w:rPr>
              <w:t>kg</w:t>
            </w:r>
            <w:r>
              <w:rPr>
                <w:rFonts w:ascii="Times New Roman" w:hAnsi="Times New Roman" w:eastAsia="宋体" w:cs="Times New Roman"/>
                <w:b/>
                <w:bCs/>
                <w:color w:val="auto"/>
                <w:spacing w:val="3"/>
                <w:sz w:val="21"/>
                <w:szCs w:val="21"/>
                <w:highlight w:val="none"/>
              </w:rPr>
              <w:t>/h)</w:t>
            </w:r>
          </w:p>
        </w:tc>
        <w:tc>
          <w:tcPr>
            <w:tcW w:w="1136" w:type="dxa"/>
            <w:tcBorders>
              <w:tl2br w:val="nil"/>
              <w:tr2bl w:val="nil"/>
            </w:tcBorders>
            <w:vAlign w:val="center"/>
          </w:tcPr>
          <w:p w14:paraId="03431FB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position w:val="4"/>
                <w:sz w:val="21"/>
                <w:szCs w:val="21"/>
                <w:highlight w:val="none"/>
                <w:lang w:eastAsia="en-US"/>
                <w14:textOutline w14:w="3797" w14:cap="flat" w14:cmpd="sng" w14:algn="ctr">
                  <w14:solidFill>
                    <w14:srgbClr w14:val="000000"/>
                  </w14:solidFill>
                  <w14:prstDash w14:val="solid"/>
                  <w14:miter w14:val="0"/>
                </w14:textOutline>
              </w:rPr>
              <w:t>排放量</w:t>
            </w:r>
          </w:p>
          <w:p w14:paraId="53243DF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14:textOutline w14:w="3797" w14:cap="flat" w14:cmpd="sng" w14:algn="ctr">
                  <w14:solidFill>
                    <w14:srgbClr w14:val="000000"/>
                  </w14:solidFill>
                  <w14:prstDash w14:val="solid"/>
                  <w14:miter w14:val="0"/>
                </w14:textOutline>
              </w:rPr>
              <w:t>（</w:t>
            </w:r>
            <w:r>
              <w:rPr>
                <w:rFonts w:ascii="Times New Roman" w:hAnsi="Times New Roman" w:eastAsia="宋体" w:cs="Times New Roman"/>
                <w:b/>
                <w:bCs/>
                <w:color w:val="auto"/>
                <w:sz w:val="21"/>
                <w:szCs w:val="21"/>
                <w:highlight w:val="none"/>
              </w:rPr>
              <w:t>t/a</w:t>
            </w:r>
            <w:r>
              <w:rPr>
                <w:rFonts w:ascii="Times New Roman" w:hAnsi="Times New Roman" w:eastAsia="宋体" w:cs="Times New Roman"/>
                <w:color w:val="auto"/>
                <w:sz w:val="21"/>
                <w:szCs w:val="21"/>
                <w:highlight w:val="none"/>
                <w14:textOutline w14:w="3797" w14:cap="flat" w14:cmpd="sng" w14:algn="ctr">
                  <w14:solidFill>
                    <w14:srgbClr w14:val="000000"/>
                  </w14:solidFill>
                  <w14:prstDash w14:val="solid"/>
                  <w14:miter w14:val="0"/>
                </w14:textOutline>
              </w:rPr>
              <w:t>）</w:t>
            </w:r>
          </w:p>
        </w:tc>
        <w:tc>
          <w:tcPr>
            <w:tcW w:w="680" w:type="dxa"/>
            <w:vMerge w:val="continue"/>
            <w:tcBorders>
              <w:tl2br w:val="nil"/>
              <w:tr2bl w:val="nil"/>
            </w:tcBorders>
            <w:vAlign w:val="center"/>
          </w:tcPr>
          <w:p w14:paraId="0504292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67A844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6593E8C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DA</w:t>
            </w:r>
            <w:r>
              <w:rPr>
                <w:rFonts w:ascii="Times New Roman" w:hAnsi="Times New Roman" w:eastAsia="宋体" w:cs="Times New Roman"/>
                <w:color w:val="auto"/>
                <w:spacing w:val="8"/>
                <w:sz w:val="21"/>
                <w:szCs w:val="21"/>
                <w:highlight w:val="none"/>
              </w:rPr>
              <w:t>001</w:t>
            </w:r>
          </w:p>
        </w:tc>
        <w:tc>
          <w:tcPr>
            <w:tcW w:w="825" w:type="dxa"/>
            <w:vMerge w:val="restart"/>
            <w:tcBorders>
              <w:tl2br w:val="nil"/>
              <w:tr2bl w:val="nil"/>
            </w:tcBorders>
            <w:vAlign w:val="center"/>
          </w:tcPr>
          <w:p w14:paraId="1946A91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8400</w:t>
            </w:r>
          </w:p>
        </w:tc>
        <w:tc>
          <w:tcPr>
            <w:tcW w:w="855" w:type="dxa"/>
            <w:vMerge w:val="restart"/>
            <w:tcBorders>
              <w:tl2br w:val="nil"/>
              <w:tr2bl w:val="nil"/>
            </w:tcBorders>
            <w:vAlign w:val="center"/>
          </w:tcPr>
          <w:p w14:paraId="0B87ED2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5000</w:t>
            </w:r>
          </w:p>
        </w:tc>
        <w:tc>
          <w:tcPr>
            <w:tcW w:w="1590" w:type="dxa"/>
            <w:tcBorders>
              <w:tl2br w:val="nil"/>
              <w:tr2bl w:val="nil"/>
            </w:tcBorders>
            <w:vAlign w:val="center"/>
          </w:tcPr>
          <w:p w14:paraId="7C0E15B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2-乙二醇单</w:t>
            </w:r>
            <w:r>
              <w:rPr>
                <w:rFonts w:ascii="Times New Roman" w:hAnsi="Times New Roman" w:eastAsia="宋体" w:cs="Times New Roman"/>
                <w:color w:val="auto"/>
                <w:spacing w:val="4"/>
                <w:sz w:val="21"/>
                <w:szCs w:val="21"/>
                <w:highlight w:val="none"/>
              </w:rPr>
              <w:t>乙醚醋酸酯</w:t>
            </w:r>
          </w:p>
        </w:tc>
        <w:tc>
          <w:tcPr>
            <w:tcW w:w="1065" w:type="dxa"/>
            <w:tcBorders>
              <w:tl2br w:val="nil"/>
              <w:tr2bl w:val="nil"/>
            </w:tcBorders>
            <w:vAlign w:val="center"/>
          </w:tcPr>
          <w:p w14:paraId="7E00BFC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9.52</w:t>
            </w:r>
          </w:p>
        </w:tc>
        <w:tc>
          <w:tcPr>
            <w:tcW w:w="1125" w:type="dxa"/>
            <w:tcBorders>
              <w:tl2br w:val="nil"/>
              <w:tr2bl w:val="nil"/>
            </w:tcBorders>
            <w:vAlign w:val="center"/>
          </w:tcPr>
          <w:p w14:paraId="2412423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0.0476</w:t>
            </w:r>
          </w:p>
        </w:tc>
        <w:tc>
          <w:tcPr>
            <w:tcW w:w="1065" w:type="dxa"/>
            <w:tcBorders>
              <w:tl2br w:val="nil"/>
              <w:tr2bl w:val="nil"/>
            </w:tcBorders>
            <w:vAlign w:val="center"/>
          </w:tcPr>
          <w:p w14:paraId="23474C5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0.4</w:t>
            </w:r>
          </w:p>
        </w:tc>
        <w:tc>
          <w:tcPr>
            <w:tcW w:w="1717" w:type="dxa"/>
            <w:vMerge w:val="restart"/>
            <w:tcBorders>
              <w:tl2br w:val="nil"/>
              <w:tr2bl w:val="nil"/>
            </w:tcBorders>
            <w:vAlign w:val="center"/>
          </w:tcPr>
          <w:p w14:paraId="010C0B6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4"/>
                <w:sz w:val="21"/>
                <w:szCs w:val="21"/>
                <w:highlight w:val="none"/>
                <w:lang w:eastAsia="zh-CN"/>
              </w:rPr>
              <w:t>冷凝+3级碱</w:t>
            </w:r>
            <w:r>
              <w:rPr>
                <w:rFonts w:ascii="Times New Roman" w:hAnsi="Times New Roman" w:eastAsia="宋体" w:cs="Times New Roman"/>
                <w:color w:val="auto"/>
                <w:spacing w:val="6"/>
                <w:sz w:val="21"/>
                <w:szCs w:val="21"/>
                <w:highlight w:val="none"/>
                <w:lang w:eastAsia="zh-CN"/>
              </w:rPr>
              <w:t>液喷淋+活性</w:t>
            </w:r>
            <w:r>
              <w:rPr>
                <w:rFonts w:ascii="Times New Roman" w:hAnsi="Times New Roman" w:eastAsia="宋体" w:cs="Times New Roman"/>
                <w:color w:val="auto"/>
                <w:spacing w:val="5"/>
                <w:sz w:val="21"/>
                <w:szCs w:val="21"/>
                <w:highlight w:val="none"/>
                <w:lang w:eastAsia="zh-CN"/>
              </w:rPr>
              <w:t>炭吸附</w:t>
            </w:r>
          </w:p>
        </w:tc>
        <w:tc>
          <w:tcPr>
            <w:tcW w:w="696" w:type="dxa"/>
            <w:tcBorders>
              <w:tl2br w:val="nil"/>
              <w:tr2bl w:val="nil"/>
            </w:tcBorders>
            <w:vAlign w:val="center"/>
          </w:tcPr>
          <w:p w14:paraId="34F8567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13B358C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4.76</w:t>
            </w:r>
          </w:p>
        </w:tc>
        <w:tc>
          <w:tcPr>
            <w:tcW w:w="1131" w:type="dxa"/>
            <w:tcBorders>
              <w:tl2br w:val="nil"/>
              <w:tr2bl w:val="nil"/>
            </w:tcBorders>
            <w:vAlign w:val="center"/>
          </w:tcPr>
          <w:p w14:paraId="551778A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0.0238</w:t>
            </w:r>
          </w:p>
        </w:tc>
        <w:tc>
          <w:tcPr>
            <w:tcW w:w="1136" w:type="dxa"/>
            <w:tcBorders>
              <w:tl2br w:val="nil"/>
              <w:tr2bl w:val="nil"/>
            </w:tcBorders>
            <w:vAlign w:val="center"/>
          </w:tcPr>
          <w:p w14:paraId="4A9E2A7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0.2000</w:t>
            </w:r>
          </w:p>
        </w:tc>
        <w:tc>
          <w:tcPr>
            <w:tcW w:w="680" w:type="dxa"/>
            <w:vMerge w:val="restart"/>
            <w:tcBorders>
              <w:tl2br w:val="nil"/>
              <w:tr2bl w:val="nil"/>
            </w:tcBorders>
            <w:vAlign w:val="center"/>
          </w:tcPr>
          <w:p w14:paraId="404575B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20</w:t>
            </w:r>
          </w:p>
        </w:tc>
      </w:tr>
      <w:tr w14:paraId="227218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691F1659">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7499EE3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07779C4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0C7FF51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5"/>
                <w:sz w:val="21"/>
                <w:szCs w:val="21"/>
                <w:highlight w:val="none"/>
                <w:lang w:eastAsia="en-US"/>
              </w:rPr>
              <w:t>丙烯酸</w:t>
            </w:r>
          </w:p>
        </w:tc>
        <w:tc>
          <w:tcPr>
            <w:tcW w:w="1065" w:type="dxa"/>
            <w:tcBorders>
              <w:tl2br w:val="nil"/>
              <w:tr2bl w:val="nil"/>
            </w:tcBorders>
            <w:vAlign w:val="center"/>
          </w:tcPr>
          <w:p w14:paraId="58DE5DC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14.29</w:t>
            </w:r>
          </w:p>
        </w:tc>
        <w:tc>
          <w:tcPr>
            <w:tcW w:w="1125" w:type="dxa"/>
            <w:tcBorders>
              <w:tl2br w:val="nil"/>
              <w:tr2bl w:val="nil"/>
            </w:tcBorders>
            <w:vAlign w:val="center"/>
          </w:tcPr>
          <w:p w14:paraId="479DE08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0.0714</w:t>
            </w:r>
          </w:p>
        </w:tc>
        <w:tc>
          <w:tcPr>
            <w:tcW w:w="1065" w:type="dxa"/>
            <w:tcBorders>
              <w:tl2br w:val="nil"/>
              <w:tr2bl w:val="nil"/>
            </w:tcBorders>
            <w:vAlign w:val="center"/>
          </w:tcPr>
          <w:p w14:paraId="57D1C0E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0.6</w:t>
            </w:r>
          </w:p>
        </w:tc>
        <w:tc>
          <w:tcPr>
            <w:tcW w:w="1717" w:type="dxa"/>
            <w:vMerge w:val="continue"/>
            <w:tcBorders>
              <w:tl2br w:val="nil"/>
              <w:tr2bl w:val="nil"/>
            </w:tcBorders>
            <w:vAlign w:val="center"/>
          </w:tcPr>
          <w:p w14:paraId="0399255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08B4EF5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98</w:t>
            </w:r>
          </w:p>
        </w:tc>
        <w:tc>
          <w:tcPr>
            <w:tcW w:w="1133" w:type="dxa"/>
            <w:tcBorders>
              <w:tl2br w:val="nil"/>
              <w:tr2bl w:val="nil"/>
            </w:tcBorders>
            <w:vAlign w:val="center"/>
          </w:tcPr>
          <w:p w14:paraId="33A3FD2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0.29</w:t>
            </w:r>
          </w:p>
        </w:tc>
        <w:tc>
          <w:tcPr>
            <w:tcW w:w="1131" w:type="dxa"/>
            <w:tcBorders>
              <w:tl2br w:val="nil"/>
              <w:tr2bl w:val="nil"/>
            </w:tcBorders>
            <w:vAlign w:val="center"/>
          </w:tcPr>
          <w:p w14:paraId="02AA4CD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0.0014</w:t>
            </w:r>
          </w:p>
        </w:tc>
        <w:tc>
          <w:tcPr>
            <w:tcW w:w="1136" w:type="dxa"/>
            <w:tcBorders>
              <w:tl2br w:val="nil"/>
              <w:tr2bl w:val="nil"/>
            </w:tcBorders>
            <w:vAlign w:val="center"/>
          </w:tcPr>
          <w:p w14:paraId="5EED150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0.0120</w:t>
            </w:r>
          </w:p>
        </w:tc>
        <w:tc>
          <w:tcPr>
            <w:tcW w:w="680" w:type="dxa"/>
            <w:vMerge w:val="continue"/>
            <w:tcBorders>
              <w:tl2br w:val="nil"/>
              <w:tr2bl w:val="nil"/>
            </w:tcBorders>
            <w:vAlign w:val="center"/>
          </w:tcPr>
          <w:p w14:paraId="242A125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47B6BE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46075D6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27531F88">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328011D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3998677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丁酮</w:t>
            </w:r>
          </w:p>
        </w:tc>
        <w:tc>
          <w:tcPr>
            <w:tcW w:w="1065" w:type="dxa"/>
            <w:tcBorders>
              <w:tl2br w:val="nil"/>
              <w:tr2bl w:val="nil"/>
            </w:tcBorders>
            <w:vAlign w:val="center"/>
          </w:tcPr>
          <w:p w14:paraId="693F4DD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61.90</w:t>
            </w:r>
          </w:p>
        </w:tc>
        <w:tc>
          <w:tcPr>
            <w:tcW w:w="1125" w:type="dxa"/>
            <w:tcBorders>
              <w:tl2br w:val="nil"/>
              <w:tr2bl w:val="nil"/>
            </w:tcBorders>
            <w:vAlign w:val="center"/>
          </w:tcPr>
          <w:p w14:paraId="523C840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0.3095</w:t>
            </w:r>
          </w:p>
        </w:tc>
        <w:tc>
          <w:tcPr>
            <w:tcW w:w="1065" w:type="dxa"/>
            <w:tcBorders>
              <w:tl2br w:val="nil"/>
              <w:tr2bl w:val="nil"/>
            </w:tcBorders>
            <w:vAlign w:val="center"/>
          </w:tcPr>
          <w:p w14:paraId="44F674B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2.6</w:t>
            </w:r>
          </w:p>
        </w:tc>
        <w:tc>
          <w:tcPr>
            <w:tcW w:w="1717" w:type="dxa"/>
            <w:vMerge w:val="continue"/>
            <w:tcBorders>
              <w:tl2br w:val="nil"/>
              <w:tr2bl w:val="nil"/>
            </w:tcBorders>
            <w:vAlign w:val="center"/>
          </w:tcPr>
          <w:p w14:paraId="6AD9DBD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0EBD7AA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94</w:t>
            </w:r>
          </w:p>
        </w:tc>
        <w:tc>
          <w:tcPr>
            <w:tcW w:w="1133" w:type="dxa"/>
            <w:tcBorders>
              <w:tl2br w:val="nil"/>
              <w:tr2bl w:val="nil"/>
            </w:tcBorders>
            <w:vAlign w:val="center"/>
          </w:tcPr>
          <w:p w14:paraId="1952312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3.71</w:t>
            </w:r>
          </w:p>
        </w:tc>
        <w:tc>
          <w:tcPr>
            <w:tcW w:w="1131" w:type="dxa"/>
            <w:tcBorders>
              <w:tl2br w:val="nil"/>
              <w:tr2bl w:val="nil"/>
            </w:tcBorders>
            <w:vAlign w:val="center"/>
          </w:tcPr>
          <w:p w14:paraId="5C680F6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0.0186</w:t>
            </w:r>
          </w:p>
        </w:tc>
        <w:tc>
          <w:tcPr>
            <w:tcW w:w="1136" w:type="dxa"/>
            <w:tcBorders>
              <w:tl2br w:val="nil"/>
              <w:tr2bl w:val="nil"/>
            </w:tcBorders>
            <w:vAlign w:val="center"/>
          </w:tcPr>
          <w:p w14:paraId="27A4D3F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0.1560</w:t>
            </w:r>
          </w:p>
        </w:tc>
        <w:tc>
          <w:tcPr>
            <w:tcW w:w="680" w:type="dxa"/>
            <w:vMerge w:val="continue"/>
            <w:tcBorders>
              <w:tl2br w:val="nil"/>
              <w:tr2bl w:val="nil"/>
            </w:tcBorders>
            <w:vAlign w:val="center"/>
          </w:tcPr>
          <w:p w14:paraId="65D7DF4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48E6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15C968B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DA</w:t>
            </w:r>
            <w:r>
              <w:rPr>
                <w:rFonts w:ascii="Times New Roman" w:hAnsi="Times New Roman" w:eastAsia="宋体" w:cs="Times New Roman"/>
                <w:color w:val="auto"/>
                <w:spacing w:val="8"/>
                <w:sz w:val="21"/>
                <w:szCs w:val="21"/>
                <w:highlight w:val="none"/>
              </w:rPr>
              <w:t>002</w:t>
            </w:r>
          </w:p>
        </w:tc>
        <w:tc>
          <w:tcPr>
            <w:tcW w:w="825" w:type="dxa"/>
            <w:vMerge w:val="continue"/>
            <w:tcBorders>
              <w:tl2br w:val="nil"/>
              <w:tr2bl w:val="nil"/>
            </w:tcBorders>
            <w:vAlign w:val="center"/>
          </w:tcPr>
          <w:p w14:paraId="05DFC34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restart"/>
            <w:tcBorders>
              <w:tl2br w:val="nil"/>
              <w:tr2bl w:val="nil"/>
            </w:tcBorders>
            <w:vAlign w:val="center"/>
          </w:tcPr>
          <w:p w14:paraId="32BD7DD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15000</w:t>
            </w:r>
          </w:p>
        </w:tc>
        <w:tc>
          <w:tcPr>
            <w:tcW w:w="1590" w:type="dxa"/>
            <w:tcBorders>
              <w:tl2br w:val="nil"/>
              <w:tr2bl w:val="nil"/>
            </w:tcBorders>
            <w:vAlign w:val="center"/>
          </w:tcPr>
          <w:p w14:paraId="2CDF881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5"/>
                <w:sz w:val="21"/>
                <w:szCs w:val="21"/>
                <w:highlight w:val="none"/>
                <w:lang w:eastAsia="en-US"/>
              </w:rPr>
              <w:t>丙烯酸</w:t>
            </w:r>
          </w:p>
        </w:tc>
        <w:tc>
          <w:tcPr>
            <w:tcW w:w="1065" w:type="dxa"/>
            <w:tcBorders>
              <w:tl2br w:val="nil"/>
              <w:tr2bl w:val="nil"/>
            </w:tcBorders>
            <w:vAlign w:val="center"/>
          </w:tcPr>
          <w:p w14:paraId="6526EEC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2.52</w:t>
            </w:r>
          </w:p>
        </w:tc>
        <w:tc>
          <w:tcPr>
            <w:tcW w:w="1125" w:type="dxa"/>
            <w:tcBorders>
              <w:tl2br w:val="nil"/>
              <w:tr2bl w:val="nil"/>
            </w:tcBorders>
            <w:vAlign w:val="center"/>
          </w:tcPr>
          <w:p w14:paraId="2597CE8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0.0378</w:t>
            </w:r>
          </w:p>
        </w:tc>
        <w:tc>
          <w:tcPr>
            <w:tcW w:w="1065" w:type="dxa"/>
            <w:tcBorders>
              <w:tl2br w:val="nil"/>
              <w:tr2bl w:val="nil"/>
            </w:tcBorders>
            <w:vAlign w:val="center"/>
          </w:tcPr>
          <w:p w14:paraId="14C3302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0.3177</w:t>
            </w:r>
          </w:p>
        </w:tc>
        <w:tc>
          <w:tcPr>
            <w:tcW w:w="1717" w:type="dxa"/>
            <w:vMerge w:val="restart"/>
            <w:tcBorders>
              <w:tl2br w:val="nil"/>
              <w:tr2bl w:val="nil"/>
            </w:tcBorders>
            <w:vAlign w:val="center"/>
          </w:tcPr>
          <w:p w14:paraId="2FFACAD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5"/>
                <w:sz w:val="21"/>
                <w:szCs w:val="21"/>
                <w:highlight w:val="none"/>
                <w:lang w:eastAsia="zh-CN"/>
              </w:rPr>
              <w:t>3级碱液喷淋</w:t>
            </w:r>
            <w:r>
              <w:rPr>
                <w:rFonts w:ascii="Times New Roman" w:hAnsi="Times New Roman" w:eastAsia="宋体" w:cs="Times New Roman"/>
                <w:color w:val="auto"/>
                <w:spacing w:val="8"/>
                <w:sz w:val="21"/>
                <w:szCs w:val="21"/>
                <w:highlight w:val="none"/>
                <w:lang w:eastAsia="zh-CN"/>
              </w:rPr>
              <w:t>+活性炭吸附</w:t>
            </w:r>
            <w:r>
              <w:rPr>
                <w:rFonts w:ascii="Times New Roman" w:hAnsi="Times New Roman" w:eastAsia="宋体" w:cs="Times New Roman"/>
                <w:color w:val="auto"/>
                <w:spacing w:val="2"/>
                <w:sz w:val="21"/>
                <w:szCs w:val="21"/>
                <w:highlight w:val="none"/>
                <w:lang w:eastAsia="zh-CN"/>
              </w:rPr>
              <w:t>处理</w:t>
            </w:r>
          </w:p>
        </w:tc>
        <w:tc>
          <w:tcPr>
            <w:tcW w:w="696" w:type="dxa"/>
            <w:tcBorders>
              <w:tl2br w:val="nil"/>
              <w:tr2bl w:val="nil"/>
            </w:tcBorders>
            <w:vAlign w:val="center"/>
          </w:tcPr>
          <w:p w14:paraId="657E359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98</w:t>
            </w:r>
          </w:p>
        </w:tc>
        <w:tc>
          <w:tcPr>
            <w:tcW w:w="1133" w:type="dxa"/>
            <w:tcBorders>
              <w:tl2br w:val="nil"/>
              <w:tr2bl w:val="nil"/>
            </w:tcBorders>
            <w:vAlign w:val="center"/>
          </w:tcPr>
          <w:p w14:paraId="1C963C1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0.05</w:t>
            </w:r>
          </w:p>
        </w:tc>
        <w:tc>
          <w:tcPr>
            <w:tcW w:w="1131" w:type="dxa"/>
            <w:tcBorders>
              <w:tl2br w:val="nil"/>
              <w:tr2bl w:val="nil"/>
            </w:tcBorders>
            <w:vAlign w:val="center"/>
          </w:tcPr>
          <w:p w14:paraId="1987884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0.0008</w:t>
            </w:r>
          </w:p>
        </w:tc>
        <w:tc>
          <w:tcPr>
            <w:tcW w:w="1136" w:type="dxa"/>
            <w:tcBorders>
              <w:tl2br w:val="nil"/>
              <w:tr2bl w:val="nil"/>
            </w:tcBorders>
            <w:vAlign w:val="center"/>
          </w:tcPr>
          <w:p w14:paraId="1BE4972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0.0064</w:t>
            </w:r>
          </w:p>
        </w:tc>
        <w:tc>
          <w:tcPr>
            <w:tcW w:w="680" w:type="dxa"/>
            <w:vMerge w:val="restart"/>
            <w:tcBorders>
              <w:tl2br w:val="nil"/>
              <w:tr2bl w:val="nil"/>
            </w:tcBorders>
            <w:vAlign w:val="center"/>
          </w:tcPr>
          <w:p w14:paraId="4132D87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20</w:t>
            </w:r>
          </w:p>
        </w:tc>
      </w:tr>
      <w:tr w14:paraId="2C442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19FAB9B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0C18CDF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02AC4B3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1D0F454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2-乙二醇单</w:t>
            </w:r>
            <w:r>
              <w:rPr>
                <w:rFonts w:ascii="Times New Roman" w:hAnsi="Times New Roman" w:eastAsia="宋体" w:cs="Times New Roman"/>
                <w:color w:val="auto"/>
                <w:spacing w:val="4"/>
                <w:sz w:val="21"/>
                <w:szCs w:val="21"/>
                <w:highlight w:val="none"/>
              </w:rPr>
              <w:t>乙醚醋酸酯</w:t>
            </w:r>
          </w:p>
        </w:tc>
        <w:tc>
          <w:tcPr>
            <w:tcW w:w="1065" w:type="dxa"/>
            <w:tcBorders>
              <w:tl2br w:val="nil"/>
              <w:tr2bl w:val="nil"/>
            </w:tcBorders>
            <w:vAlign w:val="center"/>
          </w:tcPr>
          <w:p w14:paraId="6B5CA39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0.22</w:t>
            </w:r>
          </w:p>
        </w:tc>
        <w:tc>
          <w:tcPr>
            <w:tcW w:w="1125" w:type="dxa"/>
            <w:tcBorders>
              <w:tl2br w:val="nil"/>
              <w:tr2bl w:val="nil"/>
            </w:tcBorders>
            <w:vAlign w:val="center"/>
          </w:tcPr>
          <w:p w14:paraId="7A9B4E0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0.0033</w:t>
            </w:r>
          </w:p>
        </w:tc>
        <w:tc>
          <w:tcPr>
            <w:tcW w:w="1065" w:type="dxa"/>
            <w:tcBorders>
              <w:tl2br w:val="nil"/>
              <w:tr2bl w:val="nil"/>
            </w:tcBorders>
            <w:vAlign w:val="center"/>
          </w:tcPr>
          <w:p w14:paraId="0DE8BF2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0.0280</w:t>
            </w:r>
          </w:p>
        </w:tc>
        <w:tc>
          <w:tcPr>
            <w:tcW w:w="1717" w:type="dxa"/>
            <w:vMerge w:val="continue"/>
            <w:tcBorders>
              <w:tl2br w:val="nil"/>
              <w:tr2bl w:val="nil"/>
            </w:tcBorders>
            <w:vAlign w:val="center"/>
          </w:tcPr>
          <w:p w14:paraId="3E677A5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4377172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2C3F8EF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0.11</w:t>
            </w:r>
          </w:p>
        </w:tc>
        <w:tc>
          <w:tcPr>
            <w:tcW w:w="1131" w:type="dxa"/>
            <w:tcBorders>
              <w:tl2br w:val="nil"/>
              <w:tr2bl w:val="nil"/>
            </w:tcBorders>
            <w:vAlign w:val="center"/>
          </w:tcPr>
          <w:p w14:paraId="4B78B4C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0.0017</w:t>
            </w:r>
          </w:p>
        </w:tc>
        <w:tc>
          <w:tcPr>
            <w:tcW w:w="1136" w:type="dxa"/>
            <w:tcBorders>
              <w:tl2br w:val="nil"/>
              <w:tr2bl w:val="nil"/>
            </w:tcBorders>
            <w:vAlign w:val="center"/>
          </w:tcPr>
          <w:p w14:paraId="2AD87C0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0.0140</w:t>
            </w:r>
          </w:p>
        </w:tc>
        <w:tc>
          <w:tcPr>
            <w:tcW w:w="680" w:type="dxa"/>
            <w:vMerge w:val="continue"/>
            <w:tcBorders>
              <w:tl2br w:val="nil"/>
              <w:tr2bl w:val="nil"/>
            </w:tcBorders>
            <w:vAlign w:val="center"/>
          </w:tcPr>
          <w:p w14:paraId="170F3A4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295B1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07A9E59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052ED01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19412D6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48EE27E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rPr>
              <w:t>非甲烷总烃</w:t>
            </w:r>
          </w:p>
        </w:tc>
        <w:tc>
          <w:tcPr>
            <w:tcW w:w="1065" w:type="dxa"/>
            <w:tcBorders>
              <w:tl2br w:val="nil"/>
              <w:tr2bl w:val="nil"/>
            </w:tcBorders>
            <w:vAlign w:val="center"/>
          </w:tcPr>
          <w:p w14:paraId="6DC5BC0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0.39</w:t>
            </w:r>
          </w:p>
        </w:tc>
        <w:tc>
          <w:tcPr>
            <w:tcW w:w="1125" w:type="dxa"/>
            <w:tcBorders>
              <w:tl2br w:val="nil"/>
              <w:tr2bl w:val="nil"/>
            </w:tcBorders>
            <w:vAlign w:val="center"/>
          </w:tcPr>
          <w:p w14:paraId="4AA2813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0.0058</w:t>
            </w:r>
          </w:p>
        </w:tc>
        <w:tc>
          <w:tcPr>
            <w:tcW w:w="1065" w:type="dxa"/>
            <w:tcBorders>
              <w:tl2br w:val="nil"/>
              <w:tr2bl w:val="nil"/>
            </w:tcBorders>
            <w:vAlign w:val="center"/>
          </w:tcPr>
          <w:p w14:paraId="5B8A994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0.0491</w:t>
            </w:r>
          </w:p>
        </w:tc>
        <w:tc>
          <w:tcPr>
            <w:tcW w:w="1717" w:type="dxa"/>
            <w:vMerge w:val="continue"/>
            <w:tcBorders>
              <w:tl2br w:val="nil"/>
              <w:tr2bl w:val="nil"/>
            </w:tcBorders>
            <w:vAlign w:val="center"/>
          </w:tcPr>
          <w:p w14:paraId="2C9AB35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67C2BE6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436AF3D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0.20</w:t>
            </w:r>
          </w:p>
        </w:tc>
        <w:tc>
          <w:tcPr>
            <w:tcW w:w="1131" w:type="dxa"/>
            <w:tcBorders>
              <w:tl2br w:val="nil"/>
              <w:tr2bl w:val="nil"/>
            </w:tcBorders>
            <w:vAlign w:val="center"/>
          </w:tcPr>
          <w:p w14:paraId="0C0FD95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0.0029</w:t>
            </w:r>
          </w:p>
        </w:tc>
        <w:tc>
          <w:tcPr>
            <w:tcW w:w="1136" w:type="dxa"/>
            <w:tcBorders>
              <w:tl2br w:val="nil"/>
              <w:tr2bl w:val="nil"/>
            </w:tcBorders>
            <w:vAlign w:val="center"/>
          </w:tcPr>
          <w:p w14:paraId="110943F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0.0246</w:t>
            </w:r>
          </w:p>
        </w:tc>
        <w:tc>
          <w:tcPr>
            <w:tcW w:w="680" w:type="dxa"/>
            <w:vMerge w:val="continue"/>
            <w:tcBorders>
              <w:tl2br w:val="nil"/>
              <w:tr2bl w:val="nil"/>
            </w:tcBorders>
            <w:vAlign w:val="center"/>
          </w:tcPr>
          <w:p w14:paraId="1D68E2C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07B0B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4C660CF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751FCD1F">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7687E69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107C021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6"/>
                <w:sz w:val="21"/>
                <w:szCs w:val="21"/>
                <w:highlight w:val="none"/>
                <w:lang w:eastAsia="en-US"/>
              </w:rPr>
              <w:t>异氰酸酯</w:t>
            </w:r>
          </w:p>
        </w:tc>
        <w:tc>
          <w:tcPr>
            <w:tcW w:w="1065" w:type="dxa"/>
            <w:tcBorders>
              <w:tl2br w:val="nil"/>
              <w:tr2bl w:val="nil"/>
            </w:tcBorders>
            <w:vAlign w:val="center"/>
          </w:tcPr>
          <w:p w14:paraId="6A816E9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w:t>
            </w:r>
          </w:p>
        </w:tc>
        <w:tc>
          <w:tcPr>
            <w:tcW w:w="1125" w:type="dxa"/>
            <w:tcBorders>
              <w:tl2br w:val="nil"/>
              <w:tr2bl w:val="nil"/>
            </w:tcBorders>
            <w:vAlign w:val="center"/>
          </w:tcPr>
          <w:p w14:paraId="2565EAB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0.0000</w:t>
            </w:r>
          </w:p>
        </w:tc>
        <w:tc>
          <w:tcPr>
            <w:tcW w:w="1065" w:type="dxa"/>
            <w:tcBorders>
              <w:tl2br w:val="nil"/>
              <w:tr2bl w:val="nil"/>
            </w:tcBorders>
            <w:vAlign w:val="center"/>
          </w:tcPr>
          <w:p w14:paraId="2EDE246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0.0004</w:t>
            </w:r>
          </w:p>
        </w:tc>
        <w:tc>
          <w:tcPr>
            <w:tcW w:w="1717" w:type="dxa"/>
            <w:vMerge w:val="continue"/>
            <w:tcBorders>
              <w:tl2br w:val="nil"/>
              <w:tr2bl w:val="nil"/>
            </w:tcBorders>
            <w:vAlign w:val="center"/>
          </w:tcPr>
          <w:p w14:paraId="5A9200F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273016D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2FEED0D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0.002</w:t>
            </w:r>
          </w:p>
        </w:tc>
        <w:tc>
          <w:tcPr>
            <w:tcW w:w="1131" w:type="dxa"/>
            <w:tcBorders>
              <w:tl2br w:val="nil"/>
              <w:tr2bl w:val="nil"/>
            </w:tcBorders>
            <w:vAlign w:val="center"/>
          </w:tcPr>
          <w:p w14:paraId="21BB8B2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0.00002</w:t>
            </w:r>
          </w:p>
        </w:tc>
        <w:tc>
          <w:tcPr>
            <w:tcW w:w="1136" w:type="dxa"/>
            <w:tcBorders>
              <w:tl2br w:val="nil"/>
              <w:tr2bl w:val="nil"/>
            </w:tcBorders>
            <w:vAlign w:val="center"/>
          </w:tcPr>
          <w:p w14:paraId="6B2F692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0.0002</w:t>
            </w:r>
          </w:p>
        </w:tc>
        <w:tc>
          <w:tcPr>
            <w:tcW w:w="680" w:type="dxa"/>
            <w:vMerge w:val="continue"/>
            <w:tcBorders>
              <w:tl2br w:val="nil"/>
              <w:tr2bl w:val="nil"/>
            </w:tcBorders>
            <w:vAlign w:val="center"/>
          </w:tcPr>
          <w:p w14:paraId="4794D67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DC7DB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45AC30A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6FBA5FD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299E4BA6">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0F373FE8">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丁酮</w:t>
            </w:r>
          </w:p>
        </w:tc>
        <w:tc>
          <w:tcPr>
            <w:tcW w:w="1065" w:type="dxa"/>
            <w:tcBorders>
              <w:tl2br w:val="nil"/>
              <w:tr2bl w:val="nil"/>
            </w:tcBorders>
            <w:vAlign w:val="center"/>
          </w:tcPr>
          <w:p w14:paraId="0E485E4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2.75</w:t>
            </w:r>
          </w:p>
        </w:tc>
        <w:tc>
          <w:tcPr>
            <w:tcW w:w="1125" w:type="dxa"/>
            <w:tcBorders>
              <w:tl2br w:val="nil"/>
              <w:tr2bl w:val="nil"/>
            </w:tcBorders>
            <w:vAlign w:val="center"/>
          </w:tcPr>
          <w:p w14:paraId="0BA11D6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0.0412</w:t>
            </w:r>
          </w:p>
        </w:tc>
        <w:tc>
          <w:tcPr>
            <w:tcW w:w="1065" w:type="dxa"/>
            <w:tcBorders>
              <w:tl2br w:val="nil"/>
              <w:tr2bl w:val="nil"/>
            </w:tcBorders>
            <w:vAlign w:val="center"/>
          </w:tcPr>
          <w:p w14:paraId="7EF9EA1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0.3462</w:t>
            </w:r>
          </w:p>
        </w:tc>
        <w:tc>
          <w:tcPr>
            <w:tcW w:w="1717" w:type="dxa"/>
            <w:vMerge w:val="continue"/>
            <w:tcBorders>
              <w:tl2br w:val="nil"/>
              <w:tr2bl w:val="nil"/>
            </w:tcBorders>
            <w:vAlign w:val="center"/>
          </w:tcPr>
          <w:p w14:paraId="53B34E3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2C0BCA9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94</w:t>
            </w:r>
          </w:p>
        </w:tc>
        <w:tc>
          <w:tcPr>
            <w:tcW w:w="1133" w:type="dxa"/>
            <w:tcBorders>
              <w:tl2br w:val="nil"/>
              <w:tr2bl w:val="nil"/>
            </w:tcBorders>
            <w:vAlign w:val="center"/>
          </w:tcPr>
          <w:p w14:paraId="644C7B9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0.17</w:t>
            </w:r>
          </w:p>
        </w:tc>
        <w:tc>
          <w:tcPr>
            <w:tcW w:w="1131" w:type="dxa"/>
            <w:tcBorders>
              <w:tl2br w:val="nil"/>
              <w:tr2bl w:val="nil"/>
            </w:tcBorders>
            <w:vAlign w:val="center"/>
          </w:tcPr>
          <w:p w14:paraId="466809E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0.0025</w:t>
            </w:r>
          </w:p>
        </w:tc>
        <w:tc>
          <w:tcPr>
            <w:tcW w:w="1136" w:type="dxa"/>
            <w:tcBorders>
              <w:tl2br w:val="nil"/>
              <w:tr2bl w:val="nil"/>
            </w:tcBorders>
            <w:vAlign w:val="center"/>
          </w:tcPr>
          <w:p w14:paraId="5F25303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0.0208</w:t>
            </w:r>
          </w:p>
        </w:tc>
        <w:tc>
          <w:tcPr>
            <w:tcW w:w="680" w:type="dxa"/>
            <w:vMerge w:val="continue"/>
            <w:tcBorders>
              <w:tl2br w:val="nil"/>
              <w:tr2bl w:val="nil"/>
            </w:tcBorders>
            <w:vAlign w:val="center"/>
          </w:tcPr>
          <w:p w14:paraId="39B781BB">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0037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3A06D7E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DA</w:t>
            </w:r>
            <w:r>
              <w:rPr>
                <w:rFonts w:ascii="Times New Roman" w:hAnsi="Times New Roman" w:eastAsia="宋体" w:cs="Times New Roman"/>
                <w:color w:val="auto"/>
                <w:spacing w:val="8"/>
                <w:sz w:val="21"/>
                <w:szCs w:val="21"/>
                <w:highlight w:val="none"/>
              </w:rPr>
              <w:t>003</w:t>
            </w:r>
          </w:p>
        </w:tc>
        <w:tc>
          <w:tcPr>
            <w:tcW w:w="825" w:type="dxa"/>
            <w:vMerge w:val="continue"/>
            <w:tcBorders>
              <w:tl2br w:val="nil"/>
              <w:tr2bl w:val="nil"/>
            </w:tcBorders>
            <w:vAlign w:val="center"/>
          </w:tcPr>
          <w:p w14:paraId="4920BB6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restart"/>
            <w:tcBorders>
              <w:tl2br w:val="nil"/>
              <w:tr2bl w:val="nil"/>
            </w:tcBorders>
            <w:vAlign w:val="center"/>
          </w:tcPr>
          <w:p w14:paraId="46FFB48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5000</w:t>
            </w:r>
          </w:p>
        </w:tc>
        <w:tc>
          <w:tcPr>
            <w:tcW w:w="1590" w:type="dxa"/>
            <w:tcBorders>
              <w:tl2br w:val="nil"/>
              <w:tr2bl w:val="nil"/>
            </w:tcBorders>
            <w:vAlign w:val="center"/>
          </w:tcPr>
          <w:p w14:paraId="0FFD9E5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6"/>
                <w:sz w:val="21"/>
                <w:szCs w:val="21"/>
                <w:highlight w:val="none"/>
                <w:lang w:eastAsia="en-US"/>
              </w:rPr>
              <w:t>异氰酸酯</w:t>
            </w:r>
          </w:p>
        </w:tc>
        <w:tc>
          <w:tcPr>
            <w:tcW w:w="1065" w:type="dxa"/>
            <w:tcBorders>
              <w:tl2br w:val="nil"/>
              <w:tr2bl w:val="nil"/>
            </w:tcBorders>
            <w:vAlign w:val="center"/>
          </w:tcPr>
          <w:p w14:paraId="6F0BACA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0.17</w:t>
            </w:r>
          </w:p>
        </w:tc>
        <w:tc>
          <w:tcPr>
            <w:tcW w:w="1125" w:type="dxa"/>
            <w:tcBorders>
              <w:tl2br w:val="nil"/>
              <w:tr2bl w:val="nil"/>
            </w:tcBorders>
            <w:vAlign w:val="center"/>
          </w:tcPr>
          <w:p w14:paraId="3887B3E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0.0009</w:t>
            </w:r>
          </w:p>
        </w:tc>
        <w:tc>
          <w:tcPr>
            <w:tcW w:w="1065" w:type="dxa"/>
            <w:tcBorders>
              <w:tl2br w:val="nil"/>
              <w:tr2bl w:val="nil"/>
            </w:tcBorders>
            <w:vAlign w:val="center"/>
          </w:tcPr>
          <w:p w14:paraId="4C96E3A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0.0073</w:t>
            </w:r>
          </w:p>
        </w:tc>
        <w:tc>
          <w:tcPr>
            <w:tcW w:w="1717" w:type="dxa"/>
            <w:vMerge w:val="restart"/>
            <w:tcBorders>
              <w:tl2br w:val="nil"/>
              <w:tr2bl w:val="nil"/>
            </w:tcBorders>
            <w:vAlign w:val="center"/>
          </w:tcPr>
          <w:p w14:paraId="05B8571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4"/>
                <w:sz w:val="21"/>
                <w:szCs w:val="21"/>
                <w:highlight w:val="none"/>
                <w:lang w:eastAsia="zh-CN"/>
              </w:rPr>
              <w:t>冷凝+3级碱</w:t>
            </w:r>
            <w:r>
              <w:rPr>
                <w:rFonts w:ascii="Times New Roman" w:hAnsi="Times New Roman" w:eastAsia="宋体" w:cs="Times New Roman"/>
                <w:color w:val="auto"/>
                <w:spacing w:val="6"/>
                <w:sz w:val="21"/>
                <w:szCs w:val="21"/>
                <w:highlight w:val="none"/>
                <w:lang w:eastAsia="zh-CN"/>
              </w:rPr>
              <w:t>液喷淋+活性</w:t>
            </w:r>
            <w:r>
              <w:rPr>
                <w:rFonts w:ascii="Times New Roman" w:hAnsi="Times New Roman" w:eastAsia="宋体" w:cs="Times New Roman"/>
                <w:color w:val="auto"/>
                <w:spacing w:val="5"/>
                <w:sz w:val="21"/>
                <w:szCs w:val="21"/>
                <w:highlight w:val="none"/>
                <w:lang w:eastAsia="zh-CN"/>
              </w:rPr>
              <w:t>炭吸附</w:t>
            </w:r>
          </w:p>
        </w:tc>
        <w:tc>
          <w:tcPr>
            <w:tcW w:w="696" w:type="dxa"/>
            <w:tcBorders>
              <w:tl2br w:val="nil"/>
              <w:tr2bl w:val="nil"/>
            </w:tcBorders>
            <w:vAlign w:val="center"/>
          </w:tcPr>
          <w:p w14:paraId="0404B64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71ACC4C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0.09</w:t>
            </w:r>
          </w:p>
        </w:tc>
        <w:tc>
          <w:tcPr>
            <w:tcW w:w="1131" w:type="dxa"/>
            <w:tcBorders>
              <w:tl2br w:val="nil"/>
              <w:tr2bl w:val="nil"/>
            </w:tcBorders>
            <w:vAlign w:val="center"/>
          </w:tcPr>
          <w:p w14:paraId="30B5307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0.0004</w:t>
            </w:r>
          </w:p>
        </w:tc>
        <w:tc>
          <w:tcPr>
            <w:tcW w:w="1136" w:type="dxa"/>
            <w:tcBorders>
              <w:tl2br w:val="nil"/>
              <w:tr2bl w:val="nil"/>
            </w:tcBorders>
            <w:vAlign w:val="center"/>
          </w:tcPr>
          <w:p w14:paraId="74D4B8D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0.0037</w:t>
            </w:r>
          </w:p>
        </w:tc>
        <w:tc>
          <w:tcPr>
            <w:tcW w:w="680" w:type="dxa"/>
            <w:vMerge w:val="restart"/>
            <w:tcBorders>
              <w:tl2br w:val="nil"/>
              <w:tr2bl w:val="nil"/>
            </w:tcBorders>
            <w:vAlign w:val="center"/>
          </w:tcPr>
          <w:p w14:paraId="7310A57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20</w:t>
            </w:r>
          </w:p>
        </w:tc>
      </w:tr>
      <w:tr w14:paraId="52A27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66350C9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05B7005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239EBC1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2A7FF7E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丁酮</w:t>
            </w:r>
          </w:p>
        </w:tc>
        <w:tc>
          <w:tcPr>
            <w:tcW w:w="1065" w:type="dxa"/>
            <w:tcBorders>
              <w:tl2br w:val="nil"/>
              <w:tr2bl w:val="nil"/>
            </w:tcBorders>
            <w:vAlign w:val="center"/>
          </w:tcPr>
          <w:p w14:paraId="2DAE4AB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120.77</w:t>
            </w:r>
          </w:p>
        </w:tc>
        <w:tc>
          <w:tcPr>
            <w:tcW w:w="1125" w:type="dxa"/>
            <w:tcBorders>
              <w:tl2br w:val="nil"/>
              <w:tr2bl w:val="nil"/>
            </w:tcBorders>
            <w:vAlign w:val="center"/>
          </w:tcPr>
          <w:p w14:paraId="552CB1F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0.6039</w:t>
            </w:r>
          </w:p>
        </w:tc>
        <w:tc>
          <w:tcPr>
            <w:tcW w:w="1065" w:type="dxa"/>
            <w:tcBorders>
              <w:tl2br w:val="nil"/>
              <w:tr2bl w:val="nil"/>
            </w:tcBorders>
            <w:vAlign w:val="center"/>
          </w:tcPr>
          <w:p w14:paraId="2566063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5.0724</w:t>
            </w:r>
          </w:p>
        </w:tc>
        <w:tc>
          <w:tcPr>
            <w:tcW w:w="1717" w:type="dxa"/>
            <w:vMerge w:val="continue"/>
            <w:tcBorders>
              <w:tl2br w:val="nil"/>
              <w:tr2bl w:val="nil"/>
            </w:tcBorders>
            <w:vAlign w:val="center"/>
          </w:tcPr>
          <w:p w14:paraId="1B49A1C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52F4BFD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94</w:t>
            </w:r>
          </w:p>
        </w:tc>
        <w:tc>
          <w:tcPr>
            <w:tcW w:w="1133" w:type="dxa"/>
            <w:tcBorders>
              <w:tl2br w:val="nil"/>
              <w:tr2bl w:val="nil"/>
            </w:tcBorders>
            <w:vAlign w:val="center"/>
          </w:tcPr>
          <w:p w14:paraId="52532E4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7.25</w:t>
            </w:r>
          </w:p>
        </w:tc>
        <w:tc>
          <w:tcPr>
            <w:tcW w:w="1131" w:type="dxa"/>
            <w:tcBorders>
              <w:tl2br w:val="nil"/>
              <w:tr2bl w:val="nil"/>
            </w:tcBorders>
            <w:vAlign w:val="center"/>
          </w:tcPr>
          <w:p w14:paraId="2E6E933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0.0362</w:t>
            </w:r>
          </w:p>
        </w:tc>
        <w:tc>
          <w:tcPr>
            <w:tcW w:w="1136" w:type="dxa"/>
            <w:tcBorders>
              <w:tl2br w:val="nil"/>
              <w:tr2bl w:val="nil"/>
            </w:tcBorders>
            <w:vAlign w:val="center"/>
          </w:tcPr>
          <w:p w14:paraId="2ECCC02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0.3043</w:t>
            </w:r>
          </w:p>
        </w:tc>
        <w:tc>
          <w:tcPr>
            <w:tcW w:w="680" w:type="dxa"/>
            <w:vMerge w:val="continue"/>
            <w:tcBorders>
              <w:tl2br w:val="nil"/>
              <w:tr2bl w:val="nil"/>
            </w:tcBorders>
            <w:vAlign w:val="center"/>
          </w:tcPr>
          <w:p w14:paraId="45C14AA3">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245B21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4C629938">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582B387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3277DBF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38171D0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5"/>
                <w:sz w:val="21"/>
                <w:szCs w:val="21"/>
                <w:highlight w:val="none"/>
                <w:lang w:eastAsia="en-US"/>
              </w:rPr>
              <w:t>丙烯酸</w:t>
            </w:r>
          </w:p>
        </w:tc>
        <w:tc>
          <w:tcPr>
            <w:tcW w:w="1065" w:type="dxa"/>
            <w:tcBorders>
              <w:tl2br w:val="nil"/>
              <w:tr2bl w:val="nil"/>
            </w:tcBorders>
            <w:vAlign w:val="center"/>
          </w:tcPr>
          <w:p w14:paraId="34C5238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75.60</w:t>
            </w:r>
          </w:p>
        </w:tc>
        <w:tc>
          <w:tcPr>
            <w:tcW w:w="1125" w:type="dxa"/>
            <w:tcBorders>
              <w:tl2br w:val="nil"/>
              <w:tr2bl w:val="nil"/>
            </w:tcBorders>
            <w:vAlign w:val="center"/>
          </w:tcPr>
          <w:p w14:paraId="63E2A87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0.3780</w:t>
            </w:r>
          </w:p>
        </w:tc>
        <w:tc>
          <w:tcPr>
            <w:tcW w:w="1065" w:type="dxa"/>
            <w:tcBorders>
              <w:tl2br w:val="nil"/>
              <w:tr2bl w:val="nil"/>
            </w:tcBorders>
            <w:vAlign w:val="center"/>
          </w:tcPr>
          <w:p w14:paraId="27D340B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3.1752</w:t>
            </w:r>
          </w:p>
        </w:tc>
        <w:tc>
          <w:tcPr>
            <w:tcW w:w="1717" w:type="dxa"/>
            <w:vMerge w:val="continue"/>
            <w:tcBorders>
              <w:tl2br w:val="nil"/>
              <w:tr2bl w:val="nil"/>
            </w:tcBorders>
            <w:vAlign w:val="center"/>
          </w:tcPr>
          <w:p w14:paraId="1FEAC8E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65CD8D3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98</w:t>
            </w:r>
          </w:p>
        </w:tc>
        <w:tc>
          <w:tcPr>
            <w:tcW w:w="1133" w:type="dxa"/>
            <w:tcBorders>
              <w:tl2br w:val="nil"/>
              <w:tr2bl w:val="nil"/>
            </w:tcBorders>
            <w:vAlign w:val="center"/>
          </w:tcPr>
          <w:p w14:paraId="33B5D41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1.51</w:t>
            </w:r>
          </w:p>
        </w:tc>
        <w:tc>
          <w:tcPr>
            <w:tcW w:w="1131" w:type="dxa"/>
            <w:tcBorders>
              <w:tl2br w:val="nil"/>
              <w:tr2bl w:val="nil"/>
            </w:tcBorders>
            <w:vAlign w:val="center"/>
          </w:tcPr>
          <w:p w14:paraId="6850B24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0.0076</w:t>
            </w:r>
          </w:p>
        </w:tc>
        <w:tc>
          <w:tcPr>
            <w:tcW w:w="1136" w:type="dxa"/>
            <w:tcBorders>
              <w:tl2br w:val="nil"/>
              <w:tr2bl w:val="nil"/>
            </w:tcBorders>
            <w:vAlign w:val="center"/>
          </w:tcPr>
          <w:p w14:paraId="5E5B79C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0.0635</w:t>
            </w:r>
          </w:p>
        </w:tc>
        <w:tc>
          <w:tcPr>
            <w:tcW w:w="680" w:type="dxa"/>
            <w:vMerge w:val="continue"/>
            <w:tcBorders>
              <w:tl2br w:val="nil"/>
              <w:tr2bl w:val="nil"/>
            </w:tcBorders>
            <w:vAlign w:val="center"/>
          </w:tcPr>
          <w:p w14:paraId="698B99B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7DE64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06BAFF9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2BF0C9F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10BF5019">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23670CC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rPr>
              <w:t>非甲烷总烃</w:t>
            </w:r>
          </w:p>
        </w:tc>
        <w:tc>
          <w:tcPr>
            <w:tcW w:w="1065" w:type="dxa"/>
            <w:tcBorders>
              <w:tl2br w:val="nil"/>
              <w:tr2bl w:val="nil"/>
            </w:tcBorders>
            <w:vAlign w:val="center"/>
          </w:tcPr>
          <w:p w14:paraId="2A03EE1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12.09</w:t>
            </w:r>
          </w:p>
        </w:tc>
        <w:tc>
          <w:tcPr>
            <w:tcW w:w="1125" w:type="dxa"/>
            <w:tcBorders>
              <w:tl2br w:val="nil"/>
              <w:tr2bl w:val="nil"/>
            </w:tcBorders>
            <w:vAlign w:val="center"/>
          </w:tcPr>
          <w:p w14:paraId="2785D82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0.0605</w:t>
            </w:r>
          </w:p>
        </w:tc>
        <w:tc>
          <w:tcPr>
            <w:tcW w:w="1065" w:type="dxa"/>
            <w:tcBorders>
              <w:tl2br w:val="nil"/>
              <w:tr2bl w:val="nil"/>
            </w:tcBorders>
            <w:vAlign w:val="center"/>
          </w:tcPr>
          <w:p w14:paraId="5D93C30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0.5078</w:t>
            </w:r>
          </w:p>
        </w:tc>
        <w:tc>
          <w:tcPr>
            <w:tcW w:w="1717" w:type="dxa"/>
            <w:vMerge w:val="continue"/>
            <w:tcBorders>
              <w:tl2br w:val="nil"/>
              <w:tr2bl w:val="nil"/>
            </w:tcBorders>
            <w:vAlign w:val="center"/>
          </w:tcPr>
          <w:p w14:paraId="02993CE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6FA6236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0325257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6.05</w:t>
            </w:r>
          </w:p>
        </w:tc>
        <w:tc>
          <w:tcPr>
            <w:tcW w:w="1131" w:type="dxa"/>
            <w:tcBorders>
              <w:tl2br w:val="nil"/>
              <w:tr2bl w:val="nil"/>
            </w:tcBorders>
            <w:vAlign w:val="center"/>
          </w:tcPr>
          <w:p w14:paraId="5ACD8C1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0.0302</w:t>
            </w:r>
          </w:p>
        </w:tc>
        <w:tc>
          <w:tcPr>
            <w:tcW w:w="1136" w:type="dxa"/>
            <w:tcBorders>
              <w:tl2br w:val="nil"/>
              <w:tr2bl w:val="nil"/>
            </w:tcBorders>
            <w:vAlign w:val="center"/>
          </w:tcPr>
          <w:p w14:paraId="620F286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0.2539</w:t>
            </w:r>
          </w:p>
        </w:tc>
        <w:tc>
          <w:tcPr>
            <w:tcW w:w="680" w:type="dxa"/>
            <w:vMerge w:val="continue"/>
            <w:tcBorders>
              <w:tl2br w:val="nil"/>
              <w:tr2bl w:val="nil"/>
            </w:tcBorders>
            <w:vAlign w:val="center"/>
          </w:tcPr>
          <w:p w14:paraId="70E7707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D8FD2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0EF6CE5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DA</w:t>
            </w:r>
            <w:r>
              <w:rPr>
                <w:rFonts w:ascii="Times New Roman" w:hAnsi="Times New Roman" w:eastAsia="宋体" w:cs="Times New Roman"/>
                <w:color w:val="auto"/>
                <w:spacing w:val="8"/>
                <w:sz w:val="21"/>
                <w:szCs w:val="21"/>
                <w:highlight w:val="none"/>
              </w:rPr>
              <w:t>004</w:t>
            </w:r>
          </w:p>
        </w:tc>
        <w:tc>
          <w:tcPr>
            <w:tcW w:w="825" w:type="dxa"/>
            <w:vMerge w:val="continue"/>
            <w:tcBorders>
              <w:tl2br w:val="nil"/>
              <w:tr2bl w:val="nil"/>
            </w:tcBorders>
            <w:vAlign w:val="center"/>
          </w:tcPr>
          <w:p w14:paraId="49E38CF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restart"/>
            <w:tcBorders>
              <w:tl2br w:val="nil"/>
              <w:tr2bl w:val="nil"/>
            </w:tcBorders>
            <w:vAlign w:val="center"/>
          </w:tcPr>
          <w:p w14:paraId="3B72392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5000</w:t>
            </w:r>
          </w:p>
        </w:tc>
        <w:tc>
          <w:tcPr>
            <w:tcW w:w="1590" w:type="dxa"/>
            <w:tcBorders>
              <w:tl2br w:val="nil"/>
              <w:tr2bl w:val="nil"/>
            </w:tcBorders>
            <w:vAlign w:val="center"/>
          </w:tcPr>
          <w:p w14:paraId="53A3388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6"/>
                <w:sz w:val="21"/>
                <w:szCs w:val="21"/>
                <w:highlight w:val="none"/>
                <w:lang w:eastAsia="en-US"/>
              </w:rPr>
              <w:t>异氰酸酯</w:t>
            </w:r>
          </w:p>
        </w:tc>
        <w:tc>
          <w:tcPr>
            <w:tcW w:w="1065" w:type="dxa"/>
            <w:tcBorders>
              <w:tl2br w:val="nil"/>
              <w:tr2bl w:val="nil"/>
            </w:tcBorders>
            <w:vAlign w:val="center"/>
          </w:tcPr>
          <w:p w14:paraId="4F4D5C8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0.20</w:t>
            </w:r>
          </w:p>
        </w:tc>
        <w:tc>
          <w:tcPr>
            <w:tcW w:w="1125" w:type="dxa"/>
            <w:tcBorders>
              <w:tl2br w:val="nil"/>
              <w:tr2bl w:val="nil"/>
            </w:tcBorders>
            <w:vAlign w:val="center"/>
          </w:tcPr>
          <w:p w14:paraId="2CFEFBF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0.0010</w:t>
            </w:r>
          </w:p>
        </w:tc>
        <w:tc>
          <w:tcPr>
            <w:tcW w:w="1065" w:type="dxa"/>
            <w:tcBorders>
              <w:tl2br w:val="nil"/>
              <w:tr2bl w:val="nil"/>
            </w:tcBorders>
            <w:vAlign w:val="center"/>
          </w:tcPr>
          <w:p w14:paraId="655C180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0.0083</w:t>
            </w:r>
          </w:p>
        </w:tc>
        <w:tc>
          <w:tcPr>
            <w:tcW w:w="1717" w:type="dxa"/>
            <w:vMerge w:val="restart"/>
            <w:tcBorders>
              <w:tl2br w:val="nil"/>
              <w:tr2bl w:val="nil"/>
            </w:tcBorders>
            <w:vAlign w:val="center"/>
          </w:tcPr>
          <w:p w14:paraId="59E4828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pacing w:val="4"/>
                <w:sz w:val="21"/>
                <w:szCs w:val="21"/>
                <w:highlight w:val="none"/>
                <w:lang w:eastAsia="zh-CN"/>
              </w:rPr>
              <w:t>冷凝+3级碱</w:t>
            </w:r>
            <w:r>
              <w:rPr>
                <w:rFonts w:ascii="Times New Roman" w:hAnsi="Times New Roman" w:eastAsia="宋体" w:cs="Times New Roman"/>
                <w:color w:val="auto"/>
                <w:spacing w:val="6"/>
                <w:sz w:val="21"/>
                <w:szCs w:val="21"/>
                <w:highlight w:val="none"/>
                <w:lang w:eastAsia="zh-CN"/>
              </w:rPr>
              <w:t>液喷淋+活性</w:t>
            </w:r>
            <w:r>
              <w:rPr>
                <w:rFonts w:ascii="Times New Roman" w:hAnsi="Times New Roman" w:eastAsia="宋体" w:cs="Times New Roman"/>
                <w:color w:val="auto"/>
                <w:spacing w:val="5"/>
                <w:sz w:val="21"/>
                <w:szCs w:val="21"/>
                <w:highlight w:val="none"/>
                <w:lang w:eastAsia="zh-CN"/>
              </w:rPr>
              <w:t>炭吸附</w:t>
            </w:r>
          </w:p>
        </w:tc>
        <w:tc>
          <w:tcPr>
            <w:tcW w:w="696" w:type="dxa"/>
            <w:tcBorders>
              <w:tl2br w:val="nil"/>
              <w:tr2bl w:val="nil"/>
            </w:tcBorders>
            <w:vAlign w:val="center"/>
          </w:tcPr>
          <w:p w14:paraId="16C8FD5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041758A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0.10</w:t>
            </w:r>
          </w:p>
        </w:tc>
        <w:tc>
          <w:tcPr>
            <w:tcW w:w="1131" w:type="dxa"/>
            <w:tcBorders>
              <w:tl2br w:val="nil"/>
              <w:tr2bl w:val="nil"/>
            </w:tcBorders>
            <w:vAlign w:val="center"/>
          </w:tcPr>
          <w:p w14:paraId="7F0E1C68">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0.0005</w:t>
            </w:r>
          </w:p>
        </w:tc>
        <w:tc>
          <w:tcPr>
            <w:tcW w:w="1136" w:type="dxa"/>
            <w:tcBorders>
              <w:tl2br w:val="nil"/>
              <w:tr2bl w:val="nil"/>
            </w:tcBorders>
            <w:vAlign w:val="center"/>
          </w:tcPr>
          <w:p w14:paraId="1A9821E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0.0042</w:t>
            </w:r>
          </w:p>
        </w:tc>
        <w:tc>
          <w:tcPr>
            <w:tcW w:w="680" w:type="dxa"/>
            <w:vMerge w:val="restart"/>
            <w:tcBorders>
              <w:tl2br w:val="nil"/>
              <w:tr2bl w:val="nil"/>
            </w:tcBorders>
            <w:vAlign w:val="center"/>
          </w:tcPr>
          <w:p w14:paraId="74BA1200">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20</w:t>
            </w:r>
          </w:p>
        </w:tc>
      </w:tr>
      <w:tr w14:paraId="1E2FA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3B9FFCC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454C830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334EFCD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6010781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丁酮</w:t>
            </w:r>
          </w:p>
        </w:tc>
        <w:tc>
          <w:tcPr>
            <w:tcW w:w="1065" w:type="dxa"/>
            <w:tcBorders>
              <w:tl2br w:val="nil"/>
              <w:tr2bl w:val="nil"/>
            </w:tcBorders>
            <w:vAlign w:val="center"/>
          </w:tcPr>
          <w:p w14:paraId="471524B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168.25</w:t>
            </w:r>
          </w:p>
        </w:tc>
        <w:tc>
          <w:tcPr>
            <w:tcW w:w="1125" w:type="dxa"/>
            <w:tcBorders>
              <w:tl2br w:val="nil"/>
              <w:tr2bl w:val="nil"/>
            </w:tcBorders>
            <w:vAlign w:val="center"/>
          </w:tcPr>
          <w:p w14:paraId="281EC22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0.8412</w:t>
            </w:r>
          </w:p>
        </w:tc>
        <w:tc>
          <w:tcPr>
            <w:tcW w:w="1065" w:type="dxa"/>
            <w:tcBorders>
              <w:tl2br w:val="nil"/>
              <w:tr2bl w:val="nil"/>
            </w:tcBorders>
            <w:vAlign w:val="center"/>
          </w:tcPr>
          <w:p w14:paraId="29F7407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7.0664</w:t>
            </w:r>
          </w:p>
        </w:tc>
        <w:tc>
          <w:tcPr>
            <w:tcW w:w="1717" w:type="dxa"/>
            <w:vMerge w:val="continue"/>
            <w:tcBorders>
              <w:tl2br w:val="nil"/>
              <w:tr2bl w:val="nil"/>
            </w:tcBorders>
            <w:vAlign w:val="center"/>
          </w:tcPr>
          <w:p w14:paraId="1DC9763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7B02971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94</w:t>
            </w:r>
          </w:p>
        </w:tc>
        <w:tc>
          <w:tcPr>
            <w:tcW w:w="1133" w:type="dxa"/>
            <w:tcBorders>
              <w:tl2br w:val="nil"/>
              <w:tr2bl w:val="nil"/>
            </w:tcBorders>
            <w:vAlign w:val="center"/>
          </w:tcPr>
          <w:p w14:paraId="0581177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10.10</w:t>
            </w:r>
          </w:p>
        </w:tc>
        <w:tc>
          <w:tcPr>
            <w:tcW w:w="1131" w:type="dxa"/>
            <w:tcBorders>
              <w:tl2br w:val="nil"/>
              <w:tr2bl w:val="nil"/>
            </w:tcBorders>
            <w:vAlign w:val="center"/>
          </w:tcPr>
          <w:p w14:paraId="606E791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0.0505</w:t>
            </w:r>
          </w:p>
        </w:tc>
        <w:tc>
          <w:tcPr>
            <w:tcW w:w="1136" w:type="dxa"/>
            <w:tcBorders>
              <w:tl2br w:val="nil"/>
              <w:tr2bl w:val="nil"/>
            </w:tcBorders>
            <w:vAlign w:val="center"/>
          </w:tcPr>
          <w:p w14:paraId="3D36A8C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0.4240</w:t>
            </w:r>
          </w:p>
        </w:tc>
        <w:tc>
          <w:tcPr>
            <w:tcW w:w="680" w:type="dxa"/>
            <w:vMerge w:val="continue"/>
            <w:tcBorders>
              <w:tl2br w:val="nil"/>
              <w:tr2bl w:val="nil"/>
            </w:tcBorders>
            <w:vAlign w:val="center"/>
          </w:tcPr>
          <w:p w14:paraId="07CF5CB9">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67AEC0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714B07EC">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6A08B4BF">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1DD612D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2D65B5A9">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5"/>
                <w:sz w:val="21"/>
                <w:szCs w:val="21"/>
                <w:highlight w:val="none"/>
                <w:lang w:eastAsia="en-US"/>
              </w:rPr>
              <w:t>丙烯酸</w:t>
            </w:r>
          </w:p>
        </w:tc>
        <w:tc>
          <w:tcPr>
            <w:tcW w:w="1065" w:type="dxa"/>
            <w:tcBorders>
              <w:tl2br w:val="nil"/>
              <w:tr2bl w:val="nil"/>
            </w:tcBorders>
            <w:vAlign w:val="center"/>
          </w:tcPr>
          <w:p w14:paraId="67F40FF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116.96</w:t>
            </w:r>
          </w:p>
        </w:tc>
        <w:tc>
          <w:tcPr>
            <w:tcW w:w="1125" w:type="dxa"/>
            <w:tcBorders>
              <w:tl2br w:val="nil"/>
              <w:tr2bl w:val="nil"/>
            </w:tcBorders>
            <w:vAlign w:val="center"/>
          </w:tcPr>
          <w:p w14:paraId="7FF90A43">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0.5848</w:t>
            </w:r>
          </w:p>
        </w:tc>
        <w:tc>
          <w:tcPr>
            <w:tcW w:w="1065" w:type="dxa"/>
            <w:tcBorders>
              <w:tl2br w:val="nil"/>
              <w:tr2bl w:val="nil"/>
            </w:tcBorders>
            <w:vAlign w:val="center"/>
          </w:tcPr>
          <w:p w14:paraId="259C403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4.9122</w:t>
            </w:r>
          </w:p>
        </w:tc>
        <w:tc>
          <w:tcPr>
            <w:tcW w:w="1717" w:type="dxa"/>
            <w:vMerge w:val="continue"/>
            <w:tcBorders>
              <w:tl2br w:val="nil"/>
              <w:tr2bl w:val="nil"/>
            </w:tcBorders>
            <w:vAlign w:val="center"/>
          </w:tcPr>
          <w:p w14:paraId="2D920D0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554B201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98</w:t>
            </w:r>
          </w:p>
        </w:tc>
        <w:tc>
          <w:tcPr>
            <w:tcW w:w="1133" w:type="dxa"/>
            <w:tcBorders>
              <w:tl2br w:val="nil"/>
              <w:tr2bl w:val="nil"/>
            </w:tcBorders>
            <w:vAlign w:val="center"/>
          </w:tcPr>
          <w:p w14:paraId="0C48BEE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2.34</w:t>
            </w:r>
          </w:p>
        </w:tc>
        <w:tc>
          <w:tcPr>
            <w:tcW w:w="1131" w:type="dxa"/>
            <w:tcBorders>
              <w:tl2br w:val="nil"/>
              <w:tr2bl w:val="nil"/>
            </w:tcBorders>
            <w:vAlign w:val="center"/>
          </w:tcPr>
          <w:p w14:paraId="44B213A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0.0117</w:t>
            </w:r>
          </w:p>
        </w:tc>
        <w:tc>
          <w:tcPr>
            <w:tcW w:w="1136" w:type="dxa"/>
            <w:tcBorders>
              <w:tl2br w:val="nil"/>
              <w:tr2bl w:val="nil"/>
            </w:tcBorders>
            <w:vAlign w:val="center"/>
          </w:tcPr>
          <w:p w14:paraId="5E80C41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0.0982</w:t>
            </w:r>
          </w:p>
        </w:tc>
        <w:tc>
          <w:tcPr>
            <w:tcW w:w="680" w:type="dxa"/>
            <w:vMerge w:val="continue"/>
            <w:tcBorders>
              <w:tl2br w:val="nil"/>
              <w:tr2bl w:val="nil"/>
            </w:tcBorders>
            <w:vAlign w:val="center"/>
          </w:tcPr>
          <w:p w14:paraId="4B86FC6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66680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595D1EAB">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7A415A08">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785B3D36">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73D289B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rPr>
              <w:t>非甲烷总烃</w:t>
            </w:r>
          </w:p>
        </w:tc>
        <w:tc>
          <w:tcPr>
            <w:tcW w:w="1065" w:type="dxa"/>
            <w:tcBorders>
              <w:tl2br w:val="nil"/>
              <w:tr2bl w:val="nil"/>
            </w:tcBorders>
            <w:vAlign w:val="center"/>
          </w:tcPr>
          <w:p w14:paraId="4E79591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1"/>
                <w:sz w:val="21"/>
                <w:szCs w:val="21"/>
                <w:highlight w:val="none"/>
              </w:rPr>
              <w:t>18.70</w:t>
            </w:r>
          </w:p>
        </w:tc>
        <w:tc>
          <w:tcPr>
            <w:tcW w:w="1125" w:type="dxa"/>
            <w:tcBorders>
              <w:tl2br w:val="nil"/>
              <w:tr2bl w:val="nil"/>
            </w:tcBorders>
            <w:vAlign w:val="center"/>
          </w:tcPr>
          <w:p w14:paraId="0119B28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0.0935</w:t>
            </w:r>
          </w:p>
        </w:tc>
        <w:tc>
          <w:tcPr>
            <w:tcW w:w="1065" w:type="dxa"/>
            <w:tcBorders>
              <w:tl2br w:val="nil"/>
              <w:tr2bl w:val="nil"/>
            </w:tcBorders>
            <w:vAlign w:val="center"/>
          </w:tcPr>
          <w:p w14:paraId="28A7A98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0.7856</w:t>
            </w:r>
          </w:p>
        </w:tc>
        <w:tc>
          <w:tcPr>
            <w:tcW w:w="1717" w:type="dxa"/>
            <w:vMerge w:val="continue"/>
            <w:tcBorders>
              <w:tl2br w:val="nil"/>
              <w:tr2bl w:val="nil"/>
            </w:tcBorders>
            <w:vAlign w:val="center"/>
          </w:tcPr>
          <w:p w14:paraId="248BE5D3">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3202312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172C1F2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9.35</w:t>
            </w:r>
          </w:p>
        </w:tc>
        <w:tc>
          <w:tcPr>
            <w:tcW w:w="1131" w:type="dxa"/>
            <w:tcBorders>
              <w:tl2br w:val="nil"/>
              <w:tr2bl w:val="nil"/>
            </w:tcBorders>
            <w:vAlign w:val="center"/>
          </w:tcPr>
          <w:p w14:paraId="3821B24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0.0468</w:t>
            </w:r>
          </w:p>
        </w:tc>
        <w:tc>
          <w:tcPr>
            <w:tcW w:w="1136" w:type="dxa"/>
            <w:tcBorders>
              <w:tl2br w:val="nil"/>
              <w:tr2bl w:val="nil"/>
            </w:tcBorders>
            <w:vAlign w:val="center"/>
          </w:tcPr>
          <w:p w14:paraId="31C0753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0.3928</w:t>
            </w:r>
          </w:p>
        </w:tc>
        <w:tc>
          <w:tcPr>
            <w:tcW w:w="680" w:type="dxa"/>
            <w:vMerge w:val="continue"/>
            <w:tcBorders>
              <w:tl2br w:val="nil"/>
              <w:tr2bl w:val="nil"/>
            </w:tcBorders>
            <w:vAlign w:val="center"/>
          </w:tcPr>
          <w:p w14:paraId="02737CB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05CC9F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restart"/>
            <w:tcBorders>
              <w:tl2br w:val="nil"/>
              <w:tr2bl w:val="nil"/>
            </w:tcBorders>
            <w:vAlign w:val="center"/>
          </w:tcPr>
          <w:p w14:paraId="42CBE2F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DA</w:t>
            </w:r>
            <w:r>
              <w:rPr>
                <w:rFonts w:ascii="Times New Roman" w:hAnsi="Times New Roman" w:eastAsia="宋体" w:cs="Times New Roman"/>
                <w:color w:val="auto"/>
                <w:spacing w:val="8"/>
                <w:sz w:val="21"/>
                <w:szCs w:val="21"/>
                <w:highlight w:val="none"/>
              </w:rPr>
              <w:t>005</w:t>
            </w:r>
          </w:p>
        </w:tc>
        <w:tc>
          <w:tcPr>
            <w:tcW w:w="825" w:type="dxa"/>
            <w:vMerge w:val="continue"/>
            <w:tcBorders>
              <w:tl2br w:val="nil"/>
              <w:tr2bl w:val="nil"/>
            </w:tcBorders>
            <w:vAlign w:val="center"/>
          </w:tcPr>
          <w:p w14:paraId="346750C1">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restart"/>
            <w:tcBorders>
              <w:tl2br w:val="nil"/>
              <w:tr2bl w:val="nil"/>
            </w:tcBorders>
            <w:vAlign w:val="center"/>
          </w:tcPr>
          <w:p w14:paraId="0DB86CD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20000</w:t>
            </w:r>
          </w:p>
        </w:tc>
        <w:tc>
          <w:tcPr>
            <w:tcW w:w="1590" w:type="dxa"/>
            <w:tcBorders>
              <w:tl2br w:val="nil"/>
              <w:tr2bl w:val="nil"/>
            </w:tcBorders>
            <w:vAlign w:val="center"/>
          </w:tcPr>
          <w:p w14:paraId="3DE7037D">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5"/>
                <w:sz w:val="21"/>
                <w:szCs w:val="21"/>
                <w:highlight w:val="none"/>
                <w:lang w:eastAsia="en-US"/>
              </w:rPr>
              <w:t>丙烯酸</w:t>
            </w:r>
          </w:p>
        </w:tc>
        <w:tc>
          <w:tcPr>
            <w:tcW w:w="1065" w:type="dxa"/>
            <w:tcBorders>
              <w:tl2br w:val="nil"/>
              <w:tr2bl w:val="nil"/>
            </w:tcBorders>
            <w:vAlign w:val="center"/>
          </w:tcPr>
          <w:p w14:paraId="22B8A14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0.69</w:t>
            </w:r>
          </w:p>
        </w:tc>
        <w:tc>
          <w:tcPr>
            <w:tcW w:w="1125" w:type="dxa"/>
            <w:tcBorders>
              <w:tl2br w:val="nil"/>
              <w:tr2bl w:val="nil"/>
            </w:tcBorders>
            <w:vAlign w:val="center"/>
          </w:tcPr>
          <w:p w14:paraId="3C4AE1E4">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0.0104</w:t>
            </w:r>
          </w:p>
        </w:tc>
        <w:tc>
          <w:tcPr>
            <w:tcW w:w="1065" w:type="dxa"/>
            <w:tcBorders>
              <w:tl2br w:val="nil"/>
              <w:tr2bl w:val="nil"/>
            </w:tcBorders>
            <w:vAlign w:val="center"/>
          </w:tcPr>
          <w:p w14:paraId="6BEDDBE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0.0874</w:t>
            </w:r>
          </w:p>
        </w:tc>
        <w:tc>
          <w:tcPr>
            <w:tcW w:w="1717" w:type="dxa"/>
            <w:vMerge w:val="restart"/>
            <w:tcBorders>
              <w:tl2br w:val="nil"/>
              <w:tr2bl w:val="nil"/>
            </w:tcBorders>
            <w:vAlign w:val="center"/>
          </w:tcPr>
          <w:p w14:paraId="693651D0">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3级碱液喷</w:t>
            </w:r>
            <w:r>
              <w:rPr>
                <w:rFonts w:ascii="Times New Roman" w:hAnsi="Times New Roman" w:cs="Times New Roman"/>
                <w:color w:val="auto"/>
                <w:spacing w:val="6"/>
                <w:sz w:val="21"/>
                <w:szCs w:val="21"/>
                <w:highlight w:val="none"/>
                <w:lang w:eastAsia="en-US"/>
              </w:rPr>
              <w:t>淋+二级活性炭吸</w:t>
            </w:r>
            <w:r>
              <w:rPr>
                <w:rFonts w:ascii="Times New Roman" w:hAnsi="Times New Roman" w:cs="Times New Roman"/>
                <w:color w:val="auto"/>
                <w:sz w:val="21"/>
                <w:szCs w:val="21"/>
                <w:highlight w:val="none"/>
                <w:lang w:eastAsia="en-US"/>
              </w:rPr>
              <w:t>附</w:t>
            </w:r>
          </w:p>
        </w:tc>
        <w:tc>
          <w:tcPr>
            <w:tcW w:w="696" w:type="dxa"/>
            <w:tcBorders>
              <w:tl2br w:val="nil"/>
              <w:tr2bl w:val="nil"/>
            </w:tcBorders>
            <w:vAlign w:val="center"/>
          </w:tcPr>
          <w:p w14:paraId="463A8FE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98</w:t>
            </w:r>
          </w:p>
        </w:tc>
        <w:tc>
          <w:tcPr>
            <w:tcW w:w="1133" w:type="dxa"/>
            <w:tcBorders>
              <w:tl2br w:val="nil"/>
              <w:tr2bl w:val="nil"/>
            </w:tcBorders>
            <w:vAlign w:val="center"/>
          </w:tcPr>
          <w:p w14:paraId="3CBF474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w:t>
            </w:r>
          </w:p>
        </w:tc>
        <w:tc>
          <w:tcPr>
            <w:tcW w:w="1131" w:type="dxa"/>
            <w:tcBorders>
              <w:tl2br w:val="nil"/>
              <w:tr2bl w:val="nil"/>
            </w:tcBorders>
            <w:vAlign w:val="center"/>
          </w:tcPr>
          <w:p w14:paraId="72129389">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0.0002</w:t>
            </w:r>
          </w:p>
        </w:tc>
        <w:tc>
          <w:tcPr>
            <w:tcW w:w="1136" w:type="dxa"/>
            <w:tcBorders>
              <w:tl2br w:val="nil"/>
              <w:tr2bl w:val="nil"/>
            </w:tcBorders>
            <w:vAlign w:val="center"/>
          </w:tcPr>
          <w:p w14:paraId="5F6E6C5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0.0017</w:t>
            </w:r>
          </w:p>
        </w:tc>
        <w:tc>
          <w:tcPr>
            <w:tcW w:w="680" w:type="dxa"/>
            <w:vMerge w:val="restart"/>
            <w:tcBorders>
              <w:tl2br w:val="nil"/>
              <w:tr2bl w:val="nil"/>
            </w:tcBorders>
            <w:vAlign w:val="center"/>
          </w:tcPr>
          <w:p w14:paraId="6D0A679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20</w:t>
            </w:r>
          </w:p>
        </w:tc>
      </w:tr>
      <w:tr w14:paraId="548F6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6AAFF6AB">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524432D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0096789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40E378F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2-乙二醇单</w:t>
            </w:r>
            <w:r>
              <w:rPr>
                <w:rFonts w:ascii="Times New Roman" w:hAnsi="Times New Roman" w:eastAsia="宋体" w:cs="Times New Roman"/>
                <w:color w:val="auto"/>
                <w:spacing w:val="4"/>
                <w:sz w:val="21"/>
                <w:szCs w:val="21"/>
                <w:highlight w:val="none"/>
              </w:rPr>
              <w:t>乙醚醋酸酯</w:t>
            </w:r>
          </w:p>
        </w:tc>
        <w:tc>
          <w:tcPr>
            <w:tcW w:w="1065" w:type="dxa"/>
            <w:tcBorders>
              <w:tl2br w:val="nil"/>
              <w:tr2bl w:val="nil"/>
            </w:tcBorders>
            <w:vAlign w:val="center"/>
          </w:tcPr>
          <w:p w14:paraId="30A4755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0.28</w:t>
            </w:r>
          </w:p>
        </w:tc>
        <w:tc>
          <w:tcPr>
            <w:tcW w:w="1125" w:type="dxa"/>
            <w:tcBorders>
              <w:tl2br w:val="nil"/>
              <w:tr2bl w:val="nil"/>
            </w:tcBorders>
            <w:vAlign w:val="center"/>
          </w:tcPr>
          <w:p w14:paraId="398DA95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0.0042</w:t>
            </w:r>
          </w:p>
        </w:tc>
        <w:tc>
          <w:tcPr>
            <w:tcW w:w="1065" w:type="dxa"/>
            <w:tcBorders>
              <w:tl2br w:val="nil"/>
              <w:tr2bl w:val="nil"/>
            </w:tcBorders>
            <w:vAlign w:val="center"/>
          </w:tcPr>
          <w:p w14:paraId="6C85A32E">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0.0350</w:t>
            </w:r>
          </w:p>
        </w:tc>
        <w:tc>
          <w:tcPr>
            <w:tcW w:w="1717" w:type="dxa"/>
            <w:vMerge w:val="continue"/>
            <w:tcBorders>
              <w:tl2br w:val="nil"/>
              <w:tr2bl w:val="nil"/>
            </w:tcBorders>
            <w:vAlign w:val="center"/>
          </w:tcPr>
          <w:p w14:paraId="5D2196C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p>
        </w:tc>
        <w:tc>
          <w:tcPr>
            <w:tcW w:w="696" w:type="dxa"/>
            <w:tcBorders>
              <w:tl2br w:val="nil"/>
              <w:tr2bl w:val="nil"/>
            </w:tcBorders>
            <w:vAlign w:val="center"/>
          </w:tcPr>
          <w:p w14:paraId="7C33E1F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1C893FBF">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0.14</w:t>
            </w:r>
          </w:p>
        </w:tc>
        <w:tc>
          <w:tcPr>
            <w:tcW w:w="1131" w:type="dxa"/>
            <w:tcBorders>
              <w:tl2br w:val="nil"/>
              <w:tr2bl w:val="nil"/>
            </w:tcBorders>
            <w:vAlign w:val="center"/>
          </w:tcPr>
          <w:p w14:paraId="7D8A3A2A">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0.0021</w:t>
            </w:r>
          </w:p>
        </w:tc>
        <w:tc>
          <w:tcPr>
            <w:tcW w:w="1136" w:type="dxa"/>
            <w:tcBorders>
              <w:tl2br w:val="nil"/>
              <w:tr2bl w:val="nil"/>
            </w:tcBorders>
            <w:vAlign w:val="center"/>
          </w:tcPr>
          <w:p w14:paraId="379A8176">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0.0175</w:t>
            </w:r>
          </w:p>
        </w:tc>
        <w:tc>
          <w:tcPr>
            <w:tcW w:w="680" w:type="dxa"/>
            <w:vMerge w:val="continue"/>
            <w:tcBorders>
              <w:tl2br w:val="nil"/>
              <w:tr2bl w:val="nil"/>
            </w:tcBorders>
            <w:vAlign w:val="center"/>
          </w:tcPr>
          <w:p w14:paraId="17FFCD02">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r w14:paraId="7CD2AA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0" w:type="dxa"/>
            <w:vMerge w:val="continue"/>
            <w:tcBorders>
              <w:tl2br w:val="nil"/>
              <w:tr2bl w:val="nil"/>
            </w:tcBorders>
            <w:vAlign w:val="center"/>
          </w:tcPr>
          <w:p w14:paraId="58437C93">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25" w:type="dxa"/>
            <w:vMerge w:val="continue"/>
            <w:tcBorders>
              <w:tl2br w:val="nil"/>
              <w:tr2bl w:val="nil"/>
            </w:tcBorders>
            <w:vAlign w:val="center"/>
          </w:tcPr>
          <w:p w14:paraId="0759680B">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855" w:type="dxa"/>
            <w:vMerge w:val="continue"/>
            <w:tcBorders>
              <w:tl2br w:val="nil"/>
              <w:tr2bl w:val="nil"/>
            </w:tcBorders>
            <w:vAlign w:val="center"/>
          </w:tcPr>
          <w:p w14:paraId="7EBF04D4">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1590" w:type="dxa"/>
            <w:tcBorders>
              <w:tl2br w:val="nil"/>
              <w:tr2bl w:val="nil"/>
            </w:tcBorders>
            <w:vAlign w:val="center"/>
          </w:tcPr>
          <w:p w14:paraId="54FC16C7">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r>
              <w:rPr>
                <w:rFonts w:ascii="Times New Roman" w:hAnsi="Times New Roman" w:cs="Times New Roman"/>
                <w:color w:val="auto"/>
                <w:spacing w:val="7"/>
                <w:sz w:val="21"/>
                <w:szCs w:val="21"/>
                <w:highlight w:val="none"/>
                <w:lang w:eastAsia="en-US"/>
              </w:rPr>
              <w:t>非甲烷总烃</w:t>
            </w:r>
          </w:p>
        </w:tc>
        <w:tc>
          <w:tcPr>
            <w:tcW w:w="1065" w:type="dxa"/>
            <w:tcBorders>
              <w:tl2br w:val="nil"/>
              <w:tr2bl w:val="nil"/>
            </w:tcBorders>
            <w:vAlign w:val="center"/>
          </w:tcPr>
          <w:p w14:paraId="48B52B0B">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0.14</w:t>
            </w:r>
          </w:p>
        </w:tc>
        <w:tc>
          <w:tcPr>
            <w:tcW w:w="1125" w:type="dxa"/>
            <w:tcBorders>
              <w:tl2br w:val="nil"/>
              <w:tr2bl w:val="nil"/>
            </w:tcBorders>
            <w:vAlign w:val="center"/>
          </w:tcPr>
          <w:p w14:paraId="4A229437">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0.0021</w:t>
            </w:r>
          </w:p>
        </w:tc>
        <w:tc>
          <w:tcPr>
            <w:tcW w:w="1065" w:type="dxa"/>
            <w:tcBorders>
              <w:tl2br w:val="nil"/>
              <w:tr2bl w:val="nil"/>
            </w:tcBorders>
            <w:vAlign w:val="center"/>
          </w:tcPr>
          <w:p w14:paraId="5A3F46D5">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0.0175</w:t>
            </w:r>
          </w:p>
        </w:tc>
        <w:tc>
          <w:tcPr>
            <w:tcW w:w="1717" w:type="dxa"/>
            <w:vMerge w:val="continue"/>
            <w:tcBorders>
              <w:tl2br w:val="nil"/>
              <w:tr2bl w:val="nil"/>
            </w:tcBorders>
            <w:vAlign w:val="center"/>
          </w:tcPr>
          <w:p w14:paraId="6255F69E">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c>
          <w:tcPr>
            <w:tcW w:w="696" w:type="dxa"/>
            <w:tcBorders>
              <w:tl2br w:val="nil"/>
              <w:tr2bl w:val="nil"/>
            </w:tcBorders>
            <w:vAlign w:val="center"/>
          </w:tcPr>
          <w:p w14:paraId="06D55CBD">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50</w:t>
            </w:r>
          </w:p>
        </w:tc>
        <w:tc>
          <w:tcPr>
            <w:tcW w:w="1133" w:type="dxa"/>
            <w:tcBorders>
              <w:tl2br w:val="nil"/>
              <w:tr2bl w:val="nil"/>
            </w:tcBorders>
            <w:vAlign w:val="center"/>
          </w:tcPr>
          <w:p w14:paraId="63853FC1">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0.07</w:t>
            </w:r>
          </w:p>
        </w:tc>
        <w:tc>
          <w:tcPr>
            <w:tcW w:w="1131" w:type="dxa"/>
            <w:tcBorders>
              <w:tl2br w:val="nil"/>
              <w:tr2bl w:val="nil"/>
            </w:tcBorders>
            <w:vAlign w:val="center"/>
          </w:tcPr>
          <w:p w14:paraId="6545796C">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0.0010</w:t>
            </w:r>
          </w:p>
        </w:tc>
        <w:tc>
          <w:tcPr>
            <w:tcW w:w="1136" w:type="dxa"/>
            <w:tcBorders>
              <w:tl2br w:val="nil"/>
              <w:tr2bl w:val="nil"/>
            </w:tcBorders>
            <w:vAlign w:val="center"/>
          </w:tcPr>
          <w:p w14:paraId="0BC9E072">
            <w:pPr>
              <w:pStyle w:val="236"/>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0.0087</w:t>
            </w:r>
          </w:p>
        </w:tc>
        <w:tc>
          <w:tcPr>
            <w:tcW w:w="680" w:type="dxa"/>
            <w:vMerge w:val="continue"/>
            <w:tcBorders>
              <w:tl2br w:val="nil"/>
              <w:tr2bl w:val="nil"/>
            </w:tcBorders>
            <w:vAlign w:val="center"/>
          </w:tcPr>
          <w:p w14:paraId="70B63815">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ascii="Times New Roman" w:hAnsi="Times New Roman" w:cs="Times New Roman"/>
                <w:color w:val="auto"/>
                <w:sz w:val="21"/>
                <w:szCs w:val="21"/>
                <w:highlight w:val="none"/>
                <w:lang w:eastAsia="en-US"/>
              </w:rPr>
            </w:pPr>
          </w:p>
        </w:tc>
      </w:tr>
    </w:tbl>
    <w:p w14:paraId="072B8F29">
      <w:pPr>
        <w:spacing w:before="120" w:beforeLines="50" w:line="360" w:lineRule="auto"/>
        <w:ind w:left="-105" w:right="-105" w:firstLine="482" w:firstLineChars="200"/>
        <w:rPr>
          <w:rFonts w:ascii="Times New Roman" w:hAnsi="Times New Roman"/>
          <w:b/>
          <w:bCs/>
          <w:color w:val="auto"/>
          <w:szCs w:val="22"/>
          <w:highlight w:val="none"/>
        </w:rPr>
      </w:pPr>
    </w:p>
    <w:p w14:paraId="193E8489">
      <w:pPr>
        <w:pStyle w:val="2"/>
        <w:ind w:left="-105" w:right="-105"/>
        <w:rPr>
          <w:color w:val="auto"/>
          <w:highlight w:val="none"/>
        </w:rPr>
        <w:sectPr>
          <w:pgSz w:w="16838" w:h="11906" w:orient="landscape"/>
          <w:pgMar w:top="1701" w:right="1440" w:bottom="1701" w:left="1440" w:header="851" w:footer="851" w:gutter="0"/>
          <w:pgBorders>
            <w:top w:val="none" w:sz="0" w:space="0"/>
            <w:left w:val="none" w:sz="0" w:space="0"/>
            <w:bottom w:val="none" w:sz="0" w:space="0"/>
            <w:right w:val="none" w:sz="0" w:space="0"/>
          </w:pgBorders>
          <w:cols w:space="720" w:num="1"/>
          <w:docGrid w:linePitch="498" w:charSpace="-2336"/>
        </w:sectPr>
      </w:pPr>
    </w:p>
    <w:p w14:paraId="3D99A0D4">
      <w:pPr>
        <w:spacing w:before="120" w:beforeLines="50" w:line="360" w:lineRule="auto"/>
        <w:ind w:left="-105" w:right="-105" w:firstLine="482" w:firstLineChars="200"/>
        <w:rPr>
          <w:rFonts w:ascii="Times New Roman" w:hAnsi="Times New Roman"/>
          <w:b/>
          <w:bCs/>
          <w:color w:val="auto"/>
          <w:szCs w:val="22"/>
          <w:highlight w:val="none"/>
        </w:rPr>
      </w:pPr>
      <w:r>
        <w:rPr>
          <w:rFonts w:hint="eastAsia" w:ascii="Times New Roman" w:hAnsi="Times New Roman"/>
          <w:b/>
          <w:bCs/>
          <w:color w:val="auto"/>
          <w:szCs w:val="22"/>
          <w:highlight w:val="none"/>
        </w:rPr>
        <w:t>（2）废气检测情况</w:t>
      </w:r>
    </w:p>
    <w:p w14:paraId="66562B19">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化药化工（无锡）有限公司年产聚氨酯丙烯酸酯5000t、丙烯酸酯组成物10000t和环氧丙烯酸树脂1200t生产线技改扩建项目（第二阶段：年产聚氨酯丙烯酸酯2000t、丙烯酸酯组成物5000t）竣工环境保护验收报告》，有组织废气的检测情况见下表：</w:t>
      </w:r>
    </w:p>
    <w:p w14:paraId="477A6324">
      <w:pPr>
        <w:pStyle w:val="15"/>
        <w:spacing w:line="360" w:lineRule="auto"/>
        <w:ind w:left="-105" w:right="-105" w:firstLine="482"/>
        <w:rPr>
          <w:rFonts w:eastAsia="宋体" w:cs="Times New Roman"/>
          <w:bCs/>
          <w:color w:val="auto"/>
          <w:sz w:val="24"/>
          <w:szCs w:val="18"/>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6</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有组织废气监测结果</w:t>
      </w:r>
      <w:r>
        <w:rPr>
          <w:rFonts w:eastAsia="宋体" w:cs="Times New Roman"/>
          <w:bCs/>
          <w:color w:val="auto"/>
          <w:sz w:val="24"/>
          <w:szCs w:val="18"/>
          <w:highlight w:val="none"/>
        </w:rPr>
        <w:t>一览表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3"/>
        <w:gridCol w:w="659"/>
        <w:gridCol w:w="813"/>
        <w:gridCol w:w="1590"/>
        <w:gridCol w:w="1019"/>
        <w:gridCol w:w="660"/>
        <w:gridCol w:w="1333"/>
        <w:gridCol w:w="1427"/>
      </w:tblGrid>
      <w:tr w14:paraId="2F29F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2AE0D5A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编号污染源名称</w:t>
            </w:r>
          </w:p>
        </w:tc>
        <w:tc>
          <w:tcPr>
            <w:tcW w:w="387" w:type="pct"/>
            <w:vMerge w:val="restart"/>
            <w:vAlign w:val="center"/>
          </w:tcPr>
          <w:p w14:paraId="14D0CFC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风量</w:t>
            </w:r>
          </w:p>
          <w:p w14:paraId="53CEAF3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(m</w:t>
            </w:r>
            <w:r>
              <w:rPr>
                <w:rFonts w:ascii="Times New Roman" w:hAnsi="Times New Roman" w:cs="Times New Roman"/>
                <w:b/>
                <w:color w:val="auto"/>
                <w:sz w:val="21"/>
                <w:szCs w:val="21"/>
                <w:highlight w:val="none"/>
                <w:vertAlign w:val="superscript"/>
              </w:rPr>
              <w:t>3</w:t>
            </w:r>
            <w:r>
              <w:rPr>
                <w:rFonts w:ascii="Times New Roman" w:hAnsi="Times New Roman" w:cs="Times New Roman"/>
                <w:b/>
                <w:color w:val="auto"/>
                <w:sz w:val="21"/>
                <w:szCs w:val="21"/>
                <w:highlight w:val="none"/>
              </w:rPr>
              <w:t>/h)</w:t>
            </w:r>
          </w:p>
        </w:tc>
        <w:tc>
          <w:tcPr>
            <w:tcW w:w="478" w:type="pct"/>
            <w:vMerge w:val="restart"/>
            <w:vAlign w:val="center"/>
          </w:tcPr>
          <w:p w14:paraId="5BAF6D7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污染因子</w:t>
            </w:r>
          </w:p>
        </w:tc>
        <w:tc>
          <w:tcPr>
            <w:tcW w:w="934" w:type="pct"/>
            <w:vMerge w:val="restart"/>
            <w:vAlign w:val="center"/>
          </w:tcPr>
          <w:p w14:paraId="0091955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治理措施</w:t>
            </w:r>
          </w:p>
        </w:tc>
        <w:tc>
          <w:tcPr>
            <w:tcW w:w="2609" w:type="pct"/>
            <w:gridSpan w:val="4"/>
            <w:vAlign w:val="center"/>
          </w:tcPr>
          <w:p w14:paraId="098CFAB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排放情况</w:t>
            </w:r>
          </w:p>
        </w:tc>
      </w:tr>
      <w:tr w14:paraId="60BB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5BCF54D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p>
        </w:tc>
        <w:tc>
          <w:tcPr>
            <w:tcW w:w="387" w:type="pct"/>
            <w:vMerge w:val="continue"/>
            <w:vAlign w:val="center"/>
          </w:tcPr>
          <w:p w14:paraId="33E3465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p>
        </w:tc>
        <w:tc>
          <w:tcPr>
            <w:tcW w:w="478" w:type="pct"/>
            <w:vMerge w:val="continue"/>
            <w:vAlign w:val="center"/>
          </w:tcPr>
          <w:p w14:paraId="1B9DDBF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
                <w:color w:val="auto"/>
                <w:sz w:val="21"/>
                <w:szCs w:val="21"/>
                <w:highlight w:val="none"/>
              </w:rPr>
            </w:pPr>
          </w:p>
        </w:tc>
        <w:tc>
          <w:tcPr>
            <w:tcW w:w="934" w:type="pct"/>
            <w:vMerge w:val="continue"/>
            <w:vAlign w:val="center"/>
          </w:tcPr>
          <w:p w14:paraId="3D1796C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p>
        </w:tc>
        <w:tc>
          <w:tcPr>
            <w:tcW w:w="599" w:type="pct"/>
            <w:tcMar>
              <w:left w:w="0" w:type="dxa"/>
              <w:right w:w="0" w:type="dxa"/>
            </w:tcMar>
            <w:vAlign w:val="center"/>
          </w:tcPr>
          <w:p w14:paraId="08CC544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检测时间</w:t>
            </w:r>
          </w:p>
        </w:tc>
        <w:tc>
          <w:tcPr>
            <w:tcW w:w="388" w:type="pct"/>
            <w:tcMar>
              <w:left w:w="0" w:type="dxa"/>
              <w:right w:w="0" w:type="dxa"/>
            </w:tcMar>
            <w:vAlign w:val="center"/>
          </w:tcPr>
          <w:p w14:paraId="622B103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检测次数</w:t>
            </w:r>
          </w:p>
        </w:tc>
        <w:tc>
          <w:tcPr>
            <w:tcW w:w="784" w:type="pct"/>
            <w:tcMar>
              <w:left w:w="0" w:type="dxa"/>
              <w:right w:w="0" w:type="dxa"/>
            </w:tcMar>
            <w:vAlign w:val="center"/>
          </w:tcPr>
          <w:p w14:paraId="7DDC41B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排放浓度</w:t>
            </w:r>
          </w:p>
          <w:p w14:paraId="5189050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mg/m</w:t>
            </w:r>
            <w:r>
              <w:rPr>
                <w:rFonts w:ascii="Times New Roman" w:hAnsi="Times New Roman" w:cs="Times New Roman"/>
                <w:b/>
                <w:color w:val="auto"/>
                <w:sz w:val="21"/>
                <w:szCs w:val="21"/>
                <w:highlight w:val="none"/>
                <w:vertAlign w:val="superscript"/>
              </w:rPr>
              <w:t>3</w:t>
            </w:r>
          </w:p>
        </w:tc>
        <w:tc>
          <w:tcPr>
            <w:tcW w:w="837" w:type="pct"/>
            <w:vAlign w:val="center"/>
          </w:tcPr>
          <w:p w14:paraId="13CEDB0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排放速率</w:t>
            </w:r>
          </w:p>
          <w:p w14:paraId="49AF638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（kg/h）</w:t>
            </w:r>
          </w:p>
        </w:tc>
      </w:tr>
      <w:tr w14:paraId="14E29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792B8CB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DA001</w:t>
            </w:r>
          </w:p>
        </w:tc>
        <w:tc>
          <w:tcPr>
            <w:tcW w:w="387" w:type="pct"/>
            <w:vMerge w:val="restart"/>
            <w:vAlign w:val="center"/>
          </w:tcPr>
          <w:p w14:paraId="30A62A8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5000</w:t>
            </w:r>
          </w:p>
        </w:tc>
        <w:tc>
          <w:tcPr>
            <w:tcW w:w="478" w:type="pct"/>
            <w:vMerge w:val="restart"/>
            <w:vAlign w:val="center"/>
          </w:tcPr>
          <w:p w14:paraId="15577F4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934" w:type="pct"/>
            <w:vMerge w:val="restart"/>
            <w:vAlign w:val="center"/>
          </w:tcPr>
          <w:p w14:paraId="0977855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冷凝+3级碱液喷淋+活性炭吸附</w:t>
            </w:r>
          </w:p>
        </w:tc>
        <w:tc>
          <w:tcPr>
            <w:tcW w:w="599" w:type="pct"/>
            <w:vMerge w:val="restart"/>
            <w:vAlign w:val="center"/>
          </w:tcPr>
          <w:p w14:paraId="7C5A0BC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2023.3.20</w:t>
            </w:r>
          </w:p>
        </w:tc>
        <w:tc>
          <w:tcPr>
            <w:tcW w:w="388" w:type="pct"/>
            <w:vAlign w:val="center"/>
          </w:tcPr>
          <w:p w14:paraId="4E17553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5E6A651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2.23</w:t>
            </w:r>
          </w:p>
        </w:tc>
        <w:tc>
          <w:tcPr>
            <w:tcW w:w="837" w:type="pct"/>
            <w:vAlign w:val="center"/>
          </w:tcPr>
          <w:p w14:paraId="298D1EC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0.00461</w:t>
            </w:r>
          </w:p>
        </w:tc>
      </w:tr>
      <w:tr w14:paraId="249A8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77841C6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7F7FBA6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65D087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245F4CC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16D11B9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11A1C7E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3D8502A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2.14</w:t>
            </w:r>
          </w:p>
        </w:tc>
        <w:tc>
          <w:tcPr>
            <w:tcW w:w="837" w:type="pct"/>
            <w:vAlign w:val="center"/>
          </w:tcPr>
          <w:p w14:paraId="715199B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0.00435</w:t>
            </w:r>
          </w:p>
        </w:tc>
      </w:tr>
      <w:tr w14:paraId="0B99E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9FCA19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4F39771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D4F67E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0B50885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1407AA9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4751F30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2EDE96C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2.13</w:t>
            </w:r>
          </w:p>
        </w:tc>
        <w:tc>
          <w:tcPr>
            <w:tcW w:w="837" w:type="pct"/>
            <w:vAlign w:val="center"/>
          </w:tcPr>
          <w:p w14:paraId="0EF3C3C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0.00454</w:t>
            </w:r>
          </w:p>
        </w:tc>
      </w:tr>
      <w:tr w14:paraId="2F2B8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133A1DE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5F5CA70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0C334FD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004866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restart"/>
            <w:vAlign w:val="center"/>
          </w:tcPr>
          <w:p w14:paraId="1CE4260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2023.3.21</w:t>
            </w:r>
          </w:p>
        </w:tc>
        <w:tc>
          <w:tcPr>
            <w:tcW w:w="388" w:type="pct"/>
            <w:vAlign w:val="center"/>
          </w:tcPr>
          <w:p w14:paraId="1A723A3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2CEBC67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2.64</w:t>
            </w:r>
          </w:p>
        </w:tc>
        <w:tc>
          <w:tcPr>
            <w:tcW w:w="837" w:type="pct"/>
            <w:vAlign w:val="center"/>
          </w:tcPr>
          <w:p w14:paraId="728D239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0.00563</w:t>
            </w:r>
          </w:p>
        </w:tc>
      </w:tr>
      <w:tr w14:paraId="40329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0BF2592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37158F8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20F3935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55C1AA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3077D90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5F61A05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689DBF9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2.39</w:t>
            </w:r>
          </w:p>
        </w:tc>
        <w:tc>
          <w:tcPr>
            <w:tcW w:w="837" w:type="pct"/>
            <w:vAlign w:val="center"/>
          </w:tcPr>
          <w:p w14:paraId="75A2D35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0.00532</w:t>
            </w:r>
          </w:p>
        </w:tc>
      </w:tr>
      <w:tr w14:paraId="06B78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14CDEE3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6E78E02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1FFD06F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4BA1BF1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77322F4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794F176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5A9D1BC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2.26</w:t>
            </w:r>
          </w:p>
        </w:tc>
        <w:tc>
          <w:tcPr>
            <w:tcW w:w="837" w:type="pct"/>
            <w:vAlign w:val="center"/>
          </w:tcPr>
          <w:p w14:paraId="4857BA8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0.00496</w:t>
            </w:r>
          </w:p>
        </w:tc>
      </w:tr>
      <w:tr w14:paraId="05067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56B30ED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rPr>
              <w:t>2</w:t>
            </w:r>
          </w:p>
        </w:tc>
        <w:tc>
          <w:tcPr>
            <w:tcW w:w="387" w:type="pct"/>
            <w:vMerge w:val="restart"/>
            <w:vAlign w:val="center"/>
          </w:tcPr>
          <w:p w14:paraId="56D9437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15000</w:t>
            </w:r>
          </w:p>
        </w:tc>
        <w:tc>
          <w:tcPr>
            <w:tcW w:w="478" w:type="pct"/>
            <w:vMerge w:val="restart"/>
            <w:vAlign w:val="center"/>
          </w:tcPr>
          <w:p w14:paraId="5110962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934" w:type="pct"/>
            <w:vMerge w:val="restart"/>
            <w:vAlign w:val="center"/>
          </w:tcPr>
          <w:p w14:paraId="742CA6B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olor w:val="auto"/>
                <w:sz w:val="21"/>
                <w:szCs w:val="21"/>
                <w:highlight w:val="none"/>
              </w:rPr>
              <w:t>冷凝+3级碱液喷淋+活性炭吸附</w:t>
            </w:r>
          </w:p>
        </w:tc>
        <w:tc>
          <w:tcPr>
            <w:tcW w:w="599" w:type="pct"/>
            <w:vMerge w:val="restart"/>
            <w:vAlign w:val="center"/>
          </w:tcPr>
          <w:p w14:paraId="3242576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2023.3.20</w:t>
            </w:r>
          </w:p>
        </w:tc>
        <w:tc>
          <w:tcPr>
            <w:tcW w:w="388" w:type="pct"/>
            <w:vAlign w:val="center"/>
          </w:tcPr>
          <w:p w14:paraId="19CC622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2A7CB7E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4.02</w:t>
            </w:r>
          </w:p>
        </w:tc>
        <w:tc>
          <w:tcPr>
            <w:tcW w:w="837" w:type="pct"/>
            <w:vAlign w:val="center"/>
          </w:tcPr>
          <w:p w14:paraId="0E98C4D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0.034</w:t>
            </w:r>
          </w:p>
        </w:tc>
      </w:tr>
      <w:tr w14:paraId="79CB1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7D5F385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57EA568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86EE8E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03ACDD9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5B3AE39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73786A8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7740DC4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4.50</w:t>
            </w:r>
          </w:p>
        </w:tc>
        <w:tc>
          <w:tcPr>
            <w:tcW w:w="837" w:type="pct"/>
            <w:vAlign w:val="center"/>
          </w:tcPr>
          <w:p w14:paraId="0B1C293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0.038</w:t>
            </w:r>
          </w:p>
        </w:tc>
      </w:tr>
      <w:tr w14:paraId="52AB0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CA5502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11E6DB1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48116CC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37F51C8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75F1622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3A90DBC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46FD720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4.57</w:t>
            </w:r>
          </w:p>
        </w:tc>
        <w:tc>
          <w:tcPr>
            <w:tcW w:w="837" w:type="pct"/>
            <w:vAlign w:val="center"/>
          </w:tcPr>
          <w:p w14:paraId="699F533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0.039</w:t>
            </w:r>
          </w:p>
        </w:tc>
      </w:tr>
      <w:tr w14:paraId="49DFC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268E44E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6132556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114A1CB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44FD053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restart"/>
            <w:vAlign w:val="center"/>
          </w:tcPr>
          <w:p w14:paraId="305883A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2023.3.21</w:t>
            </w:r>
          </w:p>
        </w:tc>
        <w:tc>
          <w:tcPr>
            <w:tcW w:w="388" w:type="pct"/>
            <w:vAlign w:val="center"/>
          </w:tcPr>
          <w:p w14:paraId="1FDF888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1EA0ED6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4.20</w:t>
            </w:r>
          </w:p>
        </w:tc>
        <w:tc>
          <w:tcPr>
            <w:tcW w:w="837" w:type="pct"/>
            <w:vAlign w:val="center"/>
          </w:tcPr>
          <w:p w14:paraId="57037AB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0.034</w:t>
            </w:r>
          </w:p>
        </w:tc>
      </w:tr>
      <w:tr w14:paraId="5946A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B59E4A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4560296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00F9719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053D8ED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3A2C9FA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08914B2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65A06B9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4.10</w:t>
            </w:r>
          </w:p>
        </w:tc>
        <w:tc>
          <w:tcPr>
            <w:tcW w:w="837" w:type="pct"/>
            <w:vAlign w:val="center"/>
          </w:tcPr>
          <w:p w14:paraId="10B1A07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0.033</w:t>
            </w:r>
          </w:p>
        </w:tc>
      </w:tr>
      <w:tr w14:paraId="21E99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49DE9C5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79E676E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7C448C5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B4BEC7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4B09DFF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03FE046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000DA5A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4.29</w:t>
            </w:r>
          </w:p>
        </w:tc>
        <w:tc>
          <w:tcPr>
            <w:tcW w:w="837" w:type="pct"/>
            <w:vAlign w:val="center"/>
          </w:tcPr>
          <w:p w14:paraId="4244814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0.035</w:t>
            </w:r>
          </w:p>
        </w:tc>
      </w:tr>
      <w:tr w14:paraId="6CACA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408F5BD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rPr>
              <w:t>3</w:t>
            </w:r>
          </w:p>
        </w:tc>
        <w:tc>
          <w:tcPr>
            <w:tcW w:w="387" w:type="pct"/>
            <w:vMerge w:val="restart"/>
            <w:vAlign w:val="center"/>
          </w:tcPr>
          <w:p w14:paraId="516A1A6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5000</w:t>
            </w:r>
          </w:p>
        </w:tc>
        <w:tc>
          <w:tcPr>
            <w:tcW w:w="478" w:type="pct"/>
            <w:vMerge w:val="restart"/>
            <w:vAlign w:val="center"/>
          </w:tcPr>
          <w:p w14:paraId="5470A7C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934" w:type="pct"/>
            <w:vMerge w:val="restart"/>
            <w:vAlign w:val="center"/>
          </w:tcPr>
          <w:p w14:paraId="75B579C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olor w:val="auto"/>
                <w:sz w:val="21"/>
                <w:szCs w:val="21"/>
                <w:highlight w:val="none"/>
              </w:rPr>
              <w:t>冷凝+3级碱液喷淋+活性炭吸附</w:t>
            </w:r>
          </w:p>
        </w:tc>
        <w:tc>
          <w:tcPr>
            <w:tcW w:w="599" w:type="pct"/>
            <w:vMerge w:val="restart"/>
            <w:vAlign w:val="center"/>
          </w:tcPr>
          <w:p w14:paraId="214D784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2023.3.20</w:t>
            </w:r>
          </w:p>
        </w:tc>
        <w:tc>
          <w:tcPr>
            <w:tcW w:w="388" w:type="pct"/>
            <w:vAlign w:val="center"/>
          </w:tcPr>
          <w:p w14:paraId="188BD04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0E4E691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2.83</w:t>
            </w:r>
          </w:p>
        </w:tc>
        <w:tc>
          <w:tcPr>
            <w:tcW w:w="837" w:type="pct"/>
            <w:vAlign w:val="center"/>
          </w:tcPr>
          <w:p w14:paraId="2259032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0.00385</w:t>
            </w:r>
          </w:p>
        </w:tc>
      </w:tr>
      <w:tr w14:paraId="4829C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5B12CDA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1DA9F2F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66EC2E3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F4581D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65245C5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03F022C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32DAF86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2.78</w:t>
            </w:r>
          </w:p>
        </w:tc>
        <w:tc>
          <w:tcPr>
            <w:tcW w:w="837" w:type="pct"/>
            <w:vAlign w:val="center"/>
          </w:tcPr>
          <w:p w14:paraId="07DA0CD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0.00368</w:t>
            </w:r>
          </w:p>
        </w:tc>
      </w:tr>
      <w:tr w14:paraId="3F9BF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57F66FF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71EF9B7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02468EC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38A1101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5D7D5A7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3A096EE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252EC8B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2.49</w:t>
            </w:r>
          </w:p>
        </w:tc>
        <w:tc>
          <w:tcPr>
            <w:tcW w:w="837" w:type="pct"/>
            <w:vAlign w:val="center"/>
          </w:tcPr>
          <w:p w14:paraId="4FA1997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0.00350</w:t>
            </w:r>
          </w:p>
        </w:tc>
      </w:tr>
      <w:tr w14:paraId="2D3A1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1A603DD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6FC133F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10412DA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69CFAFD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restart"/>
            <w:vAlign w:val="center"/>
          </w:tcPr>
          <w:p w14:paraId="273DC18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2023.3.21</w:t>
            </w:r>
          </w:p>
        </w:tc>
        <w:tc>
          <w:tcPr>
            <w:tcW w:w="388" w:type="pct"/>
            <w:vAlign w:val="center"/>
          </w:tcPr>
          <w:p w14:paraId="241CCD8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05EF996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1.90</w:t>
            </w:r>
          </w:p>
        </w:tc>
        <w:tc>
          <w:tcPr>
            <w:tcW w:w="837" w:type="pct"/>
            <w:vAlign w:val="center"/>
          </w:tcPr>
          <w:p w14:paraId="17D0F46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0.00319</w:t>
            </w:r>
          </w:p>
        </w:tc>
      </w:tr>
      <w:tr w14:paraId="46B43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6A6578F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2977D15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3F32EC2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097695B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37931D7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69B6BEA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0039236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1.85</w:t>
            </w:r>
          </w:p>
        </w:tc>
        <w:tc>
          <w:tcPr>
            <w:tcW w:w="837" w:type="pct"/>
            <w:vAlign w:val="center"/>
          </w:tcPr>
          <w:p w14:paraId="5CE5EAF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0.00273</w:t>
            </w:r>
          </w:p>
        </w:tc>
      </w:tr>
      <w:tr w14:paraId="32188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7298455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1D03B33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17C205C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4E22DE9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5ACEC53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0ABA806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6C17611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1.74</w:t>
            </w:r>
          </w:p>
        </w:tc>
        <w:tc>
          <w:tcPr>
            <w:tcW w:w="837" w:type="pct"/>
            <w:vAlign w:val="center"/>
          </w:tcPr>
          <w:p w14:paraId="58D5B3D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0.00264</w:t>
            </w:r>
          </w:p>
        </w:tc>
      </w:tr>
      <w:tr w14:paraId="2A87C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156861A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rPr>
              <w:t>4</w:t>
            </w:r>
          </w:p>
        </w:tc>
        <w:tc>
          <w:tcPr>
            <w:tcW w:w="387" w:type="pct"/>
            <w:vMerge w:val="restart"/>
            <w:vAlign w:val="center"/>
          </w:tcPr>
          <w:p w14:paraId="3C93414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5000</w:t>
            </w:r>
          </w:p>
        </w:tc>
        <w:tc>
          <w:tcPr>
            <w:tcW w:w="478" w:type="pct"/>
            <w:vMerge w:val="restart"/>
            <w:vAlign w:val="center"/>
          </w:tcPr>
          <w:p w14:paraId="6C47DF3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934" w:type="pct"/>
            <w:vMerge w:val="restart"/>
            <w:vAlign w:val="center"/>
          </w:tcPr>
          <w:p w14:paraId="2C92344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olor w:val="auto"/>
                <w:sz w:val="21"/>
                <w:szCs w:val="21"/>
                <w:highlight w:val="none"/>
              </w:rPr>
              <w:t>冷凝+3级碱液喷淋+活性炭吸附</w:t>
            </w:r>
          </w:p>
        </w:tc>
        <w:tc>
          <w:tcPr>
            <w:tcW w:w="599" w:type="pct"/>
            <w:vMerge w:val="restart"/>
            <w:vAlign w:val="center"/>
          </w:tcPr>
          <w:p w14:paraId="4883336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2023.3.20</w:t>
            </w:r>
          </w:p>
        </w:tc>
        <w:tc>
          <w:tcPr>
            <w:tcW w:w="388" w:type="pct"/>
            <w:vAlign w:val="center"/>
          </w:tcPr>
          <w:p w14:paraId="21C991B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31AF20C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2.38</w:t>
            </w:r>
          </w:p>
        </w:tc>
        <w:tc>
          <w:tcPr>
            <w:tcW w:w="837" w:type="pct"/>
            <w:vAlign w:val="center"/>
          </w:tcPr>
          <w:p w14:paraId="0135A22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0.00578</w:t>
            </w:r>
          </w:p>
        </w:tc>
      </w:tr>
      <w:tr w14:paraId="3C24B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62CE340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5DF60C0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49A6531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77A24F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continue"/>
            <w:vAlign w:val="center"/>
          </w:tcPr>
          <w:p w14:paraId="776EE75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388" w:type="pct"/>
            <w:vAlign w:val="center"/>
          </w:tcPr>
          <w:p w14:paraId="758335D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7358C50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2.09</w:t>
            </w:r>
          </w:p>
        </w:tc>
        <w:tc>
          <w:tcPr>
            <w:tcW w:w="837" w:type="pct"/>
            <w:vAlign w:val="center"/>
          </w:tcPr>
          <w:p w14:paraId="1FFEEF7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0.00484</w:t>
            </w:r>
          </w:p>
        </w:tc>
      </w:tr>
      <w:tr w14:paraId="75D99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429E45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643DD89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2080713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6F57584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continue"/>
            <w:vAlign w:val="center"/>
          </w:tcPr>
          <w:p w14:paraId="7223386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388" w:type="pct"/>
            <w:vAlign w:val="center"/>
          </w:tcPr>
          <w:p w14:paraId="5F89176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255FB9D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2.34</w:t>
            </w:r>
          </w:p>
        </w:tc>
        <w:tc>
          <w:tcPr>
            <w:tcW w:w="837" w:type="pct"/>
            <w:vAlign w:val="center"/>
          </w:tcPr>
          <w:p w14:paraId="1F7F853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0.00548</w:t>
            </w:r>
          </w:p>
        </w:tc>
      </w:tr>
      <w:tr w14:paraId="625C9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48BA0A4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125B83D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0C7AC87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330115D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restart"/>
            <w:vAlign w:val="center"/>
          </w:tcPr>
          <w:p w14:paraId="5F38839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2023.3.21</w:t>
            </w:r>
          </w:p>
        </w:tc>
        <w:tc>
          <w:tcPr>
            <w:tcW w:w="388" w:type="pct"/>
            <w:vAlign w:val="center"/>
          </w:tcPr>
          <w:p w14:paraId="6A07E32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096A5D5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2.27</w:t>
            </w:r>
          </w:p>
        </w:tc>
        <w:tc>
          <w:tcPr>
            <w:tcW w:w="837" w:type="pct"/>
            <w:vAlign w:val="center"/>
          </w:tcPr>
          <w:p w14:paraId="2C76B98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0.00617</w:t>
            </w:r>
          </w:p>
        </w:tc>
      </w:tr>
      <w:tr w14:paraId="4E6AE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71F708C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6B103F4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33ACFF9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165AECA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60C713B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108B1B8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2A835FC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1.97</w:t>
            </w:r>
          </w:p>
        </w:tc>
        <w:tc>
          <w:tcPr>
            <w:tcW w:w="837" w:type="pct"/>
            <w:vAlign w:val="center"/>
          </w:tcPr>
          <w:p w14:paraId="55D30F2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0.00578</w:t>
            </w:r>
          </w:p>
        </w:tc>
      </w:tr>
      <w:tr w14:paraId="39897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7265B9B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5DE954B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59C92E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8C3335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5A0BFE5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099E035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6CB9213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2.27</w:t>
            </w:r>
          </w:p>
        </w:tc>
        <w:tc>
          <w:tcPr>
            <w:tcW w:w="837" w:type="pct"/>
            <w:vAlign w:val="center"/>
          </w:tcPr>
          <w:p w14:paraId="3013F5A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0.00666</w:t>
            </w:r>
          </w:p>
        </w:tc>
      </w:tr>
      <w:tr w14:paraId="34E41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restart"/>
            <w:vAlign w:val="center"/>
          </w:tcPr>
          <w:p w14:paraId="3429345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rPr>
              <w:t>5</w:t>
            </w:r>
          </w:p>
        </w:tc>
        <w:tc>
          <w:tcPr>
            <w:tcW w:w="387" w:type="pct"/>
            <w:vMerge w:val="restart"/>
            <w:vAlign w:val="center"/>
          </w:tcPr>
          <w:p w14:paraId="2CE7145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20000</w:t>
            </w:r>
          </w:p>
        </w:tc>
        <w:tc>
          <w:tcPr>
            <w:tcW w:w="478" w:type="pct"/>
            <w:vMerge w:val="restart"/>
            <w:vAlign w:val="center"/>
          </w:tcPr>
          <w:p w14:paraId="27F7F8C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934" w:type="pct"/>
            <w:vMerge w:val="restart"/>
            <w:vAlign w:val="center"/>
          </w:tcPr>
          <w:p w14:paraId="02D494E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3级碱液喷淋+二级活性炭吸附</w:t>
            </w:r>
          </w:p>
        </w:tc>
        <w:tc>
          <w:tcPr>
            <w:tcW w:w="599" w:type="pct"/>
            <w:vMerge w:val="restart"/>
            <w:vAlign w:val="center"/>
          </w:tcPr>
          <w:p w14:paraId="52D169C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2023.3.20</w:t>
            </w:r>
          </w:p>
        </w:tc>
        <w:tc>
          <w:tcPr>
            <w:tcW w:w="388" w:type="pct"/>
            <w:vAlign w:val="center"/>
          </w:tcPr>
          <w:p w14:paraId="25B2CFDE">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66188AD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4.02</w:t>
            </w:r>
          </w:p>
        </w:tc>
        <w:tc>
          <w:tcPr>
            <w:tcW w:w="837" w:type="pct"/>
            <w:vAlign w:val="center"/>
          </w:tcPr>
          <w:p w14:paraId="35345D1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0.034</w:t>
            </w:r>
          </w:p>
        </w:tc>
      </w:tr>
      <w:tr w14:paraId="0576F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DCD680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4E82356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030294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2472EE5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continue"/>
            <w:vAlign w:val="center"/>
          </w:tcPr>
          <w:p w14:paraId="7C91D87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388" w:type="pct"/>
            <w:vAlign w:val="center"/>
          </w:tcPr>
          <w:p w14:paraId="2296E41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284B0D3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4.53</w:t>
            </w:r>
          </w:p>
        </w:tc>
        <w:tc>
          <w:tcPr>
            <w:tcW w:w="837" w:type="pct"/>
            <w:vAlign w:val="center"/>
          </w:tcPr>
          <w:p w14:paraId="3B0B3EA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0.039</w:t>
            </w:r>
          </w:p>
        </w:tc>
      </w:tr>
      <w:tr w14:paraId="4DD9B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38416840">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4B056D6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2DF7A01B">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4BCD8C7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continue"/>
            <w:vAlign w:val="center"/>
          </w:tcPr>
          <w:p w14:paraId="721C794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388" w:type="pct"/>
            <w:vAlign w:val="center"/>
          </w:tcPr>
          <w:p w14:paraId="0E7F395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5FAEB31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4.16</w:t>
            </w:r>
          </w:p>
        </w:tc>
        <w:tc>
          <w:tcPr>
            <w:tcW w:w="837" w:type="pct"/>
            <w:vAlign w:val="center"/>
          </w:tcPr>
          <w:p w14:paraId="090112A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0.035</w:t>
            </w:r>
          </w:p>
        </w:tc>
      </w:tr>
      <w:tr w14:paraId="33A4D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2ABD6A0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3648051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05ABA7D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4AB357A7">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p>
        </w:tc>
        <w:tc>
          <w:tcPr>
            <w:tcW w:w="599" w:type="pct"/>
            <w:vMerge w:val="restart"/>
            <w:vAlign w:val="center"/>
          </w:tcPr>
          <w:p w14:paraId="7B96C3C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2023.3.21</w:t>
            </w:r>
          </w:p>
        </w:tc>
        <w:tc>
          <w:tcPr>
            <w:tcW w:w="388" w:type="pct"/>
            <w:vAlign w:val="center"/>
          </w:tcPr>
          <w:p w14:paraId="025DD26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784" w:type="pct"/>
            <w:vAlign w:val="center"/>
          </w:tcPr>
          <w:p w14:paraId="152942A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4.53</w:t>
            </w:r>
          </w:p>
        </w:tc>
        <w:tc>
          <w:tcPr>
            <w:tcW w:w="837" w:type="pct"/>
            <w:vAlign w:val="center"/>
          </w:tcPr>
          <w:p w14:paraId="4993F8D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0.036</w:t>
            </w:r>
          </w:p>
        </w:tc>
      </w:tr>
      <w:tr w14:paraId="7DE9C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413BBD1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snapToGrid w:val="0"/>
                <w:color w:val="auto"/>
                <w:sz w:val="21"/>
                <w:szCs w:val="21"/>
                <w:highlight w:val="none"/>
              </w:rPr>
            </w:pPr>
          </w:p>
        </w:tc>
        <w:tc>
          <w:tcPr>
            <w:tcW w:w="387" w:type="pct"/>
            <w:vMerge w:val="continue"/>
            <w:vAlign w:val="center"/>
          </w:tcPr>
          <w:p w14:paraId="457ED22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50E0077A">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768ABDA3">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599" w:type="pct"/>
            <w:vMerge w:val="continue"/>
            <w:vAlign w:val="center"/>
          </w:tcPr>
          <w:p w14:paraId="01480A9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388" w:type="pct"/>
            <w:vAlign w:val="center"/>
          </w:tcPr>
          <w:p w14:paraId="795FF984">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784" w:type="pct"/>
            <w:vAlign w:val="center"/>
          </w:tcPr>
          <w:p w14:paraId="5B573EB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4.71</w:t>
            </w:r>
          </w:p>
        </w:tc>
        <w:tc>
          <w:tcPr>
            <w:tcW w:w="837" w:type="pct"/>
            <w:vAlign w:val="center"/>
          </w:tcPr>
          <w:p w14:paraId="574A8DF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0.039</w:t>
            </w:r>
          </w:p>
        </w:tc>
      </w:tr>
      <w:tr w14:paraId="268FF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Merge w:val="continue"/>
            <w:vAlign w:val="center"/>
          </w:tcPr>
          <w:p w14:paraId="1810D86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387" w:type="pct"/>
            <w:vMerge w:val="continue"/>
            <w:vAlign w:val="center"/>
          </w:tcPr>
          <w:p w14:paraId="24A04532">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478" w:type="pct"/>
            <w:vMerge w:val="continue"/>
            <w:vAlign w:val="center"/>
          </w:tcPr>
          <w:p w14:paraId="3DE4BCF9">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p>
        </w:tc>
        <w:tc>
          <w:tcPr>
            <w:tcW w:w="934" w:type="pct"/>
            <w:vMerge w:val="continue"/>
            <w:vAlign w:val="center"/>
          </w:tcPr>
          <w:p w14:paraId="63394795">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599" w:type="pct"/>
            <w:vMerge w:val="continue"/>
            <w:vAlign w:val="center"/>
          </w:tcPr>
          <w:p w14:paraId="3EA60141">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bCs/>
                <w:color w:val="auto"/>
                <w:sz w:val="21"/>
                <w:szCs w:val="21"/>
                <w:highlight w:val="none"/>
              </w:rPr>
            </w:pPr>
          </w:p>
        </w:tc>
        <w:tc>
          <w:tcPr>
            <w:tcW w:w="388" w:type="pct"/>
            <w:vAlign w:val="center"/>
          </w:tcPr>
          <w:p w14:paraId="657CA33C">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784" w:type="pct"/>
            <w:vAlign w:val="center"/>
          </w:tcPr>
          <w:p w14:paraId="60A1BA9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4.18</w:t>
            </w:r>
          </w:p>
        </w:tc>
        <w:tc>
          <w:tcPr>
            <w:tcW w:w="837" w:type="pct"/>
            <w:vAlign w:val="center"/>
          </w:tcPr>
          <w:p w14:paraId="4B6F20F8">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0.035</w:t>
            </w:r>
          </w:p>
        </w:tc>
      </w:tr>
    </w:tbl>
    <w:p w14:paraId="59EFFCEC">
      <w:pPr>
        <w:spacing w:before="120" w:beforeLines="50"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验收监测期间，企业各排气筒排放的非甲烷总烃（含2-乙二醇单乙醚醋酸酯、丁酮、异氰酸酯、丙烯酸）排放浓度均满足《合成树脂工业污染物排放标准》（GB31572-2015）表5中标准。</w:t>
      </w:r>
      <w:r>
        <w:rPr>
          <w:rFonts w:hint="eastAsia" w:ascii="Times New Roman" w:hAnsi="Times New Roman"/>
          <w:color w:val="auto"/>
          <w:szCs w:val="22"/>
          <w:highlight w:val="none"/>
        </w:rPr>
        <w:t>根据《合成树脂工业污染物排放标准》（GB31572-2015）表5中标准，单位产品非甲烷总烃排放量为0.3千克/吨，由于各个排气筒的产能无法单独拆分，以全厂实际非甲烷总烃排放量及全厂实际产能核算单位产品非甲烷总烃排放量。全厂实际产能为聚氨酯丙烯酸酯4655吨/年、丙烯酸酯组成物9555吨/年、环氧丙烯酸树脂树脂3100吨/年，全厂实际非甲烷总烃排放量为0.7206吨/年，则单位产品非甲烷总烃排放量为0.04千克/吨，满足《合成树脂工业污染物排放标准》（GB31572-2015）表5中单位产品非甲烷总烃排放量的要求。</w:t>
      </w:r>
    </w:p>
    <w:p w14:paraId="3E0AF367">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化药化工（无锡）有限公司年产聚氨酯丙烯酸酯5000t、丙烯酸酯组成物10000t和环氧丙烯酸树脂1200t生产线技改扩建项目（第二阶段：年产聚氨酯丙烯酸酯2000t、丙烯酸酯组成物5000t）竣工环境保护验收报告》，</w:t>
      </w:r>
      <w:r>
        <w:rPr>
          <w:rFonts w:ascii="Times New Roman" w:hAnsi="Times New Roman"/>
          <w:color w:val="auto"/>
          <w:szCs w:val="22"/>
          <w:highlight w:val="none"/>
        </w:rPr>
        <w:t>现有项目</w:t>
      </w:r>
      <w:r>
        <w:rPr>
          <w:rFonts w:hint="eastAsia" w:ascii="Times New Roman" w:hAnsi="Times New Roman"/>
          <w:color w:val="auto"/>
          <w:szCs w:val="22"/>
          <w:highlight w:val="none"/>
        </w:rPr>
        <w:t>厂界</w:t>
      </w:r>
      <w:r>
        <w:rPr>
          <w:rFonts w:ascii="Times New Roman" w:hAnsi="Times New Roman"/>
          <w:color w:val="auto"/>
          <w:szCs w:val="22"/>
          <w:highlight w:val="none"/>
        </w:rPr>
        <w:t>无组织废气实际排放情况见下表。</w:t>
      </w:r>
    </w:p>
    <w:p w14:paraId="7A7A278D">
      <w:pPr>
        <w:pStyle w:val="15"/>
        <w:spacing w:line="360" w:lineRule="auto"/>
        <w:ind w:left="-105" w:right="-105" w:firstLine="482"/>
        <w:rPr>
          <w:color w:val="auto"/>
          <w:szCs w:val="22"/>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7</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厂界无组织废气监测结果</w:t>
      </w:r>
      <w:r>
        <w:rPr>
          <w:rFonts w:eastAsia="宋体" w:cs="Times New Roman"/>
          <w:bCs/>
          <w:color w:val="auto"/>
          <w:sz w:val="24"/>
          <w:szCs w:val="18"/>
          <w:highlight w:val="none"/>
        </w:rPr>
        <w:t>一览表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796"/>
        <w:gridCol w:w="796"/>
        <w:gridCol w:w="840"/>
        <w:gridCol w:w="850"/>
        <w:gridCol w:w="850"/>
        <w:gridCol w:w="851"/>
        <w:gridCol w:w="850"/>
        <w:gridCol w:w="850"/>
        <w:gridCol w:w="852"/>
      </w:tblGrid>
      <w:tr w14:paraId="1B51C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tcBorders>
              <w:tl2br w:val="nil"/>
              <w:tr2bl w:val="nil"/>
            </w:tcBorders>
            <w:vAlign w:val="center"/>
          </w:tcPr>
          <w:p w14:paraId="51777FD1">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监测点</w:t>
            </w:r>
          </w:p>
        </w:tc>
        <w:tc>
          <w:tcPr>
            <w:tcW w:w="795" w:type="dxa"/>
            <w:vMerge w:val="restart"/>
            <w:tcBorders>
              <w:tl2br w:val="nil"/>
              <w:tr2bl w:val="nil"/>
            </w:tcBorders>
            <w:vAlign w:val="center"/>
          </w:tcPr>
          <w:p w14:paraId="06CB479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监测项目</w:t>
            </w:r>
          </w:p>
        </w:tc>
        <w:tc>
          <w:tcPr>
            <w:tcW w:w="795" w:type="dxa"/>
            <w:vMerge w:val="restart"/>
            <w:tcBorders>
              <w:tl2br w:val="nil"/>
              <w:tr2bl w:val="nil"/>
            </w:tcBorders>
            <w:vAlign w:val="center"/>
          </w:tcPr>
          <w:p w14:paraId="3C69767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标准限值</w:t>
            </w:r>
          </w:p>
        </w:tc>
        <w:tc>
          <w:tcPr>
            <w:tcW w:w="840" w:type="dxa"/>
            <w:vMerge w:val="restart"/>
            <w:tcBorders>
              <w:tl2br w:val="nil"/>
              <w:tr2bl w:val="nil"/>
            </w:tcBorders>
            <w:vAlign w:val="center"/>
          </w:tcPr>
          <w:p w14:paraId="6938F368">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单位</w:t>
            </w:r>
          </w:p>
        </w:tc>
        <w:tc>
          <w:tcPr>
            <w:tcW w:w="5102" w:type="dxa"/>
            <w:gridSpan w:val="6"/>
            <w:tcBorders>
              <w:tl2br w:val="nil"/>
              <w:tr2bl w:val="nil"/>
            </w:tcBorders>
            <w:vAlign w:val="center"/>
          </w:tcPr>
          <w:p w14:paraId="612810A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监测结果</w:t>
            </w:r>
          </w:p>
        </w:tc>
      </w:tr>
      <w:tr w14:paraId="385ED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37346701">
            <w:pPr>
              <w:ind w:left="-105" w:right="-105"/>
              <w:jc w:val="center"/>
              <w:rPr>
                <w:rFonts w:ascii="Times New Roman" w:hAnsi="Times New Roman" w:cs="Times New Roman"/>
                <w:b/>
                <w:bCs/>
                <w:color w:val="auto"/>
                <w:sz w:val="21"/>
                <w:szCs w:val="21"/>
                <w:highlight w:val="none"/>
              </w:rPr>
            </w:pPr>
          </w:p>
        </w:tc>
        <w:tc>
          <w:tcPr>
            <w:tcW w:w="795" w:type="dxa"/>
            <w:vMerge w:val="continue"/>
            <w:tcBorders>
              <w:tl2br w:val="nil"/>
              <w:tr2bl w:val="nil"/>
            </w:tcBorders>
            <w:vAlign w:val="center"/>
          </w:tcPr>
          <w:p w14:paraId="0BB0B6FB">
            <w:pPr>
              <w:ind w:left="-105" w:right="-105"/>
              <w:jc w:val="center"/>
              <w:rPr>
                <w:rFonts w:ascii="Times New Roman" w:hAnsi="Times New Roman" w:cs="Times New Roman"/>
                <w:b/>
                <w:bCs/>
                <w:color w:val="auto"/>
                <w:sz w:val="21"/>
                <w:szCs w:val="21"/>
                <w:highlight w:val="none"/>
              </w:rPr>
            </w:pPr>
          </w:p>
        </w:tc>
        <w:tc>
          <w:tcPr>
            <w:tcW w:w="795" w:type="dxa"/>
            <w:vMerge w:val="continue"/>
            <w:tcBorders>
              <w:tl2br w:val="nil"/>
              <w:tr2bl w:val="nil"/>
            </w:tcBorders>
            <w:vAlign w:val="center"/>
          </w:tcPr>
          <w:p w14:paraId="5CF0EF4A">
            <w:pPr>
              <w:ind w:left="-105" w:right="-105"/>
              <w:jc w:val="center"/>
              <w:rPr>
                <w:rFonts w:ascii="Times New Roman" w:hAnsi="Times New Roman" w:cs="Times New Roman"/>
                <w:b/>
                <w:bCs/>
                <w:color w:val="auto"/>
                <w:sz w:val="21"/>
                <w:szCs w:val="21"/>
                <w:highlight w:val="none"/>
              </w:rPr>
            </w:pPr>
          </w:p>
        </w:tc>
        <w:tc>
          <w:tcPr>
            <w:tcW w:w="840" w:type="dxa"/>
            <w:vMerge w:val="continue"/>
            <w:tcBorders>
              <w:tl2br w:val="nil"/>
              <w:tr2bl w:val="nil"/>
            </w:tcBorders>
            <w:vAlign w:val="center"/>
          </w:tcPr>
          <w:p w14:paraId="06B82C32">
            <w:pPr>
              <w:ind w:left="-105" w:right="-105"/>
              <w:jc w:val="center"/>
              <w:rPr>
                <w:rFonts w:ascii="Times New Roman" w:hAnsi="Times New Roman" w:cs="Times New Roman"/>
                <w:b/>
                <w:bCs/>
                <w:color w:val="auto"/>
                <w:sz w:val="21"/>
                <w:szCs w:val="21"/>
                <w:highlight w:val="none"/>
              </w:rPr>
            </w:pPr>
          </w:p>
        </w:tc>
        <w:tc>
          <w:tcPr>
            <w:tcW w:w="2551" w:type="dxa"/>
            <w:gridSpan w:val="3"/>
            <w:tcBorders>
              <w:tl2br w:val="nil"/>
              <w:tr2bl w:val="nil"/>
            </w:tcBorders>
            <w:vAlign w:val="center"/>
          </w:tcPr>
          <w:p w14:paraId="6287388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2023.3.15</w:t>
            </w:r>
          </w:p>
        </w:tc>
        <w:tc>
          <w:tcPr>
            <w:tcW w:w="2551" w:type="dxa"/>
            <w:gridSpan w:val="3"/>
            <w:tcBorders>
              <w:tl2br w:val="nil"/>
              <w:tr2bl w:val="nil"/>
            </w:tcBorders>
            <w:vAlign w:val="center"/>
          </w:tcPr>
          <w:p w14:paraId="2BAF179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2023.3.16</w:t>
            </w:r>
          </w:p>
        </w:tc>
      </w:tr>
      <w:tr w14:paraId="6AA5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397A7ED3">
            <w:pPr>
              <w:ind w:left="-105" w:right="-105"/>
              <w:jc w:val="center"/>
              <w:rPr>
                <w:rFonts w:ascii="Times New Roman" w:hAnsi="Times New Roman" w:cs="Times New Roman"/>
                <w:b/>
                <w:bCs/>
                <w:color w:val="auto"/>
                <w:sz w:val="21"/>
                <w:szCs w:val="21"/>
                <w:highlight w:val="none"/>
              </w:rPr>
            </w:pPr>
          </w:p>
        </w:tc>
        <w:tc>
          <w:tcPr>
            <w:tcW w:w="795" w:type="dxa"/>
            <w:vMerge w:val="continue"/>
            <w:tcBorders>
              <w:tl2br w:val="nil"/>
              <w:tr2bl w:val="nil"/>
            </w:tcBorders>
            <w:vAlign w:val="center"/>
          </w:tcPr>
          <w:p w14:paraId="4B745073">
            <w:pPr>
              <w:ind w:left="-105" w:right="-105"/>
              <w:jc w:val="center"/>
              <w:rPr>
                <w:rFonts w:ascii="Times New Roman" w:hAnsi="Times New Roman" w:cs="Times New Roman"/>
                <w:b/>
                <w:bCs/>
                <w:color w:val="auto"/>
                <w:sz w:val="21"/>
                <w:szCs w:val="21"/>
                <w:highlight w:val="none"/>
              </w:rPr>
            </w:pPr>
          </w:p>
        </w:tc>
        <w:tc>
          <w:tcPr>
            <w:tcW w:w="795" w:type="dxa"/>
            <w:vMerge w:val="continue"/>
            <w:tcBorders>
              <w:tl2br w:val="nil"/>
              <w:tr2bl w:val="nil"/>
            </w:tcBorders>
            <w:vAlign w:val="center"/>
          </w:tcPr>
          <w:p w14:paraId="79647DF1">
            <w:pPr>
              <w:ind w:left="-105" w:right="-105"/>
              <w:jc w:val="center"/>
              <w:rPr>
                <w:rFonts w:ascii="Times New Roman" w:hAnsi="Times New Roman" w:cs="Times New Roman"/>
                <w:b/>
                <w:bCs/>
                <w:color w:val="auto"/>
                <w:sz w:val="21"/>
                <w:szCs w:val="21"/>
                <w:highlight w:val="none"/>
              </w:rPr>
            </w:pPr>
          </w:p>
        </w:tc>
        <w:tc>
          <w:tcPr>
            <w:tcW w:w="840" w:type="dxa"/>
            <w:vMerge w:val="continue"/>
            <w:tcBorders>
              <w:tl2br w:val="nil"/>
              <w:tr2bl w:val="nil"/>
            </w:tcBorders>
            <w:vAlign w:val="center"/>
          </w:tcPr>
          <w:p w14:paraId="14222BC4">
            <w:pPr>
              <w:ind w:left="-105" w:right="-105"/>
              <w:jc w:val="center"/>
              <w:rPr>
                <w:rFonts w:ascii="Times New Roman" w:hAnsi="Times New Roman" w:cs="Times New Roman"/>
                <w:b/>
                <w:bCs/>
                <w:color w:val="auto"/>
                <w:sz w:val="21"/>
                <w:szCs w:val="21"/>
                <w:highlight w:val="none"/>
              </w:rPr>
            </w:pPr>
          </w:p>
        </w:tc>
        <w:tc>
          <w:tcPr>
            <w:tcW w:w="850" w:type="dxa"/>
            <w:tcBorders>
              <w:tl2br w:val="nil"/>
              <w:tr2bl w:val="nil"/>
            </w:tcBorders>
            <w:vAlign w:val="center"/>
          </w:tcPr>
          <w:p w14:paraId="4C705E62">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第一次</w:t>
            </w:r>
          </w:p>
        </w:tc>
        <w:tc>
          <w:tcPr>
            <w:tcW w:w="850" w:type="dxa"/>
            <w:tcBorders>
              <w:tl2br w:val="nil"/>
              <w:tr2bl w:val="nil"/>
            </w:tcBorders>
            <w:vAlign w:val="center"/>
          </w:tcPr>
          <w:p w14:paraId="71C7130F">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第二次</w:t>
            </w:r>
          </w:p>
        </w:tc>
        <w:tc>
          <w:tcPr>
            <w:tcW w:w="850" w:type="dxa"/>
            <w:tcBorders>
              <w:tl2br w:val="nil"/>
              <w:tr2bl w:val="nil"/>
            </w:tcBorders>
            <w:vAlign w:val="center"/>
          </w:tcPr>
          <w:p w14:paraId="6C933B7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第三次</w:t>
            </w:r>
          </w:p>
        </w:tc>
        <w:tc>
          <w:tcPr>
            <w:tcW w:w="850" w:type="dxa"/>
            <w:tcBorders>
              <w:tl2br w:val="nil"/>
              <w:tr2bl w:val="nil"/>
            </w:tcBorders>
            <w:vAlign w:val="center"/>
          </w:tcPr>
          <w:p w14:paraId="2A02E261">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第一次</w:t>
            </w:r>
          </w:p>
        </w:tc>
        <w:tc>
          <w:tcPr>
            <w:tcW w:w="850" w:type="dxa"/>
            <w:tcBorders>
              <w:tl2br w:val="nil"/>
              <w:tr2bl w:val="nil"/>
            </w:tcBorders>
            <w:vAlign w:val="center"/>
          </w:tcPr>
          <w:p w14:paraId="1C7455B9">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第二次</w:t>
            </w:r>
          </w:p>
        </w:tc>
        <w:tc>
          <w:tcPr>
            <w:tcW w:w="852" w:type="dxa"/>
            <w:tcBorders>
              <w:tl2br w:val="nil"/>
              <w:tr2bl w:val="nil"/>
            </w:tcBorders>
            <w:vAlign w:val="center"/>
          </w:tcPr>
          <w:p w14:paraId="27EE10D7">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第三次</w:t>
            </w:r>
          </w:p>
        </w:tc>
      </w:tr>
      <w:tr w14:paraId="7A63E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tcBorders>
              <w:tl2br w:val="nil"/>
              <w:tr2bl w:val="nil"/>
            </w:tcBorders>
            <w:vAlign w:val="center"/>
          </w:tcPr>
          <w:p w14:paraId="1FD4FDD7">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气象参数</w:t>
            </w:r>
          </w:p>
        </w:tc>
        <w:tc>
          <w:tcPr>
            <w:tcW w:w="795" w:type="dxa"/>
            <w:tcBorders>
              <w:tl2br w:val="nil"/>
              <w:tr2bl w:val="nil"/>
            </w:tcBorders>
            <w:vAlign w:val="center"/>
          </w:tcPr>
          <w:p w14:paraId="4E263D59">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风速</w:t>
            </w:r>
          </w:p>
        </w:tc>
        <w:tc>
          <w:tcPr>
            <w:tcW w:w="795" w:type="dxa"/>
            <w:tcBorders>
              <w:tl2br w:val="nil"/>
              <w:tr2bl w:val="nil"/>
            </w:tcBorders>
            <w:vAlign w:val="center"/>
          </w:tcPr>
          <w:p w14:paraId="21D8963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40" w:type="dxa"/>
            <w:tcBorders>
              <w:tl2br w:val="nil"/>
              <w:tr2bl w:val="nil"/>
            </w:tcBorders>
            <w:vAlign w:val="center"/>
          </w:tcPr>
          <w:p w14:paraId="62A79A7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m/s</w:t>
            </w:r>
          </w:p>
        </w:tc>
        <w:tc>
          <w:tcPr>
            <w:tcW w:w="2551" w:type="dxa"/>
            <w:gridSpan w:val="3"/>
            <w:tcBorders>
              <w:tl2br w:val="nil"/>
              <w:tr2bl w:val="nil"/>
            </w:tcBorders>
            <w:vAlign w:val="center"/>
          </w:tcPr>
          <w:p w14:paraId="4C4328A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2.2~2.8</w:t>
            </w:r>
          </w:p>
        </w:tc>
        <w:tc>
          <w:tcPr>
            <w:tcW w:w="2551" w:type="dxa"/>
            <w:gridSpan w:val="3"/>
            <w:tcBorders>
              <w:tl2br w:val="nil"/>
              <w:tr2bl w:val="nil"/>
            </w:tcBorders>
            <w:vAlign w:val="center"/>
          </w:tcPr>
          <w:p w14:paraId="10D78DD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2.6~3.0</w:t>
            </w:r>
          </w:p>
        </w:tc>
      </w:tr>
      <w:tr w14:paraId="680C3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409F0BDA">
            <w:pPr>
              <w:ind w:left="-105" w:right="-105"/>
              <w:jc w:val="center"/>
              <w:rPr>
                <w:rFonts w:ascii="Times New Roman" w:hAnsi="Times New Roman" w:cs="Times New Roman"/>
                <w:b/>
                <w:bCs/>
                <w:color w:val="auto"/>
                <w:sz w:val="21"/>
                <w:szCs w:val="21"/>
                <w:highlight w:val="none"/>
              </w:rPr>
            </w:pPr>
          </w:p>
        </w:tc>
        <w:tc>
          <w:tcPr>
            <w:tcW w:w="795" w:type="dxa"/>
            <w:tcBorders>
              <w:tl2br w:val="nil"/>
              <w:tr2bl w:val="nil"/>
            </w:tcBorders>
            <w:vAlign w:val="center"/>
          </w:tcPr>
          <w:p w14:paraId="30369228">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风向</w:t>
            </w:r>
          </w:p>
        </w:tc>
        <w:tc>
          <w:tcPr>
            <w:tcW w:w="795" w:type="dxa"/>
            <w:tcBorders>
              <w:tl2br w:val="nil"/>
              <w:tr2bl w:val="nil"/>
            </w:tcBorders>
            <w:vAlign w:val="center"/>
          </w:tcPr>
          <w:p w14:paraId="4DE365E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40" w:type="dxa"/>
            <w:tcBorders>
              <w:tl2br w:val="nil"/>
              <w:tr2bl w:val="nil"/>
            </w:tcBorders>
            <w:vAlign w:val="center"/>
          </w:tcPr>
          <w:p w14:paraId="6A89D6D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551" w:type="dxa"/>
            <w:gridSpan w:val="3"/>
            <w:tcBorders>
              <w:tl2br w:val="nil"/>
              <w:tr2bl w:val="nil"/>
            </w:tcBorders>
            <w:vAlign w:val="center"/>
          </w:tcPr>
          <w:p w14:paraId="59CD5E7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w:t>
            </w:r>
          </w:p>
        </w:tc>
        <w:tc>
          <w:tcPr>
            <w:tcW w:w="2551" w:type="dxa"/>
            <w:gridSpan w:val="3"/>
            <w:tcBorders>
              <w:tl2br w:val="nil"/>
              <w:tr2bl w:val="nil"/>
            </w:tcBorders>
            <w:vAlign w:val="center"/>
          </w:tcPr>
          <w:p w14:paraId="34985F8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w:t>
            </w:r>
          </w:p>
        </w:tc>
      </w:tr>
      <w:tr w14:paraId="7E2AD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715D9054">
            <w:pPr>
              <w:ind w:left="-105" w:right="-105"/>
              <w:jc w:val="center"/>
              <w:rPr>
                <w:rFonts w:ascii="Times New Roman" w:hAnsi="Times New Roman" w:cs="Times New Roman"/>
                <w:b/>
                <w:bCs/>
                <w:color w:val="auto"/>
                <w:sz w:val="21"/>
                <w:szCs w:val="21"/>
                <w:highlight w:val="none"/>
              </w:rPr>
            </w:pPr>
          </w:p>
        </w:tc>
        <w:tc>
          <w:tcPr>
            <w:tcW w:w="795" w:type="dxa"/>
            <w:tcBorders>
              <w:tl2br w:val="nil"/>
              <w:tr2bl w:val="nil"/>
            </w:tcBorders>
            <w:vAlign w:val="center"/>
          </w:tcPr>
          <w:p w14:paraId="489DD818">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气温</w:t>
            </w:r>
          </w:p>
        </w:tc>
        <w:tc>
          <w:tcPr>
            <w:tcW w:w="795" w:type="dxa"/>
            <w:tcBorders>
              <w:tl2br w:val="nil"/>
              <w:tr2bl w:val="nil"/>
            </w:tcBorders>
            <w:vAlign w:val="center"/>
          </w:tcPr>
          <w:p w14:paraId="2AD680F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40" w:type="dxa"/>
            <w:tcBorders>
              <w:tl2br w:val="nil"/>
              <w:tr2bl w:val="nil"/>
            </w:tcBorders>
            <w:vAlign w:val="center"/>
          </w:tcPr>
          <w:p w14:paraId="5AF2094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50" w:type="dxa"/>
            <w:tcBorders>
              <w:tl2br w:val="nil"/>
              <w:tr2bl w:val="nil"/>
            </w:tcBorders>
            <w:vAlign w:val="center"/>
          </w:tcPr>
          <w:p w14:paraId="4C30353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14.1</w:t>
            </w:r>
          </w:p>
        </w:tc>
        <w:tc>
          <w:tcPr>
            <w:tcW w:w="850" w:type="dxa"/>
            <w:tcBorders>
              <w:tl2br w:val="nil"/>
              <w:tr2bl w:val="nil"/>
            </w:tcBorders>
            <w:vAlign w:val="center"/>
          </w:tcPr>
          <w:p w14:paraId="078E5DC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14.6</w:t>
            </w:r>
          </w:p>
        </w:tc>
        <w:tc>
          <w:tcPr>
            <w:tcW w:w="850" w:type="dxa"/>
            <w:tcBorders>
              <w:tl2br w:val="nil"/>
              <w:tr2bl w:val="nil"/>
            </w:tcBorders>
            <w:vAlign w:val="center"/>
          </w:tcPr>
          <w:p w14:paraId="28EC3E0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16.5</w:t>
            </w:r>
          </w:p>
        </w:tc>
        <w:tc>
          <w:tcPr>
            <w:tcW w:w="850" w:type="dxa"/>
            <w:tcBorders>
              <w:tl2br w:val="nil"/>
              <w:tr2bl w:val="nil"/>
            </w:tcBorders>
            <w:vAlign w:val="center"/>
          </w:tcPr>
          <w:p w14:paraId="1AC95B4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9.1</w:t>
            </w:r>
          </w:p>
        </w:tc>
        <w:tc>
          <w:tcPr>
            <w:tcW w:w="850" w:type="dxa"/>
            <w:tcBorders>
              <w:tl2br w:val="nil"/>
              <w:tr2bl w:val="nil"/>
            </w:tcBorders>
            <w:vAlign w:val="center"/>
          </w:tcPr>
          <w:p w14:paraId="0BDFC95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9.6</w:t>
            </w:r>
          </w:p>
        </w:tc>
        <w:tc>
          <w:tcPr>
            <w:tcW w:w="852" w:type="dxa"/>
            <w:tcBorders>
              <w:tl2br w:val="nil"/>
              <w:tr2bl w:val="nil"/>
            </w:tcBorders>
            <w:vAlign w:val="center"/>
          </w:tcPr>
          <w:p w14:paraId="3CA0844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11.4</w:t>
            </w:r>
          </w:p>
        </w:tc>
      </w:tr>
      <w:tr w14:paraId="52989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58E1AB8C">
            <w:pPr>
              <w:ind w:left="-105" w:right="-105"/>
              <w:jc w:val="center"/>
              <w:rPr>
                <w:rFonts w:ascii="Times New Roman" w:hAnsi="Times New Roman" w:cs="Times New Roman"/>
                <w:b/>
                <w:bCs/>
                <w:color w:val="auto"/>
                <w:sz w:val="21"/>
                <w:szCs w:val="21"/>
                <w:highlight w:val="none"/>
              </w:rPr>
            </w:pPr>
          </w:p>
        </w:tc>
        <w:tc>
          <w:tcPr>
            <w:tcW w:w="795" w:type="dxa"/>
            <w:tcBorders>
              <w:tl2br w:val="nil"/>
              <w:tr2bl w:val="nil"/>
            </w:tcBorders>
            <w:vAlign w:val="center"/>
          </w:tcPr>
          <w:p w14:paraId="3CD3392F">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气压</w:t>
            </w:r>
          </w:p>
        </w:tc>
        <w:tc>
          <w:tcPr>
            <w:tcW w:w="795" w:type="dxa"/>
            <w:tcBorders>
              <w:tl2br w:val="nil"/>
              <w:tr2bl w:val="nil"/>
            </w:tcBorders>
            <w:vAlign w:val="center"/>
          </w:tcPr>
          <w:p w14:paraId="73BA059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40" w:type="dxa"/>
            <w:tcBorders>
              <w:tl2br w:val="nil"/>
              <w:tr2bl w:val="nil"/>
            </w:tcBorders>
            <w:vAlign w:val="center"/>
          </w:tcPr>
          <w:p w14:paraId="72FC511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kPa</w:t>
            </w:r>
          </w:p>
        </w:tc>
        <w:tc>
          <w:tcPr>
            <w:tcW w:w="850" w:type="dxa"/>
            <w:tcBorders>
              <w:tl2br w:val="nil"/>
              <w:tr2bl w:val="nil"/>
            </w:tcBorders>
            <w:vAlign w:val="center"/>
          </w:tcPr>
          <w:p w14:paraId="3AA70E2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101.75</w:t>
            </w:r>
          </w:p>
        </w:tc>
        <w:tc>
          <w:tcPr>
            <w:tcW w:w="850" w:type="dxa"/>
            <w:tcBorders>
              <w:tl2br w:val="nil"/>
              <w:tr2bl w:val="nil"/>
            </w:tcBorders>
            <w:vAlign w:val="center"/>
          </w:tcPr>
          <w:p w14:paraId="64CA074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101.69</w:t>
            </w:r>
          </w:p>
        </w:tc>
        <w:tc>
          <w:tcPr>
            <w:tcW w:w="850" w:type="dxa"/>
            <w:tcBorders>
              <w:tl2br w:val="nil"/>
              <w:tr2bl w:val="nil"/>
            </w:tcBorders>
            <w:vAlign w:val="center"/>
          </w:tcPr>
          <w:p w14:paraId="3D63C49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101.56</w:t>
            </w:r>
          </w:p>
        </w:tc>
        <w:tc>
          <w:tcPr>
            <w:tcW w:w="850" w:type="dxa"/>
            <w:tcBorders>
              <w:tl2br w:val="nil"/>
              <w:tr2bl w:val="nil"/>
            </w:tcBorders>
            <w:vAlign w:val="center"/>
          </w:tcPr>
          <w:p w14:paraId="52871FD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102.75</w:t>
            </w:r>
          </w:p>
        </w:tc>
        <w:tc>
          <w:tcPr>
            <w:tcW w:w="850" w:type="dxa"/>
            <w:tcBorders>
              <w:tl2br w:val="nil"/>
              <w:tr2bl w:val="nil"/>
            </w:tcBorders>
            <w:vAlign w:val="center"/>
          </w:tcPr>
          <w:p w14:paraId="6E355CB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102.71</w:t>
            </w:r>
          </w:p>
        </w:tc>
        <w:tc>
          <w:tcPr>
            <w:tcW w:w="852" w:type="dxa"/>
            <w:tcBorders>
              <w:tl2br w:val="nil"/>
              <w:tr2bl w:val="nil"/>
            </w:tcBorders>
            <w:vAlign w:val="center"/>
          </w:tcPr>
          <w:p w14:paraId="24460F0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102.55</w:t>
            </w:r>
          </w:p>
        </w:tc>
      </w:tr>
      <w:tr w14:paraId="771F1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316AA37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上风向G1</w:t>
            </w:r>
          </w:p>
        </w:tc>
        <w:tc>
          <w:tcPr>
            <w:tcW w:w="795" w:type="dxa"/>
            <w:vMerge w:val="restart"/>
            <w:tcBorders>
              <w:tl2br w:val="nil"/>
              <w:tr2bl w:val="nil"/>
            </w:tcBorders>
            <w:vAlign w:val="center"/>
          </w:tcPr>
          <w:p w14:paraId="3B54A00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795" w:type="dxa"/>
            <w:tcBorders>
              <w:tl2br w:val="nil"/>
              <w:tr2bl w:val="nil"/>
            </w:tcBorders>
            <w:vAlign w:val="center"/>
          </w:tcPr>
          <w:p w14:paraId="5D4A43E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40" w:type="dxa"/>
            <w:tcBorders>
              <w:tl2br w:val="nil"/>
              <w:tr2bl w:val="nil"/>
            </w:tcBorders>
            <w:vAlign w:val="center"/>
          </w:tcPr>
          <w:p w14:paraId="48080AB3">
            <w:pPr>
              <w:ind w:left="-105" w:right="-105"/>
              <w:jc w:val="center"/>
              <w:rPr>
                <w:rFonts w:ascii="Times New Roman" w:hAnsi="Times New Roman" w:cs="Times New Roman"/>
                <w:color w:val="auto"/>
                <w:sz w:val="21"/>
                <w:szCs w:val="21"/>
                <w:highlight w:val="none"/>
                <w:vertAlign w:val="superscript"/>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850" w:type="dxa"/>
            <w:tcBorders>
              <w:tl2br w:val="nil"/>
              <w:tr2bl w:val="nil"/>
            </w:tcBorders>
            <w:vAlign w:val="center"/>
          </w:tcPr>
          <w:p w14:paraId="4F751E2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1.14</w:t>
            </w:r>
          </w:p>
        </w:tc>
        <w:tc>
          <w:tcPr>
            <w:tcW w:w="850" w:type="dxa"/>
            <w:tcBorders>
              <w:tl2br w:val="nil"/>
              <w:tr2bl w:val="nil"/>
            </w:tcBorders>
            <w:vAlign w:val="center"/>
          </w:tcPr>
          <w:p w14:paraId="2D279A0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1.10</w:t>
            </w:r>
          </w:p>
        </w:tc>
        <w:tc>
          <w:tcPr>
            <w:tcW w:w="850" w:type="dxa"/>
            <w:tcBorders>
              <w:tl2br w:val="nil"/>
              <w:tr2bl w:val="nil"/>
            </w:tcBorders>
            <w:vAlign w:val="center"/>
          </w:tcPr>
          <w:p w14:paraId="3076F74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1.08</w:t>
            </w:r>
          </w:p>
        </w:tc>
        <w:tc>
          <w:tcPr>
            <w:tcW w:w="850" w:type="dxa"/>
            <w:tcBorders>
              <w:tl2br w:val="nil"/>
              <w:tr2bl w:val="nil"/>
            </w:tcBorders>
            <w:vAlign w:val="center"/>
          </w:tcPr>
          <w:p w14:paraId="4330BFB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1.06</w:t>
            </w:r>
          </w:p>
        </w:tc>
        <w:tc>
          <w:tcPr>
            <w:tcW w:w="850" w:type="dxa"/>
            <w:tcBorders>
              <w:tl2br w:val="nil"/>
              <w:tr2bl w:val="nil"/>
            </w:tcBorders>
            <w:vAlign w:val="center"/>
          </w:tcPr>
          <w:p w14:paraId="751E9D1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1.13</w:t>
            </w:r>
          </w:p>
        </w:tc>
        <w:tc>
          <w:tcPr>
            <w:tcW w:w="852" w:type="dxa"/>
            <w:tcBorders>
              <w:tl2br w:val="nil"/>
              <w:tr2bl w:val="nil"/>
            </w:tcBorders>
            <w:vAlign w:val="center"/>
          </w:tcPr>
          <w:p w14:paraId="7836921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1.09</w:t>
            </w:r>
          </w:p>
        </w:tc>
      </w:tr>
      <w:tr w14:paraId="08C34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437853C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上风向G2</w:t>
            </w:r>
          </w:p>
        </w:tc>
        <w:tc>
          <w:tcPr>
            <w:tcW w:w="795" w:type="dxa"/>
            <w:vMerge w:val="continue"/>
            <w:tcBorders>
              <w:tl2br w:val="nil"/>
              <w:tr2bl w:val="nil"/>
            </w:tcBorders>
            <w:vAlign w:val="center"/>
          </w:tcPr>
          <w:p w14:paraId="7EC34126">
            <w:pPr>
              <w:ind w:left="-105" w:right="-105"/>
              <w:jc w:val="center"/>
              <w:rPr>
                <w:rFonts w:ascii="Times New Roman" w:hAnsi="Times New Roman" w:cs="Times New Roman"/>
                <w:color w:val="auto"/>
                <w:sz w:val="21"/>
                <w:szCs w:val="21"/>
                <w:highlight w:val="none"/>
              </w:rPr>
            </w:pPr>
          </w:p>
        </w:tc>
        <w:tc>
          <w:tcPr>
            <w:tcW w:w="795" w:type="dxa"/>
            <w:vMerge w:val="restart"/>
            <w:tcBorders>
              <w:tl2br w:val="nil"/>
              <w:tr2bl w:val="nil"/>
            </w:tcBorders>
            <w:vAlign w:val="center"/>
          </w:tcPr>
          <w:p w14:paraId="4C2B786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4.0</w:t>
            </w:r>
          </w:p>
        </w:tc>
        <w:tc>
          <w:tcPr>
            <w:tcW w:w="840" w:type="dxa"/>
            <w:tcBorders>
              <w:tl2br w:val="nil"/>
              <w:tr2bl w:val="nil"/>
            </w:tcBorders>
            <w:vAlign w:val="center"/>
          </w:tcPr>
          <w:p w14:paraId="624704A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850" w:type="dxa"/>
            <w:tcBorders>
              <w:tl2br w:val="nil"/>
              <w:tr2bl w:val="nil"/>
            </w:tcBorders>
            <w:vAlign w:val="center"/>
          </w:tcPr>
          <w:p w14:paraId="19D42AF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1.19</w:t>
            </w:r>
          </w:p>
        </w:tc>
        <w:tc>
          <w:tcPr>
            <w:tcW w:w="850" w:type="dxa"/>
            <w:tcBorders>
              <w:tl2br w:val="nil"/>
              <w:tr2bl w:val="nil"/>
            </w:tcBorders>
            <w:vAlign w:val="center"/>
          </w:tcPr>
          <w:p w14:paraId="4556B46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1.22</w:t>
            </w:r>
          </w:p>
        </w:tc>
        <w:tc>
          <w:tcPr>
            <w:tcW w:w="850" w:type="dxa"/>
            <w:tcBorders>
              <w:tl2br w:val="nil"/>
              <w:tr2bl w:val="nil"/>
            </w:tcBorders>
            <w:vAlign w:val="center"/>
          </w:tcPr>
          <w:p w14:paraId="4960FBE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1.32</w:t>
            </w:r>
          </w:p>
        </w:tc>
        <w:tc>
          <w:tcPr>
            <w:tcW w:w="850" w:type="dxa"/>
            <w:tcBorders>
              <w:tl2br w:val="nil"/>
              <w:tr2bl w:val="nil"/>
            </w:tcBorders>
            <w:vAlign w:val="center"/>
          </w:tcPr>
          <w:p w14:paraId="0357B27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1.17</w:t>
            </w:r>
          </w:p>
        </w:tc>
        <w:tc>
          <w:tcPr>
            <w:tcW w:w="850" w:type="dxa"/>
            <w:tcBorders>
              <w:tl2br w:val="nil"/>
              <w:tr2bl w:val="nil"/>
            </w:tcBorders>
            <w:vAlign w:val="center"/>
          </w:tcPr>
          <w:p w14:paraId="3F616B9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1.28</w:t>
            </w:r>
          </w:p>
        </w:tc>
        <w:tc>
          <w:tcPr>
            <w:tcW w:w="852" w:type="dxa"/>
            <w:tcBorders>
              <w:tl2br w:val="nil"/>
              <w:tr2bl w:val="nil"/>
            </w:tcBorders>
            <w:vAlign w:val="center"/>
          </w:tcPr>
          <w:p w14:paraId="55B0093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1.19</w:t>
            </w:r>
          </w:p>
        </w:tc>
      </w:tr>
      <w:tr w14:paraId="6684D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7A2FD8A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上风向G3</w:t>
            </w:r>
          </w:p>
        </w:tc>
        <w:tc>
          <w:tcPr>
            <w:tcW w:w="795" w:type="dxa"/>
            <w:vMerge w:val="continue"/>
            <w:tcBorders>
              <w:tl2br w:val="nil"/>
              <w:tr2bl w:val="nil"/>
            </w:tcBorders>
            <w:vAlign w:val="center"/>
          </w:tcPr>
          <w:p w14:paraId="17EB917D">
            <w:pPr>
              <w:ind w:left="-105" w:right="-105"/>
              <w:jc w:val="center"/>
              <w:rPr>
                <w:rFonts w:ascii="Times New Roman" w:hAnsi="Times New Roman" w:cs="Times New Roman"/>
                <w:color w:val="auto"/>
                <w:sz w:val="21"/>
                <w:szCs w:val="21"/>
                <w:highlight w:val="none"/>
              </w:rPr>
            </w:pPr>
          </w:p>
        </w:tc>
        <w:tc>
          <w:tcPr>
            <w:tcW w:w="795" w:type="dxa"/>
            <w:vMerge w:val="continue"/>
            <w:tcBorders>
              <w:tl2br w:val="nil"/>
              <w:tr2bl w:val="nil"/>
            </w:tcBorders>
            <w:vAlign w:val="center"/>
          </w:tcPr>
          <w:p w14:paraId="04AD6674">
            <w:pPr>
              <w:ind w:left="-105" w:right="-105"/>
              <w:jc w:val="center"/>
              <w:rPr>
                <w:rFonts w:ascii="Times New Roman" w:hAnsi="Times New Roman" w:cs="Times New Roman"/>
                <w:color w:val="auto"/>
                <w:sz w:val="21"/>
                <w:szCs w:val="21"/>
                <w:highlight w:val="none"/>
              </w:rPr>
            </w:pPr>
          </w:p>
        </w:tc>
        <w:tc>
          <w:tcPr>
            <w:tcW w:w="840" w:type="dxa"/>
            <w:tcBorders>
              <w:tl2br w:val="nil"/>
              <w:tr2bl w:val="nil"/>
            </w:tcBorders>
            <w:vAlign w:val="center"/>
          </w:tcPr>
          <w:p w14:paraId="5A74014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850" w:type="dxa"/>
            <w:tcBorders>
              <w:tl2br w:val="nil"/>
              <w:tr2bl w:val="nil"/>
            </w:tcBorders>
            <w:vAlign w:val="center"/>
          </w:tcPr>
          <w:p w14:paraId="796943A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1.31</w:t>
            </w:r>
          </w:p>
        </w:tc>
        <w:tc>
          <w:tcPr>
            <w:tcW w:w="850" w:type="dxa"/>
            <w:tcBorders>
              <w:tl2br w:val="nil"/>
              <w:tr2bl w:val="nil"/>
            </w:tcBorders>
            <w:vAlign w:val="center"/>
          </w:tcPr>
          <w:p w14:paraId="54F26BC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1.27</w:t>
            </w:r>
          </w:p>
        </w:tc>
        <w:tc>
          <w:tcPr>
            <w:tcW w:w="850" w:type="dxa"/>
            <w:tcBorders>
              <w:tl2br w:val="nil"/>
              <w:tr2bl w:val="nil"/>
            </w:tcBorders>
            <w:vAlign w:val="center"/>
          </w:tcPr>
          <w:p w14:paraId="463AB99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1.25</w:t>
            </w:r>
          </w:p>
        </w:tc>
        <w:tc>
          <w:tcPr>
            <w:tcW w:w="850" w:type="dxa"/>
            <w:tcBorders>
              <w:tl2br w:val="nil"/>
              <w:tr2bl w:val="nil"/>
            </w:tcBorders>
            <w:vAlign w:val="center"/>
          </w:tcPr>
          <w:p w14:paraId="04770B1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1.39</w:t>
            </w:r>
          </w:p>
        </w:tc>
        <w:tc>
          <w:tcPr>
            <w:tcW w:w="850" w:type="dxa"/>
            <w:tcBorders>
              <w:tl2br w:val="nil"/>
              <w:tr2bl w:val="nil"/>
            </w:tcBorders>
            <w:vAlign w:val="center"/>
          </w:tcPr>
          <w:p w14:paraId="6FD0655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1.30</w:t>
            </w:r>
          </w:p>
        </w:tc>
        <w:tc>
          <w:tcPr>
            <w:tcW w:w="852" w:type="dxa"/>
            <w:tcBorders>
              <w:tl2br w:val="nil"/>
              <w:tr2bl w:val="nil"/>
            </w:tcBorders>
            <w:vAlign w:val="center"/>
          </w:tcPr>
          <w:p w14:paraId="32B4A3C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1.24</w:t>
            </w:r>
          </w:p>
        </w:tc>
      </w:tr>
      <w:tr w14:paraId="22B92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448F180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上风向G4</w:t>
            </w:r>
          </w:p>
        </w:tc>
        <w:tc>
          <w:tcPr>
            <w:tcW w:w="795" w:type="dxa"/>
            <w:vMerge w:val="continue"/>
            <w:tcBorders>
              <w:tl2br w:val="nil"/>
              <w:tr2bl w:val="nil"/>
            </w:tcBorders>
            <w:vAlign w:val="center"/>
          </w:tcPr>
          <w:p w14:paraId="113DE99E">
            <w:pPr>
              <w:ind w:left="-105" w:right="-105"/>
              <w:jc w:val="center"/>
              <w:rPr>
                <w:rFonts w:ascii="Times New Roman" w:hAnsi="Times New Roman" w:cs="Times New Roman"/>
                <w:color w:val="auto"/>
                <w:sz w:val="21"/>
                <w:szCs w:val="21"/>
                <w:highlight w:val="none"/>
              </w:rPr>
            </w:pPr>
          </w:p>
        </w:tc>
        <w:tc>
          <w:tcPr>
            <w:tcW w:w="795" w:type="dxa"/>
            <w:vMerge w:val="continue"/>
            <w:tcBorders>
              <w:tl2br w:val="nil"/>
              <w:tr2bl w:val="nil"/>
            </w:tcBorders>
            <w:vAlign w:val="center"/>
          </w:tcPr>
          <w:p w14:paraId="6F253D2D">
            <w:pPr>
              <w:ind w:left="-105" w:right="-105"/>
              <w:jc w:val="center"/>
              <w:rPr>
                <w:rFonts w:ascii="Times New Roman" w:hAnsi="Times New Roman" w:cs="Times New Roman"/>
                <w:color w:val="auto"/>
                <w:sz w:val="21"/>
                <w:szCs w:val="21"/>
                <w:highlight w:val="none"/>
              </w:rPr>
            </w:pPr>
          </w:p>
        </w:tc>
        <w:tc>
          <w:tcPr>
            <w:tcW w:w="840" w:type="dxa"/>
            <w:tcBorders>
              <w:tl2br w:val="nil"/>
              <w:tr2bl w:val="nil"/>
            </w:tcBorders>
            <w:vAlign w:val="center"/>
          </w:tcPr>
          <w:p w14:paraId="7DA2B36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850" w:type="dxa"/>
            <w:tcBorders>
              <w:tl2br w:val="nil"/>
              <w:tr2bl w:val="nil"/>
            </w:tcBorders>
            <w:vAlign w:val="center"/>
          </w:tcPr>
          <w:p w14:paraId="18A28EA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1.34</w:t>
            </w:r>
          </w:p>
        </w:tc>
        <w:tc>
          <w:tcPr>
            <w:tcW w:w="850" w:type="dxa"/>
            <w:tcBorders>
              <w:tl2br w:val="nil"/>
              <w:tr2bl w:val="nil"/>
            </w:tcBorders>
            <w:vAlign w:val="center"/>
          </w:tcPr>
          <w:p w14:paraId="70154FB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1.37</w:t>
            </w:r>
          </w:p>
        </w:tc>
        <w:tc>
          <w:tcPr>
            <w:tcW w:w="850" w:type="dxa"/>
            <w:tcBorders>
              <w:tl2br w:val="nil"/>
              <w:tr2bl w:val="nil"/>
            </w:tcBorders>
            <w:vAlign w:val="center"/>
          </w:tcPr>
          <w:p w14:paraId="0FDEAC5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1.29</w:t>
            </w:r>
          </w:p>
        </w:tc>
        <w:tc>
          <w:tcPr>
            <w:tcW w:w="850" w:type="dxa"/>
            <w:tcBorders>
              <w:tl2br w:val="nil"/>
              <w:tr2bl w:val="nil"/>
            </w:tcBorders>
            <w:vAlign w:val="center"/>
          </w:tcPr>
          <w:p w14:paraId="6163C81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1.21</w:t>
            </w:r>
          </w:p>
        </w:tc>
        <w:tc>
          <w:tcPr>
            <w:tcW w:w="850" w:type="dxa"/>
            <w:tcBorders>
              <w:tl2br w:val="nil"/>
              <w:tr2bl w:val="nil"/>
            </w:tcBorders>
            <w:vAlign w:val="center"/>
          </w:tcPr>
          <w:p w14:paraId="6A96042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1.35</w:t>
            </w:r>
          </w:p>
        </w:tc>
        <w:tc>
          <w:tcPr>
            <w:tcW w:w="852" w:type="dxa"/>
            <w:tcBorders>
              <w:tl2br w:val="nil"/>
              <w:tr2bl w:val="nil"/>
            </w:tcBorders>
            <w:vAlign w:val="center"/>
          </w:tcPr>
          <w:p w14:paraId="60F7864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1.26</w:t>
            </w:r>
          </w:p>
        </w:tc>
      </w:tr>
    </w:tbl>
    <w:p w14:paraId="2DF3D5A1">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以上监测结果表明：验收监测期间，厂界无组织排放的非甲烷总烃（含2-乙二醇单乙醚醋酸酯、丁酮、异氰酸酯、丙烯酸）满足《合成树脂工业污染物排放标准》（GB31572-2015）表9标准。</w:t>
      </w:r>
    </w:p>
    <w:p w14:paraId="32E74FCD">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化药化工（无锡）有限公司年产聚氨酯丙烯酸酯5000t、丙烯酸酯组成物10000t和环氧丙烯酸树脂1200t生产线技改扩建项目（第二阶段：年产聚氨酯丙烯酸酯2000t、丙烯酸酯组成物5000t）竣工环境保护验收报告》，</w:t>
      </w:r>
      <w:r>
        <w:rPr>
          <w:rFonts w:ascii="Times New Roman" w:hAnsi="Times New Roman"/>
          <w:color w:val="auto"/>
          <w:szCs w:val="22"/>
          <w:highlight w:val="none"/>
        </w:rPr>
        <w:t>现有项目</w:t>
      </w:r>
      <w:r>
        <w:rPr>
          <w:rFonts w:hint="eastAsia" w:ascii="Times New Roman" w:hAnsi="Times New Roman"/>
          <w:color w:val="auto"/>
          <w:szCs w:val="22"/>
          <w:highlight w:val="none"/>
        </w:rPr>
        <w:t>厂区内</w:t>
      </w:r>
      <w:r>
        <w:rPr>
          <w:rFonts w:ascii="Times New Roman" w:hAnsi="Times New Roman"/>
          <w:color w:val="auto"/>
          <w:szCs w:val="22"/>
          <w:highlight w:val="none"/>
        </w:rPr>
        <w:t>无组织废气实际排放情况见下表。</w:t>
      </w:r>
    </w:p>
    <w:p w14:paraId="3C4C5E1A">
      <w:pPr>
        <w:pStyle w:val="15"/>
        <w:spacing w:line="360" w:lineRule="auto"/>
        <w:ind w:left="-105" w:right="-105" w:firstLine="482"/>
        <w:rPr>
          <w:color w:val="auto"/>
          <w:szCs w:val="22"/>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8</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厂区内无组织废气监测结果</w:t>
      </w:r>
      <w:r>
        <w:rPr>
          <w:rFonts w:eastAsia="宋体" w:cs="Times New Roman"/>
          <w:bCs/>
          <w:color w:val="auto"/>
          <w:sz w:val="24"/>
          <w:szCs w:val="18"/>
          <w:highlight w:val="none"/>
        </w:rPr>
        <w:t>一览表</w:t>
      </w:r>
    </w:p>
    <w:tbl>
      <w:tblPr>
        <w:tblStyle w:val="46"/>
        <w:tblW w:w="50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721"/>
        <w:gridCol w:w="780"/>
        <w:gridCol w:w="824"/>
        <w:gridCol w:w="742"/>
        <w:gridCol w:w="742"/>
        <w:gridCol w:w="742"/>
        <w:gridCol w:w="742"/>
        <w:gridCol w:w="742"/>
        <w:gridCol w:w="742"/>
        <w:gridCol w:w="742"/>
        <w:gridCol w:w="744"/>
      </w:tblGrid>
      <w:tr w14:paraId="633E2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restart"/>
            <w:tcBorders>
              <w:tl2br w:val="nil"/>
              <w:tr2bl w:val="nil"/>
            </w:tcBorders>
            <w:vAlign w:val="center"/>
          </w:tcPr>
          <w:p w14:paraId="12298EC1">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监测点</w:t>
            </w:r>
          </w:p>
        </w:tc>
        <w:tc>
          <w:tcPr>
            <w:tcW w:w="720" w:type="dxa"/>
            <w:vMerge w:val="restart"/>
            <w:tcBorders>
              <w:tl2br w:val="nil"/>
              <w:tr2bl w:val="nil"/>
            </w:tcBorders>
            <w:vAlign w:val="center"/>
          </w:tcPr>
          <w:p w14:paraId="4346FE9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监测项目</w:t>
            </w:r>
          </w:p>
        </w:tc>
        <w:tc>
          <w:tcPr>
            <w:tcW w:w="780" w:type="dxa"/>
            <w:vMerge w:val="restart"/>
            <w:tcBorders>
              <w:tl2br w:val="nil"/>
              <w:tr2bl w:val="nil"/>
            </w:tcBorders>
            <w:vAlign w:val="center"/>
          </w:tcPr>
          <w:p w14:paraId="7048B4F0">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标准限值</w:t>
            </w:r>
          </w:p>
        </w:tc>
        <w:tc>
          <w:tcPr>
            <w:tcW w:w="825" w:type="dxa"/>
            <w:vMerge w:val="restart"/>
            <w:tcBorders>
              <w:tl2br w:val="nil"/>
              <w:tr2bl w:val="nil"/>
            </w:tcBorders>
            <w:vAlign w:val="center"/>
          </w:tcPr>
          <w:p w14:paraId="27D97F5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单位</w:t>
            </w:r>
          </w:p>
        </w:tc>
        <w:tc>
          <w:tcPr>
            <w:tcW w:w="5946" w:type="dxa"/>
            <w:gridSpan w:val="8"/>
            <w:tcBorders>
              <w:tl2br w:val="nil"/>
              <w:tr2bl w:val="nil"/>
            </w:tcBorders>
            <w:vAlign w:val="center"/>
          </w:tcPr>
          <w:p w14:paraId="1CFCA0D2">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监测结果</w:t>
            </w:r>
          </w:p>
        </w:tc>
      </w:tr>
      <w:tr w14:paraId="0B193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continue"/>
            <w:tcBorders>
              <w:tl2br w:val="nil"/>
              <w:tr2bl w:val="nil"/>
            </w:tcBorders>
            <w:vAlign w:val="center"/>
          </w:tcPr>
          <w:p w14:paraId="0E34F79E">
            <w:pPr>
              <w:ind w:left="-105" w:right="-105"/>
              <w:jc w:val="center"/>
              <w:rPr>
                <w:rFonts w:ascii="Times New Roman" w:hAnsi="Times New Roman" w:cs="Times New Roman"/>
                <w:b/>
                <w:bCs/>
                <w:color w:val="auto"/>
                <w:sz w:val="21"/>
                <w:szCs w:val="21"/>
                <w:highlight w:val="none"/>
              </w:rPr>
            </w:pPr>
          </w:p>
        </w:tc>
        <w:tc>
          <w:tcPr>
            <w:tcW w:w="720" w:type="dxa"/>
            <w:vMerge w:val="continue"/>
            <w:tcBorders>
              <w:tl2br w:val="nil"/>
              <w:tr2bl w:val="nil"/>
            </w:tcBorders>
            <w:vAlign w:val="center"/>
          </w:tcPr>
          <w:p w14:paraId="55F3C110">
            <w:pPr>
              <w:ind w:left="-105" w:right="-105"/>
              <w:jc w:val="center"/>
              <w:rPr>
                <w:rFonts w:ascii="Times New Roman" w:hAnsi="Times New Roman" w:cs="Times New Roman"/>
                <w:b/>
                <w:bCs/>
                <w:color w:val="auto"/>
                <w:sz w:val="21"/>
                <w:szCs w:val="21"/>
                <w:highlight w:val="none"/>
              </w:rPr>
            </w:pPr>
          </w:p>
        </w:tc>
        <w:tc>
          <w:tcPr>
            <w:tcW w:w="780" w:type="dxa"/>
            <w:vMerge w:val="continue"/>
            <w:tcBorders>
              <w:tl2br w:val="nil"/>
              <w:tr2bl w:val="nil"/>
            </w:tcBorders>
            <w:vAlign w:val="center"/>
          </w:tcPr>
          <w:p w14:paraId="450BCB6F">
            <w:pPr>
              <w:ind w:left="-105" w:right="-105"/>
              <w:jc w:val="center"/>
              <w:rPr>
                <w:rFonts w:ascii="Times New Roman" w:hAnsi="Times New Roman" w:cs="Times New Roman"/>
                <w:b/>
                <w:bCs/>
                <w:color w:val="auto"/>
                <w:sz w:val="21"/>
                <w:szCs w:val="21"/>
                <w:highlight w:val="none"/>
              </w:rPr>
            </w:pPr>
          </w:p>
        </w:tc>
        <w:tc>
          <w:tcPr>
            <w:tcW w:w="825" w:type="dxa"/>
            <w:vMerge w:val="continue"/>
            <w:tcBorders>
              <w:tl2br w:val="nil"/>
              <w:tr2bl w:val="nil"/>
            </w:tcBorders>
            <w:vAlign w:val="center"/>
          </w:tcPr>
          <w:p w14:paraId="60FF43B6">
            <w:pPr>
              <w:ind w:left="-105" w:right="-105"/>
              <w:jc w:val="center"/>
              <w:rPr>
                <w:rFonts w:ascii="Times New Roman" w:hAnsi="Times New Roman" w:cs="Times New Roman"/>
                <w:b/>
                <w:bCs/>
                <w:color w:val="auto"/>
                <w:sz w:val="21"/>
                <w:szCs w:val="21"/>
                <w:highlight w:val="none"/>
              </w:rPr>
            </w:pPr>
          </w:p>
        </w:tc>
        <w:tc>
          <w:tcPr>
            <w:tcW w:w="2972" w:type="dxa"/>
            <w:gridSpan w:val="4"/>
            <w:tcBorders>
              <w:tl2br w:val="nil"/>
              <w:tr2bl w:val="nil"/>
            </w:tcBorders>
            <w:vAlign w:val="center"/>
          </w:tcPr>
          <w:p w14:paraId="01BFA951">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2023.3.15</w:t>
            </w:r>
          </w:p>
        </w:tc>
        <w:tc>
          <w:tcPr>
            <w:tcW w:w="2974" w:type="dxa"/>
            <w:gridSpan w:val="4"/>
            <w:tcBorders>
              <w:tl2br w:val="nil"/>
              <w:tr2bl w:val="nil"/>
            </w:tcBorders>
            <w:vAlign w:val="center"/>
          </w:tcPr>
          <w:p w14:paraId="6499F58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2023.3.16</w:t>
            </w:r>
          </w:p>
        </w:tc>
      </w:tr>
      <w:tr w14:paraId="7C41D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continue"/>
            <w:tcBorders>
              <w:tl2br w:val="nil"/>
              <w:tr2bl w:val="nil"/>
            </w:tcBorders>
            <w:vAlign w:val="center"/>
          </w:tcPr>
          <w:p w14:paraId="0CDA7E12">
            <w:pPr>
              <w:ind w:left="-105" w:right="-105"/>
              <w:jc w:val="center"/>
              <w:rPr>
                <w:rFonts w:ascii="Times New Roman" w:hAnsi="Times New Roman" w:cs="Times New Roman"/>
                <w:b/>
                <w:bCs/>
                <w:color w:val="auto"/>
                <w:sz w:val="21"/>
                <w:szCs w:val="21"/>
                <w:highlight w:val="none"/>
              </w:rPr>
            </w:pPr>
          </w:p>
        </w:tc>
        <w:tc>
          <w:tcPr>
            <w:tcW w:w="720" w:type="dxa"/>
            <w:vMerge w:val="continue"/>
            <w:tcBorders>
              <w:tl2br w:val="nil"/>
              <w:tr2bl w:val="nil"/>
            </w:tcBorders>
            <w:vAlign w:val="center"/>
          </w:tcPr>
          <w:p w14:paraId="0C11398D">
            <w:pPr>
              <w:ind w:left="-105" w:right="-105"/>
              <w:jc w:val="center"/>
              <w:rPr>
                <w:rFonts w:ascii="Times New Roman" w:hAnsi="Times New Roman" w:cs="Times New Roman"/>
                <w:b/>
                <w:bCs/>
                <w:color w:val="auto"/>
                <w:sz w:val="21"/>
                <w:szCs w:val="21"/>
                <w:highlight w:val="none"/>
              </w:rPr>
            </w:pPr>
          </w:p>
        </w:tc>
        <w:tc>
          <w:tcPr>
            <w:tcW w:w="780" w:type="dxa"/>
            <w:vMerge w:val="continue"/>
            <w:tcBorders>
              <w:tl2br w:val="nil"/>
              <w:tr2bl w:val="nil"/>
            </w:tcBorders>
            <w:vAlign w:val="center"/>
          </w:tcPr>
          <w:p w14:paraId="7B04760D">
            <w:pPr>
              <w:ind w:left="-105" w:right="-105"/>
              <w:jc w:val="center"/>
              <w:rPr>
                <w:rFonts w:ascii="Times New Roman" w:hAnsi="Times New Roman" w:cs="Times New Roman"/>
                <w:b/>
                <w:bCs/>
                <w:color w:val="auto"/>
                <w:sz w:val="21"/>
                <w:szCs w:val="21"/>
                <w:highlight w:val="none"/>
              </w:rPr>
            </w:pPr>
          </w:p>
        </w:tc>
        <w:tc>
          <w:tcPr>
            <w:tcW w:w="825" w:type="dxa"/>
            <w:vMerge w:val="continue"/>
            <w:tcBorders>
              <w:tl2br w:val="nil"/>
              <w:tr2bl w:val="nil"/>
            </w:tcBorders>
            <w:vAlign w:val="center"/>
          </w:tcPr>
          <w:p w14:paraId="2FC780EE">
            <w:pPr>
              <w:ind w:left="-105" w:right="-105"/>
              <w:jc w:val="center"/>
              <w:rPr>
                <w:rFonts w:ascii="Times New Roman" w:hAnsi="Times New Roman" w:cs="Times New Roman"/>
                <w:b/>
                <w:bCs/>
                <w:color w:val="auto"/>
                <w:sz w:val="21"/>
                <w:szCs w:val="21"/>
                <w:highlight w:val="none"/>
              </w:rPr>
            </w:pPr>
          </w:p>
        </w:tc>
        <w:tc>
          <w:tcPr>
            <w:tcW w:w="743" w:type="dxa"/>
            <w:tcBorders>
              <w:tl2br w:val="nil"/>
              <w:tr2bl w:val="nil"/>
            </w:tcBorders>
            <w:vAlign w:val="center"/>
          </w:tcPr>
          <w:p w14:paraId="60F684DB">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第一次</w:t>
            </w:r>
          </w:p>
        </w:tc>
        <w:tc>
          <w:tcPr>
            <w:tcW w:w="743" w:type="dxa"/>
            <w:tcBorders>
              <w:tl2br w:val="nil"/>
              <w:tr2bl w:val="nil"/>
            </w:tcBorders>
            <w:vAlign w:val="center"/>
          </w:tcPr>
          <w:p w14:paraId="3C6E50F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第二次</w:t>
            </w:r>
          </w:p>
        </w:tc>
        <w:tc>
          <w:tcPr>
            <w:tcW w:w="743" w:type="dxa"/>
            <w:tcBorders>
              <w:tl2br w:val="nil"/>
              <w:tr2bl w:val="nil"/>
            </w:tcBorders>
            <w:vAlign w:val="center"/>
          </w:tcPr>
          <w:p w14:paraId="6E81A8C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第三次</w:t>
            </w:r>
          </w:p>
        </w:tc>
        <w:tc>
          <w:tcPr>
            <w:tcW w:w="743" w:type="dxa"/>
            <w:tcBorders>
              <w:tl2br w:val="nil"/>
              <w:tr2bl w:val="nil"/>
            </w:tcBorders>
            <w:vAlign w:val="center"/>
          </w:tcPr>
          <w:p w14:paraId="6FCBE00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均值</w:t>
            </w:r>
          </w:p>
        </w:tc>
        <w:tc>
          <w:tcPr>
            <w:tcW w:w="743" w:type="dxa"/>
            <w:tcBorders>
              <w:tl2br w:val="nil"/>
              <w:tr2bl w:val="nil"/>
            </w:tcBorders>
            <w:vAlign w:val="center"/>
          </w:tcPr>
          <w:p w14:paraId="39A20EFF">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第一次</w:t>
            </w:r>
          </w:p>
        </w:tc>
        <w:tc>
          <w:tcPr>
            <w:tcW w:w="743" w:type="dxa"/>
            <w:tcBorders>
              <w:tl2br w:val="nil"/>
              <w:tr2bl w:val="nil"/>
            </w:tcBorders>
            <w:vAlign w:val="center"/>
          </w:tcPr>
          <w:p w14:paraId="1A029295">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第二次</w:t>
            </w:r>
          </w:p>
        </w:tc>
        <w:tc>
          <w:tcPr>
            <w:tcW w:w="743" w:type="dxa"/>
            <w:tcBorders>
              <w:tl2br w:val="nil"/>
              <w:tr2bl w:val="nil"/>
            </w:tcBorders>
            <w:vAlign w:val="center"/>
          </w:tcPr>
          <w:p w14:paraId="44253B1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第三次</w:t>
            </w:r>
          </w:p>
        </w:tc>
        <w:tc>
          <w:tcPr>
            <w:tcW w:w="745" w:type="dxa"/>
            <w:tcBorders>
              <w:tl2br w:val="nil"/>
              <w:tr2bl w:val="nil"/>
            </w:tcBorders>
            <w:vAlign w:val="center"/>
          </w:tcPr>
          <w:p w14:paraId="28347ED2">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均值</w:t>
            </w:r>
          </w:p>
        </w:tc>
      </w:tr>
      <w:tr w14:paraId="3950A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restart"/>
            <w:tcBorders>
              <w:tl2br w:val="nil"/>
              <w:tr2bl w:val="nil"/>
            </w:tcBorders>
            <w:vAlign w:val="center"/>
          </w:tcPr>
          <w:p w14:paraId="5148B992">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气象参数</w:t>
            </w:r>
          </w:p>
        </w:tc>
        <w:tc>
          <w:tcPr>
            <w:tcW w:w="720" w:type="dxa"/>
            <w:tcBorders>
              <w:tl2br w:val="nil"/>
              <w:tr2bl w:val="nil"/>
            </w:tcBorders>
            <w:vAlign w:val="center"/>
          </w:tcPr>
          <w:p w14:paraId="09316B8B">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风速</w:t>
            </w:r>
          </w:p>
        </w:tc>
        <w:tc>
          <w:tcPr>
            <w:tcW w:w="780" w:type="dxa"/>
            <w:tcBorders>
              <w:tl2br w:val="nil"/>
              <w:tr2bl w:val="nil"/>
            </w:tcBorders>
            <w:vAlign w:val="center"/>
          </w:tcPr>
          <w:p w14:paraId="510BEE8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25" w:type="dxa"/>
            <w:tcBorders>
              <w:tl2br w:val="nil"/>
              <w:tr2bl w:val="nil"/>
            </w:tcBorders>
            <w:vAlign w:val="center"/>
          </w:tcPr>
          <w:p w14:paraId="30D7840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m/s</w:t>
            </w:r>
          </w:p>
        </w:tc>
        <w:tc>
          <w:tcPr>
            <w:tcW w:w="2972" w:type="dxa"/>
            <w:gridSpan w:val="4"/>
            <w:tcBorders>
              <w:tl2br w:val="nil"/>
              <w:tr2bl w:val="nil"/>
            </w:tcBorders>
            <w:vAlign w:val="center"/>
          </w:tcPr>
          <w:p w14:paraId="2800B0E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2.2~2.8</w:t>
            </w:r>
          </w:p>
        </w:tc>
        <w:tc>
          <w:tcPr>
            <w:tcW w:w="2974" w:type="dxa"/>
            <w:gridSpan w:val="4"/>
            <w:tcBorders>
              <w:tl2br w:val="nil"/>
              <w:tr2bl w:val="nil"/>
            </w:tcBorders>
            <w:vAlign w:val="center"/>
          </w:tcPr>
          <w:p w14:paraId="3B31B4E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2.6~3.0</w:t>
            </w:r>
          </w:p>
        </w:tc>
      </w:tr>
      <w:tr w14:paraId="60DB7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continue"/>
            <w:tcBorders>
              <w:tl2br w:val="nil"/>
              <w:tr2bl w:val="nil"/>
            </w:tcBorders>
            <w:vAlign w:val="center"/>
          </w:tcPr>
          <w:p w14:paraId="29819B85">
            <w:pPr>
              <w:ind w:left="-105" w:right="-105"/>
              <w:jc w:val="center"/>
              <w:rPr>
                <w:rFonts w:ascii="Times New Roman" w:hAnsi="Times New Roman" w:cs="Times New Roman"/>
                <w:b/>
                <w:bCs/>
                <w:color w:val="auto"/>
                <w:sz w:val="21"/>
                <w:szCs w:val="21"/>
                <w:highlight w:val="none"/>
              </w:rPr>
            </w:pPr>
          </w:p>
        </w:tc>
        <w:tc>
          <w:tcPr>
            <w:tcW w:w="720" w:type="dxa"/>
            <w:tcBorders>
              <w:tl2br w:val="nil"/>
              <w:tr2bl w:val="nil"/>
            </w:tcBorders>
            <w:vAlign w:val="center"/>
          </w:tcPr>
          <w:p w14:paraId="1AD187F7">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风向</w:t>
            </w:r>
          </w:p>
        </w:tc>
        <w:tc>
          <w:tcPr>
            <w:tcW w:w="780" w:type="dxa"/>
            <w:tcBorders>
              <w:tl2br w:val="nil"/>
              <w:tr2bl w:val="nil"/>
            </w:tcBorders>
            <w:vAlign w:val="center"/>
          </w:tcPr>
          <w:p w14:paraId="4A835ED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25" w:type="dxa"/>
            <w:tcBorders>
              <w:tl2br w:val="nil"/>
              <w:tr2bl w:val="nil"/>
            </w:tcBorders>
            <w:vAlign w:val="center"/>
          </w:tcPr>
          <w:p w14:paraId="173EAA4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972" w:type="dxa"/>
            <w:gridSpan w:val="4"/>
            <w:tcBorders>
              <w:tl2br w:val="nil"/>
              <w:tr2bl w:val="nil"/>
            </w:tcBorders>
            <w:vAlign w:val="center"/>
          </w:tcPr>
          <w:p w14:paraId="0FA7FA9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w:t>
            </w:r>
          </w:p>
        </w:tc>
        <w:tc>
          <w:tcPr>
            <w:tcW w:w="2974" w:type="dxa"/>
            <w:gridSpan w:val="4"/>
            <w:tcBorders>
              <w:tl2br w:val="nil"/>
              <w:tr2bl w:val="nil"/>
            </w:tcBorders>
            <w:vAlign w:val="center"/>
          </w:tcPr>
          <w:p w14:paraId="34FA688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南</w:t>
            </w:r>
          </w:p>
        </w:tc>
      </w:tr>
      <w:tr w14:paraId="44047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continue"/>
            <w:tcBorders>
              <w:tl2br w:val="nil"/>
              <w:tr2bl w:val="nil"/>
            </w:tcBorders>
            <w:vAlign w:val="center"/>
          </w:tcPr>
          <w:p w14:paraId="70C50C36">
            <w:pPr>
              <w:ind w:left="-105" w:right="-105"/>
              <w:jc w:val="center"/>
              <w:rPr>
                <w:rFonts w:ascii="Times New Roman" w:hAnsi="Times New Roman" w:cs="Times New Roman"/>
                <w:b/>
                <w:bCs/>
                <w:color w:val="auto"/>
                <w:sz w:val="21"/>
                <w:szCs w:val="21"/>
                <w:highlight w:val="none"/>
              </w:rPr>
            </w:pPr>
          </w:p>
        </w:tc>
        <w:tc>
          <w:tcPr>
            <w:tcW w:w="720" w:type="dxa"/>
            <w:tcBorders>
              <w:tl2br w:val="nil"/>
              <w:tr2bl w:val="nil"/>
            </w:tcBorders>
            <w:vAlign w:val="center"/>
          </w:tcPr>
          <w:p w14:paraId="26FFA283">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气温</w:t>
            </w:r>
          </w:p>
        </w:tc>
        <w:tc>
          <w:tcPr>
            <w:tcW w:w="780" w:type="dxa"/>
            <w:tcBorders>
              <w:tl2br w:val="nil"/>
              <w:tr2bl w:val="nil"/>
            </w:tcBorders>
            <w:vAlign w:val="center"/>
          </w:tcPr>
          <w:p w14:paraId="6E32442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25" w:type="dxa"/>
            <w:tcBorders>
              <w:tl2br w:val="nil"/>
              <w:tr2bl w:val="nil"/>
            </w:tcBorders>
            <w:vAlign w:val="center"/>
          </w:tcPr>
          <w:p w14:paraId="23DEC2B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972" w:type="dxa"/>
            <w:gridSpan w:val="4"/>
            <w:tcBorders>
              <w:tl2br w:val="nil"/>
              <w:tr2bl w:val="nil"/>
            </w:tcBorders>
            <w:vAlign w:val="center"/>
          </w:tcPr>
          <w:p w14:paraId="6EDE05C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17.4</w:t>
            </w:r>
          </w:p>
        </w:tc>
        <w:tc>
          <w:tcPr>
            <w:tcW w:w="2974" w:type="dxa"/>
            <w:gridSpan w:val="4"/>
            <w:tcBorders>
              <w:tl2br w:val="nil"/>
              <w:tr2bl w:val="nil"/>
            </w:tcBorders>
            <w:vAlign w:val="center"/>
          </w:tcPr>
          <w:p w14:paraId="7E7EE98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12.9</w:t>
            </w:r>
          </w:p>
        </w:tc>
      </w:tr>
      <w:tr w14:paraId="1AFA9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vMerge w:val="continue"/>
            <w:tcBorders>
              <w:tl2br w:val="nil"/>
              <w:tr2bl w:val="nil"/>
            </w:tcBorders>
            <w:vAlign w:val="center"/>
          </w:tcPr>
          <w:p w14:paraId="1A9687DF">
            <w:pPr>
              <w:ind w:left="-105" w:right="-105"/>
              <w:jc w:val="center"/>
              <w:rPr>
                <w:rFonts w:ascii="Times New Roman" w:hAnsi="Times New Roman" w:cs="Times New Roman"/>
                <w:b/>
                <w:bCs/>
                <w:color w:val="auto"/>
                <w:sz w:val="21"/>
                <w:szCs w:val="21"/>
                <w:highlight w:val="none"/>
              </w:rPr>
            </w:pPr>
          </w:p>
        </w:tc>
        <w:tc>
          <w:tcPr>
            <w:tcW w:w="720" w:type="dxa"/>
            <w:tcBorders>
              <w:tl2br w:val="nil"/>
              <w:tr2bl w:val="nil"/>
            </w:tcBorders>
            <w:vAlign w:val="center"/>
          </w:tcPr>
          <w:p w14:paraId="62A01271">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气压</w:t>
            </w:r>
          </w:p>
        </w:tc>
        <w:tc>
          <w:tcPr>
            <w:tcW w:w="780" w:type="dxa"/>
            <w:tcBorders>
              <w:tl2br w:val="nil"/>
              <w:tr2bl w:val="nil"/>
            </w:tcBorders>
            <w:vAlign w:val="center"/>
          </w:tcPr>
          <w:p w14:paraId="171952E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25" w:type="dxa"/>
            <w:tcBorders>
              <w:tl2br w:val="nil"/>
              <w:tr2bl w:val="nil"/>
            </w:tcBorders>
            <w:vAlign w:val="center"/>
          </w:tcPr>
          <w:p w14:paraId="0F73BE8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kPa</w:t>
            </w:r>
          </w:p>
        </w:tc>
        <w:tc>
          <w:tcPr>
            <w:tcW w:w="2972" w:type="dxa"/>
            <w:gridSpan w:val="4"/>
            <w:tcBorders>
              <w:tl2br w:val="nil"/>
              <w:tr2bl w:val="nil"/>
            </w:tcBorders>
            <w:vAlign w:val="center"/>
          </w:tcPr>
          <w:p w14:paraId="307DC13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101.49</w:t>
            </w:r>
          </w:p>
        </w:tc>
        <w:tc>
          <w:tcPr>
            <w:tcW w:w="2974" w:type="dxa"/>
            <w:gridSpan w:val="4"/>
            <w:tcBorders>
              <w:tl2br w:val="nil"/>
              <w:tr2bl w:val="nil"/>
            </w:tcBorders>
            <w:vAlign w:val="center"/>
          </w:tcPr>
          <w:p w14:paraId="1E5016F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102.42</w:t>
            </w:r>
          </w:p>
        </w:tc>
      </w:tr>
      <w:tr w14:paraId="31217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2634307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G5</w:t>
            </w:r>
          </w:p>
        </w:tc>
        <w:tc>
          <w:tcPr>
            <w:tcW w:w="720" w:type="dxa"/>
            <w:vMerge w:val="restart"/>
            <w:tcBorders>
              <w:tl2br w:val="nil"/>
              <w:tr2bl w:val="nil"/>
            </w:tcBorders>
            <w:vAlign w:val="center"/>
          </w:tcPr>
          <w:p w14:paraId="11B279D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780" w:type="dxa"/>
            <w:vMerge w:val="restart"/>
            <w:tcBorders>
              <w:tl2br w:val="nil"/>
              <w:tr2bl w:val="nil"/>
            </w:tcBorders>
            <w:vAlign w:val="center"/>
          </w:tcPr>
          <w:p w14:paraId="7320EC4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6.0</w:t>
            </w:r>
          </w:p>
        </w:tc>
        <w:tc>
          <w:tcPr>
            <w:tcW w:w="825" w:type="dxa"/>
            <w:tcBorders>
              <w:tl2br w:val="nil"/>
              <w:tr2bl w:val="nil"/>
            </w:tcBorders>
            <w:vAlign w:val="center"/>
          </w:tcPr>
          <w:p w14:paraId="03DEE6B9">
            <w:pPr>
              <w:ind w:left="-105" w:right="-105"/>
              <w:jc w:val="center"/>
              <w:rPr>
                <w:rFonts w:ascii="Times New Roman" w:hAnsi="Times New Roman" w:cs="Times New Roman"/>
                <w:color w:val="auto"/>
                <w:sz w:val="21"/>
                <w:szCs w:val="21"/>
                <w:highlight w:val="none"/>
                <w:vertAlign w:val="superscript"/>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48E0BC4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1.44</w:t>
            </w:r>
          </w:p>
        </w:tc>
        <w:tc>
          <w:tcPr>
            <w:tcW w:w="743" w:type="dxa"/>
            <w:tcBorders>
              <w:tl2br w:val="nil"/>
              <w:tr2bl w:val="nil"/>
            </w:tcBorders>
            <w:vAlign w:val="center"/>
          </w:tcPr>
          <w:p w14:paraId="7F7B5D2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1.41</w:t>
            </w:r>
          </w:p>
        </w:tc>
        <w:tc>
          <w:tcPr>
            <w:tcW w:w="743" w:type="dxa"/>
            <w:tcBorders>
              <w:tl2br w:val="nil"/>
              <w:tr2bl w:val="nil"/>
            </w:tcBorders>
            <w:vAlign w:val="center"/>
          </w:tcPr>
          <w:p w14:paraId="5A12DF9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1.58</w:t>
            </w:r>
          </w:p>
        </w:tc>
        <w:tc>
          <w:tcPr>
            <w:tcW w:w="743" w:type="dxa"/>
            <w:tcBorders>
              <w:tl2br w:val="nil"/>
              <w:tr2bl w:val="nil"/>
            </w:tcBorders>
            <w:vAlign w:val="center"/>
          </w:tcPr>
          <w:p w14:paraId="0EF1A46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1.48</w:t>
            </w:r>
          </w:p>
        </w:tc>
        <w:tc>
          <w:tcPr>
            <w:tcW w:w="743" w:type="dxa"/>
            <w:tcBorders>
              <w:tl2br w:val="nil"/>
              <w:tr2bl w:val="nil"/>
            </w:tcBorders>
            <w:vAlign w:val="center"/>
          </w:tcPr>
          <w:p w14:paraId="2A39B7D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1.42</w:t>
            </w:r>
          </w:p>
        </w:tc>
        <w:tc>
          <w:tcPr>
            <w:tcW w:w="743" w:type="dxa"/>
            <w:tcBorders>
              <w:tl2br w:val="nil"/>
              <w:tr2bl w:val="nil"/>
            </w:tcBorders>
            <w:vAlign w:val="center"/>
          </w:tcPr>
          <w:p w14:paraId="149B7CB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1.50</w:t>
            </w:r>
          </w:p>
        </w:tc>
        <w:tc>
          <w:tcPr>
            <w:tcW w:w="743" w:type="dxa"/>
            <w:tcBorders>
              <w:tl2br w:val="nil"/>
              <w:tr2bl w:val="nil"/>
            </w:tcBorders>
            <w:vAlign w:val="center"/>
          </w:tcPr>
          <w:p w14:paraId="74A9F79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1.46</w:t>
            </w:r>
          </w:p>
        </w:tc>
        <w:tc>
          <w:tcPr>
            <w:tcW w:w="745" w:type="dxa"/>
            <w:tcBorders>
              <w:tl2br w:val="nil"/>
              <w:tr2bl w:val="nil"/>
            </w:tcBorders>
            <w:vAlign w:val="center"/>
          </w:tcPr>
          <w:p w14:paraId="5B19548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1.46</w:t>
            </w:r>
          </w:p>
        </w:tc>
      </w:tr>
      <w:tr w14:paraId="76756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3232C99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G6</w:t>
            </w:r>
          </w:p>
        </w:tc>
        <w:tc>
          <w:tcPr>
            <w:tcW w:w="720" w:type="dxa"/>
            <w:vMerge w:val="continue"/>
            <w:tcBorders>
              <w:tl2br w:val="nil"/>
              <w:tr2bl w:val="nil"/>
            </w:tcBorders>
            <w:vAlign w:val="center"/>
          </w:tcPr>
          <w:p w14:paraId="5D812BDD">
            <w:pPr>
              <w:ind w:left="-105" w:right="-105"/>
              <w:jc w:val="center"/>
              <w:rPr>
                <w:rFonts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3721BAA2">
            <w:pPr>
              <w:ind w:left="-105" w:right="-105"/>
              <w:jc w:val="center"/>
              <w:rPr>
                <w:rFonts w:ascii="Times New Roman" w:hAnsi="Times New Roman" w:cs="Times New Roman"/>
                <w:color w:val="auto"/>
                <w:sz w:val="21"/>
                <w:szCs w:val="21"/>
                <w:highlight w:val="none"/>
              </w:rPr>
            </w:pPr>
          </w:p>
        </w:tc>
        <w:tc>
          <w:tcPr>
            <w:tcW w:w="825" w:type="dxa"/>
            <w:tcBorders>
              <w:tl2br w:val="nil"/>
              <w:tr2bl w:val="nil"/>
            </w:tcBorders>
            <w:vAlign w:val="center"/>
          </w:tcPr>
          <w:p w14:paraId="3625244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36E0CAB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1.48</w:t>
            </w:r>
          </w:p>
        </w:tc>
        <w:tc>
          <w:tcPr>
            <w:tcW w:w="743" w:type="dxa"/>
            <w:tcBorders>
              <w:tl2br w:val="nil"/>
              <w:tr2bl w:val="nil"/>
            </w:tcBorders>
            <w:vAlign w:val="center"/>
          </w:tcPr>
          <w:p w14:paraId="52C7585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1.45</w:t>
            </w:r>
          </w:p>
        </w:tc>
        <w:tc>
          <w:tcPr>
            <w:tcW w:w="743" w:type="dxa"/>
            <w:tcBorders>
              <w:tl2br w:val="nil"/>
              <w:tr2bl w:val="nil"/>
            </w:tcBorders>
            <w:vAlign w:val="center"/>
          </w:tcPr>
          <w:p w14:paraId="41F0208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1.42</w:t>
            </w:r>
          </w:p>
        </w:tc>
        <w:tc>
          <w:tcPr>
            <w:tcW w:w="743" w:type="dxa"/>
            <w:tcBorders>
              <w:tl2br w:val="nil"/>
              <w:tr2bl w:val="nil"/>
            </w:tcBorders>
            <w:vAlign w:val="center"/>
          </w:tcPr>
          <w:p w14:paraId="63823CF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1.45</w:t>
            </w:r>
          </w:p>
        </w:tc>
        <w:tc>
          <w:tcPr>
            <w:tcW w:w="743" w:type="dxa"/>
            <w:tcBorders>
              <w:tl2br w:val="nil"/>
              <w:tr2bl w:val="nil"/>
            </w:tcBorders>
            <w:vAlign w:val="center"/>
          </w:tcPr>
          <w:p w14:paraId="289B1A5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1.44</w:t>
            </w:r>
          </w:p>
        </w:tc>
        <w:tc>
          <w:tcPr>
            <w:tcW w:w="743" w:type="dxa"/>
            <w:tcBorders>
              <w:tl2br w:val="nil"/>
              <w:tr2bl w:val="nil"/>
            </w:tcBorders>
            <w:vAlign w:val="center"/>
          </w:tcPr>
          <w:p w14:paraId="07DD21C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1.40</w:t>
            </w:r>
          </w:p>
        </w:tc>
        <w:tc>
          <w:tcPr>
            <w:tcW w:w="743" w:type="dxa"/>
            <w:tcBorders>
              <w:tl2br w:val="nil"/>
              <w:tr2bl w:val="nil"/>
            </w:tcBorders>
            <w:vAlign w:val="center"/>
          </w:tcPr>
          <w:p w14:paraId="1EE76D3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1.48</w:t>
            </w:r>
          </w:p>
        </w:tc>
        <w:tc>
          <w:tcPr>
            <w:tcW w:w="745" w:type="dxa"/>
            <w:tcBorders>
              <w:tl2br w:val="nil"/>
              <w:tr2bl w:val="nil"/>
            </w:tcBorders>
            <w:vAlign w:val="center"/>
          </w:tcPr>
          <w:p w14:paraId="7C43580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1.44</w:t>
            </w:r>
          </w:p>
        </w:tc>
      </w:tr>
      <w:tr w14:paraId="337E5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7B97314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G7</w:t>
            </w:r>
          </w:p>
        </w:tc>
        <w:tc>
          <w:tcPr>
            <w:tcW w:w="720" w:type="dxa"/>
            <w:vMerge w:val="continue"/>
            <w:tcBorders>
              <w:tl2br w:val="nil"/>
              <w:tr2bl w:val="nil"/>
            </w:tcBorders>
            <w:vAlign w:val="center"/>
          </w:tcPr>
          <w:p w14:paraId="72A553DC">
            <w:pPr>
              <w:ind w:left="-105" w:right="-105"/>
              <w:jc w:val="center"/>
              <w:rPr>
                <w:rFonts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007F7AD6">
            <w:pPr>
              <w:ind w:left="-105" w:right="-105"/>
              <w:jc w:val="center"/>
              <w:rPr>
                <w:rFonts w:ascii="Times New Roman" w:hAnsi="Times New Roman" w:cs="Times New Roman"/>
                <w:color w:val="auto"/>
                <w:sz w:val="21"/>
                <w:szCs w:val="21"/>
                <w:highlight w:val="none"/>
              </w:rPr>
            </w:pPr>
          </w:p>
        </w:tc>
        <w:tc>
          <w:tcPr>
            <w:tcW w:w="825" w:type="dxa"/>
            <w:tcBorders>
              <w:tl2br w:val="nil"/>
              <w:tr2bl w:val="nil"/>
            </w:tcBorders>
            <w:vAlign w:val="center"/>
          </w:tcPr>
          <w:p w14:paraId="6AEB588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7A0F93A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1.59</w:t>
            </w:r>
          </w:p>
        </w:tc>
        <w:tc>
          <w:tcPr>
            <w:tcW w:w="743" w:type="dxa"/>
            <w:tcBorders>
              <w:tl2br w:val="nil"/>
              <w:tr2bl w:val="nil"/>
            </w:tcBorders>
            <w:vAlign w:val="center"/>
          </w:tcPr>
          <w:p w14:paraId="4070075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1.61</w:t>
            </w:r>
          </w:p>
        </w:tc>
        <w:tc>
          <w:tcPr>
            <w:tcW w:w="743" w:type="dxa"/>
            <w:tcBorders>
              <w:tl2br w:val="nil"/>
              <w:tr2bl w:val="nil"/>
            </w:tcBorders>
            <w:vAlign w:val="center"/>
          </w:tcPr>
          <w:p w14:paraId="54E7B3D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1.54</w:t>
            </w:r>
          </w:p>
        </w:tc>
        <w:tc>
          <w:tcPr>
            <w:tcW w:w="743" w:type="dxa"/>
            <w:tcBorders>
              <w:tl2br w:val="nil"/>
              <w:tr2bl w:val="nil"/>
            </w:tcBorders>
            <w:vAlign w:val="center"/>
          </w:tcPr>
          <w:p w14:paraId="428BBD9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1.58</w:t>
            </w:r>
          </w:p>
        </w:tc>
        <w:tc>
          <w:tcPr>
            <w:tcW w:w="743" w:type="dxa"/>
            <w:tcBorders>
              <w:tl2br w:val="nil"/>
              <w:tr2bl w:val="nil"/>
            </w:tcBorders>
            <w:vAlign w:val="center"/>
          </w:tcPr>
          <w:p w14:paraId="7F256C4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1.64</w:t>
            </w:r>
          </w:p>
        </w:tc>
        <w:tc>
          <w:tcPr>
            <w:tcW w:w="743" w:type="dxa"/>
            <w:tcBorders>
              <w:tl2br w:val="nil"/>
              <w:tr2bl w:val="nil"/>
            </w:tcBorders>
            <w:vAlign w:val="center"/>
          </w:tcPr>
          <w:p w14:paraId="7C10D0A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1.66</w:t>
            </w:r>
          </w:p>
        </w:tc>
        <w:tc>
          <w:tcPr>
            <w:tcW w:w="743" w:type="dxa"/>
            <w:tcBorders>
              <w:tl2br w:val="nil"/>
              <w:tr2bl w:val="nil"/>
            </w:tcBorders>
            <w:vAlign w:val="center"/>
          </w:tcPr>
          <w:p w14:paraId="2AE4649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1.55</w:t>
            </w:r>
          </w:p>
        </w:tc>
        <w:tc>
          <w:tcPr>
            <w:tcW w:w="745" w:type="dxa"/>
            <w:tcBorders>
              <w:tl2br w:val="nil"/>
              <w:tr2bl w:val="nil"/>
            </w:tcBorders>
            <w:vAlign w:val="center"/>
          </w:tcPr>
          <w:p w14:paraId="1C7A3B9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1.62</w:t>
            </w:r>
          </w:p>
        </w:tc>
      </w:tr>
      <w:tr w14:paraId="4345E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761B19D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G8</w:t>
            </w:r>
          </w:p>
        </w:tc>
        <w:tc>
          <w:tcPr>
            <w:tcW w:w="720" w:type="dxa"/>
            <w:vMerge w:val="continue"/>
            <w:tcBorders>
              <w:tl2br w:val="nil"/>
              <w:tr2bl w:val="nil"/>
            </w:tcBorders>
            <w:vAlign w:val="center"/>
          </w:tcPr>
          <w:p w14:paraId="18CC47C6">
            <w:pPr>
              <w:ind w:left="-105" w:right="-105"/>
              <w:jc w:val="center"/>
              <w:rPr>
                <w:rFonts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5B8F1C59">
            <w:pPr>
              <w:ind w:left="-105" w:right="-105"/>
              <w:jc w:val="center"/>
              <w:rPr>
                <w:rFonts w:ascii="Times New Roman" w:hAnsi="Times New Roman" w:cs="Times New Roman"/>
                <w:color w:val="auto"/>
                <w:sz w:val="21"/>
                <w:szCs w:val="21"/>
                <w:highlight w:val="none"/>
              </w:rPr>
            </w:pPr>
          </w:p>
        </w:tc>
        <w:tc>
          <w:tcPr>
            <w:tcW w:w="825" w:type="dxa"/>
            <w:tcBorders>
              <w:tl2br w:val="nil"/>
              <w:tr2bl w:val="nil"/>
            </w:tcBorders>
            <w:vAlign w:val="center"/>
          </w:tcPr>
          <w:p w14:paraId="692358D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0593B9E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1.49</w:t>
            </w:r>
          </w:p>
        </w:tc>
        <w:tc>
          <w:tcPr>
            <w:tcW w:w="743" w:type="dxa"/>
            <w:tcBorders>
              <w:tl2br w:val="nil"/>
              <w:tr2bl w:val="nil"/>
            </w:tcBorders>
            <w:vAlign w:val="center"/>
          </w:tcPr>
          <w:p w14:paraId="24AC855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1.62</w:t>
            </w:r>
          </w:p>
        </w:tc>
        <w:tc>
          <w:tcPr>
            <w:tcW w:w="743" w:type="dxa"/>
            <w:tcBorders>
              <w:tl2br w:val="nil"/>
              <w:tr2bl w:val="nil"/>
            </w:tcBorders>
            <w:vAlign w:val="center"/>
          </w:tcPr>
          <w:p w14:paraId="082FE71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1.54</w:t>
            </w:r>
          </w:p>
        </w:tc>
        <w:tc>
          <w:tcPr>
            <w:tcW w:w="743" w:type="dxa"/>
            <w:tcBorders>
              <w:tl2br w:val="nil"/>
              <w:tr2bl w:val="nil"/>
            </w:tcBorders>
            <w:vAlign w:val="center"/>
          </w:tcPr>
          <w:p w14:paraId="3745FAD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1.55</w:t>
            </w:r>
          </w:p>
        </w:tc>
        <w:tc>
          <w:tcPr>
            <w:tcW w:w="743" w:type="dxa"/>
            <w:tcBorders>
              <w:tl2br w:val="nil"/>
              <w:tr2bl w:val="nil"/>
            </w:tcBorders>
            <w:vAlign w:val="center"/>
          </w:tcPr>
          <w:p w14:paraId="63BA655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1.63</w:t>
            </w:r>
          </w:p>
        </w:tc>
        <w:tc>
          <w:tcPr>
            <w:tcW w:w="743" w:type="dxa"/>
            <w:tcBorders>
              <w:tl2br w:val="nil"/>
              <w:tr2bl w:val="nil"/>
            </w:tcBorders>
            <w:vAlign w:val="center"/>
          </w:tcPr>
          <w:p w14:paraId="13050B0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1.51</w:t>
            </w:r>
          </w:p>
        </w:tc>
        <w:tc>
          <w:tcPr>
            <w:tcW w:w="743" w:type="dxa"/>
            <w:tcBorders>
              <w:tl2br w:val="nil"/>
              <w:tr2bl w:val="nil"/>
            </w:tcBorders>
            <w:vAlign w:val="center"/>
          </w:tcPr>
          <w:p w14:paraId="02980AE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1.48</w:t>
            </w:r>
          </w:p>
        </w:tc>
        <w:tc>
          <w:tcPr>
            <w:tcW w:w="745" w:type="dxa"/>
            <w:tcBorders>
              <w:tl2br w:val="nil"/>
              <w:tr2bl w:val="nil"/>
            </w:tcBorders>
            <w:vAlign w:val="center"/>
          </w:tcPr>
          <w:p w14:paraId="053F47C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1.54</w:t>
            </w:r>
          </w:p>
        </w:tc>
      </w:tr>
      <w:tr w14:paraId="162FC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48DC13F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G9</w:t>
            </w:r>
          </w:p>
        </w:tc>
        <w:tc>
          <w:tcPr>
            <w:tcW w:w="720" w:type="dxa"/>
            <w:vMerge w:val="continue"/>
            <w:tcBorders>
              <w:tl2br w:val="nil"/>
              <w:tr2bl w:val="nil"/>
            </w:tcBorders>
            <w:vAlign w:val="center"/>
          </w:tcPr>
          <w:p w14:paraId="320BDF15">
            <w:pPr>
              <w:ind w:left="-105" w:right="-105"/>
              <w:jc w:val="center"/>
              <w:rPr>
                <w:rFonts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52D7DBA9">
            <w:pPr>
              <w:ind w:left="-105" w:right="-105"/>
              <w:jc w:val="center"/>
              <w:rPr>
                <w:rFonts w:ascii="Times New Roman" w:hAnsi="Times New Roman" w:cs="Times New Roman"/>
                <w:color w:val="auto"/>
                <w:sz w:val="21"/>
                <w:szCs w:val="21"/>
                <w:highlight w:val="none"/>
              </w:rPr>
            </w:pPr>
          </w:p>
        </w:tc>
        <w:tc>
          <w:tcPr>
            <w:tcW w:w="825" w:type="dxa"/>
            <w:tcBorders>
              <w:tl2br w:val="nil"/>
              <w:tr2bl w:val="nil"/>
            </w:tcBorders>
            <w:vAlign w:val="center"/>
          </w:tcPr>
          <w:p w14:paraId="5D6BCA0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7707B29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1.69</w:t>
            </w:r>
          </w:p>
        </w:tc>
        <w:tc>
          <w:tcPr>
            <w:tcW w:w="743" w:type="dxa"/>
            <w:tcBorders>
              <w:tl2br w:val="nil"/>
              <w:tr2bl w:val="nil"/>
            </w:tcBorders>
            <w:vAlign w:val="center"/>
          </w:tcPr>
          <w:p w14:paraId="5D5D0D7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1.82</w:t>
            </w:r>
          </w:p>
        </w:tc>
        <w:tc>
          <w:tcPr>
            <w:tcW w:w="743" w:type="dxa"/>
            <w:tcBorders>
              <w:tl2br w:val="nil"/>
              <w:tr2bl w:val="nil"/>
            </w:tcBorders>
            <w:vAlign w:val="center"/>
          </w:tcPr>
          <w:p w14:paraId="5E84218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1.78</w:t>
            </w:r>
          </w:p>
        </w:tc>
        <w:tc>
          <w:tcPr>
            <w:tcW w:w="743" w:type="dxa"/>
            <w:tcBorders>
              <w:tl2br w:val="nil"/>
              <w:tr2bl w:val="nil"/>
            </w:tcBorders>
            <w:vAlign w:val="center"/>
          </w:tcPr>
          <w:p w14:paraId="2746253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1.76</w:t>
            </w:r>
          </w:p>
        </w:tc>
        <w:tc>
          <w:tcPr>
            <w:tcW w:w="743" w:type="dxa"/>
            <w:tcBorders>
              <w:tl2br w:val="nil"/>
              <w:tr2bl w:val="nil"/>
            </w:tcBorders>
            <w:vAlign w:val="center"/>
          </w:tcPr>
          <w:p w14:paraId="5307DB7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1.62</w:t>
            </w:r>
          </w:p>
        </w:tc>
        <w:tc>
          <w:tcPr>
            <w:tcW w:w="743" w:type="dxa"/>
            <w:tcBorders>
              <w:tl2br w:val="nil"/>
              <w:tr2bl w:val="nil"/>
            </w:tcBorders>
            <w:vAlign w:val="center"/>
          </w:tcPr>
          <w:p w14:paraId="707BCB5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1.70</w:t>
            </w:r>
          </w:p>
        </w:tc>
        <w:tc>
          <w:tcPr>
            <w:tcW w:w="743" w:type="dxa"/>
            <w:tcBorders>
              <w:tl2br w:val="nil"/>
              <w:tr2bl w:val="nil"/>
            </w:tcBorders>
            <w:vAlign w:val="center"/>
          </w:tcPr>
          <w:p w14:paraId="76329EB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1.49</w:t>
            </w:r>
          </w:p>
        </w:tc>
        <w:tc>
          <w:tcPr>
            <w:tcW w:w="745" w:type="dxa"/>
            <w:tcBorders>
              <w:tl2br w:val="nil"/>
              <w:tr2bl w:val="nil"/>
            </w:tcBorders>
            <w:vAlign w:val="center"/>
          </w:tcPr>
          <w:p w14:paraId="3AF9D2F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1.60</w:t>
            </w:r>
          </w:p>
        </w:tc>
      </w:tr>
      <w:tr w14:paraId="0B696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dxa"/>
            <w:tcBorders>
              <w:tl2br w:val="nil"/>
              <w:tr2bl w:val="nil"/>
            </w:tcBorders>
            <w:vAlign w:val="center"/>
          </w:tcPr>
          <w:p w14:paraId="05C0417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G10</w:t>
            </w:r>
          </w:p>
        </w:tc>
        <w:tc>
          <w:tcPr>
            <w:tcW w:w="720" w:type="dxa"/>
            <w:vMerge w:val="continue"/>
            <w:tcBorders>
              <w:tl2br w:val="nil"/>
              <w:tr2bl w:val="nil"/>
            </w:tcBorders>
            <w:vAlign w:val="center"/>
          </w:tcPr>
          <w:p w14:paraId="1FCD98FA">
            <w:pPr>
              <w:ind w:left="-105" w:right="-105"/>
              <w:jc w:val="center"/>
              <w:rPr>
                <w:rFonts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7CCEC4E5">
            <w:pPr>
              <w:ind w:left="-105" w:right="-105"/>
              <w:jc w:val="center"/>
              <w:rPr>
                <w:rFonts w:ascii="Times New Roman" w:hAnsi="Times New Roman" w:cs="Times New Roman"/>
                <w:color w:val="auto"/>
                <w:sz w:val="21"/>
                <w:szCs w:val="21"/>
                <w:highlight w:val="none"/>
              </w:rPr>
            </w:pPr>
          </w:p>
        </w:tc>
        <w:tc>
          <w:tcPr>
            <w:tcW w:w="825" w:type="dxa"/>
            <w:tcBorders>
              <w:tl2br w:val="nil"/>
              <w:tr2bl w:val="nil"/>
            </w:tcBorders>
            <w:vAlign w:val="center"/>
          </w:tcPr>
          <w:p w14:paraId="639C2B4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c>
          <w:tcPr>
            <w:tcW w:w="743" w:type="dxa"/>
            <w:tcBorders>
              <w:tl2br w:val="nil"/>
              <w:tr2bl w:val="nil"/>
            </w:tcBorders>
            <w:vAlign w:val="center"/>
          </w:tcPr>
          <w:p w14:paraId="7C13F2E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1.58</w:t>
            </w:r>
          </w:p>
        </w:tc>
        <w:tc>
          <w:tcPr>
            <w:tcW w:w="743" w:type="dxa"/>
            <w:tcBorders>
              <w:tl2br w:val="nil"/>
              <w:tr2bl w:val="nil"/>
            </w:tcBorders>
            <w:vAlign w:val="center"/>
          </w:tcPr>
          <w:p w14:paraId="0979846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1.70</w:t>
            </w:r>
          </w:p>
        </w:tc>
        <w:tc>
          <w:tcPr>
            <w:tcW w:w="743" w:type="dxa"/>
            <w:tcBorders>
              <w:tl2br w:val="nil"/>
              <w:tr2bl w:val="nil"/>
            </w:tcBorders>
            <w:vAlign w:val="center"/>
          </w:tcPr>
          <w:p w14:paraId="5DFF642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1.64</w:t>
            </w:r>
          </w:p>
        </w:tc>
        <w:tc>
          <w:tcPr>
            <w:tcW w:w="743" w:type="dxa"/>
            <w:tcBorders>
              <w:tl2br w:val="nil"/>
              <w:tr2bl w:val="nil"/>
            </w:tcBorders>
            <w:vAlign w:val="center"/>
          </w:tcPr>
          <w:p w14:paraId="18EDCC0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1.64</w:t>
            </w:r>
          </w:p>
        </w:tc>
        <w:tc>
          <w:tcPr>
            <w:tcW w:w="743" w:type="dxa"/>
            <w:tcBorders>
              <w:tl2br w:val="nil"/>
              <w:tr2bl w:val="nil"/>
            </w:tcBorders>
            <w:vAlign w:val="center"/>
          </w:tcPr>
          <w:p w14:paraId="037FE48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1.72</w:t>
            </w:r>
          </w:p>
        </w:tc>
        <w:tc>
          <w:tcPr>
            <w:tcW w:w="743" w:type="dxa"/>
            <w:tcBorders>
              <w:tl2br w:val="nil"/>
              <w:tr2bl w:val="nil"/>
            </w:tcBorders>
            <w:vAlign w:val="center"/>
          </w:tcPr>
          <w:p w14:paraId="47540B3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1.75</w:t>
            </w:r>
          </w:p>
        </w:tc>
        <w:tc>
          <w:tcPr>
            <w:tcW w:w="743" w:type="dxa"/>
            <w:tcBorders>
              <w:tl2br w:val="nil"/>
              <w:tr2bl w:val="nil"/>
            </w:tcBorders>
            <w:vAlign w:val="center"/>
          </w:tcPr>
          <w:p w14:paraId="0A4F1C2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1.53</w:t>
            </w:r>
          </w:p>
        </w:tc>
        <w:tc>
          <w:tcPr>
            <w:tcW w:w="745" w:type="dxa"/>
            <w:tcBorders>
              <w:tl2br w:val="nil"/>
              <w:tr2bl w:val="nil"/>
            </w:tcBorders>
            <w:vAlign w:val="center"/>
          </w:tcPr>
          <w:p w14:paraId="265B0A6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1.67</w:t>
            </w:r>
          </w:p>
        </w:tc>
      </w:tr>
    </w:tbl>
    <w:p w14:paraId="225921C2">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以上监测结果表明：验收监测期间，厂区内无组织非甲烷总烃（含2-乙二醇单乙醚醋酸酯、丁酮、异氰酸酯、丙烯酸）的排放浓度满足江苏省地方标准《大气污染物综合排放标准》（DB32/4041-2021)中表2标准。</w:t>
      </w:r>
    </w:p>
    <w:p w14:paraId="3413EBF2">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关于化药化工（无锡）有限公司&lt;年产聚氨酯丙烯酸酯5000t、丙烯酸酯组成物10000t和环氧丙烯酸树脂1200t生产线技改扩建项目环境影响报告书&gt;的审批意见》（锡环管[2012]10号），现有项目设置环氧丙烯酸树脂收罐车间、丙烯酸酯组成物收罐车间卫生防护距离为100米、丁酮储罐区卫生防护距离为50米，上述卫生防护距离内不得设置环境敏感目标。由于企业已取消丁酮储罐的使用，改为废液收集罐，故取消丁酮储罐区50米卫生防护距离。</w:t>
      </w:r>
    </w:p>
    <w:p w14:paraId="0CBA2E3F">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废水</w:t>
      </w:r>
    </w:p>
    <w:p w14:paraId="17A64A4F">
      <w:pPr>
        <w:spacing w:line="360" w:lineRule="auto"/>
        <w:ind w:left="-105" w:right="-105" w:firstLine="482" w:firstLineChars="200"/>
        <w:rPr>
          <w:rFonts w:ascii="Times New Roman" w:hAnsi="Times New Roman"/>
          <w:b/>
          <w:bCs/>
          <w:color w:val="auto"/>
          <w:szCs w:val="22"/>
          <w:highlight w:val="none"/>
        </w:rPr>
      </w:pPr>
      <w:r>
        <w:rPr>
          <w:rFonts w:hint="eastAsia" w:ascii="Times New Roman" w:hAnsi="Times New Roman"/>
          <w:b/>
          <w:bCs/>
          <w:color w:val="auto"/>
          <w:szCs w:val="22"/>
          <w:highlight w:val="none"/>
        </w:rPr>
        <w:t>（1）现有项目废水处置、排放情况</w:t>
      </w:r>
    </w:p>
    <w:p w14:paraId="1313FED6">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厂区已实施“雨污分流”。企业废气处理设施产生喷淋废液委托资质单位处置，无生产废水排放，生活污水经化粪池预处理后接入无锡先进化药化工有限公司污水处理厂处理后接管排入无锡市锡山云林污水处理有限公司处理。全厂只有1个污水接管口和1个雨水接管口，与其他单位共用。</w:t>
      </w:r>
    </w:p>
    <w:p w14:paraId="40F51555">
      <w:pPr>
        <w:spacing w:line="360" w:lineRule="auto"/>
        <w:ind w:left="-105" w:right="-105" w:firstLine="482" w:firstLineChars="200"/>
        <w:rPr>
          <w:rFonts w:ascii="Times New Roman" w:hAnsi="Times New Roman"/>
          <w:color w:val="auto"/>
          <w:szCs w:val="22"/>
          <w:highlight w:val="none"/>
        </w:rPr>
      </w:pPr>
      <w:r>
        <w:rPr>
          <w:rFonts w:hint="eastAsia" w:ascii="Times New Roman" w:hAnsi="Times New Roman"/>
          <w:b/>
          <w:bCs/>
          <w:color w:val="auto"/>
          <w:szCs w:val="22"/>
          <w:highlight w:val="none"/>
        </w:rPr>
        <w:t>（2）废水检测情况</w:t>
      </w:r>
    </w:p>
    <w:p w14:paraId="55680022">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化药化工（无锡）有限公司年产聚氨酯丙烯酸酯5000t、丙烯酸酯组成物10000t和环氧丙烯酸树脂1200t生产线技改扩建项目（第二阶段：年产聚氨酯丙烯酸酯2000t、丙烯酸酯组成物5000t）竣工环境保护验收报告》，现有项目污水接管口监测结果见下表：</w:t>
      </w:r>
    </w:p>
    <w:p w14:paraId="431B2D38">
      <w:pPr>
        <w:pStyle w:val="15"/>
        <w:spacing w:line="360" w:lineRule="auto"/>
        <w:ind w:left="-105" w:right="-105" w:firstLine="482"/>
        <w:rPr>
          <w:color w:val="auto"/>
          <w:szCs w:val="22"/>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eastAsia="宋体" w:cs="Times New Roman"/>
          <w:bCs/>
          <w:color w:val="auto"/>
          <w:sz w:val="24"/>
          <w:szCs w:val="18"/>
          <w:highlight w:val="none"/>
        </w:rPr>
        <w:noBreakHyphen/>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9</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污水接管口废水水质监测结果</w:t>
      </w:r>
      <w:r>
        <w:rPr>
          <w:rFonts w:eastAsia="宋体" w:cs="Times New Roman"/>
          <w:bCs/>
          <w:color w:val="auto"/>
          <w:sz w:val="24"/>
          <w:szCs w:val="18"/>
          <w:highlight w:val="none"/>
        </w:rPr>
        <w:t>一览表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875"/>
        <w:gridCol w:w="1041"/>
        <w:gridCol w:w="962"/>
        <w:gridCol w:w="963"/>
        <w:gridCol w:w="958"/>
        <w:gridCol w:w="964"/>
        <w:gridCol w:w="959"/>
        <w:gridCol w:w="959"/>
      </w:tblGrid>
      <w:tr w14:paraId="03E73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restart"/>
            <w:tcBorders>
              <w:tl2br w:val="nil"/>
              <w:tr2bl w:val="nil"/>
            </w:tcBorders>
            <w:vAlign w:val="center"/>
          </w:tcPr>
          <w:p w14:paraId="1CA57BC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监测日期</w:t>
            </w:r>
          </w:p>
        </w:tc>
        <w:tc>
          <w:tcPr>
            <w:tcW w:w="788" w:type="dxa"/>
            <w:vMerge w:val="restart"/>
            <w:tcBorders>
              <w:tl2br w:val="nil"/>
              <w:tr2bl w:val="nil"/>
            </w:tcBorders>
            <w:vAlign w:val="center"/>
          </w:tcPr>
          <w:p w14:paraId="0A96B028">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采样频次</w:t>
            </w:r>
          </w:p>
        </w:tc>
        <w:tc>
          <w:tcPr>
            <w:tcW w:w="6133" w:type="dxa"/>
            <w:gridSpan w:val="7"/>
            <w:tcBorders>
              <w:tl2br w:val="nil"/>
              <w:tr2bl w:val="nil"/>
            </w:tcBorders>
            <w:vAlign w:val="center"/>
          </w:tcPr>
          <w:p w14:paraId="523AACEC">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监测项目（单位：pH值为无量纲，其余为mg/L）</w:t>
            </w:r>
          </w:p>
        </w:tc>
      </w:tr>
      <w:tr w14:paraId="3AA15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2973E113">
            <w:pPr>
              <w:ind w:left="-105" w:right="-105"/>
              <w:jc w:val="center"/>
              <w:rPr>
                <w:rFonts w:ascii="Times New Roman" w:hAnsi="Times New Roman" w:cs="Times New Roman"/>
                <w:color w:val="auto"/>
                <w:sz w:val="18"/>
                <w:szCs w:val="18"/>
                <w:highlight w:val="none"/>
              </w:rPr>
            </w:pPr>
          </w:p>
        </w:tc>
        <w:tc>
          <w:tcPr>
            <w:tcW w:w="788" w:type="dxa"/>
            <w:vMerge w:val="continue"/>
            <w:tcBorders>
              <w:tl2br w:val="nil"/>
              <w:tr2bl w:val="nil"/>
            </w:tcBorders>
            <w:vAlign w:val="center"/>
          </w:tcPr>
          <w:p w14:paraId="47759729">
            <w:pPr>
              <w:ind w:left="-105" w:right="-105"/>
              <w:jc w:val="center"/>
              <w:rPr>
                <w:rFonts w:ascii="Times New Roman" w:hAnsi="Times New Roman" w:cs="Times New Roman"/>
                <w:color w:val="auto"/>
                <w:sz w:val="18"/>
                <w:szCs w:val="18"/>
                <w:highlight w:val="none"/>
              </w:rPr>
            </w:pPr>
          </w:p>
        </w:tc>
        <w:tc>
          <w:tcPr>
            <w:tcW w:w="938" w:type="dxa"/>
            <w:tcBorders>
              <w:tl2br w:val="nil"/>
              <w:tr2bl w:val="nil"/>
            </w:tcBorders>
            <w:vAlign w:val="center"/>
          </w:tcPr>
          <w:p w14:paraId="282905B6">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pH值</w:t>
            </w:r>
          </w:p>
        </w:tc>
        <w:tc>
          <w:tcPr>
            <w:tcW w:w="867" w:type="dxa"/>
            <w:tcBorders>
              <w:tl2br w:val="nil"/>
              <w:tr2bl w:val="nil"/>
            </w:tcBorders>
            <w:vAlign w:val="center"/>
          </w:tcPr>
          <w:p w14:paraId="34FD9ACD">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COD</w:t>
            </w:r>
          </w:p>
        </w:tc>
        <w:tc>
          <w:tcPr>
            <w:tcW w:w="868" w:type="dxa"/>
            <w:tcBorders>
              <w:tl2br w:val="nil"/>
              <w:tr2bl w:val="nil"/>
            </w:tcBorders>
            <w:vAlign w:val="center"/>
          </w:tcPr>
          <w:p w14:paraId="6E62E23A">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BOD</w:t>
            </w:r>
            <w:r>
              <w:rPr>
                <w:rFonts w:hint="eastAsia" w:ascii="Times New Roman" w:hAnsi="Times New Roman" w:cs="Times New Roman"/>
                <w:b/>
                <w:bCs/>
                <w:color w:val="auto"/>
                <w:sz w:val="18"/>
                <w:szCs w:val="18"/>
                <w:highlight w:val="none"/>
                <w:vertAlign w:val="subscript"/>
              </w:rPr>
              <w:t>5</w:t>
            </w:r>
          </w:p>
        </w:tc>
        <w:tc>
          <w:tcPr>
            <w:tcW w:w="863" w:type="dxa"/>
            <w:tcBorders>
              <w:tl2br w:val="nil"/>
              <w:tr2bl w:val="nil"/>
            </w:tcBorders>
            <w:vAlign w:val="center"/>
          </w:tcPr>
          <w:p w14:paraId="7478980F">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SS</w:t>
            </w:r>
          </w:p>
        </w:tc>
        <w:tc>
          <w:tcPr>
            <w:tcW w:w="869" w:type="dxa"/>
            <w:tcBorders>
              <w:tl2br w:val="nil"/>
              <w:tr2bl w:val="nil"/>
            </w:tcBorders>
            <w:vAlign w:val="center"/>
          </w:tcPr>
          <w:p w14:paraId="6A24DD19">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NH</w:t>
            </w:r>
            <w:r>
              <w:rPr>
                <w:rFonts w:hint="eastAsia" w:ascii="Times New Roman" w:hAnsi="Times New Roman" w:cs="Times New Roman"/>
                <w:b/>
                <w:bCs/>
                <w:color w:val="auto"/>
                <w:sz w:val="18"/>
                <w:szCs w:val="18"/>
                <w:highlight w:val="none"/>
                <w:vertAlign w:val="subscript"/>
              </w:rPr>
              <w:t>3</w:t>
            </w:r>
            <w:r>
              <w:rPr>
                <w:rFonts w:hint="eastAsia" w:ascii="Times New Roman" w:hAnsi="Times New Roman" w:cs="Times New Roman"/>
                <w:b/>
                <w:bCs/>
                <w:color w:val="auto"/>
                <w:sz w:val="18"/>
                <w:szCs w:val="18"/>
                <w:highlight w:val="none"/>
              </w:rPr>
              <w:t>-N</w:t>
            </w:r>
          </w:p>
        </w:tc>
        <w:tc>
          <w:tcPr>
            <w:tcW w:w="864" w:type="dxa"/>
            <w:tcBorders>
              <w:tl2br w:val="nil"/>
              <w:tr2bl w:val="nil"/>
            </w:tcBorders>
            <w:vAlign w:val="center"/>
          </w:tcPr>
          <w:p w14:paraId="5A756C40">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TP</w:t>
            </w:r>
          </w:p>
        </w:tc>
        <w:tc>
          <w:tcPr>
            <w:tcW w:w="864" w:type="dxa"/>
            <w:tcBorders>
              <w:tl2br w:val="nil"/>
              <w:tr2bl w:val="nil"/>
            </w:tcBorders>
            <w:vAlign w:val="center"/>
          </w:tcPr>
          <w:p w14:paraId="7B16834D">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TN</w:t>
            </w:r>
          </w:p>
        </w:tc>
      </w:tr>
      <w:tr w14:paraId="6D417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restart"/>
            <w:tcBorders>
              <w:tl2br w:val="nil"/>
              <w:tr2bl w:val="nil"/>
            </w:tcBorders>
            <w:vAlign w:val="center"/>
          </w:tcPr>
          <w:p w14:paraId="4DC3BEA0">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2023.3.15</w:t>
            </w:r>
          </w:p>
        </w:tc>
        <w:tc>
          <w:tcPr>
            <w:tcW w:w="788" w:type="dxa"/>
            <w:tcBorders>
              <w:tl2br w:val="nil"/>
              <w:tr2bl w:val="nil"/>
            </w:tcBorders>
            <w:vAlign w:val="center"/>
          </w:tcPr>
          <w:p w14:paraId="7D2E59D4">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第一次</w:t>
            </w:r>
          </w:p>
        </w:tc>
        <w:tc>
          <w:tcPr>
            <w:tcW w:w="938" w:type="dxa"/>
            <w:tcBorders>
              <w:tl2br w:val="nil"/>
              <w:tr2bl w:val="nil"/>
            </w:tcBorders>
            <w:vAlign w:val="center"/>
          </w:tcPr>
          <w:p w14:paraId="5D9D5E40">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7.2</w:t>
            </w:r>
          </w:p>
        </w:tc>
        <w:tc>
          <w:tcPr>
            <w:tcW w:w="867" w:type="dxa"/>
            <w:tcBorders>
              <w:tl2br w:val="nil"/>
              <w:tr2bl w:val="nil"/>
            </w:tcBorders>
            <w:vAlign w:val="center"/>
          </w:tcPr>
          <w:p w14:paraId="04782F0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20</w:t>
            </w:r>
          </w:p>
        </w:tc>
        <w:tc>
          <w:tcPr>
            <w:tcW w:w="868" w:type="dxa"/>
            <w:tcBorders>
              <w:tl2br w:val="nil"/>
              <w:tr2bl w:val="nil"/>
            </w:tcBorders>
            <w:vAlign w:val="center"/>
          </w:tcPr>
          <w:p w14:paraId="3245576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4.6</w:t>
            </w:r>
          </w:p>
        </w:tc>
        <w:tc>
          <w:tcPr>
            <w:tcW w:w="863" w:type="dxa"/>
            <w:tcBorders>
              <w:tl2br w:val="nil"/>
              <w:tr2bl w:val="nil"/>
            </w:tcBorders>
            <w:vAlign w:val="center"/>
          </w:tcPr>
          <w:p w14:paraId="50212D34">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15</w:t>
            </w:r>
          </w:p>
        </w:tc>
        <w:tc>
          <w:tcPr>
            <w:tcW w:w="869" w:type="dxa"/>
            <w:tcBorders>
              <w:tl2br w:val="nil"/>
              <w:tr2bl w:val="nil"/>
            </w:tcBorders>
            <w:vAlign w:val="center"/>
          </w:tcPr>
          <w:p w14:paraId="2CE0087B">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2.80</w:t>
            </w:r>
          </w:p>
        </w:tc>
        <w:tc>
          <w:tcPr>
            <w:tcW w:w="864" w:type="dxa"/>
            <w:tcBorders>
              <w:tl2br w:val="nil"/>
              <w:tr2bl w:val="nil"/>
            </w:tcBorders>
            <w:vAlign w:val="center"/>
          </w:tcPr>
          <w:p w14:paraId="0B961C1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0.33</w:t>
            </w:r>
          </w:p>
        </w:tc>
        <w:tc>
          <w:tcPr>
            <w:tcW w:w="864" w:type="dxa"/>
            <w:tcBorders>
              <w:tl2br w:val="nil"/>
              <w:tr2bl w:val="nil"/>
            </w:tcBorders>
            <w:vAlign w:val="center"/>
          </w:tcPr>
          <w:p w14:paraId="3AE4E21E">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10.1</w:t>
            </w:r>
          </w:p>
        </w:tc>
      </w:tr>
      <w:tr w14:paraId="15738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73286F34">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1F104CA2">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第二次</w:t>
            </w:r>
          </w:p>
        </w:tc>
        <w:tc>
          <w:tcPr>
            <w:tcW w:w="938" w:type="dxa"/>
            <w:tcBorders>
              <w:tl2br w:val="nil"/>
              <w:tr2bl w:val="nil"/>
            </w:tcBorders>
            <w:vAlign w:val="center"/>
          </w:tcPr>
          <w:p w14:paraId="0A13E4C8">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7.2</w:t>
            </w:r>
          </w:p>
        </w:tc>
        <w:tc>
          <w:tcPr>
            <w:tcW w:w="867" w:type="dxa"/>
            <w:tcBorders>
              <w:tl2br w:val="nil"/>
              <w:tr2bl w:val="nil"/>
            </w:tcBorders>
            <w:vAlign w:val="center"/>
          </w:tcPr>
          <w:p w14:paraId="1594707B">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26</w:t>
            </w:r>
          </w:p>
        </w:tc>
        <w:tc>
          <w:tcPr>
            <w:tcW w:w="868" w:type="dxa"/>
            <w:tcBorders>
              <w:tl2br w:val="nil"/>
              <w:tr2bl w:val="nil"/>
            </w:tcBorders>
            <w:vAlign w:val="center"/>
          </w:tcPr>
          <w:p w14:paraId="5C7030B4">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5.3</w:t>
            </w:r>
          </w:p>
        </w:tc>
        <w:tc>
          <w:tcPr>
            <w:tcW w:w="863" w:type="dxa"/>
            <w:tcBorders>
              <w:tl2br w:val="nil"/>
              <w:tr2bl w:val="nil"/>
            </w:tcBorders>
            <w:vAlign w:val="center"/>
          </w:tcPr>
          <w:p w14:paraId="1D6F423D">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16</w:t>
            </w:r>
          </w:p>
        </w:tc>
        <w:tc>
          <w:tcPr>
            <w:tcW w:w="869" w:type="dxa"/>
            <w:tcBorders>
              <w:tl2br w:val="nil"/>
              <w:tr2bl w:val="nil"/>
            </w:tcBorders>
            <w:vAlign w:val="center"/>
          </w:tcPr>
          <w:p w14:paraId="2E11466E">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3.07</w:t>
            </w:r>
          </w:p>
        </w:tc>
        <w:tc>
          <w:tcPr>
            <w:tcW w:w="864" w:type="dxa"/>
            <w:tcBorders>
              <w:tl2br w:val="nil"/>
              <w:tr2bl w:val="nil"/>
            </w:tcBorders>
            <w:vAlign w:val="center"/>
          </w:tcPr>
          <w:p w14:paraId="02C5F35D">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0.32</w:t>
            </w:r>
          </w:p>
        </w:tc>
        <w:tc>
          <w:tcPr>
            <w:tcW w:w="864" w:type="dxa"/>
            <w:tcBorders>
              <w:tl2br w:val="nil"/>
              <w:tr2bl w:val="nil"/>
            </w:tcBorders>
            <w:vAlign w:val="center"/>
          </w:tcPr>
          <w:p w14:paraId="1DAE6BF6">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13.1</w:t>
            </w:r>
          </w:p>
        </w:tc>
      </w:tr>
      <w:tr w14:paraId="28BC0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13E04E9A">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5A9CF38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第三次</w:t>
            </w:r>
          </w:p>
        </w:tc>
        <w:tc>
          <w:tcPr>
            <w:tcW w:w="938" w:type="dxa"/>
            <w:tcBorders>
              <w:tl2br w:val="nil"/>
              <w:tr2bl w:val="nil"/>
            </w:tcBorders>
            <w:vAlign w:val="center"/>
          </w:tcPr>
          <w:p w14:paraId="562A30A9">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7.4</w:t>
            </w:r>
          </w:p>
        </w:tc>
        <w:tc>
          <w:tcPr>
            <w:tcW w:w="867" w:type="dxa"/>
            <w:tcBorders>
              <w:tl2br w:val="nil"/>
              <w:tr2bl w:val="nil"/>
            </w:tcBorders>
            <w:vAlign w:val="center"/>
          </w:tcPr>
          <w:p w14:paraId="7187661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22</w:t>
            </w:r>
          </w:p>
        </w:tc>
        <w:tc>
          <w:tcPr>
            <w:tcW w:w="868" w:type="dxa"/>
            <w:tcBorders>
              <w:tl2br w:val="nil"/>
              <w:tr2bl w:val="nil"/>
            </w:tcBorders>
            <w:vAlign w:val="center"/>
          </w:tcPr>
          <w:p w14:paraId="1EFB767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3.2</w:t>
            </w:r>
          </w:p>
        </w:tc>
        <w:tc>
          <w:tcPr>
            <w:tcW w:w="863" w:type="dxa"/>
            <w:tcBorders>
              <w:tl2br w:val="nil"/>
              <w:tr2bl w:val="nil"/>
            </w:tcBorders>
            <w:vAlign w:val="center"/>
          </w:tcPr>
          <w:p w14:paraId="669AAC97">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18</w:t>
            </w:r>
          </w:p>
        </w:tc>
        <w:tc>
          <w:tcPr>
            <w:tcW w:w="869" w:type="dxa"/>
            <w:tcBorders>
              <w:tl2br w:val="nil"/>
              <w:tr2bl w:val="nil"/>
            </w:tcBorders>
            <w:vAlign w:val="center"/>
          </w:tcPr>
          <w:p w14:paraId="7320C560">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2.68</w:t>
            </w:r>
          </w:p>
        </w:tc>
        <w:tc>
          <w:tcPr>
            <w:tcW w:w="864" w:type="dxa"/>
            <w:tcBorders>
              <w:tl2br w:val="nil"/>
              <w:tr2bl w:val="nil"/>
            </w:tcBorders>
            <w:vAlign w:val="center"/>
          </w:tcPr>
          <w:p w14:paraId="5EEFDF9F">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0.32</w:t>
            </w:r>
          </w:p>
        </w:tc>
        <w:tc>
          <w:tcPr>
            <w:tcW w:w="864" w:type="dxa"/>
            <w:tcBorders>
              <w:tl2br w:val="nil"/>
              <w:tr2bl w:val="nil"/>
            </w:tcBorders>
            <w:vAlign w:val="center"/>
          </w:tcPr>
          <w:p w14:paraId="6FDDCAE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11.8</w:t>
            </w:r>
          </w:p>
        </w:tc>
      </w:tr>
      <w:tr w14:paraId="78E8D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74D8F362">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035A761E">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第四次</w:t>
            </w:r>
          </w:p>
        </w:tc>
        <w:tc>
          <w:tcPr>
            <w:tcW w:w="938" w:type="dxa"/>
            <w:tcBorders>
              <w:tl2br w:val="nil"/>
              <w:tr2bl w:val="nil"/>
            </w:tcBorders>
            <w:vAlign w:val="center"/>
          </w:tcPr>
          <w:p w14:paraId="3B25E13A">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7.4</w:t>
            </w:r>
          </w:p>
        </w:tc>
        <w:tc>
          <w:tcPr>
            <w:tcW w:w="867" w:type="dxa"/>
            <w:tcBorders>
              <w:tl2br w:val="nil"/>
              <w:tr2bl w:val="nil"/>
            </w:tcBorders>
            <w:vAlign w:val="center"/>
          </w:tcPr>
          <w:p w14:paraId="5748C76B">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19</w:t>
            </w:r>
          </w:p>
        </w:tc>
        <w:tc>
          <w:tcPr>
            <w:tcW w:w="868" w:type="dxa"/>
            <w:tcBorders>
              <w:tl2br w:val="nil"/>
              <w:tr2bl w:val="nil"/>
            </w:tcBorders>
            <w:vAlign w:val="center"/>
          </w:tcPr>
          <w:p w14:paraId="595638E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2.4</w:t>
            </w:r>
          </w:p>
        </w:tc>
        <w:tc>
          <w:tcPr>
            <w:tcW w:w="863" w:type="dxa"/>
            <w:tcBorders>
              <w:tl2br w:val="nil"/>
              <w:tr2bl w:val="nil"/>
            </w:tcBorders>
            <w:vAlign w:val="center"/>
          </w:tcPr>
          <w:p w14:paraId="02773762">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12</w:t>
            </w:r>
          </w:p>
        </w:tc>
        <w:tc>
          <w:tcPr>
            <w:tcW w:w="869" w:type="dxa"/>
            <w:tcBorders>
              <w:tl2br w:val="nil"/>
              <w:tr2bl w:val="nil"/>
            </w:tcBorders>
            <w:vAlign w:val="center"/>
          </w:tcPr>
          <w:p w14:paraId="74A96B7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3.11</w:t>
            </w:r>
          </w:p>
        </w:tc>
        <w:tc>
          <w:tcPr>
            <w:tcW w:w="864" w:type="dxa"/>
            <w:tcBorders>
              <w:tl2br w:val="nil"/>
              <w:tr2bl w:val="nil"/>
            </w:tcBorders>
            <w:vAlign w:val="center"/>
          </w:tcPr>
          <w:p w14:paraId="12308104">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0.30</w:t>
            </w:r>
          </w:p>
        </w:tc>
        <w:tc>
          <w:tcPr>
            <w:tcW w:w="864" w:type="dxa"/>
            <w:tcBorders>
              <w:tl2br w:val="nil"/>
              <w:tr2bl w:val="nil"/>
            </w:tcBorders>
            <w:vAlign w:val="center"/>
          </w:tcPr>
          <w:p w14:paraId="42D49EE6">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10.9</w:t>
            </w:r>
          </w:p>
        </w:tc>
      </w:tr>
      <w:tr w14:paraId="5D921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12FC8843">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4B39C74B">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均值或范围</w:t>
            </w:r>
          </w:p>
        </w:tc>
        <w:tc>
          <w:tcPr>
            <w:tcW w:w="938" w:type="dxa"/>
            <w:tcBorders>
              <w:tl2br w:val="nil"/>
              <w:tr2bl w:val="nil"/>
            </w:tcBorders>
            <w:vAlign w:val="center"/>
          </w:tcPr>
          <w:p w14:paraId="006B2569">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7.2~7.4</w:t>
            </w:r>
          </w:p>
        </w:tc>
        <w:tc>
          <w:tcPr>
            <w:tcW w:w="867" w:type="dxa"/>
            <w:tcBorders>
              <w:tl2br w:val="nil"/>
              <w:tr2bl w:val="nil"/>
            </w:tcBorders>
            <w:vAlign w:val="center"/>
          </w:tcPr>
          <w:p w14:paraId="0E0D996F">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22</w:t>
            </w:r>
          </w:p>
        </w:tc>
        <w:tc>
          <w:tcPr>
            <w:tcW w:w="868" w:type="dxa"/>
            <w:tcBorders>
              <w:tl2br w:val="nil"/>
              <w:tr2bl w:val="nil"/>
            </w:tcBorders>
            <w:vAlign w:val="center"/>
          </w:tcPr>
          <w:p w14:paraId="1B5EF034">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3.9</w:t>
            </w:r>
          </w:p>
        </w:tc>
        <w:tc>
          <w:tcPr>
            <w:tcW w:w="863" w:type="dxa"/>
            <w:tcBorders>
              <w:tl2br w:val="nil"/>
              <w:tr2bl w:val="nil"/>
            </w:tcBorders>
            <w:vAlign w:val="center"/>
          </w:tcPr>
          <w:p w14:paraId="6E43347B">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15</w:t>
            </w:r>
          </w:p>
        </w:tc>
        <w:tc>
          <w:tcPr>
            <w:tcW w:w="869" w:type="dxa"/>
            <w:tcBorders>
              <w:tl2br w:val="nil"/>
              <w:tr2bl w:val="nil"/>
            </w:tcBorders>
            <w:vAlign w:val="center"/>
          </w:tcPr>
          <w:p w14:paraId="53AC1881">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2.92</w:t>
            </w:r>
          </w:p>
        </w:tc>
        <w:tc>
          <w:tcPr>
            <w:tcW w:w="864" w:type="dxa"/>
            <w:tcBorders>
              <w:tl2br w:val="nil"/>
              <w:tr2bl w:val="nil"/>
            </w:tcBorders>
            <w:vAlign w:val="center"/>
          </w:tcPr>
          <w:p w14:paraId="0FD0F85E">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0.32</w:t>
            </w:r>
          </w:p>
        </w:tc>
        <w:tc>
          <w:tcPr>
            <w:tcW w:w="864" w:type="dxa"/>
            <w:tcBorders>
              <w:tl2br w:val="nil"/>
              <w:tr2bl w:val="nil"/>
            </w:tcBorders>
            <w:vAlign w:val="center"/>
          </w:tcPr>
          <w:p w14:paraId="3E93E4BE">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11.5</w:t>
            </w:r>
          </w:p>
        </w:tc>
      </w:tr>
      <w:tr w14:paraId="322EF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restart"/>
            <w:tcBorders>
              <w:tl2br w:val="nil"/>
              <w:tr2bl w:val="nil"/>
            </w:tcBorders>
            <w:vAlign w:val="center"/>
          </w:tcPr>
          <w:p w14:paraId="1875D83E">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2023.3.16</w:t>
            </w:r>
          </w:p>
        </w:tc>
        <w:tc>
          <w:tcPr>
            <w:tcW w:w="788" w:type="dxa"/>
            <w:tcBorders>
              <w:tl2br w:val="nil"/>
              <w:tr2bl w:val="nil"/>
            </w:tcBorders>
            <w:vAlign w:val="center"/>
          </w:tcPr>
          <w:p w14:paraId="2A5E2E49">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第一次</w:t>
            </w:r>
          </w:p>
        </w:tc>
        <w:tc>
          <w:tcPr>
            <w:tcW w:w="938" w:type="dxa"/>
            <w:tcBorders>
              <w:tl2br w:val="nil"/>
              <w:tr2bl w:val="nil"/>
            </w:tcBorders>
            <w:vAlign w:val="center"/>
          </w:tcPr>
          <w:p w14:paraId="00A6757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7.4</w:t>
            </w:r>
          </w:p>
        </w:tc>
        <w:tc>
          <w:tcPr>
            <w:tcW w:w="867" w:type="dxa"/>
            <w:tcBorders>
              <w:tl2br w:val="nil"/>
              <w:tr2bl w:val="nil"/>
            </w:tcBorders>
            <w:vAlign w:val="center"/>
          </w:tcPr>
          <w:p w14:paraId="3849E4EB">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23</w:t>
            </w:r>
          </w:p>
        </w:tc>
        <w:tc>
          <w:tcPr>
            <w:tcW w:w="868" w:type="dxa"/>
            <w:tcBorders>
              <w:tl2br w:val="nil"/>
              <w:tr2bl w:val="nil"/>
            </w:tcBorders>
            <w:vAlign w:val="center"/>
          </w:tcPr>
          <w:p w14:paraId="61ECCA37">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3.8</w:t>
            </w:r>
          </w:p>
        </w:tc>
        <w:tc>
          <w:tcPr>
            <w:tcW w:w="863" w:type="dxa"/>
            <w:tcBorders>
              <w:tl2br w:val="nil"/>
              <w:tr2bl w:val="nil"/>
            </w:tcBorders>
            <w:vAlign w:val="center"/>
          </w:tcPr>
          <w:p w14:paraId="0C8E400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17</w:t>
            </w:r>
          </w:p>
        </w:tc>
        <w:tc>
          <w:tcPr>
            <w:tcW w:w="869" w:type="dxa"/>
            <w:tcBorders>
              <w:tl2br w:val="nil"/>
              <w:tr2bl w:val="nil"/>
            </w:tcBorders>
            <w:vAlign w:val="center"/>
          </w:tcPr>
          <w:p w14:paraId="2F0F845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3.09</w:t>
            </w:r>
          </w:p>
        </w:tc>
        <w:tc>
          <w:tcPr>
            <w:tcW w:w="864" w:type="dxa"/>
            <w:tcBorders>
              <w:tl2br w:val="nil"/>
              <w:tr2bl w:val="nil"/>
            </w:tcBorders>
            <w:vAlign w:val="center"/>
          </w:tcPr>
          <w:p w14:paraId="7E1BB5E9">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0.30</w:t>
            </w:r>
          </w:p>
        </w:tc>
        <w:tc>
          <w:tcPr>
            <w:tcW w:w="864" w:type="dxa"/>
            <w:tcBorders>
              <w:tl2br w:val="nil"/>
              <w:tr2bl w:val="nil"/>
            </w:tcBorders>
            <w:vAlign w:val="center"/>
          </w:tcPr>
          <w:p w14:paraId="39558B0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10.3</w:t>
            </w:r>
          </w:p>
        </w:tc>
      </w:tr>
      <w:tr w14:paraId="6B15E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78C8C186">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7173BFC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第二次</w:t>
            </w:r>
          </w:p>
        </w:tc>
        <w:tc>
          <w:tcPr>
            <w:tcW w:w="938" w:type="dxa"/>
            <w:tcBorders>
              <w:tl2br w:val="nil"/>
              <w:tr2bl w:val="nil"/>
            </w:tcBorders>
            <w:vAlign w:val="center"/>
          </w:tcPr>
          <w:p w14:paraId="26B3E21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7.2</w:t>
            </w:r>
          </w:p>
        </w:tc>
        <w:tc>
          <w:tcPr>
            <w:tcW w:w="867" w:type="dxa"/>
            <w:tcBorders>
              <w:tl2br w:val="nil"/>
              <w:tr2bl w:val="nil"/>
            </w:tcBorders>
            <w:vAlign w:val="center"/>
          </w:tcPr>
          <w:p w14:paraId="0F800438">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25</w:t>
            </w:r>
          </w:p>
        </w:tc>
        <w:tc>
          <w:tcPr>
            <w:tcW w:w="868" w:type="dxa"/>
            <w:tcBorders>
              <w:tl2br w:val="nil"/>
              <w:tr2bl w:val="nil"/>
            </w:tcBorders>
            <w:vAlign w:val="center"/>
          </w:tcPr>
          <w:p w14:paraId="17A9B4FA">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4.8</w:t>
            </w:r>
          </w:p>
        </w:tc>
        <w:tc>
          <w:tcPr>
            <w:tcW w:w="863" w:type="dxa"/>
            <w:tcBorders>
              <w:tl2br w:val="nil"/>
              <w:tr2bl w:val="nil"/>
            </w:tcBorders>
            <w:vAlign w:val="center"/>
          </w:tcPr>
          <w:p w14:paraId="49932886">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13</w:t>
            </w:r>
          </w:p>
        </w:tc>
        <w:tc>
          <w:tcPr>
            <w:tcW w:w="869" w:type="dxa"/>
            <w:tcBorders>
              <w:tl2br w:val="nil"/>
              <w:tr2bl w:val="nil"/>
            </w:tcBorders>
            <w:vAlign w:val="center"/>
          </w:tcPr>
          <w:p w14:paraId="6E5398C7">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3.27</w:t>
            </w:r>
          </w:p>
        </w:tc>
        <w:tc>
          <w:tcPr>
            <w:tcW w:w="864" w:type="dxa"/>
            <w:tcBorders>
              <w:tl2br w:val="nil"/>
              <w:tr2bl w:val="nil"/>
            </w:tcBorders>
            <w:vAlign w:val="center"/>
          </w:tcPr>
          <w:p w14:paraId="7E11E53F">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0.31</w:t>
            </w:r>
          </w:p>
        </w:tc>
        <w:tc>
          <w:tcPr>
            <w:tcW w:w="864" w:type="dxa"/>
            <w:tcBorders>
              <w:tl2br w:val="nil"/>
              <w:tr2bl w:val="nil"/>
            </w:tcBorders>
            <w:vAlign w:val="center"/>
          </w:tcPr>
          <w:p w14:paraId="41A33AE7">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13.3</w:t>
            </w:r>
          </w:p>
        </w:tc>
      </w:tr>
      <w:tr w14:paraId="44DF7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15203AF0">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51A68A52">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第三次</w:t>
            </w:r>
          </w:p>
        </w:tc>
        <w:tc>
          <w:tcPr>
            <w:tcW w:w="938" w:type="dxa"/>
            <w:tcBorders>
              <w:tl2br w:val="nil"/>
              <w:tr2bl w:val="nil"/>
            </w:tcBorders>
            <w:vAlign w:val="center"/>
          </w:tcPr>
          <w:p w14:paraId="4823DA29">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7.2</w:t>
            </w:r>
          </w:p>
        </w:tc>
        <w:tc>
          <w:tcPr>
            <w:tcW w:w="867" w:type="dxa"/>
            <w:tcBorders>
              <w:tl2br w:val="nil"/>
              <w:tr2bl w:val="nil"/>
            </w:tcBorders>
            <w:vAlign w:val="center"/>
          </w:tcPr>
          <w:p w14:paraId="63E1BBEA">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21</w:t>
            </w:r>
          </w:p>
        </w:tc>
        <w:tc>
          <w:tcPr>
            <w:tcW w:w="868" w:type="dxa"/>
            <w:tcBorders>
              <w:tl2br w:val="nil"/>
              <w:tr2bl w:val="nil"/>
            </w:tcBorders>
            <w:vAlign w:val="center"/>
          </w:tcPr>
          <w:p w14:paraId="1045C3CC">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2.6</w:t>
            </w:r>
          </w:p>
        </w:tc>
        <w:tc>
          <w:tcPr>
            <w:tcW w:w="863" w:type="dxa"/>
            <w:tcBorders>
              <w:tl2br w:val="nil"/>
              <w:tr2bl w:val="nil"/>
            </w:tcBorders>
            <w:vAlign w:val="center"/>
          </w:tcPr>
          <w:p w14:paraId="3AEB29D7">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15</w:t>
            </w:r>
          </w:p>
        </w:tc>
        <w:tc>
          <w:tcPr>
            <w:tcW w:w="869" w:type="dxa"/>
            <w:tcBorders>
              <w:tl2br w:val="nil"/>
              <w:tr2bl w:val="nil"/>
            </w:tcBorders>
            <w:vAlign w:val="center"/>
          </w:tcPr>
          <w:p w14:paraId="0E382D72">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3.15</w:t>
            </w:r>
          </w:p>
        </w:tc>
        <w:tc>
          <w:tcPr>
            <w:tcW w:w="864" w:type="dxa"/>
            <w:tcBorders>
              <w:tl2br w:val="nil"/>
              <w:tr2bl w:val="nil"/>
            </w:tcBorders>
            <w:vAlign w:val="center"/>
          </w:tcPr>
          <w:p w14:paraId="5941A9BA">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0.28</w:t>
            </w:r>
          </w:p>
        </w:tc>
        <w:tc>
          <w:tcPr>
            <w:tcW w:w="864" w:type="dxa"/>
            <w:tcBorders>
              <w:tl2br w:val="nil"/>
              <w:tr2bl w:val="nil"/>
            </w:tcBorders>
            <w:vAlign w:val="center"/>
          </w:tcPr>
          <w:p w14:paraId="53435ED3">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12.2</w:t>
            </w:r>
          </w:p>
        </w:tc>
      </w:tr>
      <w:tr w14:paraId="5EFAB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26AEEBD1">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7FFDA96E">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第四次</w:t>
            </w:r>
          </w:p>
        </w:tc>
        <w:tc>
          <w:tcPr>
            <w:tcW w:w="938" w:type="dxa"/>
            <w:tcBorders>
              <w:tl2br w:val="nil"/>
              <w:tr2bl w:val="nil"/>
            </w:tcBorders>
            <w:vAlign w:val="center"/>
          </w:tcPr>
          <w:p w14:paraId="255FD0B1">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7.4</w:t>
            </w:r>
          </w:p>
        </w:tc>
        <w:tc>
          <w:tcPr>
            <w:tcW w:w="867" w:type="dxa"/>
            <w:tcBorders>
              <w:tl2br w:val="nil"/>
              <w:tr2bl w:val="nil"/>
            </w:tcBorders>
            <w:vAlign w:val="center"/>
          </w:tcPr>
          <w:p w14:paraId="76FAD38B">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26</w:t>
            </w:r>
          </w:p>
        </w:tc>
        <w:tc>
          <w:tcPr>
            <w:tcW w:w="868" w:type="dxa"/>
            <w:tcBorders>
              <w:tl2br w:val="nil"/>
              <w:tr2bl w:val="nil"/>
            </w:tcBorders>
            <w:vAlign w:val="center"/>
          </w:tcPr>
          <w:p w14:paraId="6C159600">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3.0</w:t>
            </w:r>
          </w:p>
        </w:tc>
        <w:tc>
          <w:tcPr>
            <w:tcW w:w="863" w:type="dxa"/>
            <w:tcBorders>
              <w:tl2br w:val="nil"/>
              <w:tr2bl w:val="nil"/>
            </w:tcBorders>
            <w:vAlign w:val="center"/>
          </w:tcPr>
          <w:p w14:paraId="618DCE38">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14</w:t>
            </w:r>
          </w:p>
        </w:tc>
        <w:tc>
          <w:tcPr>
            <w:tcW w:w="869" w:type="dxa"/>
            <w:tcBorders>
              <w:tl2br w:val="nil"/>
              <w:tr2bl w:val="nil"/>
            </w:tcBorders>
            <w:vAlign w:val="center"/>
          </w:tcPr>
          <w:p w14:paraId="7BB40205">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3.39</w:t>
            </w:r>
          </w:p>
        </w:tc>
        <w:tc>
          <w:tcPr>
            <w:tcW w:w="864" w:type="dxa"/>
            <w:tcBorders>
              <w:tl2br w:val="nil"/>
              <w:tr2bl w:val="nil"/>
            </w:tcBorders>
            <w:vAlign w:val="center"/>
          </w:tcPr>
          <w:p w14:paraId="1FE25459">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0.30</w:t>
            </w:r>
          </w:p>
        </w:tc>
        <w:tc>
          <w:tcPr>
            <w:tcW w:w="864" w:type="dxa"/>
            <w:tcBorders>
              <w:tl2br w:val="nil"/>
              <w:tr2bl w:val="nil"/>
            </w:tcBorders>
            <w:vAlign w:val="center"/>
          </w:tcPr>
          <w:p w14:paraId="67FC2F7F">
            <w:pPr>
              <w:ind w:left="-105" w:right="-105"/>
              <w:jc w:val="center"/>
              <w:rPr>
                <w:rFonts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rPr>
              <w:t>11.2</w:t>
            </w:r>
          </w:p>
        </w:tc>
      </w:tr>
      <w:tr w14:paraId="55C20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dxa"/>
            <w:vMerge w:val="continue"/>
            <w:tcBorders>
              <w:tl2br w:val="nil"/>
              <w:tr2bl w:val="nil"/>
            </w:tcBorders>
            <w:vAlign w:val="center"/>
          </w:tcPr>
          <w:p w14:paraId="1C1B0CE4">
            <w:pPr>
              <w:ind w:left="-105" w:right="-105"/>
              <w:jc w:val="center"/>
              <w:rPr>
                <w:rFonts w:ascii="Times New Roman" w:hAnsi="Times New Roman" w:cs="Times New Roman"/>
                <w:color w:val="auto"/>
                <w:sz w:val="18"/>
                <w:szCs w:val="18"/>
                <w:highlight w:val="none"/>
              </w:rPr>
            </w:pPr>
          </w:p>
        </w:tc>
        <w:tc>
          <w:tcPr>
            <w:tcW w:w="788" w:type="dxa"/>
            <w:tcBorders>
              <w:tl2br w:val="nil"/>
              <w:tr2bl w:val="nil"/>
            </w:tcBorders>
            <w:vAlign w:val="center"/>
          </w:tcPr>
          <w:p w14:paraId="73851130">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均值或范围</w:t>
            </w:r>
          </w:p>
        </w:tc>
        <w:tc>
          <w:tcPr>
            <w:tcW w:w="938" w:type="dxa"/>
            <w:tcBorders>
              <w:tl2br w:val="nil"/>
              <w:tr2bl w:val="nil"/>
            </w:tcBorders>
            <w:vAlign w:val="center"/>
          </w:tcPr>
          <w:p w14:paraId="52F49D32">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7.2~7.4</w:t>
            </w:r>
          </w:p>
        </w:tc>
        <w:tc>
          <w:tcPr>
            <w:tcW w:w="867" w:type="dxa"/>
            <w:tcBorders>
              <w:tl2br w:val="nil"/>
              <w:tr2bl w:val="nil"/>
            </w:tcBorders>
            <w:vAlign w:val="center"/>
          </w:tcPr>
          <w:p w14:paraId="225438A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24</w:t>
            </w:r>
          </w:p>
        </w:tc>
        <w:tc>
          <w:tcPr>
            <w:tcW w:w="868" w:type="dxa"/>
            <w:tcBorders>
              <w:tl2br w:val="nil"/>
              <w:tr2bl w:val="nil"/>
            </w:tcBorders>
            <w:vAlign w:val="center"/>
          </w:tcPr>
          <w:p w14:paraId="0430D551">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3.6</w:t>
            </w:r>
          </w:p>
        </w:tc>
        <w:tc>
          <w:tcPr>
            <w:tcW w:w="863" w:type="dxa"/>
            <w:tcBorders>
              <w:tl2br w:val="nil"/>
              <w:tr2bl w:val="nil"/>
            </w:tcBorders>
            <w:vAlign w:val="center"/>
          </w:tcPr>
          <w:p w14:paraId="0122BDC1">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15</w:t>
            </w:r>
          </w:p>
        </w:tc>
        <w:tc>
          <w:tcPr>
            <w:tcW w:w="869" w:type="dxa"/>
            <w:tcBorders>
              <w:tl2br w:val="nil"/>
              <w:tr2bl w:val="nil"/>
            </w:tcBorders>
            <w:vAlign w:val="center"/>
          </w:tcPr>
          <w:p w14:paraId="118C98F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3.23</w:t>
            </w:r>
          </w:p>
        </w:tc>
        <w:tc>
          <w:tcPr>
            <w:tcW w:w="864" w:type="dxa"/>
            <w:tcBorders>
              <w:tl2br w:val="nil"/>
              <w:tr2bl w:val="nil"/>
            </w:tcBorders>
            <w:vAlign w:val="center"/>
          </w:tcPr>
          <w:p w14:paraId="22CE4D8E">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0.30</w:t>
            </w:r>
          </w:p>
        </w:tc>
        <w:tc>
          <w:tcPr>
            <w:tcW w:w="864" w:type="dxa"/>
            <w:tcBorders>
              <w:tl2br w:val="nil"/>
              <w:tr2bl w:val="nil"/>
            </w:tcBorders>
            <w:vAlign w:val="center"/>
          </w:tcPr>
          <w:p w14:paraId="43303146">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11.8</w:t>
            </w:r>
          </w:p>
        </w:tc>
      </w:tr>
      <w:tr w14:paraId="18731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gridSpan w:val="2"/>
            <w:tcBorders>
              <w:tl2br w:val="nil"/>
              <w:tr2bl w:val="nil"/>
            </w:tcBorders>
            <w:vAlign w:val="center"/>
          </w:tcPr>
          <w:p w14:paraId="703C39E0">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标准限值</w:t>
            </w:r>
          </w:p>
        </w:tc>
        <w:tc>
          <w:tcPr>
            <w:tcW w:w="938" w:type="dxa"/>
            <w:tcBorders>
              <w:tl2br w:val="nil"/>
              <w:tr2bl w:val="nil"/>
            </w:tcBorders>
            <w:vAlign w:val="center"/>
          </w:tcPr>
          <w:p w14:paraId="07360B31">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6~9</w:t>
            </w:r>
          </w:p>
        </w:tc>
        <w:tc>
          <w:tcPr>
            <w:tcW w:w="867" w:type="dxa"/>
            <w:tcBorders>
              <w:tl2br w:val="nil"/>
              <w:tr2bl w:val="nil"/>
            </w:tcBorders>
            <w:vAlign w:val="center"/>
          </w:tcPr>
          <w:p w14:paraId="5755A15A">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50</w:t>
            </w:r>
          </w:p>
        </w:tc>
        <w:tc>
          <w:tcPr>
            <w:tcW w:w="868" w:type="dxa"/>
            <w:tcBorders>
              <w:tl2br w:val="nil"/>
              <w:tr2bl w:val="nil"/>
            </w:tcBorders>
            <w:vAlign w:val="center"/>
          </w:tcPr>
          <w:p w14:paraId="19C1C796">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10</w:t>
            </w:r>
          </w:p>
        </w:tc>
        <w:tc>
          <w:tcPr>
            <w:tcW w:w="863" w:type="dxa"/>
            <w:tcBorders>
              <w:tl2br w:val="nil"/>
              <w:tr2bl w:val="nil"/>
            </w:tcBorders>
            <w:vAlign w:val="center"/>
          </w:tcPr>
          <w:p w14:paraId="26FF73FA">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20</w:t>
            </w:r>
          </w:p>
        </w:tc>
        <w:tc>
          <w:tcPr>
            <w:tcW w:w="869" w:type="dxa"/>
            <w:tcBorders>
              <w:tl2br w:val="nil"/>
              <w:tr2bl w:val="nil"/>
            </w:tcBorders>
            <w:vAlign w:val="center"/>
          </w:tcPr>
          <w:p w14:paraId="01B092C4">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5</w:t>
            </w:r>
          </w:p>
        </w:tc>
        <w:tc>
          <w:tcPr>
            <w:tcW w:w="864" w:type="dxa"/>
            <w:tcBorders>
              <w:tl2br w:val="nil"/>
              <w:tr2bl w:val="nil"/>
            </w:tcBorders>
            <w:vAlign w:val="center"/>
          </w:tcPr>
          <w:p w14:paraId="5C643C70">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0.5</w:t>
            </w:r>
          </w:p>
        </w:tc>
        <w:tc>
          <w:tcPr>
            <w:tcW w:w="864" w:type="dxa"/>
            <w:tcBorders>
              <w:tl2br w:val="nil"/>
              <w:tr2bl w:val="nil"/>
            </w:tcBorders>
            <w:vAlign w:val="center"/>
          </w:tcPr>
          <w:p w14:paraId="0C9F76B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15</w:t>
            </w:r>
          </w:p>
        </w:tc>
      </w:tr>
      <w:tr w14:paraId="2808E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gridSpan w:val="2"/>
            <w:tcBorders>
              <w:tl2br w:val="nil"/>
              <w:tr2bl w:val="nil"/>
            </w:tcBorders>
            <w:vAlign w:val="center"/>
          </w:tcPr>
          <w:p w14:paraId="30B5A2F8">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评价</w:t>
            </w:r>
          </w:p>
        </w:tc>
        <w:tc>
          <w:tcPr>
            <w:tcW w:w="938" w:type="dxa"/>
            <w:tcBorders>
              <w:tl2br w:val="nil"/>
              <w:tr2bl w:val="nil"/>
            </w:tcBorders>
            <w:vAlign w:val="center"/>
          </w:tcPr>
          <w:p w14:paraId="54B79CB7">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7" w:type="dxa"/>
            <w:tcBorders>
              <w:tl2br w:val="nil"/>
              <w:tr2bl w:val="nil"/>
            </w:tcBorders>
            <w:vAlign w:val="center"/>
          </w:tcPr>
          <w:p w14:paraId="5EFC181B">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8" w:type="dxa"/>
            <w:tcBorders>
              <w:tl2br w:val="nil"/>
              <w:tr2bl w:val="nil"/>
            </w:tcBorders>
            <w:vAlign w:val="center"/>
          </w:tcPr>
          <w:p w14:paraId="28FF5A6D">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3" w:type="dxa"/>
            <w:tcBorders>
              <w:tl2br w:val="nil"/>
              <w:tr2bl w:val="nil"/>
            </w:tcBorders>
            <w:vAlign w:val="center"/>
          </w:tcPr>
          <w:p w14:paraId="3E3EF1C4">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9" w:type="dxa"/>
            <w:tcBorders>
              <w:tl2br w:val="nil"/>
              <w:tr2bl w:val="nil"/>
            </w:tcBorders>
            <w:vAlign w:val="center"/>
          </w:tcPr>
          <w:p w14:paraId="35AC6CD5">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4" w:type="dxa"/>
            <w:tcBorders>
              <w:tl2br w:val="nil"/>
              <w:tr2bl w:val="nil"/>
            </w:tcBorders>
            <w:vAlign w:val="center"/>
          </w:tcPr>
          <w:p w14:paraId="588B76C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c>
          <w:tcPr>
            <w:tcW w:w="864" w:type="dxa"/>
            <w:tcBorders>
              <w:tl2br w:val="nil"/>
              <w:tr2bl w:val="nil"/>
            </w:tcBorders>
            <w:vAlign w:val="center"/>
          </w:tcPr>
          <w:p w14:paraId="02390883">
            <w:pPr>
              <w:ind w:left="-105" w:right="-105"/>
              <w:jc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rPr>
              <w:t>合格</w:t>
            </w:r>
          </w:p>
        </w:tc>
      </w:tr>
    </w:tbl>
    <w:p w14:paraId="3E954647">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以上监测结果表明：验收监测期间，污水接管口的废水中各因子排放浓度符合《合成树脂工业污染物排放标准》（GB31572-2015）表2中的“直接排放”标准限值。</w:t>
      </w:r>
    </w:p>
    <w:p w14:paraId="7CE2F799">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hint="eastAsia" w:ascii="Times New Roman" w:hAnsi="Times New Roman"/>
          <w:color w:val="auto"/>
          <w:sz w:val="24"/>
          <w:szCs w:val="24"/>
          <w:highlight w:val="none"/>
        </w:rPr>
        <w:t>固体废物</w:t>
      </w:r>
    </w:p>
    <w:p w14:paraId="7EC72A70">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现有项目的一般固废均妥善处置，危险废物委托</w:t>
      </w:r>
      <w:r>
        <w:rPr>
          <w:rFonts w:hint="eastAsia" w:ascii="Times New Roman" w:hAnsi="Times New Roman"/>
          <w:color w:val="auto"/>
          <w:szCs w:val="22"/>
          <w:highlight w:val="none"/>
        </w:rPr>
        <w:t>资质单位</w:t>
      </w:r>
      <w:r>
        <w:rPr>
          <w:rFonts w:ascii="Times New Roman" w:hAnsi="Times New Roman"/>
          <w:color w:val="auto"/>
          <w:szCs w:val="22"/>
          <w:highlight w:val="none"/>
        </w:rPr>
        <w:t>处置，</w:t>
      </w:r>
      <w:r>
        <w:rPr>
          <w:rFonts w:hint="eastAsia" w:ascii="Times New Roman" w:hAnsi="Times New Roman"/>
          <w:color w:val="auto"/>
          <w:szCs w:val="22"/>
          <w:highlight w:val="none"/>
        </w:rPr>
        <w:t>现有项目固体废物产生及处置情况见下表：</w:t>
      </w:r>
    </w:p>
    <w:p w14:paraId="6AA35627">
      <w:pPr>
        <w:pStyle w:val="15"/>
        <w:spacing w:line="360" w:lineRule="auto"/>
        <w:ind w:left="-105" w:right="-105" w:firstLine="482"/>
        <w:rPr>
          <w:rFonts w:eastAsia="宋体" w:cs="Times New Roman"/>
          <w:bCs/>
          <w:color w:val="auto"/>
          <w:sz w:val="24"/>
          <w:szCs w:val="18"/>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10</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现有项目固体废物产生及处置情况表</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9"/>
        <w:gridCol w:w="1280"/>
        <w:gridCol w:w="1318"/>
        <w:gridCol w:w="811"/>
        <w:gridCol w:w="1318"/>
        <w:gridCol w:w="871"/>
        <w:gridCol w:w="886"/>
        <w:gridCol w:w="1094"/>
        <w:gridCol w:w="694"/>
      </w:tblGrid>
      <w:tr w14:paraId="5A071E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vMerge w:val="restart"/>
            <w:shd w:val="clear" w:color="auto" w:fill="auto"/>
            <w:vAlign w:val="center"/>
          </w:tcPr>
          <w:p w14:paraId="0A4AF876">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序号</w:t>
            </w:r>
          </w:p>
        </w:tc>
        <w:tc>
          <w:tcPr>
            <w:tcW w:w="1282" w:type="dxa"/>
            <w:vMerge w:val="restart"/>
            <w:shd w:val="clear" w:color="auto" w:fill="auto"/>
            <w:vAlign w:val="center"/>
          </w:tcPr>
          <w:p w14:paraId="56D46E22">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名称</w:t>
            </w:r>
          </w:p>
        </w:tc>
        <w:tc>
          <w:tcPr>
            <w:tcW w:w="1320" w:type="dxa"/>
            <w:vMerge w:val="restart"/>
            <w:shd w:val="clear" w:color="auto" w:fill="auto"/>
            <w:vAlign w:val="center"/>
          </w:tcPr>
          <w:p w14:paraId="79AB3D4E">
            <w:pPr>
              <w:ind w:left="-105" w:right="-105"/>
              <w:jc w:val="center"/>
              <w:rPr>
                <w:rFonts w:ascii="Times New Roman" w:hAnsi="Times New Roman" w:cs="Times New Roman"/>
                <w:b/>
                <w:bCs/>
                <w:color w:val="auto"/>
                <w:sz w:val="21"/>
                <w:szCs w:val="18"/>
                <w:highlight w:val="none"/>
              </w:rPr>
            </w:pPr>
            <w:r>
              <w:rPr>
                <w:rFonts w:hint="eastAsia" w:ascii="Times New Roman" w:hAnsi="Times New Roman" w:cs="Times New Roman"/>
                <w:b/>
                <w:bCs/>
                <w:color w:val="auto"/>
                <w:sz w:val="21"/>
                <w:szCs w:val="18"/>
                <w:highlight w:val="none"/>
              </w:rPr>
              <w:t>产生工序</w:t>
            </w:r>
          </w:p>
        </w:tc>
        <w:tc>
          <w:tcPr>
            <w:tcW w:w="810" w:type="dxa"/>
            <w:vMerge w:val="restart"/>
            <w:shd w:val="clear" w:color="auto" w:fill="auto"/>
            <w:vAlign w:val="center"/>
          </w:tcPr>
          <w:p w14:paraId="3EEBDE05">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废物代码</w:t>
            </w:r>
          </w:p>
        </w:tc>
        <w:tc>
          <w:tcPr>
            <w:tcW w:w="1320" w:type="dxa"/>
            <w:vMerge w:val="restart"/>
            <w:shd w:val="clear" w:color="auto" w:fill="auto"/>
            <w:vAlign w:val="center"/>
          </w:tcPr>
          <w:p w14:paraId="55E4F0B6">
            <w:pPr>
              <w:ind w:left="-105" w:right="-105"/>
              <w:jc w:val="center"/>
              <w:rPr>
                <w:rFonts w:ascii="Times New Roman" w:hAnsi="Times New Roman" w:cs="Times New Roman"/>
                <w:b/>
                <w:bCs/>
                <w:color w:val="auto"/>
                <w:sz w:val="21"/>
                <w:szCs w:val="18"/>
                <w:highlight w:val="none"/>
              </w:rPr>
            </w:pPr>
            <w:r>
              <w:rPr>
                <w:rFonts w:hint="eastAsia" w:ascii="Times New Roman" w:hAnsi="Times New Roman" w:cs="Times New Roman"/>
                <w:b/>
                <w:bCs/>
                <w:color w:val="auto"/>
                <w:sz w:val="21"/>
                <w:szCs w:val="18"/>
                <w:highlight w:val="none"/>
              </w:rPr>
              <w:t>废物类别</w:t>
            </w:r>
          </w:p>
        </w:tc>
        <w:tc>
          <w:tcPr>
            <w:tcW w:w="1755" w:type="dxa"/>
            <w:gridSpan w:val="2"/>
            <w:tcBorders>
              <w:right w:val="single" w:color="auto" w:sz="4" w:space="0"/>
            </w:tcBorders>
            <w:shd w:val="clear" w:color="auto" w:fill="auto"/>
            <w:vAlign w:val="center"/>
          </w:tcPr>
          <w:p w14:paraId="17A6F4A6">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产生量t/a</w:t>
            </w:r>
          </w:p>
        </w:tc>
        <w:tc>
          <w:tcPr>
            <w:tcW w:w="1095" w:type="dxa"/>
            <w:vMerge w:val="restart"/>
            <w:shd w:val="clear" w:color="auto" w:fill="auto"/>
            <w:vAlign w:val="center"/>
          </w:tcPr>
          <w:p w14:paraId="1B7E2C67">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处理处置方式</w:t>
            </w:r>
          </w:p>
        </w:tc>
        <w:tc>
          <w:tcPr>
            <w:tcW w:w="692" w:type="dxa"/>
            <w:vMerge w:val="restart"/>
            <w:shd w:val="clear" w:color="auto" w:fill="auto"/>
            <w:vAlign w:val="center"/>
          </w:tcPr>
          <w:p w14:paraId="24B8A550">
            <w:pPr>
              <w:ind w:left="-105" w:right="-105"/>
              <w:jc w:val="center"/>
              <w:rPr>
                <w:rFonts w:ascii="Times New Roman" w:hAnsi="Times New Roman" w:cs="Times New Roman"/>
                <w:b/>
                <w:bCs/>
                <w:color w:val="auto"/>
                <w:sz w:val="21"/>
                <w:szCs w:val="18"/>
                <w:highlight w:val="none"/>
              </w:rPr>
            </w:pPr>
            <w:r>
              <w:rPr>
                <w:rFonts w:ascii="Times New Roman" w:hAnsi="Times New Roman" w:cs="Times New Roman"/>
                <w:b/>
                <w:bCs/>
                <w:color w:val="auto"/>
                <w:sz w:val="21"/>
                <w:szCs w:val="18"/>
                <w:highlight w:val="none"/>
              </w:rPr>
              <w:t>是否符合要求</w:t>
            </w:r>
          </w:p>
        </w:tc>
      </w:tr>
      <w:tr w14:paraId="0FC4E9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vMerge w:val="continue"/>
            <w:vAlign w:val="center"/>
          </w:tcPr>
          <w:p w14:paraId="573FC239">
            <w:pPr>
              <w:ind w:left="-105" w:right="-105"/>
              <w:rPr>
                <w:rFonts w:ascii="Times New Roman" w:hAnsi="Times New Roman" w:cs="Times New Roman"/>
                <w:b/>
                <w:bCs/>
                <w:color w:val="auto"/>
                <w:sz w:val="21"/>
                <w:szCs w:val="18"/>
                <w:highlight w:val="none"/>
              </w:rPr>
            </w:pPr>
          </w:p>
        </w:tc>
        <w:tc>
          <w:tcPr>
            <w:tcW w:w="1282" w:type="dxa"/>
            <w:vMerge w:val="continue"/>
            <w:vAlign w:val="center"/>
          </w:tcPr>
          <w:p w14:paraId="6B1ADC8E">
            <w:pPr>
              <w:ind w:left="-105" w:right="-105"/>
              <w:rPr>
                <w:rFonts w:ascii="Times New Roman" w:hAnsi="Times New Roman" w:cs="Times New Roman"/>
                <w:b/>
                <w:bCs/>
                <w:color w:val="auto"/>
                <w:sz w:val="21"/>
                <w:szCs w:val="18"/>
                <w:highlight w:val="none"/>
              </w:rPr>
            </w:pPr>
          </w:p>
        </w:tc>
        <w:tc>
          <w:tcPr>
            <w:tcW w:w="1320" w:type="dxa"/>
            <w:vMerge w:val="continue"/>
            <w:vAlign w:val="center"/>
          </w:tcPr>
          <w:p w14:paraId="0ABFD23F">
            <w:pPr>
              <w:ind w:left="-105" w:right="-105"/>
              <w:rPr>
                <w:rFonts w:ascii="Times New Roman" w:hAnsi="Times New Roman" w:cs="Times New Roman"/>
                <w:b/>
                <w:bCs/>
                <w:color w:val="auto"/>
                <w:sz w:val="21"/>
                <w:szCs w:val="18"/>
                <w:highlight w:val="none"/>
              </w:rPr>
            </w:pPr>
          </w:p>
        </w:tc>
        <w:tc>
          <w:tcPr>
            <w:tcW w:w="810" w:type="dxa"/>
            <w:vMerge w:val="continue"/>
            <w:vAlign w:val="center"/>
          </w:tcPr>
          <w:p w14:paraId="4605C706">
            <w:pPr>
              <w:ind w:left="-105" w:right="-105"/>
              <w:rPr>
                <w:rFonts w:ascii="Times New Roman" w:hAnsi="Times New Roman" w:cs="Times New Roman"/>
                <w:b/>
                <w:bCs/>
                <w:color w:val="auto"/>
                <w:sz w:val="21"/>
                <w:szCs w:val="18"/>
                <w:highlight w:val="none"/>
              </w:rPr>
            </w:pPr>
          </w:p>
        </w:tc>
        <w:tc>
          <w:tcPr>
            <w:tcW w:w="1320" w:type="dxa"/>
            <w:vMerge w:val="continue"/>
            <w:vAlign w:val="center"/>
          </w:tcPr>
          <w:p w14:paraId="46967891">
            <w:pPr>
              <w:ind w:left="-105" w:right="-105"/>
              <w:rPr>
                <w:rFonts w:ascii="Times New Roman" w:hAnsi="Times New Roman" w:cs="Times New Roman"/>
                <w:b/>
                <w:bCs/>
                <w:color w:val="auto"/>
                <w:sz w:val="21"/>
                <w:szCs w:val="18"/>
                <w:highlight w:val="none"/>
              </w:rPr>
            </w:pPr>
          </w:p>
        </w:tc>
        <w:tc>
          <w:tcPr>
            <w:tcW w:w="870" w:type="dxa"/>
            <w:shd w:val="clear" w:color="auto" w:fill="auto"/>
            <w:vAlign w:val="center"/>
          </w:tcPr>
          <w:p w14:paraId="4B7E1B81">
            <w:pPr>
              <w:ind w:left="-105" w:right="-105"/>
              <w:jc w:val="center"/>
              <w:rPr>
                <w:rFonts w:ascii="Times New Roman" w:hAnsi="Times New Roman" w:cs="Times New Roman"/>
                <w:b/>
                <w:bCs/>
                <w:color w:val="auto"/>
                <w:sz w:val="21"/>
                <w:szCs w:val="18"/>
                <w:highlight w:val="none"/>
              </w:rPr>
            </w:pPr>
            <w:r>
              <w:rPr>
                <w:rFonts w:hint="eastAsia" w:ascii="Times New Roman" w:hAnsi="Times New Roman" w:cs="Times New Roman"/>
                <w:b/>
                <w:bCs/>
                <w:color w:val="auto"/>
                <w:sz w:val="21"/>
                <w:szCs w:val="18"/>
                <w:highlight w:val="none"/>
              </w:rPr>
              <w:t>环评量</w:t>
            </w:r>
          </w:p>
        </w:tc>
        <w:tc>
          <w:tcPr>
            <w:tcW w:w="885" w:type="dxa"/>
            <w:tcBorders>
              <w:right w:val="single" w:color="auto" w:sz="4" w:space="0"/>
            </w:tcBorders>
            <w:shd w:val="clear" w:color="auto" w:fill="auto"/>
            <w:vAlign w:val="center"/>
          </w:tcPr>
          <w:p w14:paraId="60B28B43">
            <w:pPr>
              <w:ind w:left="-105" w:right="-105"/>
              <w:jc w:val="center"/>
              <w:rPr>
                <w:rFonts w:ascii="Times New Roman" w:hAnsi="Times New Roman" w:cs="Times New Roman"/>
                <w:b/>
                <w:bCs/>
                <w:color w:val="auto"/>
                <w:sz w:val="21"/>
                <w:szCs w:val="18"/>
                <w:highlight w:val="none"/>
              </w:rPr>
            </w:pPr>
            <w:r>
              <w:rPr>
                <w:rFonts w:hint="eastAsia" w:ascii="Times New Roman" w:hAnsi="Times New Roman" w:cs="Times New Roman"/>
                <w:b/>
                <w:bCs/>
                <w:color w:val="auto"/>
                <w:sz w:val="21"/>
                <w:szCs w:val="18"/>
                <w:highlight w:val="none"/>
              </w:rPr>
              <w:t>变动量</w:t>
            </w:r>
          </w:p>
        </w:tc>
        <w:tc>
          <w:tcPr>
            <w:tcW w:w="1095" w:type="dxa"/>
            <w:vMerge w:val="continue"/>
            <w:vAlign w:val="center"/>
          </w:tcPr>
          <w:p w14:paraId="6ED6A499">
            <w:pPr>
              <w:ind w:left="-105" w:right="-105"/>
              <w:rPr>
                <w:rFonts w:ascii="Times New Roman" w:hAnsi="Times New Roman" w:cs="Times New Roman"/>
                <w:b/>
                <w:bCs/>
                <w:color w:val="auto"/>
                <w:sz w:val="21"/>
                <w:szCs w:val="18"/>
                <w:highlight w:val="none"/>
              </w:rPr>
            </w:pPr>
          </w:p>
        </w:tc>
        <w:tc>
          <w:tcPr>
            <w:tcW w:w="692" w:type="dxa"/>
            <w:vMerge w:val="continue"/>
            <w:vAlign w:val="center"/>
          </w:tcPr>
          <w:p w14:paraId="68799960">
            <w:pPr>
              <w:ind w:left="-105" w:right="-105"/>
              <w:rPr>
                <w:rFonts w:ascii="Times New Roman" w:hAnsi="Times New Roman" w:cs="Times New Roman"/>
                <w:b/>
                <w:bCs/>
                <w:color w:val="auto"/>
                <w:sz w:val="21"/>
                <w:szCs w:val="18"/>
                <w:highlight w:val="none"/>
              </w:rPr>
            </w:pPr>
          </w:p>
        </w:tc>
      </w:tr>
      <w:tr w14:paraId="74A88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00BB8C9E">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1</w:t>
            </w:r>
          </w:p>
        </w:tc>
        <w:tc>
          <w:tcPr>
            <w:tcW w:w="1282" w:type="dxa"/>
            <w:shd w:val="clear" w:color="auto" w:fill="auto"/>
            <w:vAlign w:val="center"/>
          </w:tcPr>
          <w:p w14:paraId="18EE01E3">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过滤残渣、浸润废料</w:t>
            </w:r>
          </w:p>
        </w:tc>
        <w:tc>
          <w:tcPr>
            <w:tcW w:w="1320" w:type="dxa"/>
            <w:vMerge w:val="restart"/>
            <w:shd w:val="clear" w:color="auto" w:fill="auto"/>
            <w:vAlign w:val="center"/>
          </w:tcPr>
          <w:p w14:paraId="101A1DA3">
            <w:pPr>
              <w:ind w:left="-105" w:right="-105"/>
              <w:jc w:val="center"/>
              <w:rPr>
                <w:color w:val="auto"/>
                <w:sz w:val="21"/>
                <w:szCs w:val="18"/>
                <w:highlight w:val="none"/>
              </w:rPr>
            </w:pPr>
            <w:r>
              <w:rPr>
                <w:rFonts w:hint="eastAsia"/>
                <w:color w:val="auto"/>
                <w:sz w:val="21"/>
                <w:szCs w:val="18"/>
                <w:highlight w:val="none"/>
              </w:rPr>
              <w:t>过滤收罐</w:t>
            </w:r>
          </w:p>
        </w:tc>
        <w:tc>
          <w:tcPr>
            <w:tcW w:w="810" w:type="dxa"/>
            <w:shd w:val="clear" w:color="auto" w:fill="auto"/>
            <w:vAlign w:val="center"/>
          </w:tcPr>
          <w:p w14:paraId="06BC0D46">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HW13</w:t>
            </w:r>
          </w:p>
        </w:tc>
        <w:tc>
          <w:tcPr>
            <w:tcW w:w="1320" w:type="dxa"/>
            <w:shd w:val="clear" w:color="auto" w:fill="auto"/>
            <w:vAlign w:val="center"/>
          </w:tcPr>
          <w:p w14:paraId="306ECFDE">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265-103-13</w:t>
            </w:r>
          </w:p>
        </w:tc>
        <w:tc>
          <w:tcPr>
            <w:tcW w:w="870" w:type="dxa"/>
            <w:shd w:val="clear" w:color="auto" w:fill="auto"/>
            <w:vAlign w:val="center"/>
          </w:tcPr>
          <w:p w14:paraId="299EB6E0">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40</w:t>
            </w:r>
          </w:p>
        </w:tc>
        <w:tc>
          <w:tcPr>
            <w:tcW w:w="885" w:type="dxa"/>
            <w:tcBorders>
              <w:right w:val="single" w:color="auto" w:sz="4" w:space="0"/>
            </w:tcBorders>
            <w:shd w:val="clear" w:color="auto" w:fill="auto"/>
            <w:vAlign w:val="center"/>
          </w:tcPr>
          <w:p w14:paraId="6CB7B4F7">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40</w:t>
            </w:r>
          </w:p>
        </w:tc>
        <w:tc>
          <w:tcPr>
            <w:tcW w:w="1095" w:type="dxa"/>
            <w:vMerge w:val="restart"/>
            <w:shd w:val="clear" w:color="auto" w:fill="auto"/>
            <w:vAlign w:val="center"/>
          </w:tcPr>
          <w:p w14:paraId="6533739A">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委托资质单位处理</w:t>
            </w:r>
          </w:p>
        </w:tc>
        <w:tc>
          <w:tcPr>
            <w:tcW w:w="692" w:type="dxa"/>
            <w:vMerge w:val="restart"/>
            <w:shd w:val="clear" w:color="auto" w:fill="auto"/>
            <w:vAlign w:val="center"/>
          </w:tcPr>
          <w:p w14:paraId="6EF17BB8">
            <w:pPr>
              <w:ind w:left="-105" w:right="-105"/>
              <w:jc w:val="center"/>
              <w:rPr>
                <w:rFonts w:ascii="Times New Roman" w:hAnsi="Times New Roman" w:cs="Times New Roman"/>
                <w:color w:val="auto"/>
                <w:sz w:val="21"/>
                <w:szCs w:val="18"/>
                <w:highlight w:val="none"/>
              </w:rPr>
            </w:pPr>
            <w:r>
              <w:rPr>
                <w:rFonts w:ascii="Times New Roman" w:hAnsi="Times New Roman" w:cs="Times New Roman"/>
                <w:color w:val="auto"/>
                <w:sz w:val="21"/>
                <w:szCs w:val="18"/>
                <w:highlight w:val="none"/>
              </w:rPr>
              <w:t>符合</w:t>
            </w:r>
          </w:p>
        </w:tc>
      </w:tr>
      <w:tr w14:paraId="5BCABB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66CE936C">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2</w:t>
            </w:r>
          </w:p>
        </w:tc>
        <w:tc>
          <w:tcPr>
            <w:tcW w:w="1282" w:type="dxa"/>
            <w:vAlign w:val="center"/>
          </w:tcPr>
          <w:p w14:paraId="5F2D2E2C">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废滤芯</w:t>
            </w:r>
          </w:p>
        </w:tc>
        <w:tc>
          <w:tcPr>
            <w:tcW w:w="1320" w:type="dxa"/>
            <w:vMerge w:val="continue"/>
            <w:shd w:val="clear" w:color="auto" w:fill="auto"/>
            <w:vAlign w:val="center"/>
          </w:tcPr>
          <w:p w14:paraId="71E68C4F">
            <w:pPr>
              <w:ind w:left="-105" w:right="-105"/>
              <w:jc w:val="center"/>
              <w:rPr>
                <w:rFonts w:ascii="Times New Roman" w:hAnsi="Times New Roman" w:eastAsia="等线" w:cs="Times New Roman"/>
                <w:color w:val="auto"/>
                <w:sz w:val="21"/>
                <w:szCs w:val="18"/>
                <w:highlight w:val="none"/>
              </w:rPr>
            </w:pPr>
          </w:p>
        </w:tc>
        <w:tc>
          <w:tcPr>
            <w:tcW w:w="810" w:type="dxa"/>
            <w:shd w:val="clear" w:color="auto" w:fill="auto"/>
            <w:vAlign w:val="center"/>
          </w:tcPr>
          <w:p w14:paraId="34CC605A">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HW49</w:t>
            </w:r>
          </w:p>
        </w:tc>
        <w:tc>
          <w:tcPr>
            <w:tcW w:w="1320" w:type="dxa"/>
            <w:shd w:val="clear" w:color="auto" w:fill="auto"/>
            <w:vAlign w:val="center"/>
          </w:tcPr>
          <w:p w14:paraId="3A207BE3">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900-041-49</w:t>
            </w:r>
          </w:p>
        </w:tc>
        <w:tc>
          <w:tcPr>
            <w:tcW w:w="870" w:type="dxa"/>
            <w:shd w:val="clear" w:color="auto" w:fill="auto"/>
            <w:vAlign w:val="center"/>
          </w:tcPr>
          <w:p w14:paraId="7ACC7D69">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1</w:t>
            </w:r>
          </w:p>
        </w:tc>
        <w:tc>
          <w:tcPr>
            <w:tcW w:w="885" w:type="dxa"/>
            <w:shd w:val="clear" w:color="auto" w:fill="auto"/>
            <w:vAlign w:val="center"/>
          </w:tcPr>
          <w:p w14:paraId="4D146D85">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5</w:t>
            </w:r>
          </w:p>
        </w:tc>
        <w:tc>
          <w:tcPr>
            <w:tcW w:w="1095" w:type="dxa"/>
            <w:vMerge w:val="continue"/>
            <w:vAlign w:val="center"/>
          </w:tcPr>
          <w:p w14:paraId="267E46D2">
            <w:pPr>
              <w:ind w:left="-105" w:right="-105"/>
              <w:rPr>
                <w:rFonts w:ascii="Times New Roman" w:hAnsi="Times New Roman" w:cs="Times New Roman"/>
                <w:color w:val="auto"/>
                <w:sz w:val="21"/>
                <w:szCs w:val="18"/>
                <w:highlight w:val="none"/>
              </w:rPr>
            </w:pPr>
          </w:p>
        </w:tc>
        <w:tc>
          <w:tcPr>
            <w:tcW w:w="692" w:type="dxa"/>
            <w:vMerge w:val="continue"/>
            <w:vAlign w:val="center"/>
          </w:tcPr>
          <w:p w14:paraId="4F2FB34A">
            <w:pPr>
              <w:ind w:left="-105" w:right="-105"/>
              <w:rPr>
                <w:rFonts w:ascii="Times New Roman" w:hAnsi="Times New Roman" w:cs="Times New Roman"/>
                <w:color w:val="auto"/>
                <w:sz w:val="21"/>
                <w:szCs w:val="18"/>
                <w:highlight w:val="none"/>
              </w:rPr>
            </w:pPr>
          </w:p>
        </w:tc>
      </w:tr>
      <w:tr w14:paraId="4A58B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22BBFBCA">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3</w:t>
            </w:r>
          </w:p>
        </w:tc>
        <w:tc>
          <w:tcPr>
            <w:tcW w:w="1282" w:type="dxa"/>
            <w:vAlign w:val="center"/>
          </w:tcPr>
          <w:p w14:paraId="6BDBAD5F">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废丁酮（含废树脂）</w:t>
            </w:r>
          </w:p>
        </w:tc>
        <w:tc>
          <w:tcPr>
            <w:tcW w:w="1320" w:type="dxa"/>
            <w:shd w:val="clear" w:color="auto" w:fill="auto"/>
            <w:vAlign w:val="center"/>
          </w:tcPr>
          <w:p w14:paraId="22681987">
            <w:pPr>
              <w:ind w:left="-105" w:right="-105"/>
              <w:jc w:val="center"/>
              <w:rPr>
                <w:color w:val="auto"/>
                <w:sz w:val="21"/>
                <w:szCs w:val="18"/>
                <w:highlight w:val="none"/>
              </w:rPr>
            </w:pPr>
            <w:r>
              <w:rPr>
                <w:rFonts w:hint="eastAsia"/>
                <w:color w:val="auto"/>
                <w:sz w:val="21"/>
                <w:szCs w:val="18"/>
                <w:highlight w:val="none"/>
              </w:rPr>
              <w:t>清洗反应罐</w:t>
            </w:r>
          </w:p>
        </w:tc>
        <w:tc>
          <w:tcPr>
            <w:tcW w:w="810" w:type="dxa"/>
            <w:shd w:val="clear" w:color="auto" w:fill="auto"/>
            <w:vAlign w:val="center"/>
          </w:tcPr>
          <w:p w14:paraId="38554317">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HW06</w:t>
            </w:r>
          </w:p>
        </w:tc>
        <w:tc>
          <w:tcPr>
            <w:tcW w:w="1320" w:type="dxa"/>
            <w:shd w:val="clear" w:color="auto" w:fill="auto"/>
            <w:vAlign w:val="center"/>
          </w:tcPr>
          <w:p w14:paraId="77D331B8">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900-404-06</w:t>
            </w:r>
          </w:p>
        </w:tc>
        <w:tc>
          <w:tcPr>
            <w:tcW w:w="870" w:type="dxa"/>
            <w:shd w:val="clear" w:color="auto" w:fill="auto"/>
            <w:vAlign w:val="center"/>
          </w:tcPr>
          <w:p w14:paraId="0886DC82">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153.75</w:t>
            </w:r>
          </w:p>
        </w:tc>
        <w:tc>
          <w:tcPr>
            <w:tcW w:w="885" w:type="dxa"/>
            <w:shd w:val="clear" w:color="auto" w:fill="auto"/>
            <w:vAlign w:val="center"/>
          </w:tcPr>
          <w:p w14:paraId="307164EA">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153.75</w:t>
            </w:r>
          </w:p>
        </w:tc>
        <w:tc>
          <w:tcPr>
            <w:tcW w:w="1095" w:type="dxa"/>
            <w:vMerge w:val="continue"/>
            <w:vAlign w:val="center"/>
          </w:tcPr>
          <w:p w14:paraId="3AA760E3">
            <w:pPr>
              <w:ind w:left="-105" w:right="-105"/>
              <w:rPr>
                <w:rFonts w:ascii="Times New Roman" w:hAnsi="Times New Roman" w:cs="Times New Roman"/>
                <w:color w:val="auto"/>
                <w:sz w:val="21"/>
                <w:szCs w:val="18"/>
                <w:highlight w:val="none"/>
              </w:rPr>
            </w:pPr>
          </w:p>
        </w:tc>
        <w:tc>
          <w:tcPr>
            <w:tcW w:w="692" w:type="dxa"/>
            <w:vMerge w:val="continue"/>
            <w:vAlign w:val="center"/>
          </w:tcPr>
          <w:p w14:paraId="3A226A13">
            <w:pPr>
              <w:ind w:left="-105" w:right="-105"/>
              <w:rPr>
                <w:rFonts w:ascii="Times New Roman" w:hAnsi="Times New Roman" w:cs="Times New Roman"/>
                <w:color w:val="auto"/>
                <w:sz w:val="21"/>
                <w:szCs w:val="18"/>
                <w:highlight w:val="none"/>
              </w:rPr>
            </w:pPr>
          </w:p>
        </w:tc>
      </w:tr>
      <w:tr w14:paraId="1C6DCC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0C0C1ABE">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4</w:t>
            </w:r>
          </w:p>
        </w:tc>
        <w:tc>
          <w:tcPr>
            <w:tcW w:w="1282" w:type="dxa"/>
            <w:vAlign w:val="center"/>
          </w:tcPr>
          <w:p w14:paraId="23FEFB91">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tc>
        <w:tc>
          <w:tcPr>
            <w:tcW w:w="1320" w:type="dxa"/>
            <w:shd w:val="clear" w:color="auto" w:fill="auto"/>
            <w:vAlign w:val="center"/>
          </w:tcPr>
          <w:p w14:paraId="50601902">
            <w:pPr>
              <w:ind w:left="-105" w:right="-105"/>
              <w:jc w:val="center"/>
              <w:rPr>
                <w:color w:val="auto"/>
                <w:sz w:val="21"/>
                <w:szCs w:val="18"/>
                <w:highlight w:val="none"/>
              </w:rPr>
            </w:pPr>
            <w:r>
              <w:rPr>
                <w:rFonts w:hint="eastAsia"/>
                <w:color w:val="auto"/>
                <w:sz w:val="21"/>
                <w:szCs w:val="18"/>
                <w:highlight w:val="none"/>
              </w:rPr>
              <w:t>废气处理</w:t>
            </w:r>
          </w:p>
        </w:tc>
        <w:tc>
          <w:tcPr>
            <w:tcW w:w="810" w:type="dxa"/>
            <w:shd w:val="clear" w:color="auto" w:fill="auto"/>
            <w:vAlign w:val="center"/>
          </w:tcPr>
          <w:p w14:paraId="3A5F5ED6">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HW49</w:t>
            </w:r>
          </w:p>
        </w:tc>
        <w:tc>
          <w:tcPr>
            <w:tcW w:w="1320" w:type="dxa"/>
            <w:shd w:val="clear" w:color="auto" w:fill="auto"/>
            <w:vAlign w:val="center"/>
          </w:tcPr>
          <w:p w14:paraId="77961CBE">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900-039-49</w:t>
            </w:r>
          </w:p>
        </w:tc>
        <w:tc>
          <w:tcPr>
            <w:tcW w:w="870" w:type="dxa"/>
            <w:shd w:val="clear" w:color="auto" w:fill="auto"/>
            <w:vAlign w:val="center"/>
          </w:tcPr>
          <w:p w14:paraId="3A9D3244">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8</w:t>
            </w:r>
          </w:p>
        </w:tc>
        <w:tc>
          <w:tcPr>
            <w:tcW w:w="885" w:type="dxa"/>
            <w:shd w:val="clear" w:color="auto" w:fill="auto"/>
            <w:vAlign w:val="center"/>
          </w:tcPr>
          <w:p w14:paraId="56999FBC">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9.612</w:t>
            </w:r>
          </w:p>
        </w:tc>
        <w:tc>
          <w:tcPr>
            <w:tcW w:w="1095" w:type="dxa"/>
            <w:vMerge w:val="continue"/>
            <w:vAlign w:val="center"/>
          </w:tcPr>
          <w:p w14:paraId="02238271">
            <w:pPr>
              <w:ind w:left="-105" w:right="-105"/>
              <w:rPr>
                <w:rFonts w:ascii="Times New Roman" w:hAnsi="Times New Roman" w:cs="Times New Roman"/>
                <w:color w:val="auto"/>
                <w:sz w:val="21"/>
                <w:szCs w:val="18"/>
                <w:highlight w:val="none"/>
              </w:rPr>
            </w:pPr>
          </w:p>
        </w:tc>
        <w:tc>
          <w:tcPr>
            <w:tcW w:w="692" w:type="dxa"/>
            <w:vMerge w:val="continue"/>
            <w:vAlign w:val="center"/>
          </w:tcPr>
          <w:p w14:paraId="74EB42C4">
            <w:pPr>
              <w:ind w:left="-105" w:right="-105"/>
              <w:rPr>
                <w:rFonts w:ascii="Times New Roman" w:hAnsi="Times New Roman" w:cs="Times New Roman"/>
                <w:color w:val="auto"/>
                <w:sz w:val="21"/>
                <w:szCs w:val="18"/>
                <w:highlight w:val="none"/>
              </w:rPr>
            </w:pPr>
          </w:p>
        </w:tc>
      </w:tr>
      <w:tr w14:paraId="69A328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23C6EA59">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5</w:t>
            </w:r>
          </w:p>
        </w:tc>
        <w:tc>
          <w:tcPr>
            <w:tcW w:w="1282" w:type="dxa"/>
            <w:vAlign w:val="center"/>
          </w:tcPr>
          <w:p w14:paraId="432C7630">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废包装桶</w:t>
            </w:r>
          </w:p>
        </w:tc>
        <w:tc>
          <w:tcPr>
            <w:tcW w:w="1320" w:type="dxa"/>
            <w:shd w:val="clear" w:color="auto" w:fill="auto"/>
            <w:vAlign w:val="center"/>
          </w:tcPr>
          <w:p w14:paraId="09EF2078">
            <w:pPr>
              <w:ind w:left="-105" w:right="-105"/>
              <w:jc w:val="center"/>
              <w:rPr>
                <w:color w:val="auto"/>
                <w:sz w:val="21"/>
                <w:szCs w:val="18"/>
                <w:highlight w:val="none"/>
              </w:rPr>
            </w:pPr>
            <w:r>
              <w:rPr>
                <w:rFonts w:hint="eastAsia"/>
                <w:color w:val="auto"/>
                <w:sz w:val="21"/>
                <w:szCs w:val="18"/>
                <w:highlight w:val="none"/>
              </w:rPr>
              <w:t>材料包装</w:t>
            </w:r>
          </w:p>
        </w:tc>
        <w:tc>
          <w:tcPr>
            <w:tcW w:w="810" w:type="dxa"/>
            <w:shd w:val="clear" w:color="auto" w:fill="auto"/>
            <w:vAlign w:val="center"/>
          </w:tcPr>
          <w:p w14:paraId="6D582D33">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HW49</w:t>
            </w:r>
          </w:p>
        </w:tc>
        <w:tc>
          <w:tcPr>
            <w:tcW w:w="1320" w:type="dxa"/>
            <w:shd w:val="clear" w:color="auto" w:fill="auto"/>
            <w:vAlign w:val="center"/>
          </w:tcPr>
          <w:p w14:paraId="02CA8EF9">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900-041-49</w:t>
            </w:r>
          </w:p>
        </w:tc>
        <w:tc>
          <w:tcPr>
            <w:tcW w:w="870" w:type="dxa"/>
            <w:shd w:val="clear" w:color="auto" w:fill="auto"/>
            <w:vAlign w:val="center"/>
          </w:tcPr>
          <w:p w14:paraId="19FA8B0A">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0</w:t>
            </w:r>
          </w:p>
        </w:tc>
        <w:tc>
          <w:tcPr>
            <w:tcW w:w="885" w:type="dxa"/>
            <w:shd w:val="clear" w:color="auto" w:fill="auto"/>
            <w:vAlign w:val="center"/>
          </w:tcPr>
          <w:p w14:paraId="5A42BEF2">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184.135</w:t>
            </w:r>
          </w:p>
        </w:tc>
        <w:tc>
          <w:tcPr>
            <w:tcW w:w="1095" w:type="dxa"/>
            <w:vMerge w:val="continue"/>
            <w:vAlign w:val="center"/>
          </w:tcPr>
          <w:p w14:paraId="132DC98A">
            <w:pPr>
              <w:ind w:left="-105" w:right="-105"/>
              <w:rPr>
                <w:rFonts w:ascii="Times New Roman" w:hAnsi="Times New Roman" w:cs="Times New Roman"/>
                <w:color w:val="auto"/>
                <w:sz w:val="21"/>
                <w:szCs w:val="18"/>
                <w:highlight w:val="none"/>
              </w:rPr>
            </w:pPr>
          </w:p>
        </w:tc>
        <w:tc>
          <w:tcPr>
            <w:tcW w:w="692" w:type="dxa"/>
            <w:vMerge w:val="continue"/>
            <w:vAlign w:val="center"/>
          </w:tcPr>
          <w:p w14:paraId="5B76A393">
            <w:pPr>
              <w:ind w:left="-105" w:right="-105"/>
              <w:rPr>
                <w:rFonts w:ascii="Times New Roman" w:hAnsi="Times New Roman" w:cs="Times New Roman"/>
                <w:color w:val="auto"/>
                <w:sz w:val="21"/>
                <w:szCs w:val="18"/>
                <w:highlight w:val="none"/>
              </w:rPr>
            </w:pPr>
          </w:p>
        </w:tc>
      </w:tr>
      <w:tr w14:paraId="2D1C63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4DDD1A1E">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6</w:t>
            </w:r>
          </w:p>
        </w:tc>
        <w:tc>
          <w:tcPr>
            <w:tcW w:w="1282" w:type="dxa"/>
            <w:vAlign w:val="center"/>
          </w:tcPr>
          <w:p w14:paraId="16CE0CED">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喷淋废液</w:t>
            </w:r>
          </w:p>
        </w:tc>
        <w:tc>
          <w:tcPr>
            <w:tcW w:w="1320" w:type="dxa"/>
            <w:shd w:val="clear" w:color="auto" w:fill="auto"/>
            <w:vAlign w:val="center"/>
          </w:tcPr>
          <w:p w14:paraId="6FB11B65">
            <w:pPr>
              <w:ind w:left="-105" w:right="-105"/>
              <w:jc w:val="center"/>
              <w:rPr>
                <w:color w:val="auto"/>
                <w:sz w:val="21"/>
                <w:szCs w:val="18"/>
                <w:highlight w:val="none"/>
              </w:rPr>
            </w:pPr>
            <w:r>
              <w:rPr>
                <w:rFonts w:hint="eastAsia"/>
                <w:color w:val="auto"/>
                <w:sz w:val="21"/>
                <w:szCs w:val="18"/>
                <w:highlight w:val="none"/>
              </w:rPr>
              <w:t>废气处理</w:t>
            </w:r>
          </w:p>
        </w:tc>
        <w:tc>
          <w:tcPr>
            <w:tcW w:w="810" w:type="dxa"/>
            <w:shd w:val="clear" w:color="auto" w:fill="auto"/>
            <w:vAlign w:val="center"/>
          </w:tcPr>
          <w:p w14:paraId="425F997A">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HW35</w:t>
            </w:r>
          </w:p>
        </w:tc>
        <w:tc>
          <w:tcPr>
            <w:tcW w:w="1320" w:type="dxa"/>
            <w:shd w:val="clear" w:color="auto" w:fill="auto"/>
            <w:vAlign w:val="center"/>
          </w:tcPr>
          <w:p w14:paraId="10AE166F">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900-399-35</w:t>
            </w:r>
          </w:p>
        </w:tc>
        <w:tc>
          <w:tcPr>
            <w:tcW w:w="870" w:type="dxa"/>
            <w:shd w:val="clear" w:color="auto" w:fill="auto"/>
            <w:vAlign w:val="center"/>
          </w:tcPr>
          <w:p w14:paraId="5261FCFB">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0</w:t>
            </w:r>
          </w:p>
        </w:tc>
        <w:tc>
          <w:tcPr>
            <w:tcW w:w="885" w:type="dxa"/>
            <w:shd w:val="clear" w:color="auto" w:fill="auto"/>
            <w:vAlign w:val="center"/>
          </w:tcPr>
          <w:p w14:paraId="76BE8782">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600</w:t>
            </w:r>
          </w:p>
        </w:tc>
        <w:tc>
          <w:tcPr>
            <w:tcW w:w="1095" w:type="dxa"/>
            <w:vMerge w:val="continue"/>
            <w:vAlign w:val="center"/>
          </w:tcPr>
          <w:p w14:paraId="2C6AB000">
            <w:pPr>
              <w:ind w:left="-105" w:right="-105"/>
              <w:rPr>
                <w:rFonts w:ascii="Times New Roman" w:hAnsi="Times New Roman" w:cs="Times New Roman"/>
                <w:color w:val="auto"/>
                <w:sz w:val="21"/>
                <w:szCs w:val="18"/>
                <w:highlight w:val="none"/>
              </w:rPr>
            </w:pPr>
          </w:p>
        </w:tc>
        <w:tc>
          <w:tcPr>
            <w:tcW w:w="692" w:type="dxa"/>
            <w:vMerge w:val="continue"/>
            <w:vAlign w:val="center"/>
          </w:tcPr>
          <w:p w14:paraId="04D2E0AD">
            <w:pPr>
              <w:ind w:left="-105" w:right="-105"/>
              <w:rPr>
                <w:rFonts w:ascii="Times New Roman" w:hAnsi="Times New Roman" w:cs="Times New Roman"/>
                <w:color w:val="auto"/>
                <w:sz w:val="21"/>
                <w:szCs w:val="18"/>
                <w:highlight w:val="none"/>
              </w:rPr>
            </w:pPr>
          </w:p>
        </w:tc>
      </w:tr>
      <w:tr w14:paraId="0E2CFC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46" w:type="dxa"/>
            <w:shd w:val="clear" w:color="auto" w:fill="auto"/>
            <w:vAlign w:val="center"/>
          </w:tcPr>
          <w:p w14:paraId="55955545">
            <w:pPr>
              <w:ind w:left="-105" w:right="-105"/>
              <w:jc w:val="center"/>
              <w:rPr>
                <w:rFonts w:ascii="Times New Roman" w:hAnsi="Times New Roman" w:eastAsia="等线" w:cs="Times New Roman"/>
                <w:color w:val="auto"/>
                <w:sz w:val="21"/>
                <w:szCs w:val="18"/>
                <w:highlight w:val="none"/>
              </w:rPr>
            </w:pPr>
            <w:r>
              <w:rPr>
                <w:rFonts w:ascii="Times New Roman" w:hAnsi="Times New Roman" w:eastAsia="等线" w:cs="Times New Roman"/>
                <w:color w:val="auto"/>
                <w:sz w:val="21"/>
                <w:szCs w:val="18"/>
                <w:highlight w:val="none"/>
              </w:rPr>
              <w:t>7</w:t>
            </w:r>
          </w:p>
        </w:tc>
        <w:tc>
          <w:tcPr>
            <w:tcW w:w="1282" w:type="dxa"/>
            <w:vAlign w:val="center"/>
          </w:tcPr>
          <w:p w14:paraId="480706A4">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生活垃圾</w:t>
            </w:r>
          </w:p>
        </w:tc>
        <w:tc>
          <w:tcPr>
            <w:tcW w:w="1320" w:type="dxa"/>
            <w:shd w:val="clear" w:color="auto" w:fill="auto"/>
            <w:vAlign w:val="center"/>
          </w:tcPr>
          <w:p w14:paraId="48306ADC">
            <w:pPr>
              <w:ind w:left="-105" w:right="-105"/>
              <w:jc w:val="center"/>
              <w:rPr>
                <w:color w:val="auto"/>
                <w:sz w:val="21"/>
                <w:szCs w:val="18"/>
                <w:highlight w:val="none"/>
              </w:rPr>
            </w:pPr>
            <w:r>
              <w:rPr>
                <w:rFonts w:hint="eastAsia"/>
                <w:color w:val="auto"/>
                <w:sz w:val="21"/>
                <w:szCs w:val="18"/>
                <w:highlight w:val="none"/>
              </w:rPr>
              <w:t>员工生活</w:t>
            </w:r>
          </w:p>
        </w:tc>
        <w:tc>
          <w:tcPr>
            <w:tcW w:w="810" w:type="dxa"/>
            <w:shd w:val="clear" w:color="auto" w:fill="auto"/>
            <w:vAlign w:val="center"/>
          </w:tcPr>
          <w:p w14:paraId="394ED187">
            <w:pPr>
              <w:ind w:left="-105" w:right="-105"/>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SW64</w:t>
            </w:r>
          </w:p>
        </w:tc>
        <w:tc>
          <w:tcPr>
            <w:tcW w:w="1320" w:type="dxa"/>
            <w:shd w:val="clear" w:color="auto" w:fill="auto"/>
            <w:vAlign w:val="center"/>
          </w:tcPr>
          <w:p w14:paraId="05BB83CB">
            <w:pPr>
              <w:ind w:left="-105" w:right="-105"/>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900-099-S64</w:t>
            </w:r>
          </w:p>
        </w:tc>
        <w:tc>
          <w:tcPr>
            <w:tcW w:w="870" w:type="dxa"/>
            <w:shd w:val="clear" w:color="auto" w:fill="auto"/>
            <w:vAlign w:val="center"/>
          </w:tcPr>
          <w:p w14:paraId="651AADFD">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3</w:t>
            </w:r>
          </w:p>
        </w:tc>
        <w:tc>
          <w:tcPr>
            <w:tcW w:w="885" w:type="dxa"/>
            <w:shd w:val="clear" w:color="auto" w:fill="auto"/>
            <w:vAlign w:val="center"/>
          </w:tcPr>
          <w:p w14:paraId="2D553AD4">
            <w:pPr>
              <w:ind w:left="-105" w:right="-105"/>
              <w:jc w:val="center"/>
              <w:rPr>
                <w:rFonts w:ascii="Times New Roman" w:hAnsi="Times New Roman" w:eastAsia="等线" w:cs="Times New Roman"/>
                <w:color w:val="auto"/>
                <w:sz w:val="21"/>
                <w:szCs w:val="18"/>
                <w:highlight w:val="none"/>
              </w:rPr>
            </w:pPr>
            <w:r>
              <w:rPr>
                <w:rFonts w:hint="eastAsia" w:ascii="Times New Roman" w:hAnsi="Times New Roman" w:eastAsia="等线" w:cs="Times New Roman"/>
                <w:color w:val="auto"/>
                <w:sz w:val="21"/>
                <w:szCs w:val="18"/>
                <w:highlight w:val="none"/>
              </w:rPr>
              <w:t>3</w:t>
            </w:r>
          </w:p>
        </w:tc>
        <w:tc>
          <w:tcPr>
            <w:tcW w:w="1095" w:type="dxa"/>
            <w:vAlign w:val="center"/>
          </w:tcPr>
          <w:p w14:paraId="551E828E">
            <w:pPr>
              <w:ind w:left="-105" w:right="-105"/>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环卫清运</w:t>
            </w:r>
          </w:p>
        </w:tc>
        <w:tc>
          <w:tcPr>
            <w:tcW w:w="692" w:type="dxa"/>
            <w:vMerge w:val="continue"/>
            <w:vAlign w:val="center"/>
          </w:tcPr>
          <w:p w14:paraId="07A9BACC">
            <w:pPr>
              <w:ind w:left="-105" w:right="-105"/>
              <w:rPr>
                <w:rFonts w:ascii="Times New Roman" w:hAnsi="Times New Roman" w:cs="Times New Roman"/>
                <w:color w:val="auto"/>
                <w:sz w:val="21"/>
                <w:szCs w:val="18"/>
                <w:highlight w:val="none"/>
              </w:rPr>
            </w:pPr>
          </w:p>
        </w:tc>
      </w:tr>
    </w:tbl>
    <w:p w14:paraId="7B9F1081">
      <w:pPr>
        <w:spacing w:line="360" w:lineRule="auto"/>
        <w:ind w:left="-105" w:right="-105" w:firstLine="480" w:firstLineChars="200"/>
        <w:jc w:val="both"/>
        <w:rPr>
          <w:rFonts w:ascii="Times New Roman" w:hAnsi="Times New Roman"/>
          <w:color w:val="auto"/>
          <w:szCs w:val="22"/>
          <w:highlight w:val="none"/>
        </w:rPr>
      </w:pPr>
      <w:r>
        <w:rPr>
          <w:rFonts w:ascii="Times New Roman" w:hAnsi="Times New Roman"/>
          <w:color w:val="auto"/>
          <w:szCs w:val="22"/>
          <w:highlight w:val="none"/>
        </w:rPr>
        <w:t>暂存于危废仓库时严格按照规范《危险废物贮存污染控制标准》(GB18596-20</w:t>
      </w:r>
      <w:r>
        <w:rPr>
          <w:rFonts w:hint="eastAsia" w:ascii="Times New Roman" w:hAnsi="Times New Roman"/>
          <w:color w:val="auto"/>
          <w:szCs w:val="22"/>
          <w:highlight w:val="none"/>
        </w:rPr>
        <w:t>23</w:t>
      </w:r>
      <w:r>
        <w:rPr>
          <w:rFonts w:ascii="Times New Roman" w:hAnsi="Times New Roman"/>
          <w:color w:val="auto"/>
          <w:szCs w:val="22"/>
          <w:highlight w:val="none"/>
        </w:rPr>
        <w:t>)要求布置：</w:t>
      </w:r>
    </w:p>
    <w:p w14:paraId="30D679D5">
      <w:pPr>
        <w:pStyle w:val="15"/>
        <w:spacing w:line="360" w:lineRule="auto"/>
        <w:ind w:left="-105" w:right="-105" w:firstLine="482"/>
        <w:rPr>
          <w:rFonts w:eastAsia="宋体" w:cs="Times New Roman"/>
          <w:bCs/>
          <w:color w:val="auto"/>
          <w:sz w:val="24"/>
          <w:szCs w:val="18"/>
          <w:highlight w:val="none"/>
        </w:rPr>
      </w:pPr>
      <w:r>
        <w:rPr>
          <w:rFonts w:eastAsia="宋体" w:cs="Times New Roman"/>
          <w:bCs/>
          <w:color w:val="auto"/>
          <w:sz w:val="24"/>
          <w:szCs w:val="18"/>
          <w:highlight w:val="none"/>
        </w:rPr>
        <w:t>表</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STYLEREF 2 \s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3.3</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w:t>
      </w:r>
      <w:r>
        <w:rPr>
          <w:rFonts w:eastAsia="宋体" w:cs="Times New Roman"/>
          <w:bCs/>
          <w:color w:val="auto"/>
          <w:sz w:val="24"/>
          <w:szCs w:val="18"/>
          <w:highlight w:val="none"/>
        </w:rPr>
        <w:fldChar w:fldCharType="begin"/>
      </w:r>
      <w:r>
        <w:rPr>
          <w:rFonts w:eastAsia="宋体" w:cs="Times New Roman"/>
          <w:bCs/>
          <w:color w:val="auto"/>
          <w:sz w:val="24"/>
          <w:szCs w:val="18"/>
          <w:highlight w:val="none"/>
        </w:rPr>
        <w:instrText xml:space="preserve"> SEQ 表 \* ARABIC \s 2 </w:instrText>
      </w:r>
      <w:r>
        <w:rPr>
          <w:rFonts w:eastAsia="宋体" w:cs="Times New Roman"/>
          <w:bCs/>
          <w:color w:val="auto"/>
          <w:sz w:val="24"/>
          <w:szCs w:val="18"/>
          <w:highlight w:val="none"/>
        </w:rPr>
        <w:fldChar w:fldCharType="separate"/>
      </w:r>
      <w:r>
        <w:rPr>
          <w:rFonts w:eastAsia="宋体" w:cs="Times New Roman"/>
          <w:bCs/>
          <w:color w:val="auto"/>
          <w:sz w:val="24"/>
          <w:szCs w:val="18"/>
          <w:highlight w:val="none"/>
        </w:rPr>
        <w:t>11</w:t>
      </w:r>
      <w:r>
        <w:rPr>
          <w:rFonts w:eastAsia="宋体" w:cs="Times New Roman"/>
          <w:bCs/>
          <w:color w:val="auto"/>
          <w:sz w:val="24"/>
          <w:szCs w:val="18"/>
          <w:highlight w:val="none"/>
        </w:rPr>
        <w:fldChar w:fldCharType="end"/>
      </w:r>
      <w:r>
        <w:rPr>
          <w:rFonts w:hint="eastAsia" w:eastAsia="宋体" w:cs="Times New Roman"/>
          <w:bCs/>
          <w:color w:val="auto"/>
          <w:sz w:val="24"/>
          <w:szCs w:val="18"/>
          <w:highlight w:val="none"/>
        </w:rPr>
        <w:t>现有项目贮存设施建设要求相符性</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6"/>
        <w:gridCol w:w="3792"/>
        <w:gridCol w:w="3226"/>
        <w:gridCol w:w="1030"/>
      </w:tblGrid>
      <w:tr w14:paraId="05190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2EEF61C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2229" w:type="pct"/>
            <w:vAlign w:val="center"/>
          </w:tcPr>
          <w:p w14:paraId="03EF6D3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贮存设施建设要求</w:t>
            </w:r>
          </w:p>
        </w:tc>
        <w:tc>
          <w:tcPr>
            <w:tcW w:w="1896" w:type="pct"/>
            <w:vAlign w:val="center"/>
          </w:tcPr>
          <w:p w14:paraId="7099136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建设单位应采取的应对措施</w:t>
            </w:r>
          </w:p>
        </w:tc>
        <w:tc>
          <w:tcPr>
            <w:tcW w:w="605" w:type="pct"/>
            <w:vAlign w:val="center"/>
          </w:tcPr>
          <w:p w14:paraId="6DF6594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相符性</w:t>
            </w:r>
          </w:p>
        </w:tc>
      </w:tr>
      <w:tr w14:paraId="57D1D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FA2857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229" w:type="pct"/>
            <w:vAlign w:val="center"/>
          </w:tcPr>
          <w:p w14:paraId="77BE8A05">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贮存设施应根据危险废物的形态、物理化学性质、包装形式和污染物迁移途径，采取必要的防风、防晒、防雨、防漏、防渗、防腐以及其他环境污染防治措施，不应露天堆放危险废物。</w:t>
            </w:r>
          </w:p>
        </w:tc>
        <w:tc>
          <w:tcPr>
            <w:tcW w:w="1896" w:type="pct"/>
            <w:vAlign w:val="center"/>
          </w:tcPr>
          <w:p w14:paraId="6E08BF7E">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企业危废仓库为独立的库房，具备防风、防晒、防雨、防漏、防渗、防腐的功能，并设置有事故废水收集措施。</w:t>
            </w:r>
            <w:r>
              <w:rPr>
                <w:rFonts w:hint="eastAsia" w:ascii="Times New Roman" w:hAnsi="Times New Roman" w:cs="Times New Roman"/>
                <w:bCs/>
                <w:color w:val="auto"/>
                <w:sz w:val="21"/>
                <w:szCs w:val="21"/>
                <w:highlight w:val="none"/>
              </w:rPr>
              <w:t>废液储罐区有围堰，并与事故应急池连通。</w:t>
            </w:r>
          </w:p>
        </w:tc>
        <w:tc>
          <w:tcPr>
            <w:tcW w:w="605" w:type="pct"/>
            <w:vAlign w:val="center"/>
          </w:tcPr>
          <w:p w14:paraId="4187771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相符</w:t>
            </w:r>
          </w:p>
        </w:tc>
      </w:tr>
      <w:tr w14:paraId="7DC5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2FF32CB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229" w:type="pct"/>
            <w:vAlign w:val="center"/>
          </w:tcPr>
          <w:p w14:paraId="670CF30E">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贮存设施应根据危险废物的类别、数量、形态、物理化学性质和污染防治等要求设置必要的贮存分区，避免不相容的危险废物接触、混合。</w:t>
            </w:r>
          </w:p>
        </w:tc>
        <w:tc>
          <w:tcPr>
            <w:tcW w:w="1896" w:type="pct"/>
            <w:vAlign w:val="center"/>
          </w:tcPr>
          <w:p w14:paraId="12988DA8">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企业将针对危险废物种类、数量形态、物理化学性质和污染防治等要求设置必要的贮存分区。</w:t>
            </w:r>
          </w:p>
          <w:p w14:paraId="28F7DAD8">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危险废物采用合适的包装，危废仓库地面采取防渗措施。危废间内设置禁火标志，并布置灭火器、沙包等消防物资。</w:t>
            </w:r>
          </w:p>
        </w:tc>
        <w:tc>
          <w:tcPr>
            <w:tcW w:w="605" w:type="pct"/>
            <w:vAlign w:val="center"/>
          </w:tcPr>
          <w:p w14:paraId="5D25706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r w14:paraId="3BEAD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E65FC5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229" w:type="pct"/>
            <w:vAlign w:val="center"/>
          </w:tcPr>
          <w:p w14:paraId="5E22BAD4">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896" w:type="pct"/>
            <w:vAlign w:val="center"/>
          </w:tcPr>
          <w:p w14:paraId="233661CA">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hint="eastAsia" w:ascii="Times New Roman" w:hAnsi="Times New Roman" w:cs="Times New Roman"/>
                <w:bCs/>
                <w:color w:val="auto"/>
                <w:sz w:val="21"/>
                <w:szCs w:val="21"/>
                <w:highlight w:val="none"/>
                <w:lang w:val="en-US" w:eastAsia="zh-CN"/>
              </w:rPr>
            </w:pPr>
            <w:r>
              <w:rPr>
                <w:rFonts w:ascii="Times New Roman" w:hAnsi="Times New Roman" w:cs="Times New Roman"/>
                <w:bCs/>
                <w:color w:val="auto"/>
                <w:sz w:val="21"/>
                <w:szCs w:val="21"/>
                <w:highlight w:val="none"/>
              </w:rPr>
              <w:t>企业危废仓库设立独立区域，</w:t>
            </w:r>
            <w:r>
              <w:rPr>
                <w:rFonts w:hint="eastAsia" w:ascii="Times New Roman" w:hAnsi="Times New Roman" w:cs="Times New Roman"/>
                <w:bCs/>
                <w:color w:val="auto"/>
                <w:sz w:val="21"/>
                <w:szCs w:val="21"/>
                <w:highlight w:val="none"/>
                <w:lang w:val="en-US" w:eastAsia="zh-CN"/>
              </w:rPr>
              <w:t>库内设置防泄漏托盘和收集沟，收集沟与收集坑相连通。</w:t>
            </w:r>
          </w:p>
          <w:p w14:paraId="1C7EC5DB">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hint="eastAsia" w:ascii="Times New Roman" w:hAnsi="Times New Roman" w:cs="Times New Roman"/>
                <w:bCs/>
                <w:color w:val="auto"/>
                <w:sz w:val="21"/>
                <w:szCs w:val="21"/>
                <w:highlight w:val="none"/>
                <w:lang w:val="en-US" w:eastAsia="zh-CN"/>
              </w:rPr>
              <w:t>废液储罐区有围堰，并于事故应急池连通</w:t>
            </w:r>
            <w:r>
              <w:rPr>
                <w:rFonts w:ascii="Times New Roman" w:hAnsi="Times New Roman" w:cs="Times New Roman"/>
                <w:bCs/>
                <w:color w:val="auto"/>
                <w:sz w:val="21"/>
                <w:szCs w:val="21"/>
                <w:highlight w:val="none"/>
              </w:rPr>
              <w:t>。</w:t>
            </w:r>
          </w:p>
        </w:tc>
        <w:tc>
          <w:tcPr>
            <w:tcW w:w="605" w:type="pct"/>
            <w:vAlign w:val="center"/>
          </w:tcPr>
          <w:p w14:paraId="59E0D9D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bCs/>
                <w:color w:val="auto"/>
                <w:sz w:val="21"/>
                <w:szCs w:val="21"/>
                <w:highlight w:val="none"/>
              </w:rPr>
              <w:t>相符</w:t>
            </w:r>
          </w:p>
        </w:tc>
      </w:tr>
      <w:tr w14:paraId="7674C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06C5334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229" w:type="pct"/>
            <w:vAlign w:val="center"/>
          </w:tcPr>
          <w:p w14:paraId="270713AC">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贮存易产生粉尘、VOCs、酸雾、有毒有害大气污染物和刺激性气味气体的危险废物贮存库，应设置气体收集装置和气体净化设施。</w:t>
            </w:r>
          </w:p>
        </w:tc>
        <w:tc>
          <w:tcPr>
            <w:tcW w:w="1896" w:type="pct"/>
            <w:vAlign w:val="center"/>
          </w:tcPr>
          <w:p w14:paraId="0EBC91AF">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危险废物</w:t>
            </w:r>
            <w:r>
              <w:rPr>
                <w:rFonts w:hint="eastAsia" w:ascii="Times New Roman" w:hAnsi="Times New Roman" w:cs="Times New Roman"/>
                <w:bCs/>
                <w:color w:val="auto"/>
                <w:sz w:val="21"/>
                <w:szCs w:val="21"/>
                <w:highlight w:val="none"/>
              </w:rPr>
              <w:t>均通过密闭容器贮存，吨袋有内衬、袋口扎紧，</w:t>
            </w:r>
            <w:r>
              <w:rPr>
                <w:rFonts w:hint="eastAsia" w:ascii="Times New Roman" w:hAnsi="Times New Roman" w:cs="Times New Roman"/>
                <w:bCs/>
                <w:color w:val="auto"/>
                <w:sz w:val="21"/>
                <w:szCs w:val="21"/>
                <w:highlight w:val="none"/>
                <w:lang w:val="en-US" w:eastAsia="zh-CN"/>
              </w:rPr>
              <w:t>废丁酮</w:t>
            </w:r>
            <w:r>
              <w:rPr>
                <w:rFonts w:hint="eastAsia" w:ascii="Times New Roman" w:hAnsi="Times New Roman" w:cs="Times New Roman"/>
                <w:bCs/>
                <w:color w:val="auto"/>
                <w:sz w:val="21"/>
                <w:szCs w:val="21"/>
                <w:highlight w:val="none"/>
              </w:rPr>
              <w:t>包装桶均</w:t>
            </w:r>
            <w:r>
              <w:rPr>
                <w:rFonts w:hint="eastAsia" w:ascii="Times New Roman" w:hAnsi="Times New Roman" w:cs="Times New Roman"/>
                <w:bCs/>
                <w:color w:val="auto"/>
                <w:sz w:val="21"/>
                <w:szCs w:val="21"/>
                <w:highlight w:val="none"/>
                <w:lang w:val="en-US" w:eastAsia="zh-CN"/>
              </w:rPr>
              <w:t>盖紧</w:t>
            </w:r>
            <w:r>
              <w:rPr>
                <w:rFonts w:hint="eastAsia" w:ascii="Times New Roman" w:hAnsi="Times New Roman" w:cs="Times New Roman"/>
                <w:bCs/>
                <w:color w:val="auto"/>
                <w:sz w:val="21"/>
                <w:szCs w:val="21"/>
                <w:highlight w:val="none"/>
              </w:rPr>
              <w:t>桶盖并用塑料膜缠绕，故</w:t>
            </w:r>
            <w:r>
              <w:rPr>
                <w:rFonts w:hint="eastAsia" w:ascii="Times New Roman" w:hAnsi="Times New Roman" w:cs="Times New Roman"/>
                <w:bCs/>
                <w:color w:val="auto"/>
                <w:sz w:val="21"/>
                <w:szCs w:val="21"/>
                <w:highlight w:val="none"/>
              </w:rPr>
              <w:t>不</w:t>
            </w:r>
            <w:r>
              <w:rPr>
                <w:rFonts w:ascii="Times New Roman" w:hAnsi="Times New Roman" w:cs="Times New Roman"/>
                <w:bCs/>
                <w:color w:val="auto"/>
                <w:sz w:val="21"/>
                <w:szCs w:val="21"/>
                <w:highlight w:val="none"/>
              </w:rPr>
              <w:t>易产生粉尘、VOCs、酸雾、有毒有害大气污染物和刺激性气味气体</w:t>
            </w:r>
            <w:r>
              <w:rPr>
                <w:rFonts w:hint="eastAsia" w:ascii="Times New Roman" w:hAnsi="Times New Roman" w:cs="Times New Roman"/>
                <w:bCs/>
                <w:color w:val="auto"/>
                <w:sz w:val="21"/>
                <w:szCs w:val="21"/>
                <w:highlight w:val="none"/>
              </w:rPr>
              <w:t>，</w:t>
            </w:r>
            <w:r>
              <w:rPr>
                <w:rFonts w:ascii="Times New Roman" w:hAnsi="Times New Roman" w:cs="Times New Roman"/>
                <w:bCs/>
                <w:color w:val="auto"/>
                <w:sz w:val="21"/>
                <w:szCs w:val="21"/>
                <w:highlight w:val="none"/>
              </w:rPr>
              <w:t>仓库</w:t>
            </w:r>
            <w:r>
              <w:rPr>
                <w:rFonts w:hint="eastAsia" w:ascii="Times New Roman" w:hAnsi="Times New Roman" w:cs="Times New Roman"/>
                <w:bCs/>
                <w:color w:val="auto"/>
                <w:sz w:val="21"/>
                <w:szCs w:val="21"/>
                <w:highlight w:val="none"/>
              </w:rPr>
              <w:t>无需</w:t>
            </w:r>
            <w:r>
              <w:rPr>
                <w:rFonts w:ascii="Times New Roman" w:hAnsi="Times New Roman" w:cs="Times New Roman"/>
                <w:bCs/>
                <w:color w:val="auto"/>
                <w:sz w:val="21"/>
                <w:szCs w:val="21"/>
                <w:highlight w:val="none"/>
              </w:rPr>
              <w:t>设置气体收集装置和气体净化设施。</w:t>
            </w:r>
          </w:p>
        </w:tc>
        <w:tc>
          <w:tcPr>
            <w:tcW w:w="605" w:type="pct"/>
            <w:vAlign w:val="center"/>
          </w:tcPr>
          <w:p w14:paraId="058F62D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bCs/>
                <w:color w:val="auto"/>
                <w:sz w:val="21"/>
                <w:szCs w:val="21"/>
                <w:highlight w:val="none"/>
              </w:rPr>
              <w:t>相符</w:t>
            </w:r>
          </w:p>
        </w:tc>
      </w:tr>
      <w:tr w14:paraId="554A1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1960475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229" w:type="pct"/>
            <w:vAlign w:val="center"/>
          </w:tcPr>
          <w:p w14:paraId="47DBD291">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rPr>
              <w:t>贮存设施或场所、容器和包装物应按HJ1276要求设置危险废物贮存设施或场所标志、危险废物贮存分区标志和危险废物标签等危险废物识别标志。</w:t>
            </w:r>
          </w:p>
        </w:tc>
        <w:tc>
          <w:tcPr>
            <w:tcW w:w="1896" w:type="pct"/>
            <w:vAlign w:val="center"/>
          </w:tcPr>
          <w:p w14:paraId="5E70509A">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w:t>
            </w:r>
            <w:r>
              <w:rPr>
                <w:rFonts w:hint="eastAsia" w:ascii="Times New Roman" w:hAnsi="Times New Roman" w:cs="Times New Roman"/>
                <w:color w:val="auto"/>
                <w:sz w:val="21"/>
                <w:szCs w:val="21"/>
                <w:highlight w:val="none"/>
                <w:lang w:val="en-US" w:eastAsia="zh-CN"/>
              </w:rPr>
              <w:t>已</w:t>
            </w:r>
            <w:r>
              <w:rPr>
                <w:rFonts w:ascii="Times New Roman" w:hAnsi="Times New Roman" w:cs="Times New Roman"/>
                <w:color w:val="auto"/>
                <w:sz w:val="21"/>
                <w:szCs w:val="21"/>
                <w:highlight w:val="none"/>
              </w:rPr>
              <w:t>按要求设置危险废物识别标志。</w:t>
            </w:r>
          </w:p>
        </w:tc>
        <w:tc>
          <w:tcPr>
            <w:tcW w:w="605" w:type="pct"/>
            <w:vAlign w:val="center"/>
          </w:tcPr>
          <w:p w14:paraId="0E537D4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14:paraId="64F1A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5FDDC30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2229" w:type="pct"/>
            <w:vAlign w:val="center"/>
          </w:tcPr>
          <w:p w14:paraId="4208E7CC">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在常温常压下易爆、易燃及排出有毒气体的危险废物应进行预处理，使之稳定后贮存，否则应按易爆、易燃危险品贮存。</w:t>
            </w:r>
          </w:p>
        </w:tc>
        <w:tc>
          <w:tcPr>
            <w:tcW w:w="1896" w:type="pct"/>
            <w:vAlign w:val="center"/>
          </w:tcPr>
          <w:p w14:paraId="58037AA3">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不涉及易爆、易燃及排出有毒气体的危险废物。</w:t>
            </w:r>
          </w:p>
        </w:tc>
        <w:tc>
          <w:tcPr>
            <w:tcW w:w="605" w:type="pct"/>
            <w:vAlign w:val="center"/>
          </w:tcPr>
          <w:p w14:paraId="37B1C47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14:paraId="1BCA6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738A032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2229" w:type="pct"/>
            <w:vAlign w:val="center"/>
          </w:tcPr>
          <w:p w14:paraId="4B9537B5">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贮存设施所有者或运营者应按照国家有关规定编制突发环境事件应急预案，定期开展必要的培训和环境应急演练，并做好培训、演练记录。</w:t>
            </w:r>
          </w:p>
        </w:tc>
        <w:tc>
          <w:tcPr>
            <w:tcW w:w="1896" w:type="pct"/>
            <w:vAlign w:val="center"/>
          </w:tcPr>
          <w:p w14:paraId="41CB8B71">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将重新编制突发环境事件应急预案，定期开展必要的培训和环境应急演练。</w:t>
            </w:r>
          </w:p>
        </w:tc>
        <w:tc>
          <w:tcPr>
            <w:tcW w:w="605" w:type="pct"/>
            <w:vAlign w:val="center"/>
          </w:tcPr>
          <w:p w14:paraId="17A3610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r w14:paraId="05DF7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D67CF8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2229" w:type="pct"/>
            <w:vAlign w:val="center"/>
          </w:tcPr>
          <w:p w14:paraId="3A2D8754">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贮存设施所有者或运营者应配备满足其突发环境事件应急要求的应急人员、装备和物资，并应设置应急照明系统。</w:t>
            </w:r>
          </w:p>
        </w:tc>
        <w:tc>
          <w:tcPr>
            <w:tcW w:w="1896" w:type="pct"/>
            <w:vAlign w:val="center"/>
          </w:tcPr>
          <w:p w14:paraId="3A94FAE5">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危废仓库配备有满足突发环境事件应急要求的应急人员、装备和物资，并应设置应急照明系统。</w:t>
            </w:r>
          </w:p>
        </w:tc>
        <w:tc>
          <w:tcPr>
            <w:tcW w:w="605" w:type="pct"/>
            <w:vAlign w:val="center"/>
          </w:tcPr>
          <w:p w14:paraId="0BE7D61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bl>
    <w:p w14:paraId="3B979A34">
      <w:pPr>
        <w:spacing w:before="120" w:beforeLines="50"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综上，现有项目采取以上措施可行，不会对周围环境产生影响。</w:t>
      </w:r>
    </w:p>
    <w:p w14:paraId="1D4D4A42">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噪声</w:t>
      </w:r>
    </w:p>
    <w:p w14:paraId="1469D408">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现有项目主要噪声源为</w:t>
      </w:r>
      <w:r>
        <w:rPr>
          <w:rFonts w:hint="eastAsia" w:ascii="Times New Roman" w:hAnsi="Times New Roman"/>
          <w:color w:val="auto"/>
          <w:szCs w:val="22"/>
          <w:highlight w:val="none"/>
        </w:rPr>
        <w:t>空压机、冷却塔</w:t>
      </w:r>
      <w:r>
        <w:rPr>
          <w:rFonts w:ascii="Times New Roman" w:hAnsi="Times New Roman"/>
          <w:color w:val="auto"/>
          <w:szCs w:val="22"/>
          <w:highlight w:val="none"/>
        </w:rPr>
        <w:t>、废气处理装置配套风机。</w:t>
      </w:r>
    </w:p>
    <w:p w14:paraId="25694E5B">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厂方在噪声控制方面主要采取的措施有：</w:t>
      </w:r>
    </w:p>
    <w:p w14:paraId="34C25B2E">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（1）建设单位厂房墙壁为实心砖墙，厚度为240mm，面密度为480kg/</w:t>
      </w:r>
      <w:r>
        <w:rPr>
          <w:rFonts w:hint="eastAsia" w:ascii="Times New Roman" w:hAnsi="Times New Roman"/>
          <w:color w:val="auto"/>
          <w:szCs w:val="22"/>
          <w:highlight w:val="none"/>
        </w:rPr>
        <w:t>m</w:t>
      </w:r>
      <w:r>
        <w:rPr>
          <w:rFonts w:hint="eastAsia" w:ascii="Times New Roman" w:hAnsi="Times New Roman"/>
          <w:color w:val="auto"/>
          <w:szCs w:val="22"/>
          <w:highlight w:val="none"/>
          <w:vertAlign w:val="superscript"/>
        </w:rPr>
        <w:t>2</w:t>
      </w:r>
      <w:r>
        <w:rPr>
          <w:rFonts w:ascii="Times New Roman" w:hAnsi="Times New Roman"/>
          <w:color w:val="auto"/>
          <w:szCs w:val="22"/>
          <w:highlight w:val="none"/>
        </w:rPr>
        <w:t>，根据《噪声与振动控制工程手册》（机械工业出版社）第289页：砖墙240mm，面密度为480kg/</w:t>
      </w:r>
      <w:r>
        <w:rPr>
          <w:rFonts w:hint="eastAsia" w:ascii="Times New Roman" w:hAnsi="Times New Roman"/>
          <w:color w:val="auto"/>
          <w:szCs w:val="22"/>
          <w:highlight w:val="none"/>
        </w:rPr>
        <w:t>m</w:t>
      </w:r>
      <w:r>
        <w:rPr>
          <w:rFonts w:hint="eastAsia" w:ascii="Times New Roman" w:hAnsi="Times New Roman"/>
          <w:color w:val="auto"/>
          <w:szCs w:val="22"/>
          <w:highlight w:val="none"/>
          <w:vertAlign w:val="superscript"/>
        </w:rPr>
        <w:t>2</w:t>
      </w:r>
      <w:r>
        <w:rPr>
          <w:rFonts w:ascii="Times New Roman" w:hAnsi="Times New Roman"/>
          <w:color w:val="auto"/>
          <w:szCs w:val="22"/>
          <w:highlight w:val="none"/>
        </w:rPr>
        <w:t>的平均隔声量为53dB(A)，考虑到门、窗会降低隔声效果，故厂房隔声量取30dB(A)。</w:t>
      </w:r>
    </w:p>
    <w:p w14:paraId="57414533">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2）配套风机预计对厂界噪声影响较大，故拟安装隔声罩。隔声罩采用质轻、隔声性能好的复合结构。根据《噪声与振动控制工程手册》(机械工业出版社)P368：隔声罩罩内和罩外有通道相连，效果一般的在20dB(A)左右。</w:t>
      </w:r>
    </w:p>
    <w:p w14:paraId="73F62BDD">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olor w:val="auto"/>
          <w:szCs w:val="22"/>
          <w:highlight w:val="none"/>
        </w:rPr>
        <w:t>根据《化药化工（无锡）有限公司年产聚氨酯丙烯酸酯5000t、丙烯酸酯组成物10000t和环氧丙烯酸树脂1200t生产线技改扩建项目（第二阶段：年产聚氨酯丙烯酸酯2000t、丙烯酸酯组成物5000t）竣工环境保护验收报告》</w:t>
      </w:r>
      <w:r>
        <w:rPr>
          <w:rFonts w:ascii="Times New Roman" w:hAnsi="Times New Roman"/>
          <w:color w:val="auto"/>
          <w:szCs w:val="22"/>
          <w:highlight w:val="none"/>
        </w:rPr>
        <w:t>，项目所在区域环境噪声</w:t>
      </w:r>
      <w:r>
        <w:rPr>
          <w:rFonts w:hint="eastAsia" w:ascii="Times New Roman" w:hAnsi="Times New Roman"/>
          <w:color w:val="auto"/>
          <w:szCs w:val="22"/>
          <w:highlight w:val="none"/>
        </w:rPr>
        <w:t>现状</w:t>
      </w:r>
      <w:r>
        <w:rPr>
          <w:rFonts w:ascii="Times New Roman" w:hAnsi="Times New Roman"/>
          <w:color w:val="auto"/>
          <w:szCs w:val="22"/>
          <w:highlight w:val="none"/>
        </w:rPr>
        <w:t>见</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REF _Ref37166439 \h  \* MERGEFORMAT </w:instrText>
      </w:r>
      <w:r>
        <w:rPr>
          <w:rFonts w:ascii="Times New Roman" w:hAnsi="Times New Roman" w:cs="Times New Roman"/>
          <w:color w:val="auto"/>
          <w:szCs w:val="22"/>
          <w:highlight w:val="none"/>
        </w:rPr>
        <w:fldChar w:fldCharType="separate"/>
      </w:r>
      <w:r>
        <w:rPr>
          <w:rFonts w:ascii="Times New Roman" w:hAnsi="Times New Roman" w:cs="Times New Roman"/>
          <w:color w:val="auto"/>
          <w:highlight w:val="none"/>
        </w:rPr>
        <w:t>表</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12</w:t>
      </w:r>
      <w:r>
        <w:rPr>
          <w:rFonts w:ascii="Times New Roman" w:hAnsi="Times New Roman" w:cs="Times New Roman"/>
          <w:color w:val="auto"/>
          <w:szCs w:val="22"/>
          <w:highlight w:val="none"/>
        </w:rPr>
        <w:fldChar w:fldCharType="end"/>
      </w:r>
      <w:r>
        <w:rPr>
          <w:rFonts w:ascii="Times New Roman" w:hAnsi="Times New Roman" w:cs="Times New Roman"/>
          <w:color w:val="auto"/>
          <w:szCs w:val="22"/>
          <w:highlight w:val="none"/>
        </w:rPr>
        <w:t>。</w:t>
      </w:r>
    </w:p>
    <w:p w14:paraId="307DDFAE">
      <w:pPr>
        <w:ind w:left="-105" w:right="-105"/>
        <w:jc w:val="center"/>
        <w:rPr>
          <w:color w:val="auto"/>
          <w:highlight w:val="none"/>
        </w:rPr>
      </w:pPr>
      <w:r>
        <w:rPr>
          <w:color w:val="auto"/>
          <w:highlight w:val="none"/>
        </w:rPr>
        <w:drawing>
          <wp:inline distT="0" distB="0" distL="114300" distR="114300">
            <wp:extent cx="4037965" cy="5335270"/>
            <wp:effectExtent l="0" t="0" r="635" b="1778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pic:cNvPicPr>
                  </pic:nvPicPr>
                  <pic:blipFill>
                    <a:blip r:embed="rId33"/>
                    <a:stretch>
                      <a:fillRect/>
                    </a:stretch>
                  </pic:blipFill>
                  <pic:spPr>
                    <a:xfrm>
                      <a:off x="0" y="0"/>
                      <a:ext cx="4037965" cy="5335270"/>
                    </a:xfrm>
                    <a:prstGeom prst="rect">
                      <a:avLst/>
                    </a:prstGeom>
                    <a:noFill/>
                    <a:ln>
                      <a:noFill/>
                    </a:ln>
                  </pic:spPr>
                </pic:pic>
              </a:graphicData>
            </a:graphic>
          </wp:inline>
        </w:drawing>
      </w:r>
    </w:p>
    <w:p w14:paraId="082AC0A2">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图</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3.3</w:t>
      </w:r>
      <w:r>
        <w:rPr>
          <w:rFonts w:eastAsia="宋体" w:cs="Times New Roman"/>
          <w:color w:val="auto"/>
          <w:sz w:val="24"/>
          <w:szCs w:val="24"/>
          <w:highlight w:val="none"/>
        </w:rPr>
        <w:fldChar w:fldCharType="end"/>
      </w:r>
      <w:r>
        <w:rPr>
          <w:rFonts w:hint="eastAsia" w:eastAsia="宋体" w:cs="Times New Roman"/>
          <w:color w:val="auto"/>
          <w:sz w:val="24"/>
          <w:szCs w:val="24"/>
          <w:highlight w:val="none"/>
        </w:rPr>
        <w:t>-</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图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5</w:t>
      </w:r>
      <w:r>
        <w:rPr>
          <w:rFonts w:eastAsia="宋体" w:cs="Times New Roman"/>
          <w:color w:val="auto"/>
          <w:sz w:val="24"/>
          <w:szCs w:val="24"/>
          <w:highlight w:val="none"/>
        </w:rPr>
        <w:fldChar w:fldCharType="end"/>
      </w:r>
      <w:r>
        <w:rPr>
          <w:rFonts w:hint="eastAsia" w:eastAsia="宋体" w:cs="Times New Roman"/>
          <w:color w:val="auto"/>
          <w:sz w:val="24"/>
          <w:szCs w:val="24"/>
          <w:highlight w:val="none"/>
        </w:rPr>
        <w:t>现有项目噪声例行监测点位图</w:t>
      </w:r>
    </w:p>
    <w:p w14:paraId="78450B0C">
      <w:pPr>
        <w:pStyle w:val="15"/>
        <w:spacing w:line="360" w:lineRule="auto"/>
        <w:ind w:left="-105" w:right="-105" w:firstLine="482"/>
        <w:rPr>
          <w:rFonts w:eastAsia="宋体" w:cs="Times New Roman"/>
          <w:bCs/>
          <w:snapToGrid w:val="0"/>
          <w:color w:val="auto"/>
          <w:kern w:val="0"/>
          <w:sz w:val="24"/>
          <w:szCs w:val="24"/>
          <w:highlight w:val="none"/>
        </w:rPr>
      </w:pPr>
      <w:bookmarkStart w:id="208" w:name="_Ref37166439"/>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3.3</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12</w:t>
      </w:r>
      <w:r>
        <w:rPr>
          <w:rFonts w:eastAsia="宋体" w:cs="Times New Roman"/>
          <w:color w:val="auto"/>
          <w:sz w:val="24"/>
          <w:szCs w:val="24"/>
          <w:highlight w:val="none"/>
        </w:rPr>
        <w:fldChar w:fldCharType="end"/>
      </w:r>
      <w:bookmarkEnd w:id="208"/>
      <w:r>
        <w:rPr>
          <w:rFonts w:eastAsia="宋体" w:cs="Times New Roman"/>
          <w:bCs/>
          <w:snapToGrid w:val="0"/>
          <w:color w:val="auto"/>
          <w:kern w:val="0"/>
          <w:sz w:val="24"/>
          <w:szCs w:val="24"/>
          <w:highlight w:val="none"/>
        </w:rPr>
        <w:t>声环境质量现状监测结果单位：dB(A)</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98"/>
        <w:gridCol w:w="765"/>
        <w:gridCol w:w="746"/>
        <w:gridCol w:w="748"/>
        <w:gridCol w:w="746"/>
        <w:gridCol w:w="748"/>
        <w:gridCol w:w="746"/>
        <w:gridCol w:w="748"/>
        <w:gridCol w:w="746"/>
        <w:gridCol w:w="751"/>
      </w:tblGrid>
      <w:tr w14:paraId="6CFB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3" w:type="dxa"/>
            <w:gridSpan w:val="2"/>
            <w:vMerge w:val="restart"/>
            <w:tcBorders>
              <w:top w:val="single" w:color="auto" w:sz="12" w:space="0"/>
              <w:left w:val="nil"/>
            </w:tcBorders>
            <w:vAlign w:val="center"/>
          </w:tcPr>
          <w:p w14:paraId="77E677E0">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监测结果dB(A)</w:t>
            </w:r>
          </w:p>
        </w:tc>
        <w:tc>
          <w:tcPr>
            <w:tcW w:w="765" w:type="dxa"/>
            <w:vMerge w:val="restart"/>
            <w:tcBorders>
              <w:top w:val="single" w:color="auto" w:sz="12" w:space="0"/>
            </w:tcBorders>
            <w:vAlign w:val="center"/>
          </w:tcPr>
          <w:p w14:paraId="56550F2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标准限值</w:t>
            </w:r>
          </w:p>
        </w:tc>
        <w:tc>
          <w:tcPr>
            <w:tcW w:w="1493" w:type="dxa"/>
            <w:gridSpan w:val="2"/>
            <w:tcBorders>
              <w:top w:val="single" w:color="auto" w:sz="12" w:space="0"/>
            </w:tcBorders>
            <w:vAlign w:val="center"/>
          </w:tcPr>
          <w:p w14:paraId="4AF6DBC5">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厂界东1米处</w:t>
            </w:r>
          </w:p>
        </w:tc>
        <w:tc>
          <w:tcPr>
            <w:tcW w:w="1493" w:type="dxa"/>
            <w:gridSpan w:val="2"/>
            <w:tcBorders>
              <w:top w:val="single" w:color="auto" w:sz="12" w:space="0"/>
            </w:tcBorders>
            <w:vAlign w:val="center"/>
          </w:tcPr>
          <w:p w14:paraId="67DD114E">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厂界南1米处</w:t>
            </w:r>
          </w:p>
        </w:tc>
        <w:tc>
          <w:tcPr>
            <w:tcW w:w="1493" w:type="dxa"/>
            <w:gridSpan w:val="2"/>
            <w:tcBorders>
              <w:top w:val="single" w:color="auto" w:sz="12" w:space="0"/>
            </w:tcBorders>
            <w:vAlign w:val="center"/>
          </w:tcPr>
          <w:p w14:paraId="292F368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厂界西1米处</w:t>
            </w:r>
          </w:p>
        </w:tc>
        <w:tc>
          <w:tcPr>
            <w:tcW w:w="1493" w:type="dxa"/>
            <w:gridSpan w:val="2"/>
            <w:tcBorders>
              <w:top w:val="single" w:color="auto" w:sz="12" w:space="0"/>
              <w:right w:val="nil"/>
            </w:tcBorders>
            <w:vAlign w:val="center"/>
          </w:tcPr>
          <w:p w14:paraId="63CB8FD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厂界北1米处</w:t>
            </w:r>
          </w:p>
        </w:tc>
      </w:tr>
      <w:tr w14:paraId="503C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3" w:type="dxa"/>
            <w:gridSpan w:val="2"/>
            <w:vMerge w:val="continue"/>
            <w:tcBorders>
              <w:left w:val="nil"/>
            </w:tcBorders>
            <w:vAlign w:val="center"/>
          </w:tcPr>
          <w:p w14:paraId="5C6ADDA1">
            <w:pPr>
              <w:ind w:left="-105" w:right="-105"/>
              <w:jc w:val="center"/>
              <w:rPr>
                <w:rFonts w:ascii="Times New Roman" w:hAnsi="Times New Roman" w:cs="Times New Roman"/>
                <w:color w:val="auto"/>
                <w:sz w:val="21"/>
                <w:szCs w:val="21"/>
                <w:highlight w:val="none"/>
              </w:rPr>
            </w:pPr>
          </w:p>
        </w:tc>
        <w:tc>
          <w:tcPr>
            <w:tcW w:w="765" w:type="dxa"/>
            <w:vMerge w:val="continue"/>
            <w:vAlign w:val="center"/>
          </w:tcPr>
          <w:p w14:paraId="5190DF91">
            <w:pPr>
              <w:ind w:left="-105" w:right="-105"/>
              <w:jc w:val="center"/>
              <w:rPr>
                <w:rFonts w:ascii="Times New Roman" w:hAnsi="Times New Roman" w:cs="Times New Roman"/>
                <w:color w:val="auto"/>
                <w:sz w:val="21"/>
                <w:szCs w:val="21"/>
                <w:highlight w:val="none"/>
              </w:rPr>
            </w:pPr>
          </w:p>
        </w:tc>
        <w:tc>
          <w:tcPr>
            <w:tcW w:w="746" w:type="dxa"/>
            <w:vAlign w:val="center"/>
          </w:tcPr>
          <w:p w14:paraId="0C232FD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N1</w:t>
            </w:r>
          </w:p>
        </w:tc>
        <w:tc>
          <w:tcPr>
            <w:tcW w:w="746" w:type="dxa"/>
            <w:vAlign w:val="center"/>
          </w:tcPr>
          <w:p w14:paraId="37F30C2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N2</w:t>
            </w:r>
          </w:p>
        </w:tc>
        <w:tc>
          <w:tcPr>
            <w:tcW w:w="746" w:type="dxa"/>
            <w:vAlign w:val="center"/>
          </w:tcPr>
          <w:p w14:paraId="767E4F0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N3</w:t>
            </w:r>
          </w:p>
        </w:tc>
        <w:tc>
          <w:tcPr>
            <w:tcW w:w="746" w:type="dxa"/>
            <w:vAlign w:val="center"/>
          </w:tcPr>
          <w:p w14:paraId="1990CDC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N4</w:t>
            </w:r>
          </w:p>
        </w:tc>
        <w:tc>
          <w:tcPr>
            <w:tcW w:w="746" w:type="dxa"/>
            <w:vAlign w:val="center"/>
          </w:tcPr>
          <w:p w14:paraId="198926F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N5</w:t>
            </w:r>
          </w:p>
        </w:tc>
        <w:tc>
          <w:tcPr>
            <w:tcW w:w="746" w:type="dxa"/>
            <w:vAlign w:val="center"/>
          </w:tcPr>
          <w:p w14:paraId="78F502ED">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N6</w:t>
            </w:r>
          </w:p>
        </w:tc>
        <w:tc>
          <w:tcPr>
            <w:tcW w:w="746" w:type="dxa"/>
            <w:vAlign w:val="center"/>
          </w:tcPr>
          <w:p w14:paraId="321FDC1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N7</w:t>
            </w:r>
          </w:p>
        </w:tc>
        <w:tc>
          <w:tcPr>
            <w:tcW w:w="750" w:type="dxa"/>
            <w:tcBorders>
              <w:right w:val="nil"/>
            </w:tcBorders>
            <w:vAlign w:val="center"/>
          </w:tcPr>
          <w:p w14:paraId="02E3BF95">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N8</w:t>
            </w:r>
          </w:p>
        </w:tc>
      </w:tr>
      <w:tr w14:paraId="03AC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tcBorders>
              <w:left w:val="nil"/>
            </w:tcBorders>
            <w:vAlign w:val="center"/>
          </w:tcPr>
          <w:p w14:paraId="67EBF3C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2023.3.15</w:t>
            </w:r>
          </w:p>
        </w:tc>
        <w:tc>
          <w:tcPr>
            <w:tcW w:w="1305" w:type="dxa"/>
            <w:vAlign w:val="center"/>
          </w:tcPr>
          <w:p w14:paraId="568CE6B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Leq（昼间）</w:t>
            </w:r>
          </w:p>
        </w:tc>
        <w:tc>
          <w:tcPr>
            <w:tcW w:w="765" w:type="dxa"/>
            <w:vAlign w:val="center"/>
          </w:tcPr>
          <w:p w14:paraId="171C8CE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60</w:t>
            </w:r>
          </w:p>
        </w:tc>
        <w:tc>
          <w:tcPr>
            <w:tcW w:w="746" w:type="dxa"/>
            <w:vAlign w:val="center"/>
          </w:tcPr>
          <w:p w14:paraId="60243BF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58.5</w:t>
            </w:r>
          </w:p>
        </w:tc>
        <w:tc>
          <w:tcPr>
            <w:tcW w:w="746" w:type="dxa"/>
            <w:vAlign w:val="center"/>
          </w:tcPr>
          <w:p w14:paraId="2209E57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58.3</w:t>
            </w:r>
          </w:p>
        </w:tc>
        <w:tc>
          <w:tcPr>
            <w:tcW w:w="746" w:type="dxa"/>
            <w:vAlign w:val="center"/>
          </w:tcPr>
          <w:p w14:paraId="5B59410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58.3</w:t>
            </w:r>
          </w:p>
        </w:tc>
        <w:tc>
          <w:tcPr>
            <w:tcW w:w="746" w:type="dxa"/>
            <w:vAlign w:val="center"/>
          </w:tcPr>
          <w:p w14:paraId="5C64577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57.7</w:t>
            </w:r>
          </w:p>
        </w:tc>
        <w:tc>
          <w:tcPr>
            <w:tcW w:w="746" w:type="dxa"/>
            <w:vAlign w:val="center"/>
          </w:tcPr>
          <w:p w14:paraId="14FC36A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56.6</w:t>
            </w:r>
          </w:p>
        </w:tc>
        <w:tc>
          <w:tcPr>
            <w:tcW w:w="746" w:type="dxa"/>
            <w:vAlign w:val="center"/>
          </w:tcPr>
          <w:p w14:paraId="6C1A455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56.9</w:t>
            </w:r>
          </w:p>
        </w:tc>
        <w:tc>
          <w:tcPr>
            <w:tcW w:w="746" w:type="dxa"/>
            <w:vAlign w:val="center"/>
          </w:tcPr>
          <w:p w14:paraId="0A978B6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55.1</w:t>
            </w:r>
          </w:p>
        </w:tc>
        <w:tc>
          <w:tcPr>
            <w:tcW w:w="750" w:type="dxa"/>
            <w:tcBorders>
              <w:right w:val="nil"/>
            </w:tcBorders>
            <w:vAlign w:val="center"/>
          </w:tcPr>
          <w:p w14:paraId="268645F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55.6</w:t>
            </w:r>
          </w:p>
        </w:tc>
      </w:tr>
      <w:tr w14:paraId="39FA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left w:val="nil"/>
            </w:tcBorders>
            <w:vAlign w:val="center"/>
          </w:tcPr>
          <w:p w14:paraId="39A72F3C">
            <w:pPr>
              <w:ind w:left="-105" w:right="-105"/>
              <w:jc w:val="center"/>
              <w:rPr>
                <w:rFonts w:ascii="Times New Roman" w:hAnsi="Times New Roman" w:cs="Times New Roman"/>
                <w:color w:val="auto"/>
                <w:sz w:val="21"/>
                <w:szCs w:val="21"/>
                <w:highlight w:val="none"/>
              </w:rPr>
            </w:pPr>
          </w:p>
        </w:tc>
        <w:tc>
          <w:tcPr>
            <w:tcW w:w="1305" w:type="dxa"/>
            <w:vAlign w:val="center"/>
          </w:tcPr>
          <w:p w14:paraId="18C39AA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Leq（夜间）</w:t>
            </w:r>
          </w:p>
        </w:tc>
        <w:tc>
          <w:tcPr>
            <w:tcW w:w="765" w:type="dxa"/>
            <w:vAlign w:val="center"/>
          </w:tcPr>
          <w:p w14:paraId="64FDC53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50</w:t>
            </w:r>
          </w:p>
        </w:tc>
        <w:tc>
          <w:tcPr>
            <w:tcW w:w="746" w:type="dxa"/>
            <w:vAlign w:val="center"/>
          </w:tcPr>
          <w:p w14:paraId="4664EDD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49.1</w:t>
            </w:r>
          </w:p>
        </w:tc>
        <w:tc>
          <w:tcPr>
            <w:tcW w:w="746" w:type="dxa"/>
            <w:vAlign w:val="center"/>
          </w:tcPr>
          <w:p w14:paraId="4E57209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48.8</w:t>
            </w:r>
          </w:p>
        </w:tc>
        <w:tc>
          <w:tcPr>
            <w:tcW w:w="746" w:type="dxa"/>
            <w:vAlign w:val="center"/>
          </w:tcPr>
          <w:p w14:paraId="1CE9A2C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48.0</w:t>
            </w:r>
          </w:p>
        </w:tc>
        <w:tc>
          <w:tcPr>
            <w:tcW w:w="746" w:type="dxa"/>
            <w:vAlign w:val="center"/>
          </w:tcPr>
          <w:p w14:paraId="4F90646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47.2</w:t>
            </w:r>
          </w:p>
        </w:tc>
        <w:tc>
          <w:tcPr>
            <w:tcW w:w="746" w:type="dxa"/>
            <w:vAlign w:val="center"/>
          </w:tcPr>
          <w:p w14:paraId="4A876AB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46.9</w:t>
            </w:r>
          </w:p>
        </w:tc>
        <w:tc>
          <w:tcPr>
            <w:tcW w:w="746" w:type="dxa"/>
            <w:vAlign w:val="center"/>
          </w:tcPr>
          <w:p w14:paraId="1EBA685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47.3</w:t>
            </w:r>
          </w:p>
        </w:tc>
        <w:tc>
          <w:tcPr>
            <w:tcW w:w="746" w:type="dxa"/>
            <w:vAlign w:val="center"/>
          </w:tcPr>
          <w:p w14:paraId="15CCB9C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45.6</w:t>
            </w:r>
          </w:p>
        </w:tc>
        <w:tc>
          <w:tcPr>
            <w:tcW w:w="750" w:type="dxa"/>
            <w:tcBorders>
              <w:right w:val="nil"/>
            </w:tcBorders>
            <w:vAlign w:val="center"/>
          </w:tcPr>
          <w:p w14:paraId="2E827C5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45.1</w:t>
            </w:r>
          </w:p>
        </w:tc>
      </w:tr>
      <w:tr w14:paraId="6E20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tcBorders>
              <w:left w:val="nil"/>
            </w:tcBorders>
            <w:vAlign w:val="center"/>
          </w:tcPr>
          <w:p w14:paraId="231BF42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2023.3.16</w:t>
            </w:r>
          </w:p>
        </w:tc>
        <w:tc>
          <w:tcPr>
            <w:tcW w:w="1305" w:type="dxa"/>
            <w:vAlign w:val="center"/>
          </w:tcPr>
          <w:p w14:paraId="57A213C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Leq（昼间）</w:t>
            </w:r>
          </w:p>
        </w:tc>
        <w:tc>
          <w:tcPr>
            <w:tcW w:w="765" w:type="dxa"/>
            <w:vAlign w:val="center"/>
          </w:tcPr>
          <w:p w14:paraId="4AEA69E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60</w:t>
            </w:r>
          </w:p>
        </w:tc>
        <w:tc>
          <w:tcPr>
            <w:tcW w:w="746" w:type="dxa"/>
            <w:vAlign w:val="center"/>
          </w:tcPr>
          <w:p w14:paraId="6CC76E0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58.6</w:t>
            </w:r>
          </w:p>
        </w:tc>
        <w:tc>
          <w:tcPr>
            <w:tcW w:w="746" w:type="dxa"/>
            <w:vAlign w:val="center"/>
          </w:tcPr>
          <w:p w14:paraId="5F11080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58.2</w:t>
            </w:r>
          </w:p>
        </w:tc>
        <w:tc>
          <w:tcPr>
            <w:tcW w:w="746" w:type="dxa"/>
            <w:vAlign w:val="center"/>
          </w:tcPr>
          <w:p w14:paraId="4A74C9A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58.2</w:t>
            </w:r>
          </w:p>
        </w:tc>
        <w:tc>
          <w:tcPr>
            <w:tcW w:w="746" w:type="dxa"/>
            <w:vAlign w:val="center"/>
          </w:tcPr>
          <w:p w14:paraId="00778A9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58.0</w:t>
            </w:r>
          </w:p>
        </w:tc>
        <w:tc>
          <w:tcPr>
            <w:tcW w:w="746" w:type="dxa"/>
            <w:vAlign w:val="center"/>
          </w:tcPr>
          <w:p w14:paraId="1A43CFC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56.9</w:t>
            </w:r>
          </w:p>
        </w:tc>
        <w:tc>
          <w:tcPr>
            <w:tcW w:w="746" w:type="dxa"/>
            <w:vAlign w:val="center"/>
          </w:tcPr>
          <w:p w14:paraId="6A37997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57.2</w:t>
            </w:r>
          </w:p>
        </w:tc>
        <w:tc>
          <w:tcPr>
            <w:tcW w:w="746" w:type="dxa"/>
            <w:vAlign w:val="center"/>
          </w:tcPr>
          <w:p w14:paraId="09D353B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55.6</w:t>
            </w:r>
          </w:p>
        </w:tc>
        <w:tc>
          <w:tcPr>
            <w:tcW w:w="750" w:type="dxa"/>
            <w:tcBorders>
              <w:right w:val="nil"/>
            </w:tcBorders>
            <w:vAlign w:val="center"/>
          </w:tcPr>
          <w:p w14:paraId="7595D2B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55.1</w:t>
            </w:r>
          </w:p>
        </w:tc>
      </w:tr>
      <w:tr w14:paraId="4F14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left w:val="nil"/>
            </w:tcBorders>
            <w:vAlign w:val="center"/>
          </w:tcPr>
          <w:p w14:paraId="57DCFBE4">
            <w:pPr>
              <w:ind w:left="-105" w:right="-105"/>
              <w:jc w:val="center"/>
              <w:rPr>
                <w:rFonts w:ascii="Times New Roman" w:hAnsi="Times New Roman" w:cs="Times New Roman"/>
                <w:color w:val="auto"/>
                <w:sz w:val="21"/>
                <w:szCs w:val="21"/>
                <w:highlight w:val="none"/>
              </w:rPr>
            </w:pPr>
          </w:p>
        </w:tc>
        <w:tc>
          <w:tcPr>
            <w:tcW w:w="1305" w:type="dxa"/>
            <w:vAlign w:val="center"/>
          </w:tcPr>
          <w:p w14:paraId="0535428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Leq（夜间）</w:t>
            </w:r>
          </w:p>
        </w:tc>
        <w:tc>
          <w:tcPr>
            <w:tcW w:w="765" w:type="dxa"/>
            <w:vAlign w:val="center"/>
          </w:tcPr>
          <w:p w14:paraId="18BEC2C8">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50</w:t>
            </w:r>
          </w:p>
        </w:tc>
        <w:tc>
          <w:tcPr>
            <w:tcW w:w="746" w:type="dxa"/>
            <w:vAlign w:val="center"/>
          </w:tcPr>
          <w:p w14:paraId="20D2C76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49.3</w:t>
            </w:r>
          </w:p>
        </w:tc>
        <w:tc>
          <w:tcPr>
            <w:tcW w:w="746" w:type="dxa"/>
            <w:vAlign w:val="center"/>
          </w:tcPr>
          <w:p w14:paraId="4B4DF66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48.5</w:t>
            </w:r>
          </w:p>
        </w:tc>
        <w:tc>
          <w:tcPr>
            <w:tcW w:w="746" w:type="dxa"/>
            <w:vAlign w:val="center"/>
          </w:tcPr>
          <w:p w14:paraId="1FAA1EB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47.7</w:t>
            </w:r>
          </w:p>
        </w:tc>
        <w:tc>
          <w:tcPr>
            <w:tcW w:w="746" w:type="dxa"/>
            <w:vAlign w:val="center"/>
          </w:tcPr>
          <w:p w14:paraId="36C3B30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47.5</w:t>
            </w:r>
          </w:p>
        </w:tc>
        <w:tc>
          <w:tcPr>
            <w:tcW w:w="746" w:type="dxa"/>
            <w:vAlign w:val="center"/>
          </w:tcPr>
          <w:p w14:paraId="5D66F7F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47.2</w:t>
            </w:r>
          </w:p>
        </w:tc>
        <w:tc>
          <w:tcPr>
            <w:tcW w:w="746" w:type="dxa"/>
            <w:vAlign w:val="center"/>
          </w:tcPr>
          <w:p w14:paraId="1280AD6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46.8</w:t>
            </w:r>
          </w:p>
        </w:tc>
        <w:tc>
          <w:tcPr>
            <w:tcW w:w="746" w:type="dxa"/>
            <w:vAlign w:val="center"/>
          </w:tcPr>
          <w:p w14:paraId="316E800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45.6</w:t>
            </w:r>
          </w:p>
        </w:tc>
        <w:tc>
          <w:tcPr>
            <w:tcW w:w="750" w:type="dxa"/>
            <w:tcBorders>
              <w:right w:val="nil"/>
            </w:tcBorders>
            <w:vAlign w:val="center"/>
          </w:tcPr>
          <w:p w14:paraId="580A997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45.2</w:t>
            </w:r>
          </w:p>
        </w:tc>
      </w:tr>
      <w:tr w14:paraId="0F02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3" w:type="dxa"/>
            <w:gridSpan w:val="2"/>
            <w:tcBorders>
              <w:left w:val="nil"/>
              <w:bottom w:val="single" w:color="auto" w:sz="12" w:space="0"/>
            </w:tcBorders>
            <w:vAlign w:val="center"/>
          </w:tcPr>
          <w:p w14:paraId="0560CBC2">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评价</w:t>
            </w:r>
          </w:p>
        </w:tc>
        <w:tc>
          <w:tcPr>
            <w:tcW w:w="765" w:type="dxa"/>
            <w:tcBorders>
              <w:bottom w:val="single" w:color="auto" w:sz="12" w:space="0"/>
            </w:tcBorders>
            <w:vAlign w:val="center"/>
          </w:tcPr>
          <w:p w14:paraId="4BC470A3">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w:t>
            </w:r>
          </w:p>
        </w:tc>
        <w:tc>
          <w:tcPr>
            <w:tcW w:w="746" w:type="dxa"/>
            <w:tcBorders>
              <w:bottom w:val="single" w:color="auto" w:sz="12" w:space="0"/>
            </w:tcBorders>
            <w:vAlign w:val="center"/>
          </w:tcPr>
          <w:p w14:paraId="0C7F815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2EB4AB7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7F10E7EA">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2E92D48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618C1E99">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227DD528">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46" w:type="dxa"/>
            <w:tcBorders>
              <w:bottom w:val="single" w:color="auto" w:sz="12" w:space="0"/>
            </w:tcBorders>
            <w:vAlign w:val="center"/>
          </w:tcPr>
          <w:p w14:paraId="16601F93">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c>
          <w:tcPr>
            <w:tcW w:w="750" w:type="dxa"/>
            <w:tcBorders>
              <w:bottom w:val="single" w:color="auto" w:sz="12" w:space="0"/>
              <w:right w:val="nil"/>
            </w:tcBorders>
            <w:vAlign w:val="center"/>
          </w:tcPr>
          <w:p w14:paraId="2A5DB116">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合格</w:t>
            </w:r>
          </w:p>
        </w:tc>
      </w:tr>
    </w:tbl>
    <w:p w14:paraId="304E460E">
      <w:pPr>
        <w:spacing w:line="360" w:lineRule="auto"/>
        <w:ind w:left="-105" w:right="-105" w:firstLine="480" w:firstLineChars="200"/>
        <w:jc w:val="both"/>
        <w:rPr>
          <w:rFonts w:ascii="Times New Roman" w:hAnsi="Times New Roman"/>
          <w:color w:val="auto"/>
          <w:szCs w:val="22"/>
          <w:highlight w:val="none"/>
        </w:rPr>
      </w:pPr>
      <w:bookmarkStart w:id="209" w:name="_Toc60653474"/>
      <w:r>
        <w:rPr>
          <w:rFonts w:hint="eastAsia" w:ascii="Times New Roman" w:hAnsi="Times New Roman"/>
          <w:color w:val="auto"/>
          <w:szCs w:val="22"/>
          <w:highlight w:val="none"/>
        </w:rPr>
        <w:t>根据上表，验收监测期间，厂界噪声测点昼、夜间监测结果均符合《工业企业厂界环境噪声排放标准》（GB12348-2008）中的2类标准。</w:t>
      </w:r>
    </w:p>
    <w:p w14:paraId="7C596BF7">
      <w:pPr>
        <w:pStyle w:val="5"/>
        <w:keepLines w:val="0"/>
        <w:numPr>
          <w:ilvl w:val="2"/>
          <w:numId w:val="6"/>
        </w:numPr>
        <w:tabs>
          <w:tab w:val="left" w:pos="567"/>
          <w:tab w:val="left" w:pos="709"/>
        </w:tabs>
        <w:spacing w:before="0" w:after="0" w:line="360" w:lineRule="auto"/>
        <w:ind w:left="-105" w:right="-105"/>
        <w:rPr>
          <w:rFonts w:eastAsia="宋体"/>
          <w:color w:val="auto"/>
          <w:sz w:val="28"/>
          <w:szCs w:val="28"/>
          <w:highlight w:val="none"/>
        </w:rPr>
      </w:pPr>
      <w:r>
        <w:rPr>
          <w:rFonts w:hint="eastAsia" w:eastAsia="宋体"/>
          <w:color w:val="auto"/>
          <w:sz w:val="28"/>
          <w:szCs w:val="28"/>
          <w:highlight w:val="none"/>
        </w:rPr>
        <w:t>现有项目污染物排放汇总</w:t>
      </w:r>
      <w:bookmarkEnd w:id="209"/>
    </w:p>
    <w:p w14:paraId="774AD18A">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根据现有项目2023年排污许可执行报告年报，现有项目污染物排放情况见下表</w:t>
      </w:r>
      <w:r>
        <w:rPr>
          <w:rFonts w:ascii="Times New Roman" w:hAnsi="Times New Roman" w:cs="Times New Roman"/>
          <w:color w:val="auto"/>
          <w:szCs w:val="22"/>
          <w:highlight w:val="none"/>
        </w:rPr>
        <w:t>。</w:t>
      </w:r>
    </w:p>
    <w:p w14:paraId="024126F5">
      <w:pPr>
        <w:pStyle w:val="15"/>
        <w:spacing w:line="360" w:lineRule="auto"/>
        <w:ind w:left="-105" w:right="-105" w:firstLine="482"/>
        <w:rPr>
          <w:rFonts w:eastAsia="宋体" w:cs="Times New Roman"/>
          <w:color w:val="auto"/>
          <w:sz w:val="24"/>
          <w:szCs w:val="18"/>
          <w:highlight w:val="none"/>
        </w:rPr>
      </w:pPr>
      <w:bookmarkStart w:id="210" w:name="_Ref6195601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13</w:t>
      </w:r>
      <w:r>
        <w:rPr>
          <w:rFonts w:eastAsia="宋体" w:cs="Times New Roman"/>
          <w:color w:val="auto"/>
          <w:sz w:val="24"/>
          <w:szCs w:val="18"/>
          <w:highlight w:val="none"/>
        </w:rPr>
        <w:fldChar w:fldCharType="end"/>
      </w:r>
      <w:bookmarkEnd w:id="210"/>
      <w:r>
        <w:rPr>
          <w:rFonts w:hint="eastAsia" w:eastAsia="宋体" w:cs="Times New Roman"/>
          <w:color w:val="auto"/>
          <w:sz w:val="24"/>
          <w:szCs w:val="18"/>
          <w:highlight w:val="none"/>
        </w:rPr>
        <w:t>现有项目污染物排放情况</w:t>
      </w:r>
      <w:r>
        <w:rPr>
          <w:rFonts w:eastAsia="宋体" w:cs="Times New Roman"/>
          <w:color w:val="auto"/>
          <w:sz w:val="24"/>
          <w:szCs w:val="18"/>
          <w:highlight w:val="none"/>
        </w:rPr>
        <w:t>表（单位：t/a）</w:t>
      </w:r>
    </w:p>
    <w:tbl>
      <w:tblPr>
        <w:tblStyle w:val="4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2060"/>
        <w:gridCol w:w="1890"/>
        <w:gridCol w:w="1725"/>
        <w:gridCol w:w="1620"/>
      </w:tblGrid>
      <w:tr w14:paraId="3A28B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tcBorders>
              <w:tl2br w:val="nil"/>
              <w:tr2bl w:val="nil"/>
            </w:tcBorders>
            <w:vAlign w:val="center"/>
          </w:tcPr>
          <w:p w14:paraId="5B5FC234">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b/>
                <w:bCs/>
                <w:color w:val="auto"/>
                <w:sz w:val="21"/>
                <w:szCs w:val="15"/>
                <w:highlight w:val="none"/>
              </w:rPr>
            </w:pPr>
            <w:r>
              <w:rPr>
                <w:rFonts w:hint="eastAsia" w:cs="Times New Roman"/>
                <w:b/>
                <w:bCs/>
                <w:color w:val="auto"/>
                <w:sz w:val="21"/>
                <w:szCs w:val="15"/>
                <w:highlight w:val="none"/>
              </w:rPr>
              <w:t>类别</w:t>
            </w:r>
          </w:p>
        </w:tc>
        <w:tc>
          <w:tcPr>
            <w:tcW w:w="2060" w:type="dxa"/>
            <w:tcBorders>
              <w:tl2br w:val="nil"/>
              <w:tr2bl w:val="nil"/>
            </w:tcBorders>
            <w:vAlign w:val="center"/>
          </w:tcPr>
          <w:p w14:paraId="711E0DF2">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b/>
                <w:bCs/>
                <w:color w:val="auto"/>
                <w:sz w:val="21"/>
                <w:szCs w:val="15"/>
                <w:highlight w:val="none"/>
              </w:rPr>
            </w:pPr>
            <w:r>
              <w:rPr>
                <w:rFonts w:hint="eastAsia" w:cs="Times New Roman"/>
                <w:b/>
                <w:bCs/>
                <w:color w:val="auto"/>
                <w:sz w:val="21"/>
                <w:szCs w:val="15"/>
                <w:highlight w:val="none"/>
              </w:rPr>
              <w:t>污染物名称</w:t>
            </w:r>
          </w:p>
        </w:tc>
        <w:tc>
          <w:tcPr>
            <w:tcW w:w="1890" w:type="dxa"/>
            <w:tcBorders>
              <w:tl2br w:val="nil"/>
              <w:tr2bl w:val="nil"/>
            </w:tcBorders>
            <w:vAlign w:val="center"/>
          </w:tcPr>
          <w:p w14:paraId="7AAEABDF">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b/>
                <w:bCs/>
                <w:color w:val="auto"/>
                <w:sz w:val="21"/>
                <w:szCs w:val="15"/>
                <w:highlight w:val="none"/>
              </w:rPr>
            </w:pPr>
            <w:r>
              <w:rPr>
                <w:rFonts w:hint="eastAsia" w:cs="Times New Roman"/>
                <w:b/>
                <w:bCs/>
                <w:color w:val="auto"/>
                <w:sz w:val="21"/>
                <w:szCs w:val="15"/>
                <w:highlight w:val="none"/>
              </w:rPr>
              <w:t>环评批复量</w:t>
            </w:r>
          </w:p>
        </w:tc>
        <w:tc>
          <w:tcPr>
            <w:tcW w:w="1725" w:type="dxa"/>
            <w:tcBorders>
              <w:tl2br w:val="nil"/>
              <w:tr2bl w:val="nil"/>
            </w:tcBorders>
            <w:vAlign w:val="center"/>
          </w:tcPr>
          <w:p w14:paraId="7B278302">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b/>
                <w:bCs/>
                <w:color w:val="auto"/>
                <w:sz w:val="21"/>
                <w:szCs w:val="15"/>
                <w:highlight w:val="none"/>
              </w:rPr>
            </w:pPr>
            <w:r>
              <w:rPr>
                <w:rFonts w:hint="eastAsia" w:cs="Times New Roman"/>
                <w:b/>
                <w:bCs/>
                <w:color w:val="auto"/>
                <w:sz w:val="21"/>
                <w:szCs w:val="15"/>
                <w:highlight w:val="none"/>
              </w:rPr>
              <w:t>变动后总量</w:t>
            </w:r>
          </w:p>
        </w:tc>
        <w:tc>
          <w:tcPr>
            <w:tcW w:w="1620" w:type="dxa"/>
            <w:tcBorders>
              <w:tl2br w:val="nil"/>
              <w:tr2bl w:val="nil"/>
            </w:tcBorders>
            <w:vAlign w:val="center"/>
          </w:tcPr>
          <w:p w14:paraId="602A35B8">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b/>
                <w:bCs/>
                <w:color w:val="auto"/>
                <w:sz w:val="21"/>
                <w:szCs w:val="15"/>
                <w:highlight w:val="none"/>
              </w:rPr>
            </w:pPr>
            <w:r>
              <w:rPr>
                <w:rFonts w:hint="eastAsia" w:cs="Times New Roman"/>
                <w:b/>
                <w:bCs/>
                <w:color w:val="auto"/>
                <w:sz w:val="21"/>
                <w:szCs w:val="15"/>
                <w:highlight w:val="none"/>
              </w:rPr>
              <w:t>实际排放量</w:t>
            </w:r>
          </w:p>
        </w:tc>
      </w:tr>
      <w:tr w14:paraId="30EAC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restart"/>
            <w:tcBorders>
              <w:tl2br w:val="nil"/>
              <w:tr2bl w:val="nil"/>
            </w:tcBorders>
            <w:vAlign w:val="center"/>
          </w:tcPr>
          <w:p w14:paraId="32CCA381">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废气</w:t>
            </w:r>
          </w:p>
          <w:p w14:paraId="73A87475">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（有组织）</w:t>
            </w:r>
          </w:p>
        </w:tc>
        <w:tc>
          <w:tcPr>
            <w:tcW w:w="2060" w:type="dxa"/>
            <w:tcBorders>
              <w:tl2br w:val="nil"/>
              <w:tr2bl w:val="nil"/>
            </w:tcBorders>
            <w:vAlign w:val="center"/>
          </w:tcPr>
          <w:p w14:paraId="07A69EC9">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非甲烷总烃</w:t>
            </w:r>
          </w:p>
        </w:tc>
        <w:tc>
          <w:tcPr>
            <w:tcW w:w="1890" w:type="dxa"/>
            <w:tcBorders>
              <w:tl2br w:val="nil"/>
              <w:tr2bl w:val="nil"/>
            </w:tcBorders>
            <w:vAlign w:val="center"/>
          </w:tcPr>
          <w:p w14:paraId="5E0E2FF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0.667</w:t>
            </w:r>
          </w:p>
        </w:tc>
        <w:tc>
          <w:tcPr>
            <w:tcW w:w="1725" w:type="dxa"/>
            <w:tcBorders>
              <w:tl2br w:val="nil"/>
              <w:tr2bl w:val="nil"/>
            </w:tcBorders>
            <w:vAlign w:val="center"/>
          </w:tcPr>
          <w:p w14:paraId="792C98C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0.667</w:t>
            </w:r>
          </w:p>
        </w:tc>
        <w:tc>
          <w:tcPr>
            <w:tcW w:w="1620" w:type="dxa"/>
            <w:tcBorders>
              <w:tl2br w:val="nil"/>
              <w:tr2bl w:val="nil"/>
            </w:tcBorders>
            <w:vAlign w:val="center"/>
          </w:tcPr>
          <w:p w14:paraId="3FA883A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w:t>
            </w:r>
          </w:p>
        </w:tc>
      </w:tr>
      <w:tr w14:paraId="37118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3FC7FE01">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32B94E53">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非甲烷总烃（含</w:t>
            </w:r>
            <w:r>
              <w:rPr>
                <w:rFonts w:ascii="Times New Roman" w:hAnsi="Times New Roman" w:cs="Times New Roman"/>
                <w:color w:val="auto"/>
                <w:sz w:val="21"/>
                <w:szCs w:val="15"/>
                <w:highlight w:val="none"/>
              </w:rPr>
              <w:t>2-</w:t>
            </w:r>
            <w:r>
              <w:rPr>
                <w:rFonts w:hint="eastAsia" w:cs="Times New Roman"/>
                <w:color w:val="auto"/>
                <w:sz w:val="21"/>
                <w:szCs w:val="15"/>
                <w:highlight w:val="none"/>
              </w:rPr>
              <w:t>乙二醇单乙醚醋酸酯、丁酮、异氰酸酯、丙烯酸）*</w:t>
            </w:r>
          </w:p>
        </w:tc>
        <w:tc>
          <w:tcPr>
            <w:tcW w:w="1890" w:type="dxa"/>
            <w:tcBorders>
              <w:tl2br w:val="nil"/>
              <w:tr2bl w:val="nil"/>
            </w:tcBorders>
            <w:vAlign w:val="center"/>
          </w:tcPr>
          <w:p w14:paraId="0E14CCA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1.959</w:t>
            </w:r>
          </w:p>
        </w:tc>
        <w:tc>
          <w:tcPr>
            <w:tcW w:w="1725" w:type="dxa"/>
            <w:tcBorders>
              <w:tl2br w:val="nil"/>
              <w:tr2bl w:val="nil"/>
            </w:tcBorders>
            <w:vAlign w:val="center"/>
          </w:tcPr>
          <w:p w14:paraId="5A1622F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1.9924</w:t>
            </w:r>
          </w:p>
        </w:tc>
        <w:tc>
          <w:tcPr>
            <w:tcW w:w="1620" w:type="dxa"/>
            <w:tcBorders>
              <w:tl2br w:val="nil"/>
              <w:tr2bl w:val="nil"/>
            </w:tcBorders>
            <w:vAlign w:val="center"/>
          </w:tcPr>
          <w:p w14:paraId="20C519B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0.697</w:t>
            </w:r>
          </w:p>
        </w:tc>
      </w:tr>
      <w:tr w14:paraId="72842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tcBorders>
              <w:tl2br w:val="nil"/>
              <w:tr2bl w:val="nil"/>
            </w:tcBorders>
            <w:vAlign w:val="center"/>
          </w:tcPr>
          <w:p w14:paraId="129FB9B1">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废气</w:t>
            </w:r>
          </w:p>
          <w:p w14:paraId="4CF767F2">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（无组织）</w:t>
            </w:r>
          </w:p>
        </w:tc>
        <w:tc>
          <w:tcPr>
            <w:tcW w:w="2060" w:type="dxa"/>
            <w:tcBorders>
              <w:tl2br w:val="nil"/>
              <w:tr2bl w:val="nil"/>
            </w:tcBorders>
            <w:vAlign w:val="center"/>
          </w:tcPr>
          <w:p w14:paraId="32FC2E92">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非甲烷总烃（含</w:t>
            </w:r>
            <w:r>
              <w:rPr>
                <w:rFonts w:ascii="Times New Roman" w:hAnsi="Times New Roman" w:cs="Times New Roman"/>
                <w:color w:val="auto"/>
                <w:sz w:val="21"/>
                <w:szCs w:val="15"/>
                <w:highlight w:val="none"/>
              </w:rPr>
              <w:t>2-</w:t>
            </w:r>
            <w:r>
              <w:rPr>
                <w:rFonts w:hint="eastAsia" w:cs="Times New Roman"/>
                <w:color w:val="auto"/>
                <w:sz w:val="21"/>
                <w:szCs w:val="15"/>
                <w:highlight w:val="none"/>
              </w:rPr>
              <w:t>乙二醇单乙醚醋酸酯、丁酮、异氰酸酯、丙烯酸）*</w:t>
            </w:r>
          </w:p>
        </w:tc>
        <w:tc>
          <w:tcPr>
            <w:tcW w:w="1890" w:type="dxa"/>
            <w:tcBorders>
              <w:tl2br w:val="nil"/>
              <w:tr2bl w:val="nil"/>
            </w:tcBorders>
            <w:vAlign w:val="center"/>
          </w:tcPr>
          <w:p w14:paraId="48E2C60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0.28016</w:t>
            </w:r>
          </w:p>
        </w:tc>
        <w:tc>
          <w:tcPr>
            <w:tcW w:w="1725" w:type="dxa"/>
            <w:tcBorders>
              <w:tl2br w:val="nil"/>
              <w:tr2bl w:val="nil"/>
            </w:tcBorders>
            <w:vAlign w:val="center"/>
          </w:tcPr>
          <w:p w14:paraId="6385EC9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0.0275</w:t>
            </w:r>
          </w:p>
        </w:tc>
        <w:tc>
          <w:tcPr>
            <w:tcW w:w="1620" w:type="dxa"/>
            <w:tcBorders>
              <w:tl2br w:val="nil"/>
              <w:tr2bl w:val="nil"/>
            </w:tcBorders>
            <w:vAlign w:val="center"/>
          </w:tcPr>
          <w:p w14:paraId="0D0D2E8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w:t>
            </w:r>
          </w:p>
        </w:tc>
      </w:tr>
      <w:tr w14:paraId="522F9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restart"/>
            <w:tcBorders>
              <w:tl2br w:val="nil"/>
              <w:tr2bl w:val="nil"/>
            </w:tcBorders>
            <w:vAlign w:val="center"/>
          </w:tcPr>
          <w:p w14:paraId="11705D1F">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废水</w:t>
            </w:r>
          </w:p>
        </w:tc>
        <w:tc>
          <w:tcPr>
            <w:tcW w:w="2060" w:type="dxa"/>
            <w:tcBorders>
              <w:tl2br w:val="nil"/>
              <w:tr2bl w:val="nil"/>
            </w:tcBorders>
            <w:vAlign w:val="center"/>
          </w:tcPr>
          <w:p w14:paraId="004DED41">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水量</w:t>
            </w:r>
          </w:p>
        </w:tc>
        <w:tc>
          <w:tcPr>
            <w:tcW w:w="1890" w:type="dxa"/>
            <w:tcBorders>
              <w:tl2br w:val="nil"/>
              <w:tr2bl w:val="nil"/>
            </w:tcBorders>
            <w:vAlign w:val="center"/>
          </w:tcPr>
          <w:p w14:paraId="44DF234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4300</w:t>
            </w:r>
          </w:p>
        </w:tc>
        <w:tc>
          <w:tcPr>
            <w:tcW w:w="1725" w:type="dxa"/>
            <w:tcBorders>
              <w:tl2br w:val="nil"/>
              <w:tr2bl w:val="nil"/>
            </w:tcBorders>
            <w:vAlign w:val="center"/>
          </w:tcPr>
          <w:p w14:paraId="6CE3CF7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3800</w:t>
            </w:r>
          </w:p>
        </w:tc>
        <w:tc>
          <w:tcPr>
            <w:tcW w:w="1620" w:type="dxa"/>
            <w:tcBorders>
              <w:tl2br w:val="nil"/>
              <w:tr2bl w:val="nil"/>
            </w:tcBorders>
            <w:vAlign w:val="center"/>
          </w:tcPr>
          <w:p w14:paraId="5A2F1D3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w:t>
            </w:r>
          </w:p>
        </w:tc>
      </w:tr>
      <w:tr w14:paraId="3A9AC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25EE32BB">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628DA93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COD</w:t>
            </w:r>
          </w:p>
        </w:tc>
        <w:tc>
          <w:tcPr>
            <w:tcW w:w="1890" w:type="dxa"/>
            <w:tcBorders>
              <w:tl2br w:val="nil"/>
              <w:tr2bl w:val="nil"/>
            </w:tcBorders>
            <w:vAlign w:val="center"/>
          </w:tcPr>
          <w:p w14:paraId="4B1E60A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0.65</w:t>
            </w:r>
          </w:p>
        </w:tc>
        <w:tc>
          <w:tcPr>
            <w:tcW w:w="1725" w:type="dxa"/>
            <w:tcBorders>
              <w:tl2br w:val="nil"/>
              <w:tr2bl w:val="nil"/>
            </w:tcBorders>
            <w:vAlign w:val="center"/>
          </w:tcPr>
          <w:p w14:paraId="4E68538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0.5</w:t>
            </w:r>
          </w:p>
        </w:tc>
        <w:tc>
          <w:tcPr>
            <w:tcW w:w="1620" w:type="dxa"/>
            <w:tcBorders>
              <w:tl2br w:val="nil"/>
              <w:tr2bl w:val="nil"/>
            </w:tcBorders>
            <w:vAlign w:val="center"/>
          </w:tcPr>
          <w:p w14:paraId="0B2ED31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0.126366</w:t>
            </w:r>
          </w:p>
        </w:tc>
      </w:tr>
      <w:tr w14:paraId="5950D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216C5400">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6CB5398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SS</w:t>
            </w:r>
          </w:p>
        </w:tc>
        <w:tc>
          <w:tcPr>
            <w:tcW w:w="1890" w:type="dxa"/>
            <w:tcBorders>
              <w:tl2br w:val="nil"/>
              <w:tr2bl w:val="nil"/>
            </w:tcBorders>
            <w:vAlign w:val="center"/>
          </w:tcPr>
          <w:p w14:paraId="645F688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0.268</w:t>
            </w:r>
          </w:p>
        </w:tc>
        <w:tc>
          <w:tcPr>
            <w:tcW w:w="1725" w:type="dxa"/>
            <w:tcBorders>
              <w:tl2br w:val="nil"/>
              <w:tr2bl w:val="nil"/>
            </w:tcBorders>
            <w:vAlign w:val="center"/>
          </w:tcPr>
          <w:p w14:paraId="3682AD1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0.248</w:t>
            </w:r>
          </w:p>
        </w:tc>
        <w:tc>
          <w:tcPr>
            <w:tcW w:w="1620" w:type="dxa"/>
            <w:tcBorders>
              <w:tl2br w:val="nil"/>
              <w:tr2bl w:val="nil"/>
            </w:tcBorders>
            <w:vAlign w:val="center"/>
          </w:tcPr>
          <w:p w14:paraId="157965C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w:t>
            </w:r>
          </w:p>
        </w:tc>
      </w:tr>
      <w:tr w14:paraId="3FE78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4D3CDBB2">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08438D5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NH</w:t>
            </w:r>
            <w:r>
              <w:rPr>
                <w:rFonts w:ascii="Times New Roman" w:hAnsi="Times New Roman" w:cs="Times New Roman"/>
                <w:color w:val="auto"/>
                <w:sz w:val="21"/>
                <w:szCs w:val="15"/>
                <w:highlight w:val="none"/>
                <w:vertAlign w:val="subscript"/>
              </w:rPr>
              <w:t>3</w:t>
            </w:r>
            <w:r>
              <w:rPr>
                <w:rFonts w:ascii="Times New Roman" w:hAnsi="Times New Roman" w:cs="Times New Roman"/>
                <w:color w:val="auto"/>
                <w:sz w:val="21"/>
                <w:szCs w:val="15"/>
                <w:highlight w:val="none"/>
              </w:rPr>
              <w:t>-N</w:t>
            </w:r>
          </w:p>
        </w:tc>
        <w:tc>
          <w:tcPr>
            <w:tcW w:w="1890" w:type="dxa"/>
            <w:tcBorders>
              <w:tl2br w:val="nil"/>
              <w:tr2bl w:val="nil"/>
            </w:tcBorders>
            <w:vAlign w:val="center"/>
          </w:tcPr>
          <w:p w14:paraId="05B4B37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0.06</w:t>
            </w:r>
          </w:p>
        </w:tc>
        <w:tc>
          <w:tcPr>
            <w:tcW w:w="1725" w:type="dxa"/>
            <w:tcBorders>
              <w:tl2br w:val="nil"/>
              <w:tr2bl w:val="nil"/>
            </w:tcBorders>
            <w:vAlign w:val="center"/>
          </w:tcPr>
          <w:p w14:paraId="714BA9D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0.06</w:t>
            </w:r>
          </w:p>
        </w:tc>
        <w:tc>
          <w:tcPr>
            <w:tcW w:w="1620" w:type="dxa"/>
            <w:tcBorders>
              <w:tl2br w:val="nil"/>
              <w:tr2bl w:val="nil"/>
            </w:tcBorders>
            <w:vAlign w:val="center"/>
          </w:tcPr>
          <w:p w14:paraId="509597E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0.005005</w:t>
            </w:r>
          </w:p>
        </w:tc>
      </w:tr>
      <w:tr w14:paraId="4522E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706295B0">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0BBE075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TP</w:t>
            </w:r>
          </w:p>
        </w:tc>
        <w:tc>
          <w:tcPr>
            <w:tcW w:w="1890" w:type="dxa"/>
            <w:tcBorders>
              <w:tl2br w:val="nil"/>
              <w:tr2bl w:val="nil"/>
            </w:tcBorders>
            <w:vAlign w:val="center"/>
          </w:tcPr>
          <w:p w14:paraId="4C55593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0.004</w:t>
            </w:r>
          </w:p>
        </w:tc>
        <w:tc>
          <w:tcPr>
            <w:tcW w:w="1725" w:type="dxa"/>
            <w:tcBorders>
              <w:tl2br w:val="nil"/>
              <w:tr2bl w:val="nil"/>
            </w:tcBorders>
            <w:vAlign w:val="center"/>
          </w:tcPr>
          <w:p w14:paraId="71886B5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0.004</w:t>
            </w:r>
          </w:p>
        </w:tc>
        <w:tc>
          <w:tcPr>
            <w:tcW w:w="1620" w:type="dxa"/>
            <w:tcBorders>
              <w:tl2br w:val="nil"/>
              <w:tr2bl w:val="nil"/>
            </w:tcBorders>
            <w:vAlign w:val="center"/>
          </w:tcPr>
          <w:p w14:paraId="7F0FE46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0.00035</w:t>
            </w:r>
          </w:p>
        </w:tc>
      </w:tr>
      <w:tr w14:paraId="41A32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4912DA24">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7B901A4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ascii="Times New Roman" w:hAnsi="Times New Roman" w:cs="Times New Roman"/>
                <w:color w:val="auto"/>
                <w:sz w:val="21"/>
                <w:szCs w:val="15"/>
                <w:highlight w:val="none"/>
              </w:rPr>
              <w:t>TN</w:t>
            </w:r>
          </w:p>
        </w:tc>
        <w:tc>
          <w:tcPr>
            <w:tcW w:w="1890" w:type="dxa"/>
            <w:tcBorders>
              <w:tl2br w:val="nil"/>
              <w:tr2bl w:val="nil"/>
            </w:tcBorders>
            <w:vAlign w:val="center"/>
          </w:tcPr>
          <w:p w14:paraId="18CA250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0.1188</w:t>
            </w:r>
          </w:p>
        </w:tc>
        <w:tc>
          <w:tcPr>
            <w:tcW w:w="1725" w:type="dxa"/>
            <w:tcBorders>
              <w:tl2br w:val="nil"/>
              <w:tr2bl w:val="nil"/>
            </w:tcBorders>
            <w:vAlign w:val="center"/>
          </w:tcPr>
          <w:p w14:paraId="1EA242D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0.1188</w:t>
            </w:r>
          </w:p>
        </w:tc>
        <w:tc>
          <w:tcPr>
            <w:tcW w:w="1620" w:type="dxa"/>
            <w:tcBorders>
              <w:tl2br w:val="nil"/>
              <w:tr2bl w:val="nil"/>
            </w:tcBorders>
            <w:vAlign w:val="center"/>
          </w:tcPr>
          <w:p w14:paraId="2214223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0.008735</w:t>
            </w:r>
          </w:p>
        </w:tc>
      </w:tr>
      <w:tr w14:paraId="06EDE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tl2br w:val="nil"/>
              <w:tr2bl w:val="nil"/>
            </w:tcBorders>
            <w:vAlign w:val="center"/>
          </w:tcPr>
          <w:p w14:paraId="56B516AF">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p>
        </w:tc>
        <w:tc>
          <w:tcPr>
            <w:tcW w:w="2060" w:type="dxa"/>
            <w:tcBorders>
              <w:tl2br w:val="nil"/>
              <w:tr2bl w:val="nil"/>
            </w:tcBorders>
            <w:vAlign w:val="center"/>
          </w:tcPr>
          <w:p w14:paraId="3C019B4B">
            <w:pPr>
              <w:keepNext w:val="0"/>
              <w:keepLines w:val="0"/>
              <w:pageBreakBefore w:val="0"/>
              <w:widowControl/>
              <w:kinsoku/>
              <w:wordWrap/>
              <w:overflowPunct/>
              <w:topLinePunct w:val="0"/>
              <w:autoSpaceDE/>
              <w:autoSpaceDN/>
              <w:bidi w:val="0"/>
              <w:adjustRightInd/>
              <w:snapToGrid/>
              <w:ind w:left="0" w:right="0"/>
              <w:jc w:val="center"/>
              <w:textAlignment w:val="auto"/>
              <w:rPr>
                <w:rFonts w:cs="Times New Roman"/>
                <w:color w:val="auto"/>
                <w:sz w:val="21"/>
                <w:szCs w:val="15"/>
                <w:highlight w:val="none"/>
              </w:rPr>
            </w:pPr>
            <w:r>
              <w:rPr>
                <w:rFonts w:hint="eastAsia" w:cs="Times New Roman"/>
                <w:color w:val="auto"/>
                <w:sz w:val="21"/>
                <w:szCs w:val="15"/>
                <w:highlight w:val="none"/>
              </w:rPr>
              <w:t>石油类</w:t>
            </w:r>
          </w:p>
        </w:tc>
        <w:tc>
          <w:tcPr>
            <w:tcW w:w="1890" w:type="dxa"/>
            <w:tcBorders>
              <w:tl2br w:val="nil"/>
              <w:tr2bl w:val="nil"/>
            </w:tcBorders>
            <w:vAlign w:val="center"/>
          </w:tcPr>
          <w:p w14:paraId="7920346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0.0135</w:t>
            </w:r>
          </w:p>
        </w:tc>
        <w:tc>
          <w:tcPr>
            <w:tcW w:w="1725" w:type="dxa"/>
            <w:tcBorders>
              <w:tl2br w:val="nil"/>
              <w:tr2bl w:val="nil"/>
            </w:tcBorders>
            <w:vAlign w:val="center"/>
          </w:tcPr>
          <w:p w14:paraId="42DF633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w:t>
            </w:r>
          </w:p>
        </w:tc>
        <w:tc>
          <w:tcPr>
            <w:tcW w:w="1620" w:type="dxa"/>
            <w:tcBorders>
              <w:tl2br w:val="nil"/>
              <w:tr2bl w:val="nil"/>
            </w:tcBorders>
            <w:vAlign w:val="center"/>
          </w:tcPr>
          <w:p w14:paraId="2519CE5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15"/>
                <w:highlight w:val="none"/>
              </w:rPr>
            </w:pPr>
            <w:r>
              <w:rPr>
                <w:rFonts w:hint="eastAsia" w:ascii="Times New Roman" w:hAnsi="Times New Roman" w:cs="Times New Roman"/>
                <w:color w:val="auto"/>
                <w:sz w:val="21"/>
                <w:szCs w:val="15"/>
                <w:highlight w:val="none"/>
              </w:rPr>
              <w:t>0</w:t>
            </w:r>
          </w:p>
        </w:tc>
      </w:tr>
    </w:tbl>
    <w:p w14:paraId="302EFCC8">
      <w:pPr>
        <w:spacing w:line="360" w:lineRule="auto"/>
        <w:ind w:left="-105" w:right="-105" w:firstLine="422"/>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注：*数据来源《年产聚氨酯丙烯酸酯5000t、丙烯酸酯组成物10000t和环氧丙烯酸树脂1200t生产线技改扩建项目环境影响评价报告书》</w:t>
      </w:r>
      <w:r>
        <w:rPr>
          <w:rFonts w:hint="eastAsia" w:ascii="Times New Roman" w:hAnsi="Times New Roman" w:cs="Times New Roman"/>
          <w:b/>
          <w:bCs/>
          <w:color w:val="auto"/>
          <w:sz w:val="21"/>
          <w:szCs w:val="21"/>
          <w:highlight w:val="none"/>
        </w:rPr>
        <w:t>“污染物排放总量指标”</w:t>
      </w:r>
      <w:r>
        <w:rPr>
          <w:rFonts w:ascii="Times New Roman" w:hAnsi="Times New Roman" w:cs="Times New Roman"/>
          <w:b/>
          <w:bCs/>
          <w:color w:val="auto"/>
          <w:sz w:val="21"/>
          <w:szCs w:val="21"/>
          <w:highlight w:val="none"/>
        </w:rPr>
        <w:t>。</w:t>
      </w:r>
    </w:p>
    <w:p w14:paraId="1FFE24B0">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公司已编制了突发环境事件应急预案并完成备案（备案号：320205-2023-082-H），已取得了排污许可证（证书编号913202057394398127001P），现有项目已投内容已完成验收。</w:t>
      </w:r>
      <w:r>
        <w:rPr>
          <w:rFonts w:hint="eastAsia" w:ascii="Times New Roman" w:hAnsi="Times New Roman"/>
          <w:color w:val="auto"/>
          <w:szCs w:val="22"/>
          <w:highlight w:val="none"/>
        </w:rPr>
        <w:t>本项目建成后，应对新增生产线重新申领排污许可证，编制突发环境事件应急预案并完成备案。</w:t>
      </w:r>
    </w:p>
    <w:p w14:paraId="6C494A30">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企业严格落实各项环境安全管理制度，定期对员工进行安全环保宣传和培训，运行至今没有发生过安全环保事故。现有项目污染防治措施均按报告执行；环境管理较好，设施管理良好、运行稳定，污染物达标排放；无环境污染事故、环境风险事故；与周边居民及企业无环保纠纷，无环保处罚及投诉举报问题。</w:t>
      </w:r>
    </w:p>
    <w:p w14:paraId="17DB0CFD">
      <w:pPr>
        <w:pStyle w:val="5"/>
        <w:keepLines w:val="0"/>
        <w:numPr>
          <w:ilvl w:val="2"/>
          <w:numId w:val="6"/>
        </w:numPr>
        <w:tabs>
          <w:tab w:val="left" w:pos="567"/>
          <w:tab w:val="left" w:pos="709"/>
        </w:tabs>
        <w:spacing w:before="0" w:after="0" w:line="360" w:lineRule="auto"/>
        <w:ind w:left="-105" w:right="-105"/>
        <w:rPr>
          <w:rFonts w:eastAsia="宋体"/>
          <w:color w:val="auto"/>
          <w:sz w:val="28"/>
          <w:szCs w:val="28"/>
          <w:highlight w:val="none"/>
        </w:rPr>
      </w:pPr>
      <w:r>
        <w:rPr>
          <w:rFonts w:hint="eastAsia" w:eastAsia="宋体"/>
          <w:color w:val="auto"/>
          <w:sz w:val="28"/>
          <w:szCs w:val="28"/>
          <w:highlight w:val="none"/>
        </w:rPr>
        <w:t>现有项目存在的主要环境问题及“以新带老”措施</w:t>
      </w:r>
    </w:p>
    <w:p w14:paraId="6C47DE96">
      <w:pPr>
        <w:spacing w:line="360" w:lineRule="auto"/>
        <w:ind w:left="-105" w:right="-105" w:firstLine="482" w:firstLineChars="200"/>
        <w:jc w:val="both"/>
        <w:rPr>
          <w:rFonts w:ascii="Times New Roman" w:hAnsi="Times New Roman"/>
          <w:b/>
          <w:bCs/>
          <w:color w:val="auto"/>
          <w:szCs w:val="22"/>
          <w:highlight w:val="none"/>
        </w:rPr>
      </w:pPr>
      <w:r>
        <w:rPr>
          <w:rFonts w:hint="eastAsia" w:ascii="Times New Roman" w:hAnsi="Times New Roman"/>
          <w:b/>
          <w:bCs/>
          <w:color w:val="auto"/>
          <w:szCs w:val="22"/>
          <w:highlight w:val="none"/>
        </w:rPr>
        <w:t>（1）存在的主要环境问题</w:t>
      </w:r>
    </w:p>
    <w:p w14:paraId="5A0FBE3F">
      <w:pPr>
        <w:spacing w:line="360" w:lineRule="auto"/>
        <w:ind w:left="-105" w:right="-105" w:firstLine="480" w:firstLineChars="200"/>
        <w:jc w:val="both"/>
        <w:rPr>
          <w:rFonts w:hint="eastAsia" w:ascii="Times New Roman" w:hAnsi="Times New Roman"/>
          <w:color w:val="auto"/>
          <w:szCs w:val="22"/>
          <w:highlight w:val="none"/>
        </w:rPr>
      </w:pPr>
      <w:r>
        <w:rPr>
          <w:rFonts w:hint="eastAsia" w:ascii="Times New Roman" w:hAnsi="Times New Roman"/>
          <w:color w:val="auto"/>
          <w:szCs w:val="22"/>
          <w:highlight w:val="none"/>
        </w:rPr>
        <w:t>由于现有项目环境影响报告书审批时间较早，废气特征因子无地方和国家排放标准，总量控制未考虑废气特征因子排放量（即总量控制中非甲烷总烃排放量不含废气特征因子的排放量）。由于目前有机废气均以非甲烷总烃计，实际检测废气排放情况时所有有机废气均计入非甲烷总烃，故实际排放的非甲烷总烃检出数据超过环评批复量。</w:t>
      </w:r>
    </w:p>
    <w:p w14:paraId="18F5EB3C">
      <w:pPr>
        <w:spacing w:line="360" w:lineRule="auto"/>
        <w:ind w:left="-105" w:right="-105" w:firstLine="480" w:firstLineChars="200"/>
        <w:jc w:val="both"/>
        <w:rPr>
          <w:rFonts w:ascii="Times New Roman" w:hAnsi="Times New Roman"/>
          <w:color w:val="auto"/>
          <w:szCs w:val="22"/>
          <w:highlight w:val="none"/>
        </w:rPr>
      </w:pPr>
      <w:r>
        <w:rPr>
          <w:rFonts w:hint="eastAsia"/>
          <w:color w:val="auto"/>
          <w:highlight w:val="none"/>
        </w:rPr>
        <w:t>根据挥发性有机物相关标准中术语和定义，本项目挥发性有机物以非甲烷总烃作为污染控物制项目。由于现有项目环境影响报告书审批时</w:t>
      </w:r>
      <w:r>
        <w:rPr>
          <w:rFonts w:hint="default" w:ascii="Times New Roman" w:hAnsi="Times New Roman" w:cs="Times New Roman"/>
          <w:color w:val="auto"/>
          <w:highlight w:val="none"/>
        </w:rPr>
        <w:t>间较早，废气特征因子丙烯酸、2-乙二醇单乙醚醋酸酯、异氰酸酯、丁酮、非甲烷总烃均单独分析评价，且丙烯酸、2-乙二醇单乙醚醋酸酯、异氰酸酯、丁酮未统计为有机废气并以非甲烷总烃作为污染控物制项目，因此环评报告和批复内的非甲烷总烃总量不含有机废气其他特征因子排放量，低于实际有机废气排放量，本报告将其进</w:t>
      </w:r>
      <w:r>
        <w:rPr>
          <w:rFonts w:hint="eastAsia"/>
          <w:color w:val="auto"/>
          <w:highlight w:val="none"/>
        </w:rPr>
        <w:t>行修正。</w:t>
      </w:r>
    </w:p>
    <w:p w14:paraId="1A6056DB">
      <w:pPr>
        <w:pStyle w:val="2"/>
        <w:ind w:left="-105" w:right="-105"/>
        <w:rPr>
          <w:color w:val="auto"/>
          <w:highlight w:val="none"/>
        </w:rPr>
      </w:pPr>
      <w:r>
        <w:rPr>
          <w:rFonts w:hint="eastAsia"/>
          <w:color w:val="auto"/>
          <w:highlight w:val="none"/>
        </w:rPr>
        <w:t>（2）“以新带老”措施</w:t>
      </w:r>
    </w:p>
    <w:p w14:paraId="226F2999">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1）关于废气排放总量</w:t>
      </w:r>
    </w:p>
    <w:p w14:paraId="1A80C145">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年产聚氨酯丙烯酸酯5000t、丙烯酸酯组成物10000t和环氧丙烯酸树脂1200t生产线技改扩建项目环境影响评价报告书》中全厂废气排放总量指标将批复中未计入的废气特征因子排放量全部纳入本报告现有项目的核准排放量。</w:t>
      </w:r>
    </w:p>
    <w:p w14:paraId="1B31FFFB">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2）关于产能削减</w:t>
      </w:r>
    </w:p>
    <w:p w14:paraId="4B01D66F">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由于市场科技革新、下游企业产品更新，部分产品市场需求量急剧缩减，企业现有产品生产能力无法达到设计能力，</w:t>
      </w:r>
      <w:r>
        <w:rPr>
          <w:rFonts w:hint="eastAsia" w:ascii="Times New Roman" w:hAnsi="Times New Roman"/>
          <w:color w:val="auto"/>
          <w:szCs w:val="22"/>
          <w:highlight w:val="none"/>
          <w:lang w:val="en-US" w:eastAsia="zh-CN"/>
        </w:rPr>
        <w:t>根据企业出具的项目申请报告（见附件），</w:t>
      </w:r>
      <w:r>
        <w:rPr>
          <w:rFonts w:hint="eastAsia" w:ascii="Times New Roman" w:hAnsi="Times New Roman"/>
          <w:color w:val="auto"/>
          <w:szCs w:val="22"/>
          <w:highlight w:val="none"/>
        </w:rPr>
        <w:t>目前企业产能</w:t>
      </w:r>
      <w:r>
        <w:rPr>
          <w:rFonts w:hint="eastAsia" w:ascii="Times New Roman" w:hAnsi="Times New Roman"/>
          <w:color w:val="auto"/>
          <w:szCs w:val="22"/>
          <w:highlight w:val="none"/>
          <w:lang w:val="en-US" w:eastAsia="zh-CN"/>
        </w:rPr>
        <w:t>可削减</w:t>
      </w:r>
      <w:r>
        <w:rPr>
          <w:rFonts w:hint="eastAsia" w:ascii="Times New Roman" w:hAnsi="Times New Roman"/>
          <w:color w:val="auto"/>
          <w:szCs w:val="22"/>
          <w:highlight w:val="none"/>
        </w:rPr>
        <w:t>为：聚氨酯丙烯酸酯4600t/a、丙烯酸酯组成物9800t/a和环氧丙烯酸树脂2800t/a，</w:t>
      </w:r>
      <w:r>
        <w:rPr>
          <w:rFonts w:hint="eastAsia" w:ascii="Times New Roman" w:hAnsi="Times New Roman"/>
          <w:color w:val="auto"/>
          <w:szCs w:val="22"/>
          <w:highlight w:val="none"/>
        </w:rPr>
        <w:t>因此，削减了废气排放总量。</w:t>
      </w:r>
    </w:p>
    <w:p w14:paraId="2C532A2E">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根据《年产聚氨酯丙烯酸酯5000t、丙烯酸酯组成物10000t和环氧丙烯酸树脂1200t生产线技改扩建项目环境影响评价报告书》及《化药化工（无锡）有限公司年产聚氨酯丙烯酸酯5000t、丙烯酸酯组成物10000t和环氧丙烯酸树脂1200t生产线技改扩建项目一般变动环境影响分析报告》，全厂废气排放如下：</w:t>
      </w:r>
    </w:p>
    <w:p w14:paraId="55AC9EBE">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14</w:t>
      </w:r>
      <w:r>
        <w:rPr>
          <w:rFonts w:eastAsia="宋体" w:cs="Times New Roman"/>
          <w:color w:val="auto"/>
          <w:sz w:val="24"/>
          <w:szCs w:val="18"/>
          <w:highlight w:val="none"/>
        </w:rPr>
        <w:fldChar w:fldCharType="end"/>
      </w:r>
      <w:r>
        <w:rPr>
          <w:rFonts w:hint="eastAsia" w:eastAsia="宋体" w:cs="Times New Roman"/>
          <w:color w:val="auto"/>
          <w:sz w:val="24"/>
          <w:szCs w:val="18"/>
          <w:highlight w:val="none"/>
        </w:rPr>
        <w:t>现有项目变动后废气污染物排放总量</w:t>
      </w:r>
      <w:r>
        <w:rPr>
          <w:rFonts w:eastAsia="宋体" w:cs="Times New Roman"/>
          <w:color w:val="auto"/>
          <w:sz w:val="24"/>
          <w:szCs w:val="18"/>
          <w:highlight w:val="none"/>
        </w:rPr>
        <w:t>表（单位：t/a）</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4339"/>
        <w:gridCol w:w="2977"/>
      </w:tblGrid>
      <w:tr w14:paraId="461A1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tcBorders>
              <w:tl2br w:val="nil"/>
              <w:tr2bl w:val="nil"/>
            </w:tcBorders>
            <w:vAlign w:val="center"/>
          </w:tcPr>
          <w:p w14:paraId="69C9ADDA">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b/>
                <w:bCs/>
                <w:color w:val="auto"/>
                <w:sz w:val="21"/>
                <w:szCs w:val="21"/>
                <w:highlight w:val="none"/>
              </w:rPr>
            </w:pPr>
            <w:r>
              <w:rPr>
                <w:rFonts w:cs="Times New Roman"/>
                <w:b/>
                <w:bCs/>
                <w:color w:val="auto"/>
                <w:sz w:val="21"/>
                <w:szCs w:val="21"/>
                <w:highlight w:val="none"/>
              </w:rPr>
              <w:t>类别</w:t>
            </w:r>
          </w:p>
        </w:tc>
        <w:tc>
          <w:tcPr>
            <w:tcW w:w="4339" w:type="dxa"/>
            <w:tcBorders>
              <w:tl2br w:val="nil"/>
              <w:tr2bl w:val="nil"/>
            </w:tcBorders>
            <w:vAlign w:val="center"/>
          </w:tcPr>
          <w:p w14:paraId="568DF433">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b/>
                <w:bCs/>
                <w:color w:val="auto"/>
                <w:sz w:val="21"/>
                <w:szCs w:val="21"/>
                <w:highlight w:val="none"/>
              </w:rPr>
            </w:pPr>
            <w:r>
              <w:rPr>
                <w:rFonts w:cs="Times New Roman"/>
                <w:b/>
                <w:bCs/>
                <w:color w:val="auto"/>
                <w:sz w:val="21"/>
                <w:szCs w:val="21"/>
                <w:highlight w:val="none"/>
              </w:rPr>
              <w:t>项目</w:t>
            </w:r>
          </w:p>
        </w:tc>
        <w:tc>
          <w:tcPr>
            <w:tcW w:w="2977" w:type="dxa"/>
            <w:tcBorders>
              <w:tl2br w:val="nil"/>
              <w:tr2bl w:val="nil"/>
            </w:tcBorders>
            <w:vAlign w:val="center"/>
          </w:tcPr>
          <w:p w14:paraId="20EF1888">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b/>
                <w:bCs/>
                <w:color w:val="auto"/>
                <w:sz w:val="21"/>
                <w:szCs w:val="21"/>
                <w:highlight w:val="none"/>
              </w:rPr>
            </w:pPr>
            <w:r>
              <w:rPr>
                <w:rFonts w:cs="Times New Roman"/>
                <w:b/>
                <w:bCs/>
                <w:color w:val="auto"/>
                <w:sz w:val="21"/>
                <w:szCs w:val="21"/>
                <w:highlight w:val="none"/>
              </w:rPr>
              <w:t>项目排放量</w:t>
            </w:r>
          </w:p>
        </w:tc>
      </w:tr>
      <w:tr w14:paraId="213B3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restart"/>
            <w:tcBorders>
              <w:tl2br w:val="nil"/>
              <w:tr2bl w:val="nil"/>
            </w:tcBorders>
            <w:vAlign w:val="center"/>
          </w:tcPr>
          <w:p w14:paraId="2EABF5C5">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有组织</w:t>
            </w:r>
          </w:p>
        </w:tc>
        <w:tc>
          <w:tcPr>
            <w:tcW w:w="4339" w:type="dxa"/>
            <w:tcBorders>
              <w:tl2br w:val="nil"/>
              <w:tr2bl w:val="nil"/>
            </w:tcBorders>
            <w:vAlign w:val="center"/>
          </w:tcPr>
          <w:p w14:paraId="72B9EE4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2-乙二醇单乙醚醋酸酯</w:t>
            </w:r>
          </w:p>
        </w:tc>
        <w:tc>
          <w:tcPr>
            <w:tcW w:w="2977" w:type="dxa"/>
            <w:tcBorders>
              <w:tl2br w:val="nil"/>
              <w:tr2bl w:val="nil"/>
            </w:tcBorders>
            <w:vAlign w:val="center"/>
          </w:tcPr>
          <w:p w14:paraId="63DA6176">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0.2175</w:t>
            </w:r>
          </w:p>
        </w:tc>
      </w:tr>
      <w:tr w14:paraId="27D62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3BF84607">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1084C107">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丁酮</w:t>
            </w:r>
          </w:p>
        </w:tc>
        <w:tc>
          <w:tcPr>
            <w:tcW w:w="2977" w:type="dxa"/>
            <w:tcBorders>
              <w:tl2br w:val="nil"/>
              <w:tr2bl w:val="nil"/>
            </w:tcBorders>
            <w:vAlign w:val="center"/>
          </w:tcPr>
          <w:p w14:paraId="1C55CF75">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0.905</w:t>
            </w:r>
          </w:p>
        </w:tc>
      </w:tr>
      <w:tr w14:paraId="5A024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576DB137">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1BCDB307">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异氰酸酯</w:t>
            </w:r>
          </w:p>
        </w:tc>
        <w:tc>
          <w:tcPr>
            <w:tcW w:w="2977" w:type="dxa"/>
            <w:tcBorders>
              <w:tl2br w:val="nil"/>
              <w:tr2bl w:val="nil"/>
            </w:tcBorders>
            <w:vAlign w:val="center"/>
          </w:tcPr>
          <w:p w14:paraId="39E02CA5">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0.008</w:t>
            </w:r>
          </w:p>
        </w:tc>
      </w:tr>
      <w:tr w14:paraId="0D4BA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382CD543">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554ECD5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丙烯酸</w:t>
            </w:r>
          </w:p>
        </w:tc>
        <w:tc>
          <w:tcPr>
            <w:tcW w:w="2977" w:type="dxa"/>
            <w:tcBorders>
              <w:tl2br w:val="nil"/>
              <w:tr2bl w:val="nil"/>
            </w:tcBorders>
            <w:vAlign w:val="center"/>
          </w:tcPr>
          <w:p w14:paraId="3063E6F7">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0.1819</w:t>
            </w:r>
          </w:p>
        </w:tc>
      </w:tr>
      <w:tr w14:paraId="4B0B7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5A11C835">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058D33B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2977" w:type="dxa"/>
            <w:tcBorders>
              <w:tl2br w:val="nil"/>
              <w:tr2bl w:val="nil"/>
            </w:tcBorders>
            <w:vAlign w:val="center"/>
          </w:tcPr>
          <w:p w14:paraId="4C638F03">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0.68</w:t>
            </w:r>
          </w:p>
        </w:tc>
      </w:tr>
      <w:tr w14:paraId="43433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29FD9109">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shd w:val="clear" w:color="auto" w:fill="BEBEBE" w:themeFill="background1" w:themeFillShade="BF"/>
            <w:vAlign w:val="center"/>
          </w:tcPr>
          <w:p w14:paraId="444419B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非甲烷总烃（含2-乙二醇单乙醚醋酸酯、丁酮、异氰酸酯、丙烯酸）</w:t>
            </w:r>
          </w:p>
        </w:tc>
        <w:tc>
          <w:tcPr>
            <w:tcW w:w="2977" w:type="dxa"/>
            <w:tcBorders>
              <w:tl2br w:val="nil"/>
              <w:tr2bl w:val="nil"/>
            </w:tcBorders>
            <w:shd w:val="clear" w:color="auto" w:fill="BEBEBE" w:themeFill="background1" w:themeFillShade="BF"/>
            <w:vAlign w:val="center"/>
          </w:tcPr>
          <w:p w14:paraId="25941D3B">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1.9924</w:t>
            </w:r>
          </w:p>
        </w:tc>
      </w:tr>
      <w:tr w14:paraId="121C8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restart"/>
            <w:tcBorders>
              <w:tl2br w:val="nil"/>
              <w:tr2bl w:val="nil"/>
            </w:tcBorders>
            <w:vAlign w:val="center"/>
          </w:tcPr>
          <w:p w14:paraId="70CA7507">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无组织</w:t>
            </w:r>
          </w:p>
        </w:tc>
        <w:tc>
          <w:tcPr>
            <w:tcW w:w="4339" w:type="dxa"/>
            <w:tcBorders>
              <w:tl2br w:val="nil"/>
              <w:tr2bl w:val="nil"/>
            </w:tcBorders>
            <w:vAlign w:val="center"/>
          </w:tcPr>
          <w:p w14:paraId="070D0A9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丙烯酸</w:t>
            </w:r>
          </w:p>
        </w:tc>
        <w:tc>
          <w:tcPr>
            <w:tcW w:w="2977" w:type="dxa"/>
            <w:tcBorders>
              <w:tl2br w:val="nil"/>
              <w:tr2bl w:val="nil"/>
            </w:tcBorders>
            <w:vAlign w:val="center"/>
          </w:tcPr>
          <w:p w14:paraId="79A4289F">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0.0175</w:t>
            </w:r>
          </w:p>
        </w:tc>
      </w:tr>
      <w:tr w14:paraId="180F7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15E80589">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58B1D8C3">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2-乙二醇单乙醚醋酸酯</w:t>
            </w:r>
          </w:p>
        </w:tc>
        <w:tc>
          <w:tcPr>
            <w:tcW w:w="2977" w:type="dxa"/>
            <w:tcBorders>
              <w:tl2br w:val="nil"/>
              <w:tr2bl w:val="nil"/>
            </w:tcBorders>
            <w:vAlign w:val="center"/>
          </w:tcPr>
          <w:p w14:paraId="202517FC">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0.007</w:t>
            </w:r>
          </w:p>
        </w:tc>
      </w:tr>
      <w:tr w14:paraId="43EBB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3243D1E0">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vAlign w:val="center"/>
          </w:tcPr>
          <w:p w14:paraId="3F28767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2977" w:type="dxa"/>
            <w:tcBorders>
              <w:tl2br w:val="nil"/>
              <w:tr2bl w:val="nil"/>
            </w:tcBorders>
            <w:vAlign w:val="center"/>
          </w:tcPr>
          <w:p w14:paraId="34C1377D">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0.003</w:t>
            </w:r>
          </w:p>
        </w:tc>
      </w:tr>
      <w:tr w14:paraId="6C035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4" w:type="dxa"/>
            <w:vMerge w:val="continue"/>
            <w:tcBorders>
              <w:tl2br w:val="nil"/>
              <w:tr2bl w:val="nil"/>
            </w:tcBorders>
            <w:vAlign w:val="center"/>
          </w:tcPr>
          <w:p w14:paraId="7F48A6AF">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p>
        </w:tc>
        <w:tc>
          <w:tcPr>
            <w:tcW w:w="4339" w:type="dxa"/>
            <w:tcBorders>
              <w:tl2br w:val="nil"/>
              <w:tr2bl w:val="nil"/>
            </w:tcBorders>
            <w:shd w:val="clear" w:color="auto" w:fill="BEBEBE" w:themeFill="background1" w:themeFillShade="BF"/>
            <w:vAlign w:val="center"/>
          </w:tcPr>
          <w:p w14:paraId="42DB10D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非甲烷总烃（含2-乙二醇单乙醚醋酸酯、丁酮、异氰酸酯、丙烯酸）</w:t>
            </w:r>
          </w:p>
        </w:tc>
        <w:tc>
          <w:tcPr>
            <w:tcW w:w="2977" w:type="dxa"/>
            <w:tcBorders>
              <w:tl2br w:val="nil"/>
              <w:tr2bl w:val="nil"/>
            </w:tcBorders>
            <w:shd w:val="clear" w:color="auto" w:fill="BEBEBE" w:themeFill="background1" w:themeFillShade="BF"/>
            <w:vAlign w:val="center"/>
          </w:tcPr>
          <w:p w14:paraId="56F9CDF6">
            <w:pPr>
              <w:pStyle w:val="2"/>
              <w:keepNext w:val="0"/>
              <w:keepLines w:val="0"/>
              <w:pageBreakBefore w:val="0"/>
              <w:widowControl/>
              <w:kinsoku/>
              <w:wordWrap/>
              <w:overflowPunct/>
              <w:topLinePunct w:val="0"/>
              <w:autoSpaceDE/>
              <w:autoSpaceDN/>
              <w:bidi w:val="0"/>
              <w:spacing w:line="240" w:lineRule="auto"/>
              <w:ind w:left="0" w:right="0" w:firstLine="0" w:firstLineChars="0"/>
              <w:jc w:val="center"/>
              <w:rPr>
                <w:rFonts w:cs="Times New Roman"/>
                <w:color w:val="auto"/>
                <w:sz w:val="21"/>
                <w:szCs w:val="21"/>
                <w:highlight w:val="none"/>
              </w:rPr>
            </w:pPr>
            <w:r>
              <w:rPr>
                <w:rFonts w:cs="Times New Roman"/>
                <w:color w:val="auto"/>
                <w:sz w:val="21"/>
                <w:szCs w:val="21"/>
                <w:highlight w:val="none"/>
              </w:rPr>
              <w:t>0.0275</w:t>
            </w:r>
          </w:p>
        </w:tc>
      </w:tr>
    </w:tbl>
    <w:p w14:paraId="551DDA4B">
      <w:pPr>
        <w:spacing w:before="120" w:beforeLines="50"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由于各产品产能削减</w:t>
      </w:r>
      <w:r>
        <w:rPr>
          <w:rFonts w:hint="eastAsia" w:ascii="Times New Roman" w:hAnsi="Times New Roman"/>
          <w:color w:val="auto"/>
          <w:szCs w:val="22"/>
          <w:highlight w:val="none"/>
          <w:lang w:val="en-US" w:eastAsia="zh-CN"/>
        </w:rPr>
        <w:t>2%~10%</w:t>
      </w:r>
      <w:r>
        <w:rPr>
          <w:rFonts w:hint="eastAsia" w:ascii="Times New Roman" w:hAnsi="Times New Roman"/>
          <w:color w:val="auto"/>
          <w:szCs w:val="22"/>
          <w:highlight w:val="none"/>
        </w:rPr>
        <w:t>，</w:t>
      </w:r>
      <w:r>
        <w:rPr>
          <w:rFonts w:hint="eastAsia" w:ascii="Times New Roman" w:hAnsi="Times New Roman"/>
          <w:color w:val="auto"/>
          <w:szCs w:val="22"/>
          <w:highlight w:val="none"/>
          <w:lang w:val="en-US" w:eastAsia="zh-CN"/>
        </w:rPr>
        <w:t>根据</w:t>
      </w:r>
      <w:r>
        <w:rPr>
          <w:rFonts w:hint="eastAsia" w:ascii="Times New Roman" w:hAnsi="Times New Roman"/>
          <w:color w:val="auto"/>
          <w:szCs w:val="22"/>
          <w:highlight w:val="none"/>
        </w:rPr>
        <w:t>《年产聚氨酯丙烯酸酯5000t、丙烯酸酯组成物10000t和环氧丙烯酸树脂1200t生产线技改扩建项目环境影响评价报告书》及《化药化工（无锡）有限公司年产聚氨酯丙烯酸酯5000t、丙烯酸酯组成物10000t和环氧丙烯酸树脂1200t生产线技改扩建项目一般变动环境影响分析报告》</w:t>
      </w:r>
      <w:r>
        <w:rPr>
          <w:rFonts w:hint="eastAsia" w:ascii="Times New Roman" w:hAnsi="Times New Roman"/>
          <w:color w:val="auto"/>
          <w:szCs w:val="22"/>
          <w:highlight w:val="none"/>
          <w:lang w:val="en-US" w:eastAsia="zh-CN"/>
        </w:rPr>
        <w:t>中源强核算情况，本报告核算削减量按</w:t>
      </w:r>
      <w:r>
        <w:rPr>
          <w:rFonts w:hint="eastAsia" w:ascii="Times New Roman" w:hAnsi="Times New Roman"/>
          <w:color w:val="auto"/>
          <w:szCs w:val="22"/>
          <w:highlight w:val="none"/>
        </w:rPr>
        <w:t>原辅料与废气、固废均同比例削减</w:t>
      </w:r>
      <w:r>
        <w:rPr>
          <w:rFonts w:hint="eastAsia" w:ascii="Times New Roman" w:hAnsi="Times New Roman"/>
          <w:color w:val="auto"/>
          <w:szCs w:val="22"/>
          <w:highlight w:val="none"/>
          <w:lang w:val="en-US" w:eastAsia="zh-CN"/>
        </w:rPr>
        <w:t>10%</w:t>
      </w:r>
      <w:r>
        <w:rPr>
          <w:rFonts w:hint="eastAsia" w:ascii="Times New Roman" w:hAnsi="Times New Roman"/>
          <w:color w:val="auto"/>
          <w:szCs w:val="22"/>
          <w:highlight w:val="none"/>
        </w:rPr>
        <w:t>，削减量计入“以新带老”量。</w:t>
      </w:r>
    </w:p>
    <w:p w14:paraId="6F1AC8D9">
      <w:pPr>
        <w:pStyle w:val="2"/>
        <w:ind w:left="-105" w:right="-105"/>
        <w:rPr>
          <w:snapToGrid/>
          <w:color w:val="auto"/>
          <w:highlight w:val="none"/>
        </w:rPr>
      </w:pPr>
      <w:r>
        <w:rPr>
          <w:rFonts w:hint="eastAsia"/>
          <w:snapToGrid/>
          <w:color w:val="auto"/>
          <w:highlight w:val="none"/>
        </w:rPr>
        <w:t>3）关于DA005废活性炭产生量</w:t>
      </w:r>
    </w:p>
    <w:p w14:paraId="05A3C2C8">
      <w:pPr>
        <w:pStyle w:val="2"/>
        <w:ind w:left="-105" w:right="-105"/>
        <w:rPr>
          <w:snapToGrid/>
          <w:color w:val="auto"/>
          <w:highlight w:val="none"/>
        </w:rPr>
      </w:pPr>
      <w:r>
        <w:rPr>
          <w:rFonts w:hint="eastAsia"/>
          <w:snapToGrid/>
          <w:color w:val="auto"/>
          <w:highlight w:val="none"/>
        </w:rPr>
        <w:t>由于本项目生产线产生的废气依托现有项目DA005废气处理设施及排气筒，废活性炭更换情况有所变动（具体见4.6.4章节），故该设施现有项目产生的废活性炭量计入“以新带老”量。</w:t>
      </w:r>
    </w:p>
    <w:p w14:paraId="6F827AFD">
      <w:pPr>
        <w:spacing w:before="120" w:beforeLines="50"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具体见下表：</w:t>
      </w:r>
    </w:p>
    <w:p w14:paraId="565E1E32">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15</w:t>
      </w:r>
      <w:r>
        <w:rPr>
          <w:rFonts w:eastAsia="宋体" w:cs="Times New Roman"/>
          <w:color w:val="auto"/>
          <w:sz w:val="24"/>
          <w:szCs w:val="18"/>
          <w:highlight w:val="none"/>
        </w:rPr>
        <w:fldChar w:fldCharType="end"/>
      </w:r>
      <w:r>
        <w:rPr>
          <w:rFonts w:hint="eastAsia" w:eastAsia="宋体" w:cs="Times New Roman"/>
          <w:color w:val="auto"/>
          <w:sz w:val="24"/>
          <w:szCs w:val="18"/>
          <w:highlight w:val="none"/>
        </w:rPr>
        <w:t>“以新带老”排放量表</w:t>
      </w:r>
      <w:r>
        <w:rPr>
          <w:rFonts w:eastAsia="宋体" w:cs="Times New Roman"/>
          <w:color w:val="auto"/>
          <w:sz w:val="24"/>
          <w:szCs w:val="18"/>
          <w:highlight w:val="none"/>
        </w:rPr>
        <w:t>（单位：t/a）</w:t>
      </w:r>
    </w:p>
    <w:tbl>
      <w:tblPr>
        <w:tblStyle w:val="45"/>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11"/>
        <w:gridCol w:w="1113"/>
        <w:gridCol w:w="1877"/>
        <w:gridCol w:w="1408"/>
        <w:gridCol w:w="1604"/>
        <w:gridCol w:w="1604"/>
      </w:tblGrid>
      <w:tr w14:paraId="36A20C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2225" w:type="dxa"/>
            <w:gridSpan w:val="2"/>
            <w:shd w:val="clear" w:color="auto" w:fill="auto"/>
            <w:vAlign w:val="center"/>
          </w:tcPr>
          <w:p w14:paraId="5180B98A">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种类</w:t>
            </w:r>
          </w:p>
        </w:tc>
        <w:tc>
          <w:tcPr>
            <w:tcW w:w="1877" w:type="dxa"/>
            <w:shd w:val="clear" w:color="auto" w:fill="auto"/>
            <w:vAlign w:val="center"/>
          </w:tcPr>
          <w:p w14:paraId="51951D08">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p w14:paraId="4A8C0FA4">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名称</w:t>
            </w:r>
          </w:p>
        </w:tc>
        <w:tc>
          <w:tcPr>
            <w:tcW w:w="1408" w:type="dxa"/>
            <w:shd w:val="clear" w:color="auto" w:fill="auto"/>
            <w:vAlign w:val="center"/>
          </w:tcPr>
          <w:p w14:paraId="7EF1D5A4">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原有项目排放量</w:t>
            </w:r>
          </w:p>
        </w:tc>
        <w:tc>
          <w:tcPr>
            <w:tcW w:w="1604" w:type="dxa"/>
            <w:shd w:val="clear" w:color="auto" w:fill="auto"/>
            <w:vAlign w:val="center"/>
          </w:tcPr>
          <w:p w14:paraId="67DC86A4">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“以新带老”量</w:t>
            </w:r>
          </w:p>
        </w:tc>
        <w:tc>
          <w:tcPr>
            <w:tcW w:w="1604" w:type="dxa"/>
            <w:shd w:val="clear" w:color="auto" w:fill="auto"/>
            <w:vAlign w:val="center"/>
          </w:tcPr>
          <w:p w14:paraId="2108D76F">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排放量</w:t>
            </w:r>
          </w:p>
        </w:tc>
      </w:tr>
      <w:tr w14:paraId="20D552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restart"/>
            <w:shd w:val="clear" w:color="auto" w:fill="auto"/>
            <w:vAlign w:val="center"/>
          </w:tcPr>
          <w:p w14:paraId="2710F10D">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1113" w:type="dxa"/>
            <w:vMerge w:val="restart"/>
            <w:shd w:val="clear" w:color="auto" w:fill="auto"/>
            <w:vAlign w:val="center"/>
          </w:tcPr>
          <w:p w14:paraId="1EC8142F">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有组织</w:t>
            </w:r>
          </w:p>
        </w:tc>
        <w:tc>
          <w:tcPr>
            <w:tcW w:w="1877" w:type="dxa"/>
            <w:shd w:val="clear" w:color="auto" w:fill="auto"/>
            <w:vAlign w:val="center"/>
          </w:tcPr>
          <w:p w14:paraId="6A39FEA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2-乙二醇单乙醚醋酸酯</w:t>
            </w:r>
          </w:p>
        </w:tc>
        <w:tc>
          <w:tcPr>
            <w:tcW w:w="1408" w:type="dxa"/>
            <w:shd w:val="clear" w:color="auto" w:fill="auto"/>
            <w:vAlign w:val="center"/>
          </w:tcPr>
          <w:p w14:paraId="4CFF3A5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0.2175</w:t>
            </w:r>
          </w:p>
        </w:tc>
        <w:tc>
          <w:tcPr>
            <w:tcW w:w="1604" w:type="dxa"/>
            <w:shd w:val="clear" w:color="auto" w:fill="auto"/>
            <w:vAlign w:val="center"/>
          </w:tcPr>
          <w:p w14:paraId="4C067C8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0.02175</w:t>
            </w:r>
          </w:p>
        </w:tc>
        <w:tc>
          <w:tcPr>
            <w:tcW w:w="1604" w:type="dxa"/>
            <w:shd w:val="clear" w:color="auto" w:fill="auto"/>
            <w:vAlign w:val="center"/>
          </w:tcPr>
          <w:p w14:paraId="35B8B31C">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0.19575</w:t>
            </w:r>
          </w:p>
        </w:tc>
      </w:tr>
      <w:tr w14:paraId="55F04D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6BDB358B">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53ED0BAC">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0D9C32FB">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丁酮</w:t>
            </w:r>
          </w:p>
        </w:tc>
        <w:tc>
          <w:tcPr>
            <w:tcW w:w="1408" w:type="dxa"/>
            <w:shd w:val="clear" w:color="auto" w:fill="auto"/>
            <w:vAlign w:val="center"/>
          </w:tcPr>
          <w:p w14:paraId="219A77E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0.905</w:t>
            </w:r>
          </w:p>
        </w:tc>
        <w:tc>
          <w:tcPr>
            <w:tcW w:w="1604" w:type="dxa"/>
            <w:shd w:val="clear" w:color="auto" w:fill="auto"/>
            <w:vAlign w:val="center"/>
          </w:tcPr>
          <w:p w14:paraId="6A9C61A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0.0905</w:t>
            </w:r>
          </w:p>
        </w:tc>
        <w:tc>
          <w:tcPr>
            <w:tcW w:w="1604" w:type="dxa"/>
            <w:shd w:val="clear" w:color="auto" w:fill="auto"/>
            <w:vAlign w:val="center"/>
          </w:tcPr>
          <w:p w14:paraId="54459A63">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0.8145</w:t>
            </w:r>
          </w:p>
        </w:tc>
      </w:tr>
      <w:tr w14:paraId="69B7C0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36D47CEA">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6717712D">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44CCE617">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异氰酸酯</w:t>
            </w:r>
          </w:p>
        </w:tc>
        <w:tc>
          <w:tcPr>
            <w:tcW w:w="1408" w:type="dxa"/>
            <w:shd w:val="clear" w:color="auto" w:fill="auto"/>
            <w:vAlign w:val="center"/>
          </w:tcPr>
          <w:p w14:paraId="6B8FBA5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0.008</w:t>
            </w:r>
          </w:p>
        </w:tc>
        <w:tc>
          <w:tcPr>
            <w:tcW w:w="1604" w:type="dxa"/>
            <w:shd w:val="clear" w:color="auto" w:fill="auto"/>
            <w:vAlign w:val="center"/>
          </w:tcPr>
          <w:p w14:paraId="531F120C">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0.00064</w:t>
            </w:r>
          </w:p>
        </w:tc>
        <w:tc>
          <w:tcPr>
            <w:tcW w:w="1604" w:type="dxa"/>
            <w:shd w:val="clear" w:color="auto" w:fill="auto"/>
            <w:vAlign w:val="center"/>
          </w:tcPr>
          <w:p w14:paraId="74C24599">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0.00736</w:t>
            </w:r>
          </w:p>
        </w:tc>
      </w:tr>
      <w:tr w14:paraId="73BB5F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44D01EC3">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7E4C1963">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5936325A">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丙烯酸</w:t>
            </w:r>
          </w:p>
        </w:tc>
        <w:tc>
          <w:tcPr>
            <w:tcW w:w="1408" w:type="dxa"/>
            <w:shd w:val="clear" w:color="auto" w:fill="auto"/>
            <w:vAlign w:val="center"/>
          </w:tcPr>
          <w:p w14:paraId="3A1D07DA">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0.1819</w:t>
            </w:r>
          </w:p>
        </w:tc>
        <w:tc>
          <w:tcPr>
            <w:tcW w:w="1604" w:type="dxa"/>
            <w:shd w:val="clear" w:color="auto" w:fill="auto"/>
            <w:vAlign w:val="center"/>
          </w:tcPr>
          <w:p w14:paraId="638E8C2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0.01819</w:t>
            </w:r>
          </w:p>
        </w:tc>
        <w:tc>
          <w:tcPr>
            <w:tcW w:w="1604" w:type="dxa"/>
            <w:shd w:val="clear" w:color="auto" w:fill="auto"/>
            <w:vAlign w:val="center"/>
          </w:tcPr>
          <w:p w14:paraId="78339B0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0.16371</w:t>
            </w:r>
          </w:p>
        </w:tc>
      </w:tr>
      <w:tr w14:paraId="1B4C9C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2F2F98E8">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29238042">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3BA1BBF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1408" w:type="dxa"/>
            <w:shd w:val="clear" w:color="auto" w:fill="auto"/>
            <w:vAlign w:val="center"/>
          </w:tcPr>
          <w:p w14:paraId="183C656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0.68</w:t>
            </w:r>
          </w:p>
        </w:tc>
        <w:tc>
          <w:tcPr>
            <w:tcW w:w="1604" w:type="dxa"/>
            <w:shd w:val="clear" w:color="auto" w:fill="auto"/>
            <w:vAlign w:val="center"/>
          </w:tcPr>
          <w:p w14:paraId="0413A84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0.068</w:t>
            </w:r>
          </w:p>
        </w:tc>
        <w:tc>
          <w:tcPr>
            <w:tcW w:w="1604" w:type="dxa"/>
            <w:shd w:val="clear" w:color="auto" w:fill="auto"/>
            <w:vAlign w:val="center"/>
          </w:tcPr>
          <w:p w14:paraId="66BB1AD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0.612</w:t>
            </w:r>
          </w:p>
        </w:tc>
      </w:tr>
      <w:tr w14:paraId="4E2F5D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644FFC70">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35EB8CAB">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BEBEBE" w:themeFill="background1" w:themeFillShade="BF"/>
            <w:vAlign w:val="center"/>
          </w:tcPr>
          <w:p w14:paraId="0CE38452">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非甲烷总烃（含2-乙二醇单乙醚醋酸酯、丁酮、异氰酸酯、丙烯酸）</w:t>
            </w:r>
          </w:p>
        </w:tc>
        <w:tc>
          <w:tcPr>
            <w:tcW w:w="1408" w:type="dxa"/>
            <w:shd w:val="clear" w:color="auto" w:fill="BEBEBE" w:themeFill="background1" w:themeFillShade="BF"/>
            <w:vAlign w:val="center"/>
          </w:tcPr>
          <w:p w14:paraId="2DB79DD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1.9924</w:t>
            </w:r>
          </w:p>
        </w:tc>
        <w:tc>
          <w:tcPr>
            <w:tcW w:w="1604" w:type="dxa"/>
            <w:shd w:val="clear" w:color="auto" w:fill="BEBEBE" w:themeFill="background1" w:themeFillShade="BF"/>
            <w:vAlign w:val="center"/>
          </w:tcPr>
          <w:p w14:paraId="5792C1EA">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0.19924</w:t>
            </w:r>
          </w:p>
        </w:tc>
        <w:tc>
          <w:tcPr>
            <w:tcW w:w="1604" w:type="dxa"/>
            <w:shd w:val="clear" w:color="auto" w:fill="BEBEBE" w:themeFill="background1" w:themeFillShade="BF"/>
            <w:vAlign w:val="center"/>
          </w:tcPr>
          <w:p w14:paraId="5BBF13B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1.79316</w:t>
            </w:r>
          </w:p>
        </w:tc>
      </w:tr>
      <w:tr w14:paraId="6B344B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2507B2D8">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restart"/>
            <w:vAlign w:val="center"/>
          </w:tcPr>
          <w:p w14:paraId="6688BE13">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1877" w:type="dxa"/>
            <w:shd w:val="clear" w:color="auto" w:fill="auto"/>
            <w:vAlign w:val="center"/>
          </w:tcPr>
          <w:p w14:paraId="708F280C">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丙烯酸</w:t>
            </w:r>
          </w:p>
        </w:tc>
        <w:tc>
          <w:tcPr>
            <w:tcW w:w="1408" w:type="dxa"/>
            <w:shd w:val="clear" w:color="auto" w:fill="auto"/>
            <w:vAlign w:val="center"/>
          </w:tcPr>
          <w:p w14:paraId="605E228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0.0175</w:t>
            </w:r>
          </w:p>
        </w:tc>
        <w:tc>
          <w:tcPr>
            <w:tcW w:w="1604" w:type="dxa"/>
            <w:shd w:val="clear" w:color="auto" w:fill="auto"/>
            <w:vAlign w:val="center"/>
          </w:tcPr>
          <w:p w14:paraId="0D42ECB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0.00175</w:t>
            </w:r>
          </w:p>
        </w:tc>
        <w:tc>
          <w:tcPr>
            <w:tcW w:w="1604" w:type="dxa"/>
            <w:shd w:val="clear" w:color="auto" w:fill="auto"/>
            <w:vAlign w:val="center"/>
          </w:tcPr>
          <w:p w14:paraId="279174A7">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0.01575</w:t>
            </w:r>
          </w:p>
        </w:tc>
      </w:tr>
      <w:tr w14:paraId="4190E7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54F0170B">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35F07174">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46CF48E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2-乙二醇单乙醚醋酸酯</w:t>
            </w:r>
          </w:p>
        </w:tc>
        <w:tc>
          <w:tcPr>
            <w:tcW w:w="1408" w:type="dxa"/>
            <w:shd w:val="clear" w:color="auto" w:fill="auto"/>
            <w:vAlign w:val="center"/>
          </w:tcPr>
          <w:p w14:paraId="13D91067">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0.007</w:t>
            </w:r>
          </w:p>
        </w:tc>
        <w:tc>
          <w:tcPr>
            <w:tcW w:w="1604" w:type="dxa"/>
            <w:shd w:val="clear" w:color="auto" w:fill="auto"/>
            <w:vAlign w:val="center"/>
          </w:tcPr>
          <w:p w14:paraId="31A9CD79">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0.0007</w:t>
            </w:r>
          </w:p>
        </w:tc>
        <w:tc>
          <w:tcPr>
            <w:tcW w:w="1604" w:type="dxa"/>
            <w:shd w:val="clear" w:color="auto" w:fill="auto"/>
            <w:vAlign w:val="center"/>
          </w:tcPr>
          <w:p w14:paraId="6C19FE3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0.0063</w:t>
            </w:r>
          </w:p>
        </w:tc>
      </w:tr>
      <w:tr w14:paraId="119A9A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628B7C16">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60C97E1C">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49AFC5EF">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w:t>
            </w:r>
          </w:p>
        </w:tc>
        <w:tc>
          <w:tcPr>
            <w:tcW w:w="1408" w:type="dxa"/>
            <w:shd w:val="clear" w:color="auto" w:fill="auto"/>
            <w:vAlign w:val="center"/>
          </w:tcPr>
          <w:p w14:paraId="0D80E59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0.003</w:t>
            </w:r>
          </w:p>
        </w:tc>
        <w:tc>
          <w:tcPr>
            <w:tcW w:w="1604" w:type="dxa"/>
            <w:shd w:val="clear" w:color="auto" w:fill="auto"/>
            <w:vAlign w:val="center"/>
          </w:tcPr>
          <w:p w14:paraId="071E228F">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0.0003</w:t>
            </w:r>
          </w:p>
        </w:tc>
        <w:tc>
          <w:tcPr>
            <w:tcW w:w="1604" w:type="dxa"/>
            <w:shd w:val="clear" w:color="auto" w:fill="auto"/>
            <w:vAlign w:val="center"/>
          </w:tcPr>
          <w:p w14:paraId="0EC1D6A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0.0027</w:t>
            </w:r>
          </w:p>
        </w:tc>
      </w:tr>
      <w:tr w14:paraId="565123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1112" w:type="dxa"/>
            <w:vMerge w:val="continue"/>
            <w:vAlign w:val="center"/>
          </w:tcPr>
          <w:p w14:paraId="113BF166">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113" w:type="dxa"/>
            <w:vMerge w:val="continue"/>
            <w:vAlign w:val="center"/>
          </w:tcPr>
          <w:p w14:paraId="711699A2">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BEBEBE" w:themeFill="background1" w:themeFillShade="BF"/>
            <w:vAlign w:val="center"/>
          </w:tcPr>
          <w:p w14:paraId="27C3C45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非甲烷总烃（含2-乙二醇单乙醚醋酸酯、丁酮、异氰酸酯、丙烯酸）</w:t>
            </w:r>
          </w:p>
        </w:tc>
        <w:tc>
          <w:tcPr>
            <w:tcW w:w="1408" w:type="dxa"/>
            <w:shd w:val="clear" w:color="auto" w:fill="BEBEBE" w:themeFill="background1" w:themeFillShade="BF"/>
            <w:vAlign w:val="center"/>
          </w:tcPr>
          <w:p w14:paraId="001908EA">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0.0275</w:t>
            </w:r>
          </w:p>
        </w:tc>
        <w:tc>
          <w:tcPr>
            <w:tcW w:w="1604" w:type="dxa"/>
            <w:shd w:val="clear" w:color="auto" w:fill="BEBEBE" w:themeFill="background1" w:themeFillShade="BF"/>
            <w:vAlign w:val="center"/>
          </w:tcPr>
          <w:p w14:paraId="5341866D">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0.00275</w:t>
            </w:r>
          </w:p>
        </w:tc>
        <w:tc>
          <w:tcPr>
            <w:tcW w:w="1604" w:type="dxa"/>
            <w:shd w:val="clear" w:color="auto" w:fill="BEBEBE" w:themeFill="background1" w:themeFillShade="BF"/>
            <w:vAlign w:val="center"/>
          </w:tcPr>
          <w:p w14:paraId="4808964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0.02475</w:t>
            </w:r>
          </w:p>
        </w:tc>
      </w:tr>
      <w:tr w14:paraId="66744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restart"/>
            <w:shd w:val="clear" w:color="auto" w:fill="auto"/>
            <w:vAlign w:val="center"/>
          </w:tcPr>
          <w:p w14:paraId="4A40055A">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固体废物</w:t>
            </w:r>
          </w:p>
        </w:tc>
        <w:tc>
          <w:tcPr>
            <w:tcW w:w="1877" w:type="dxa"/>
            <w:shd w:val="clear" w:color="auto" w:fill="auto"/>
            <w:vAlign w:val="center"/>
          </w:tcPr>
          <w:p w14:paraId="0B57B23E">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过滤残渣、浸润废料</w:t>
            </w:r>
          </w:p>
        </w:tc>
        <w:tc>
          <w:tcPr>
            <w:tcW w:w="1408" w:type="dxa"/>
            <w:shd w:val="clear" w:color="auto" w:fill="auto"/>
            <w:vAlign w:val="center"/>
          </w:tcPr>
          <w:p w14:paraId="37149E2B">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40</w:t>
            </w:r>
          </w:p>
        </w:tc>
        <w:tc>
          <w:tcPr>
            <w:tcW w:w="1604" w:type="dxa"/>
            <w:shd w:val="clear" w:color="auto" w:fill="auto"/>
            <w:vAlign w:val="center"/>
          </w:tcPr>
          <w:p w14:paraId="2BC1ADAB">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1604" w:type="dxa"/>
            <w:shd w:val="clear" w:color="auto" w:fill="auto"/>
            <w:vAlign w:val="center"/>
          </w:tcPr>
          <w:p w14:paraId="7A228165">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36</w:t>
            </w:r>
          </w:p>
        </w:tc>
      </w:tr>
      <w:tr w14:paraId="7C4B9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continue"/>
            <w:vAlign w:val="center"/>
          </w:tcPr>
          <w:p w14:paraId="42E2571A">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26F6060B">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废滤芯</w:t>
            </w:r>
          </w:p>
        </w:tc>
        <w:tc>
          <w:tcPr>
            <w:tcW w:w="1408" w:type="dxa"/>
            <w:shd w:val="clear" w:color="auto" w:fill="auto"/>
            <w:vAlign w:val="center"/>
          </w:tcPr>
          <w:p w14:paraId="4932F283">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604" w:type="dxa"/>
            <w:shd w:val="clear" w:color="auto" w:fill="auto"/>
            <w:vAlign w:val="center"/>
          </w:tcPr>
          <w:p w14:paraId="5E97DF63">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604" w:type="dxa"/>
            <w:shd w:val="clear" w:color="auto" w:fill="auto"/>
            <w:vAlign w:val="center"/>
          </w:tcPr>
          <w:p w14:paraId="695D114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5</w:t>
            </w:r>
          </w:p>
        </w:tc>
      </w:tr>
      <w:tr w14:paraId="6414D3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continue"/>
            <w:vAlign w:val="center"/>
          </w:tcPr>
          <w:p w14:paraId="32C348DD">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618DA5C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废丁酮（含废树脂）</w:t>
            </w:r>
          </w:p>
        </w:tc>
        <w:tc>
          <w:tcPr>
            <w:tcW w:w="1408" w:type="dxa"/>
            <w:shd w:val="clear" w:color="auto" w:fill="auto"/>
            <w:vAlign w:val="center"/>
          </w:tcPr>
          <w:p w14:paraId="2299871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153.75</w:t>
            </w:r>
          </w:p>
        </w:tc>
        <w:tc>
          <w:tcPr>
            <w:tcW w:w="1604" w:type="dxa"/>
            <w:shd w:val="clear" w:color="auto" w:fill="auto"/>
            <w:vAlign w:val="center"/>
          </w:tcPr>
          <w:p w14:paraId="60A72398">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15.375</w:t>
            </w:r>
          </w:p>
        </w:tc>
        <w:tc>
          <w:tcPr>
            <w:tcW w:w="1604" w:type="dxa"/>
            <w:shd w:val="clear" w:color="auto" w:fill="auto"/>
            <w:vAlign w:val="center"/>
          </w:tcPr>
          <w:p w14:paraId="05C1594C">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138.375</w:t>
            </w:r>
          </w:p>
        </w:tc>
      </w:tr>
      <w:tr w14:paraId="79C4C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continue"/>
            <w:vAlign w:val="center"/>
          </w:tcPr>
          <w:p w14:paraId="7DEE7997">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4862CA80">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tc>
        <w:tc>
          <w:tcPr>
            <w:tcW w:w="1408" w:type="dxa"/>
            <w:shd w:val="clear" w:color="auto" w:fill="auto"/>
            <w:vAlign w:val="center"/>
          </w:tcPr>
          <w:p w14:paraId="32FBA7C8">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9.612</w:t>
            </w:r>
          </w:p>
        </w:tc>
        <w:tc>
          <w:tcPr>
            <w:tcW w:w="1604" w:type="dxa"/>
            <w:shd w:val="clear" w:color="auto" w:fill="auto"/>
            <w:vAlign w:val="center"/>
          </w:tcPr>
          <w:p w14:paraId="44097C53">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hint="eastAsia" w:ascii="Times New Roman" w:hAnsi="Times New Roman" w:cs="Times New Roman"/>
                <w:color w:val="auto"/>
                <w:sz w:val="21"/>
                <w:szCs w:val="21"/>
                <w:highlight w:val="none"/>
                <w:lang w:bidi="ar"/>
              </w:rPr>
              <w:t>1.612</w:t>
            </w:r>
          </w:p>
        </w:tc>
        <w:tc>
          <w:tcPr>
            <w:tcW w:w="1604" w:type="dxa"/>
            <w:shd w:val="clear" w:color="auto" w:fill="auto"/>
            <w:vAlign w:val="center"/>
          </w:tcPr>
          <w:p w14:paraId="0AD11DB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hint="eastAsia" w:ascii="Times New Roman" w:hAnsi="Times New Roman" w:cs="Times New Roman"/>
                <w:color w:val="auto"/>
                <w:sz w:val="21"/>
                <w:szCs w:val="21"/>
                <w:highlight w:val="none"/>
                <w:lang w:bidi="ar"/>
              </w:rPr>
              <w:t>8</w:t>
            </w:r>
          </w:p>
        </w:tc>
      </w:tr>
      <w:tr w14:paraId="169480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continue"/>
            <w:vAlign w:val="center"/>
          </w:tcPr>
          <w:p w14:paraId="72E3E941">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785B3F62">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废包装桶</w:t>
            </w:r>
          </w:p>
        </w:tc>
        <w:tc>
          <w:tcPr>
            <w:tcW w:w="1408" w:type="dxa"/>
            <w:shd w:val="clear" w:color="auto" w:fill="auto"/>
            <w:vAlign w:val="center"/>
          </w:tcPr>
          <w:p w14:paraId="48D51374">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184.135</w:t>
            </w:r>
          </w:p>
        </w:tc>
        <w:tc>
          <w:tcPr>
            <w:tcW w:w="1604" w:type="dxa"/>
            <w:shd w:val="clear" w:color="auto" w:fill="auto"/>
            <w:vAlign w:val="center"/>
          </w:tcPr>
          <w:p w14:paraId="76624BC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18.4135</w:t>
            </w:r>
          </w:p>
        </w:tc>
        <w:tc>
          <w:tcPr>
            <w:tcW w:w="1604" w:type="dxa"/>
            <w:shd w:val="clear" w:color="auto" w:fill="auto"/>
            <w:vAlign w:val="center"/>
          </w:tcPr>
          <w:p w14:paraId="4B159AE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165.7215</w:t>
            </w:r>
          </w:p>
        </w:tc>
      </w:tr>
      <w:tr w14:paraId="23D2F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25" w:type="dxa"/>
            <w:gridSpan w:val="2"/>
            <w:vMerge w:val="continue"/>
            <w:vAlign w:val="center"/>
          </w:tcPr>
          <w:p w14:paraId="2F1715FE">
            <w:pPr>
              <w:keepNext w:val="0"/>
              <w:keepLines w:val="0"/>
              <w:pageBreakBefore w:val="0"/>
              <w:widowControl/>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877" w:type="dxa"/>
            <w:shd w:val="clear" w:color="auto" w:fill="auto"/>
            <w:vAlign w:val="center"/>
          </w:tcPr>
          <w:p w14:paraId="71C25F9C">
            <w:pPr>
              <w:keepNext w:val="0"/>
              <w:keepLines w:val="0"/>
              <w:pageBreakBefore w:val="0"/>
              <w:widowControl/>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喷淋废液</w:t>
            </w:r>
          </w:p>
        </w:tc>
        <w:tc>
          <w:tcPr>
            <w:tcW w:w="1408" w:type="dxa"/>
            <w:shd w:val="clear" w:color="auto" w:fill="auto"/>
            <w:vAlign w:val="center"/>
          </w:tcPr>
          <w:p w14:paraId="340B8C96">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600</w:t>
            </w:r>
          </w:p>
        </w:tc>
        <w:tc>
          <w:tcPr>
            <w:tcW w:w="1604" w:type="dxa"/>
            <w:shd w:val="clear" w:color="auto" w:fill="auto"/>
            <w:vAlign w:val="center"/>
          </w:tcPr>
          <w:p w14:paraId="359F4430">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604" w:type="dxa"/>
            <w:shd w:val="clear" w:color="auto" w:fill="auto"/>
            <w:vAlign w:val="center"/>
          </w:tcPr>
          <w:p w14:paraId="07D513F1">
            <w:pPr>
              <w:keepNext w:val="0"/>
              <w:keepLines w:val="0"/>
              <w:pageBreakBefore w:val="0"/>
              <w:widowControl/>
              <w:kinsoku/>
              <w:wordWrap/>
              <w:overflowPunct/>
              <w:topLinePunct w:val="0"/>
              <w:autoSpaceDE/>
              <w:autoSpaceDN/>
              <w:bidi w:val="0"/>
              <w:ind w:left="0" w:right="0"/>
              <w:jc w:val="center"/>
              <w:textAlignment w:val="center"/>
              <w:rPr>
                <w:rFonts w:ascii="Times New Roman" w:hAnsi="Times New Roman" w:eastAsia="等线" w:cs="Times New Roman"/>
                <w:color w:val="auto"/>
                <w:sz w:val="21"/>
                <w:szCs w:val="21"/>
                <w:highlight w:val="none"/>
              </w:rPr>
            </w:pPr>
            <w:r>
              <w:rPr>
                <w:rFonts w:ascii="Times New Roman" w:hAnsi="Times New Roman" w:cs="Times New Roman"/>
                <w:color w:val="auto"/>
                <w:sz w:val="21"/>
                <w:szCs w:val="21"/>
                <w:highlight w:val="none"/>
                <w:lang w:bidi="ar"/>
              </w:rPr>
              <w:t>600</w:t>
            </w:r>
          </w:p>
        </w:tc>
      </w:tr>
    </w:tbl>
    <w:p w14:paraId="197BBBC7">
      <w:pPr>
        <w:spacing w:line="360" w:lineRule="auto"/>
        <w:ind w:left="-105" w:right="-105" w:firstLine="480" w:firstLineChars="200"/>
        <w:rPr>
          <w:rFonts w:ascii="Times New Roman" w:hAnsi="Times New Roman"/>
          <w:color w:val="auto"/>
          <w:szCs w:val="22"/>
          <w:highlight w:val="none"/>
        </w:rPr>
      </w:pPr>
    </w:p>
    <w:p w14:paraId="03812A7D">
      <w:pPr>
        <w:spacing w:line="360" w:lineRule="auto"/>
        <w:ind w:left="-105" w:right="-105"/>
        <w:rPr>
          <w:rFonts w:ascii="Times New Roman" w:hAnsi="Times New Roman"/>
          <w:color w:val="auto"/>
          <w:szCs w:val="22"/>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54277DEE">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211" w:name="_Toc60653486"/>
      <w:bookmarkStart w:id="212" w:name="_Toc3286"/>
      <w:r>
        <w:rPr>
          <w:rFonts w:ascii="Times New Roman" w:eastAsia="宋体"/>
          <w:color w:val="auto"/>
          <w:sz w:val="32"/>
          <w:szCs w:val="32"/>
          <w:highlight w:val="none"/>
        </w:rPr>
        <w:t>本项目</w:t>
      </w:r>
      <w:bookmarkEnd w:id="185"/>
      <w:bookmarkEnd w:id="186"/>
      <w:bookmarkEnd w:id="187"/>
      <w:bookmarkEnd w:id="188"/>
      <w:bookmarkEnd w:id="211"/>
      <w:r>
        <w:rPr>
          <w:rFonts w:ascii="Times New Roman" w:eastAsia="宋体"/>
          <w:color w:val="auto"/>
          <w:sz w:val="32"/>
          <w:szCs w:val="32"/>
          <w:highlight w:val="none"/>
        </w:rPr>
        <w:t>概况与工程分析</w:t>
      </w:r>
      <w:bookmarkEnd w:id="212"/>
    </w:p>
    <w:p w14:paraId="18DD6D22">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13" w:name="_Toc23552"/>
      <w:bookmarkStart w:id="214" w:name="_Toc24317"/>
      <w:bookmarkStart w:id="215" w:name="_Toc60653487"/>
      <w:r>
        <w:rPr>
          <w:rFonts w:ascii="Times New Roman" w:eastAsia="宋体"/>
          <w:color w:val="auto"/>
          <w:sz w:val="28"/>
          <w:szCs w:val="28"/>
          <w:highlight w:val="none"/>
        </w:rPr>
        <w:t>项目概况</w:t>
      </w:r>
      <w:bookmarkEnd w:id="213"/>
      <w:bookmarkEnd w:id="214"/>
      <w:bookmarkEnd w:id="215"/>
    </w:p>
    <w:p w14:paraId="0A3BFDF1">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16" w:name="_Toc60653488"/>
      <w:r>
        <w:rPr>
          <w:rFonts w:eastAsia="宋体"/>
          <w:color w:val="auto"/>
          <w:sz w:val="28"/>
          <w:szCs w:val="28"/>
          <w:highlight w:val="none"/>
        </w:rPr>
        <w:t>项目基本情况</w:t>
      </w:r>
      <w:bookmarkEnd w:id="216"/>
    </w:p>
    <w:p w14:paraId="29D45933">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企业名称：</w:t>
      </w:r>
      <w:r>
        <w:rPr>
          <w:rFonts w:hint="eastAsia" w:ascii="Times New Roman" w:hAnsi="Times New Roman"/>
          <w:color w:val="auto"/>
          <w:szCs w:val="18"/>
          <w:highlight w:val="none"/>
        </w:rPr>
        <w:t>化药化工（无锡）有限公司</w:t>
      </w:r>
    </w:p>
    <w:p w14:paraId="5627D186">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项目名称：</w:t>
      </w:r>
      <w:r>
        <w:rPr>
          <w:rFonts w:hint="eastAsia" w:ascii="Times New Roman" w:hAnsi="Times New Roman"/>
          <w:color w:val="auto"/>
          <w:szCs w:val="18"/>
          <w:highlight w:val="none"/>
        </w:rPr>
        <w:t>年产剥离液800t</w:t>
      </w:r>
      <w:r>
        <w:rPr>
          <w:rFonts w:ascii="Times New Roman" w:hAnsi="Times New Roman"/>
          <w:color w:val="auto"/>
          <w:szCs w:val="18"/>
          <w:highlight w:val="none"/>
        </w:rPr>
        <w:t>项目</w:t>
      </w:r>
    </w:p>
    <w:p w14:paraId="5752144C">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项目性质：</w:t>
      </w:r>
      <w:r>
        <w:rPr>
          <w:rFonts w:hint="eastAsia" w:ascii="Times New Roman" w:hAnsi="Times New Roman"/>
          <w:color w:val="auto"/>
          <w:szCs w:val="18"/>
          <w:highlight w:val="none"/>
        </w:rPr>
        <w:t>扩</w:t>
      </w:r>
      <w:r>
        <w:rPr>
          <w:rFonts w:ascii="Times New Roman" w:hAnsi="Times New Roman"/>
          <w:color w:val="auto"/>
          <w:szCs w:val="18"/>
          <w:highlight w:val="none"/>
        </w:rPr>
        <w:t>建</w:t>
      </w:r>
    </w:p>
    <w:p w14:paraId="41FC32E6">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行业类别：</w:t>
      </w:r>
      <w:r>
        <w:rPr>
          <w:rFonts w:hint="eastAsia" w:ascii="Times New Roman" w:hAnsi="Times New Roman"/>
          <w:color w:val="auto"/>
          <w:szCs w:val="18"/>
          <w:highlight w:val="none"/>
        </w:rPr>
        <w:t>电子专用材料制造</w:t>
      </w:r>
      <w:r>
        <w:rPr>
          <w:rFonts w:ascii="Times New Roman" w:hAnsi="Times New Roman"/>
          <w:color w:val="auto"/>
          <w:szCs w:val="18"/>
          <w:highlight w:val="none"/>
        </w:rPr>
        <w:t>【</w:t>
      </w:r>
      <w:r>
        <w:rPr>
          <w:rFonts w:hint="eastAsia" w:ascii="Times New Roman" w:hAnsi="Times New Roman"/>
          <w:color w:val="auto"/>
          <w:szCs w:val="18"/>
          <w:highlight w:val="none"/>
        </w:rPr>
        <w:t>C3985</w:t>
      </w:r>
      <w:r>
        <w:rPr>
          <w:rFonts w:ascii="Times New Roman" w:hAnsi="Times New Roman"/>
          <w:color w:val="auto"/>
          <w:szCs w:val="18"/>
          <w:highlight w:val="none"/>
        </w:rPr>
        <w:t>】</w:t>
      </w:r>
    </w:p>
    <w:p w14:paraId="491E323F">
      <w:pPr>
        <w:spacing w:line="360" w:lineRule="auto"/>
        <w:ind w:left="-105" w:right="-105" w:firstLine="480"/>
        <w:rPr>
          <w:rFonts w:ascii="Times New Roman" w:hAnsi="Times New Roman"/>
          <w:color w:val="auto"/>
          <w:szCs w:val="18"/>
          <w:highlight w:val="none"/>
        </w:rPr>
      </w:pPr>
      <w:r>
        <w:rPr>
          <w:rFonts w:hint="eastAsia" w:ascii="Times New Roman" w:hAnsi="Times New Roman"/>
          <w:color w:val="auto"/>
          <w:szCs w:val="18"/>
          <w:highlight w:val="none"/>
        </w:rPr>
        <w:t>项目代码：2303-320205-89-05-489711</w:t>
      </w:r>
    </w:p>
    <w:p w14:paraId="27A28A21">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建设地点：</w:t>
      </w:r>
      <w:bookmarkStart w:id="217" w:name="_Hlk35170513"/>
      <w:r>
        <w:rPr>
          <w:rFonts w:hint="eastAsia" w:ascii="Times New Roman" w:hAnsi="Times New Roman"/>
          <w:color w:val="auto"/>
          <w:szCs w:val="18"/>
          <w:highlight w:val="none"/>
        </w:rPr>
        <w:t>江苏省</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bookmarkEnd w:id="217"/>
      <w:r>
        <w:rPr>
          <w:rFonts w:hint="eastAsia" w:ascii="Times New Roman" w:hAnsi="Times New Roman"/>
          <w:color w:val="auto"/>
          <w:szCs w:val="18"/>
          <w:highlight w:val="none"/>
        </w:rPr>
        <w:t>新坝村新达路6号</w:t>
      </w:r>
    </w:p>
    <w:p w14:paraId="3927CCDA">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投资总额：</w:t>
      </w:r>
      <w:r>
        <w:rPr>
          <w:rFonts w:hint="eastAsia" w:ascii="Times New Roman" w:hAnsi="Times New Roman"/>
          <w:color w:val="auto"/>
          <w:szCs w:val="18"/>
          <w:highlight w:val="none"/>
        </w:rPr>
        <w:t>1000</w:t>
      </w:r>
      <w:r>
        <w:rPr>
          <w:rFonts w:ascii="Times New Roman" w:hAnsi="Times New Roman"/>
          <w:color w:val="auto"/>
          <w:szCs w:val="18"/>
          <w:highlight w:val="none"/>
        </w:rPr>
        <w:t>万元</w:t>
      </w:r>
    </w:p>
    <w:p w14:paraId="1D2EDC88">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占地面积：</w:t>
      </w:r>
      <w:r>
        <w:rPr>
          <w:rFonts w:hint="eastAsia" w:ascii="Times New Roman" w:hAnsi="Times New Roman"/>
          <w:color w:val="auto"/>
          <w:szCs w:val="18"/>
          <w:highlight w:val="none"/>
        </w:rPr>
        <w:t>5353.28</w:t>
      </w:r>
      <w:r>
        <w:rPr>
          <w:rFonts w:ascii="Times New Roman" w:hAnsi="Times New Roman"/>
          <w:color w:val="auto"/>
          <w:szCs w:val="18"/>
          <w:highlight w:val="none"/>
        </w:rPr>
        <w:t>平方米</w:t>
      </w:r>
    </w:p>
    <w:p w14:paraId="18A8D28C">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建设规模：</w:t>
      </w:r>
      <w:r>
        <w:rPr>
          <w:rFonts w:hint="eastAsia" w:ascii="Times New Roman" w:hAnsi="Times New Roman"/>
          <w:color w:val="auto"/>
          <w:szCs w:val="18"/>
          <w:highlight w:val="none"/>
        </w:rPr>
        <w:t>根据市场需求，公司投资1000万元，利用现有厂房，购置混合槽、反渗透装置等设备，建设年产剥离液800t项目，并配套相关检测实验室</w:t>
      </w:r>
      <w:r>
        <w:rPr>
          <w:rFonts w:ascii="Times New Roman" w:hAnsi="Times New Roman"/>
          <w:color w:val="auto"/>
          <w:szCs w:val="18"/>
          <w:highlight w:val="none"/>
        </w:rPr>
        <w:t>。</w:t>
      </w:r>
    </w:p>
    <w:p w14:paraId="279CAA73">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职工人数：本项目</w:t>
      </w:r>
      <w:r>
        <w:rPr>
          <w:rFonts w:hint="eastAsia" w:ascii="Times New Roman" w:hAnsi="Times New Roman"/>
          <w:color w:val="auto"/>
          <w:szCs w:val="18"/>
          <w:highlight w:val="none"/>
        </w:rPr>
        <w:t>不</w:t>
      </w:r>
      <w:r>
        <w:rPr>
          <w:rFonts w:ascii="Times New Roman" w:hAnsi="Times New Roman"/>
          <w:color w:val="auto"/>
          <w:szCs w:val="18"/>
          <w:highlight w:val="none"/>
        </w:rPr>
        <w:t>新增员工</w:t>
      </w:r>
      <w:r>
        <w:rPr>
          <w:rFonts w:hint="eastAsia" w:ascii="Times New Roman" w:hAnsi="Times New Roman"/>
          <w:color w:val="auto"/>
          <w:szCs w:val="18"/>
          <w:highlight w:val="none"/>
        </w:rPr>
        <w:t>，全厂员工85</w:t>
      </w:r>
      <w:r>
        <w:rPr>
          <w:rFonts w:ascii="Times New Roman" w:hAnsi="Times New Roman"/>
          <w:color w:val="auto"/>
          <w:szCs w:val="18"/>
          <w:highlight w:val="none"/>
        </w:rPr>
        <w:t>人</w:t>
      </w:r>
      <w:r>
        <w:rPr>
          <w:rFonts w:hint="eastAsia" w:ascii="Times New Roman" w:hAnsi="Times New Roman"/>
          <w:color w:val="auto"/>
          <w:szCs w:val="18"/>
          <w:highlight w:val="none"/>
        </w:rPr>
        <w:t>；厂内</w:t>
      </w:r>
      <w:r>
        <w:rPr>
          <w:rFonts w:ascii="Times New Roman" w:hAnsi="Times New Roman"/>
          <w:color w:val="auto"/>
          <w:szCs w:val="18"/>
          <w:highlight w:val="none"/>
        </w:rPr>
        <w:t>不设宿舍，设食堂为员工提供用餐场所</w:t>
      </w:r>
      <w:r>
        <w:rPr>
          <w:rFonts w:hint="eastAsia" w:ascii="Times New Roman" w:hAnsi="Times New Roman"/>
          <w:color w:val="auto"/>
          <w:szCs w:val="18"/>
          <w:highlight w:val="none"/>
        </w:rPr>
        <w:t>、</w:t>
      </w:r>
      <w:r>
        <w:rPr>
          <w:rFonts w:ascii="Times New Roman" w:hAnsi="Times New Roman"/>
          <w:color w:val="auto"/>
          <w:szCs w:val="18"/>
          <w:highlight w:val="none"/>
        </w:rPr>
        <w:t>用餐外购</w:t>
      </w:r>
      <w:r>
        <w:rPr>
          <w:rFonts w:hint="eastAsia" w:ascii="Times New Roman" w:hAnsi="Times New Roman"/>
          <w:color w:val="auto"/>
          <w:szCs w:val="18"/>
          <w:highlight w:val="none"/>
        </w:rPr>
        <w:t>，</w:t>
      </w:r>
      <w:r>
        <w:rPr>
          <w:rFonts w:hint="eastAsia" w:ascii="Times New Roman" w:hAnsi="Times New Roman"/>
          <w:color w:val="auto"/>
          <w:szCs w:val="22"/>
          <w:highlight w:val="none"/>
        </w:rPr>
        <w:t>设</w:t>
      </w:r>
      <w:r>
        <w:rPr>
          <w:rFonts w:ascii="Times New Roman" w:hAnsi="Times New Roman"/>
          <w:color w:val="auto"/>
          <w:szCs w:val="22"/>
          <w:highlight w:val="none"/>
        </w:rPr>
        <w:t>浴室</w:t>
      </w:r>
      <w:r>
        <w:rPr>
          <w:rFonts w:hint="eastAsia" w:ascii="Times New Roman" w:hAnsi="Times New Roman"/>
          <w:color w:val="auto"/>
          <w:szCs w:val="22"/>
          <w:highlight w:val="none"/>
        </w:rPr>
        <w:t>供员工淋浴</w:t>
      </w:r>
      <w:r>
        <w:rPr>
          <w:rFonts w:ascii="Times New Roman" w:hAnsi="Times New Roman"/>
          <w:color w:val="auto"/>
          <w:szCs w:val="18"/>
          <w:highlight w:val="none"/>
        </w:rPr>
        <w:t>。</w:t>
      </w:r>
    </w:p>
    <w:p w14:paraId="5C54955B">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工作制度：</w:t>
      </w:r>
      <w:r>
        <w:rPr>
          <w:rFonts w:hint="eastAsia" w:ascii="Times New Roman" w:hAnsi="Times New Roman"/>
          <w:color w:val="auto"/>
          <w:szCs w:val="18"/>
          <w:highlight w:val="none"/>
        </w:rPr>
        <w:t>本项目实行一</w:t>
      </w:r>
      <w:r>
        <w:rPr>
          <w:rFonts w:ascii="Times New Roman" w:hAnsi="Times New Roman"/>
          <w:color w:val="auto"/>
          <w:szCs w:val="18"/>
          <w:highlight w:val="none"/>
        </w:rPr>
        <w:t>班制，</w:t>
      </w:r>
      <w:r>
        <w:rPr>
          <w:rFonts w:hint="eastAsia" w:ascii="Times New Roman" w:hAnsi="Times New Roman"/>
          <w:color w:val="auto"/>
          <w:szCs w:val="18"/>
          <w:highlight w:val="none"/>
        </w:rPr>
        <w:t>8</w:t>
      </w:r>
      <w:r>
        <w:rPr>
          <w:rFonts w:ascii="Times New Roman" w:hAnsi="Times New Roman"/>
          <w:color w:val="auto"/>
          <w:szCs w:val="18"/>
          <w:highlight w:val="none"/>
        </w:rPr>
        <w:t>小时/班，年工作</w:t>
      </w:r>
      <w:r>
        <w:rPr>
          <w:rFonts w:hint="eastAsia" w:ascii="Times New Roman" w:hAnsi="Times New Roman"/>
          <w:color w:val="auto"/>
          <w:szCs w:val="18"/>
          <w:highlight w:val="none"/>
        </w:rPr>
        <w:t>250</w:t>
      </w:r>
      <w:r>
        <w:rPr>
          <w:rFonts w:ascii="Times New Roman" w:hAnsi="Times New Roman"/>
          <w:color w:val="auto"/>
          <w:szCs w:val="18"/>
          <w:highlight w:val="none"/>
        </w:rPr>
        <w:t>天</w:t>
      </w:r>
      <w:r>
        <w:rPr>
          <w:rFonts w:hint="eastAsia" w:ascii="Times New Roman" w:hAnsi="Times New Roman"/>
          <w:color w:val="auto"/>
          <w:szCs w:val="18"/>
          <w:highlight w:val="none"/>
        </w:rPr>
        <w:t>；</w:t>
      </w:r>
      <w:r>
        <w:rPr>
          <w:rFonts w:hint="eastAsia" w:ascii="Times New Roman" w:hAnsi="Times New Roman"/>
          <w:color w:val="auto"/>
          <w:szCs w:val="18"/>
          <w:highlight w:val="none"/>
          <w:lang w:val="en-US" w:eastAsia="zh-CN"/>
        </w:rPr>
        <w:t>实验室按需工作；</w:t>
      </w:r>
      <w:r>
        <w:rPr>
          <w:rFonts w:hint="eastAsia" w:ascii="Times New Roman" w:hAnsi="Times New Roman"/>
          <w:color w:val="auto"/>
          <w:szCs w:val="18"/>
          <w:highlight w:val="none"/>
        </w:rPr>
        <w:t>现有项目实行三</w:t>
      </w:r>
      <w:r>
        <w:rPr>
          <w:rFonts w:ascii="Times New Roman" w:hAnsi="Times New Roman"/>
          <w:color w:val="auto"/>
          <w:szCs w:val="18"/>
          <w:highlight w:val="none"/>
        </w:rPr>
        <w:t>班制，</w:t>
      </w:r>
      <w:r>
        <w:rPr>
          <w:rFonts w:hint="eastAsia" w:ascii="Times New Roman" w:hAnsi="Times New Roman"/>
          <w:color w:val="auto"/>
          <w:szCs w:val="18"/>
          <w:highlight w:val="none"/>
        </w:rPr>
        <w:t>8</w:t>
      </w:r>
      <w:r>
        <w:rPr>
          <w:rFonts w:ascii="Times New Roman" w:hAnsi="Times New Roman"/>
          <w:color w:val="auto"/>
          <w:szCs w:val="18"/>
          <w:highlight w:val="none"/>
        </w:rPr>
        <w:t>小时/班，年工作</w:t>
      </w:r>
      <w:r>
        <w:rPr>
          <w:rFonts w:hint="eastAsia" w:ascii="Times New Roman" w:hAnsi="Times New Roman"/>
          <w:color w:val="auto"/>
          <w:szCs w:val="18"/>
          <w:highlight w:val="none"/>
        </w:rPr>
        <w:t>350</w:t>
      </w:r>
      <w:r>
        <w:rPr>
          <w:rFonts w:ascii="Times New Roman" w:hAnsi="Times New Roman"/>
          <w:color w:val="auto"/>
          <w:szCs w:val="18"/>
          <w:highlight w:val="none"/>
        </w:rPr>
        <w:t>天。</w:t>
      </w:r>
    </w:p>
    <w:p w14:paraId="057F02FA">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预计投产日期：202</w:t>
      </w:r>
      <w:r>
        <w:rPr>
          <w:rFonts w:hint="eastAsia" w:ascii="Times New Roman" w:hAnsi="Times New Roman"/>
          <w:color w:val="auto"/>
          <w:szCs w:val="18"/>
          <w:highlight w:val="none"/>
        </w:rPr>
        <w:t>5</w:t>
      </w:r>
      <w:r>
        <w:rPr>
          <w:rFonts w:ascii="Times New Roman" w:hAnsi="Times New Roman"/>
          <w:color w:val="auto"/>
          <w:szCs w:val="18"/>
          <w:highlight w:val="none"/>
        </w:rPr>
        <w:t>年</w:t>
      </w:r>
    </w:p>
    <w:p w14:paraId="6DB50659">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18" w:name="_Toc60653489"/>
      <w:r>
        <w:rPr>
          <w:rFonts w:eastAsia="宋体"/>
          <w:color w:val="auto"/>
          <w:sz w:val="28"/>
          <w:szCs w:val="28"/>
          <w:highlight w:val="none"/>
        </w:rPr>
        <w:t>项目地理位置、周围环境、厂区及车间平面布置</w:t>
      </w:r>
      <w:bookmarkEnd w:id="218"/>
    </w:p>
    <w:p w14:paraId="40E28E88">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本项目位于</w:t>
      </w:r>
      <w:r>
        <w:rPr>
          <w:rFonts w:hint="eastAsia" w:ascii="Times New Roman" w:hAnsi="Times New Roman"/>
          <w:color w:val="auto"/>
          <w:szCs w:val="18"/>
          <w:highlight w:val="none"/>
        </w:rPr>
        <w:t>江苏省无锡市锡山区锡北镇新坝村新达路6号</w:t>
      </w:r>
      <w:r>
        <w:rPr>
          <w:rFonts w:ascii="Times New Roman" w:hAnsi="Times New Roman"/>
          <w:color w:val="auto"/>
          <w:szCs w:val="18"/>
          <w:highlight w:val="none"/>
        </w:rPr>
        <w:t>，详细地理位置见附图</w:t>
      </w:r>
      <w:r>
        <w:rPr>
          <w:rFonts w:hint="eastAsia" w:ascii="Times New Roman" w:hAnsi="Times New Roman"/>
          <w:color w:val="auto"/>
          <w:szCs w:val="18"/>
          <w:highlight w:val="none"/>
        </w:rPr>
        <w:t>1</w:t>
      </w:r>
      <w:r>
        <w:rPr>
          <w:rFonts w:ascii="Times New Roman" w:hAnsi="Times New Roman"/>
          <w:color w:val="auto"/>
          <w:szCs w:val="18"/>
          <w:highlight w:val="none"/>
        </w:rPr>
        <w:t>-1。</w:t>
      </w:r>
    </w:p>
    <w:p w14:paraId="3FD348D6">
      <w:pPr>
        <w:spacing w:line="360" w:lineRule="auto"/>
        <w:ind w:left="-105" w:right="-105" w:firstLine="480"/>
        <w:rPr>
          <w:rFonts w:ascii="Times New Roman" w:hAnsi="Times New Roman"/>
          <w:color w:val="auto"/>
          <w:szCs w:val="18"/>
          <w:highlight w:val="none"/>
        </w:rPr>
      </w:pPr>
      <w:r>
        <w:rPr>
          <w:rFonts w:ascii="Times New Roman" w:hAnsi="Times New Roman"/>
          <w:color w:val="auto"/>
          <w:szCs w:val="18"/>
          <w:highlight w:val="none"/>
        </w:rPr>
        <w:t>本项目东侧隔</w:t>
      </w:r>
      <w:r>
        <w:rPr>
          <w:rFonts w:hint="eastAsia" w:ascii="Times New Roman" w:hAnsi="Times New Roman"/>
          <w:color w:val="auto"/>
          <w:szCs w:val="18"/>
          <w:highlight w:val="none"/>
        </w:rPr>
        <w:t>八达大道</w:t>
      </w:r>
      <w:r>
        <w:rPr>
          <w:rFonts w:ascii="Times New Roman" w:hAnsi="Times New Roman"/>
          <w:color w:val="auto"/>
          <w:szCs w:val="18"/>
          <w:highlight w:val="none"/>
        </w:rPr>
        <w:t>为无锡</w:t>
      </w:r>
      <w:r>
        <w:rPr>
          <w:rFonts w:hint="eastAsia" w:ascii="Times New Roman" w:hAnsi="Times New Roman"/>
          <w:color w:val="auto"/>
          <w:szCs w:val="18"/>
          <w:highlight w:val="none"/>
        </w:rPr>
        <w:t>佳腾磁性粉</w:t>
      </w:r>
      <w:r>
        <w:rPr>
          <w:rFonts w:ascii="Times New Roman" w:hAnsi="Times New Roman"/>
          <w:color w:val="auto"/>
          <w:szCs w:val="18"/>
          <w:highlight w:val="none"/>
        </w:rPr>
        <w:t>有限公司，南侧隔</w:t>
      </w:r>
      <w:r>
        <w:rPr>
          <w:rFonts w:hint="eastAsia" w:ascii="Times New Roman" w:hAnsi="Times New Roman"/>
          <w:color w:val="auto"/>
          <w:szCs w:val="18"/>
          <w:highlight w:val="none"/>
        </w:rPr>
        <w:t>新达</w:t>
      </w:r>
      <w:r>
        <w:rPr>
          <w:rFonts w:ascii="Times New Roman" w:hAnsi="Times New Roman"/>
          <w:color w:val="auto"/>
          <w:szCs w:val="18"/>
          <w:highlight w:val="none"/>
        </w:rPr>
        <w:t>路为</w:t>
      </w:r>
      <w:r>
        <w:rPr>
          <w:rFonts w:hint="eastAsia" w:ascii="Times New Roman" w:hAnsi="Times New Roman"/>
          <w:color w:val="auto"/>
          <w:szCs w:val="18"/>
          <w:highlight w:val="none"/>
        </w:rPr>
        <w:t>无锡先进化药化工有限公司</w:t>
      </w:r>
      <w:r>
        <w:rPr>
          <w:rFonts w:ascii="Times New Roman" w:hAnsi="Times New Roman"/>
          <w:color w:val="auto"/>
          <w:szCs w:val="18"/>
          <w:highlight w:val="none"/>
        </w:rPr>
        <w:t>，西侧</w:t>
      </w:r>
      <w:r>
        <w:rPr>
          <w:rFonts w:hint="eastAsia" w:ascii="Times New Roman" w:hAnsi="Times New Roman"/>
          <w:color w:val="auto"/>
          <w:szCs w:val="18"/>
          <w:highlight w:val="none"/>
        </w:rPr>
        <w:t>为无锡市中汇线缆有限公司，</w:t>
      </w:r>
      <w:r>
        <w:rPr>
          <w:rFonts w:ascii="Times New Roman" w:hAnsi="Times New Roman"/>
          <w:color w:val="auto"/>
          <w:szCs w:val="18"/>
          <w:highlight w:val="none"/>
        </w:rPr>
        <w:t>北侧为</w:t>
      </w:r>
      <w:r>
        <w:rPr>
          <w:rFonts w:hint="eastAsia" w:ascii="Times New Roman" w:hAnsi="Times New Roman"/>
          <w:color w:val="auto"/>
          <w:szCs w:val="18"/>
          <w:highlight w:val="none"/>
        </w:rPr>
        <w:t>无锡宝来光学科技有限公司</w:t>
      </w:r>
      <w:r>
        <w:rPr>
          <w:rFonts w:ascii="Times New Roman" w:hAnsi="Times New Roman"/>
          <w:color w:val="auto"/>
          <w:szCs w:val="18"/>
          <w:highlight w:val="none"/>
        </w:rPr>
        <w:t>，周围环境详见附图</w:t>
      </w:r>
      <w:r>
        <w:rPr>
          <w:rFonts w:hint="eastAsia" w:ascii="Times New Roman" w:hAnsi="Times New Roman"/>
          <w:color w:val="auto"/>
          <w:szCs w:val="18"/>
          <w:highlight w:val="none"/>
        </w:rPr>
        <w:t>2-1</w:t>
      </w:r>
      <w:r>
        <w:rPr>
          <w:rFonts w:ascii="Times New Roman" w:hAnsi="Times New Roman"/>
          <w:color w:val="auto"/>
          <w:szCs w:val="18"/>
          <w:highlight w:val="none"/>
        </w:rPr>
        <w:t>。</w:t>
      </w:r>
    </w:p>
    <w:p w14:paraId="1715ECCA">
      <w:pPr>
        <w:spacing w:line="360" w:lineRule="auto"/>
        <w:ind w:left="-105" w:right="-105" w:firstLine="480"/>
        <w:rPr>
          <w:rFonts w:ascii="Times New Roman" w:hAnsi="Times New Roman"/>
          <w:color w:val="auto"/>
          <w:szCs w:val="18"/>
          <w:highlight w:val="none"/>
        </w:rPr>
        <w:sectPr>
          <w:headerReference r:id="rId19"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olor w:val="auto"/>
          <w:szCs w:val="18"/>
          <w:highlight w:val="none"/>
        </w:rPr>
        <w:t>本项目</w:t>
      </w:r>
      <w:r>
        <w:rPr>
          <w:rFonts w:hint="eastAsia" w:ascii="Times New Roman" w:hAnsi="Times New Roman"/>
          <w:color w:val="auto"/>
          <w:szCs w:val="18"/>
          <w:highlight w:val="none"/>
        </w:rPr>
        <w:t>位于现有厂区内第二工场一层、二层预留位置，不新增占地，</w:t>
      </w:r>
      <w:r>
        <w:rPr>
          <w:rFonts w:ascii="Times New Roman" w:hAnsi="Times New Roman"/>
          <w:color w:val="auto"/>
          <w:szCs w:val="18"/>
          <w:highlight w:val="none"/>
        </w:rPr>
        <w:t>具体厂区平面布置见</w:t>
      </w:r>
      <w:r>
        <w:rPr>
          <w:rFonts w:hint="eastAsia" w:ascii="Times New Roman" w:hAnsi="Times New Roman"/>
          <w:color w:val="auto"/>
          <w:szCs w:val="18"/>
          <w:highlight w:val="none"/>
        </w:rPr>
        <w:t>附</w:t>
      </w:r>
      <w:r>
        <w:rPr>
          <w:rFonts w:ascii="Times New Roman" w:hAnsi="Times New Roman"/>
          <w:color w:val="auto"/>
          <w:szCs w:val="18"/>
          <w:highlight w:val="none"/>
        </w:rPr>
        <w:t>图</w:t>
      </w:r>
      <w:r>
        <w:rPr>
          <w:rFonts w:hint="eastAsia" w:ascii="Times New Roman" w:hAnsi="Times New Roman"/>
          <w:color w:val="auto"/>
          <w:szCs w:val="18"/>
          <w:highlight w:val="none"/>
        </w:rPr>
        <w:t>3</w:t>
      </w:r>
      <w:r>
        <w:rPr>
          <w:rFonts w:ascii="Times New Roman" w:hAnsi="Times New Roman"/>
          <w:color w:val="auto"/>
          <w:szCs w:val="18"/>
          <w:highlight w:val="none"/>
        </w:rPr>
        <w:t>。</w:t>
      </w:r>
    </w:p>
    <w:p w14:paraId="0886DA7A">
      <w:pPr>
        <w:pStyle w:val="5"/>
        <w:keepLines w:val="0"/>
        <w:numPr>
          <w:ilvl w:val="2"/>
          <w:numId w:val="6"/>
        </w:numPr>
        <w:tabs>
          <w:tab w:val="left" w:pos="567"/>
          <w:tab w:val="left" w:pos="709"/>
        </w:tabs>
        <w:spacing w:before="120" w:beforeLines="50" w:after="120" w:afterLines="50" w:line="360" w:lineRule="auto"/>
        <w:ind w:left="-105" w:right="-105"/>
        <w:rPr>
          <w:rFonts w:eastAsia="宋体"/>
          <w:color w:val="auto"/>
          <w:sz w:val="28"/>
          <w:szCs w:val="28"/>
          <w:highlight w:val="none"/>
        </w:rPr>
      </w:pPr>
      <w:bookmarkStart w:id="219" w:name="_Toc60653490"/>
      <w:r>
        <w:rPr>
          <w:rFonts w:eastAsia="宋体"/>
          <w:color w:val="auto"/>
          <w:sz w:val="28"/>
          <w:szCs w:val="28"/>
          <w:highlight w:val="none"/>
        </w:rPr>
        <w:t>主体工程与产品方案</w:t>
      </w:r>
      <w:bookmarkEnd w:id="219"/>
    </w:p>
    <w:p w14:paraId="3EA6B1AF">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20" w:name="_Toc11571"/>
      <w:bookmarkStart w:id="221" w:name="_Toc60653492"/>
      <w:r>
        <w:rPr>
          <w:rFonts w:ascii="Times New Roman" w:eastAsia="宋体"/>
          <w:color w:val="auto"/>
          <w:sz w:val="28"/>
          <w:szCs w:val="28"/>
          <w:highlight w:val="none"/>
        </w:rPr>
        <w:t>营运期工艺流程及产污环节分析</w:t>
      </w:r>
      <w:bookmarkEnd w:id="220"/>
      <w:bookmarkEnd w:id="221"/>
    </w:p>
    <w:p w14:paraId="7A3E8C90">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生产工艺流程及产污环节分析</w:t>
      </w:r>
    </w:p>
    <w:p w14:paraId="7A6454E6">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产污环节汇总</w:t>
      </w:r>
    </w:p>
    <w:p w14:paraId="0C761970">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22" w:name="_Toc28735"/>
      <w:bookmarkStart w:id="223" w:name="_Toc60653495"/>
      <w:r>
        <w:rPr>
          <w:rFonts w:ascii="Times New Roman" w:eastAsia="宋体"/>
          <w:color w:val="auto"/>
          <w:sz w:val="28"/>
          <w:szCs w:val="28"/>
          <w:highlight w:val="none"/>
        </w:rPr>
        <w:t>主要原辅材料与资源能源消耗</w:t>
      </w:r>
      <w:bookmarkEnd w:id="222"/>
      <w:bookmarkEnd w:id="223"/>
    </w:p>
    <w:p w14:paraId="79D8AC49">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24" w:name="_Toc60653496"/>
      <w:bookmarkStart w:id="225" w:name="_Toc27392"/>
      <w:r>
        <w:rPr>
          <w:rFonts w:ascii="Times New Roman" w:eastAsia="宋体"/>
          <w:color w:val="auto"/>
          <w:sz w:val="28"/>
          <w:szCs w:val="28"/>
          <w:highlight w:val="none"/>
        </w:rPr>
        <w:t>主要生产设备及辅助设备</w:t>
      </w:r>
      <w:bookmarkEnd w:id="224"/>
      <w:bookmarkEnd w:id="225"/>
    </w:p>
    <w:p w14:paraId="18B7DC7B">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26" w:name="_Toc60653497"/>
      <w:bookmarkStart w:id="227" w:name="_Toc2111"/>
      <w:r>
        <w:rPr>
          <w:rFonts w:hint="eastAsia" w:ascii="Times New Roman" w:eastAsia="宋体"/>
          <w:color w:val="auto"/>
          <w:sz w:val="28"/>
          <w:szCs w:val="28"/>
          <w:highlight w:val="none"/>
        </w:rPr>
        <w:t>物料平衡及</w:t>
      </w:r>
      <w:r>
        <w:rPr>
          <w:rFonts w:ascii="Times New Roman" w:eastAsia="宋体"/>
          <w:color w:val="auto"/>
          <w:sz w:val="28"/>
          <w:szCs w:val="28"/>
          <w:highlight w:val="none"/>
        </w:rPr>
        <w:t>水（汽）平衡</w:t>
      </w:r>
      <w:bookmarkEnd w:id="226"/>
      <w:bookmarkEnd w:id="227"/>
    </w:p>
    <w:p w14:paraId="58E1734D">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28" w:name="_Toc60653498"/>
      <w:r>
        <w:rPr>
          <w:rFonts w:eastAsia="宋体"/>
          <w:color w:val="auto"/>
          <w:sz w:val="28"/>
          <w:szCs w:val="28"/>
          <w:highlight w:val="none"/>
        </w:rPr>
        <w:t>物料平衡</w:t>
      </w:r>
      <w:bookmarkEnd w:id="228"/>
    </w:p>
    <w:p w14:paraId="5F36AE26">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水（汽）</w:t>
      </w:r>
      <w:r>
        <w:rPr>
          <w:rFonts w:eastAsia="宋体"/>
          <w:color w:val="auto"/>
          <w:sz w:val="28"/>
          <w:szCs w:val="28"/>
          <w:highlight w:val="none"/>
        </w:rPr>
        <w:t>平衡</w:t>
      </w:r>
    </w:p>
    <w:p w14:paraId="7FDF8689">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29" w:name="_Toc60653501"/>
      <w:bookmarkStart w:id="230" w:name="_Toc15469"/>
      <w:r>
        <w:rPr>
          <w:rFonts w:ascii="Times New Roman" w:eastAsia="宋体"/>
          <w:color w:val="auto"/>
          <w:sz w:val="28"/>
          <w:szCs w:val="28"/>
          <w:highlight w:val="none"/>
        </w:rPr>
        <w:t>项目污染物源强核算</w:t>
      </w:r>
      <w:bookmarkEnd w:id="229"/>
      <w:bookmarkEnd w:id="230"/>
    </w:p>
    <w:p w14:paraId="524950A1">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31" w:name="_Toc60653502"/>
      <w:r>
        <w:rPr>
          <w:rFonts w:hint="eastAsia" w:eastAsia="宋体"/>
          <w:color w:val="auto"/>
          <w:sz w:val="28"/>
          <w:szCs w:val="28"/>
          <w:highlight w:val="none"/>
        </w:rPr>
        <w:t>废气污染源强分析</w:t>
      </w:r>
      <w:bookmarkEnd w:id="231"/>
    </w:p>
    <w:p w14:paraId="58A9596A">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本项目各废气排放环节主要包括：①工艺废气（G1-1、G1-3）、②实验废气（G1-2）。</w:t>
      </w:r>
    </w:p>
    <w:p w14:paraId="4E5C4998">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（1）工艺废气</w:t>
      </w:r>
    </w:p>
    <w:p w14:paraId="3B1631C3">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本项目在</w:t>
      </w:r>
      <w:bookmarkStart w:id="572" w:name="_GoBack"/>
      <w:bookmarkEnd w:id="572"/>
      <w:r>
        <w:rPr>
          <w:rFonts w:hint="eastAsia" w:ascii="Times New Roman" w:hAnsi="Times New Roman"/>
          <w:color w:val="auto"/>
          <w:szCs w:val="22"/>
          <w:highlight w:val="none"/>
        </w:rPr>
        <w:t>混合过滤、取样分析以及收缸等生产环节会产生工艺废气，</w:t>
      </w:r>
      <w:r>
        <w:rPr>
          <w:rFonts w:hint="eastAsia" w:ascii="Times New Roman" w:hAnsi="Times New Roman"/>
          <w:color w:val="auto"/>
          <w:szCs w:val="22"/>
          <w:highlight w:val="none"/>
        </w:rPr>
        <w:t>生产</w:t>
      </w:r>
      <w:r>
        <w:rPr>
          <w:rFonts w:hint="eastAsia" w:ascii="Times New Roman" w:hAnsi="Times New Roman"/>
          <w:color w:val="auto"/>
          <w:szCs w:val="22"/>
          <w:highlight w:val="none"/>
          <w:lang w:val="en-US" w:eastAsia="zh-CN"/>
        </w:rPr>
        <w:t>车间</w:t>
      </w:r>
      <w:r>
        <w:rPr>
          <w:rFonts w:hint="eastAsia" w:ascii="Times New Roman" w:hAnsi="Times New Roman"/>
          <w:color w:val="auto"/>
          <w:szCs w:val="22"/>
          <w:highlight w:val="none"/>
        </w:rPr>
        <w:t>按照《电子工业洁净厂房设计规范》（GB50472-2008）等设计规范进行设计，生产车间为洁净室，采用新风系统循环出风保障车间内空气环境并补充因工艺排风系统带走的气量。工艺设备均在洁净室内，各道工序均在独立机台内进行全封闭式操作，各机台均配备相应的</w:t>
      </w:r>
      <w:r>
        <w:rPr>
          <w:rFonts w:hint="eastAsia" w:ascii="Times New Roman" w:hAnsi="Times New Roman"/>
          <w:color w:val="auto"/>
          <w:szCs w:val="22"/>
          <w:highlight w:val="none"/>
          <w:lang w:val="en-US" w:eastAsia="zh-CN"/>
        </w:rPr>
        <w:t>液体</w:t>
      </w:r>
      <w:r>
        <w:rPr>
          <w:rFonts w:hint="eastAsia" w:ascii="Times New Roman" w:hAnsi="Times New Roman"/>
          <w:color w:val="auto"/>
          <w:szCs w:val="22"/>
          <w:highlight w:val="none"/>
        </w:rPr>
        <w:t>供应装置、抽排装置及管道，与对应的使用点直接连接，产生的废气直接通过</w:t>
      </w:r>
      <w:r>
        <w:rPr>
          <w:rFonts w:hint="eastAsia" w:ascii="Times New Roman" w:hAnsi="Times New Roman"/>
          <w:color w:val="auto"/>
          <w:szCs w:val="22"/>
          <w:highlight w:val="none"/>
          <w:lang w:val="en-US" w:eastAsia="zh-CN"/>
        </w:rPr>
        <w:t>洁净室排风系统</w:t>
      </w:r>
      <w:r>
        <w:rPr>
          <w:rFonts w:hint="eastAsia" w:ascii="Times New Roman" w:hAnsi="Times New Roman"/>
          <w:color w:val="auto"/>
          <w:szCs w:val="22"/>
          <w:highlight w:val="none"/>
        </w:rPr>
        <w:t>对应管道，送入</w:t>
      </w:r>
      <w:r>
        <w:rPr>
          <w:rFonts w:hint="eastAsia" w:ascii="Times New Roman" w:hAnsi="Times New Roman"/>
          <w:color w:val="auto"/>
          <w:szCs w:val="22"/>
          <w:highlight w:val="none"/>
          <w:lang w:val="en-US" w:eastAsia="zh-CN"/>
        </w:rPr>
        <w:t>相应</w:t>
      </w:r>
      <w:r>
        <w:rPr>
          <w:rFonts w:hint="eastAsia" w:ascii="Times New Roman" w:hAnsi="Times New Roman"/>
          <w:color w:val="auto"/>
          <w:szCs w:val="22"/>
          <w:highlight w:val="none"/>
        </w:rPr>
        <w:t>废气处理系统。</w:t>
      </w:r>
      <w:r>
        <w:rPr>
          <w:rFonts w:hint="eastAsia" w:ascii="Times New Roman" w:hAnsi="Times New Roman"/>
          <w:color w:val="auto"/>
          <w:szCs w:val="22"/>
          <w:highlight w:val="none"/>
          <w:lang w:val="en-US" w:eastAsia="zh-CN"/>
        </w:rPr>
        <w:t>仅有车间出入口有少量逸散废气</w:t>
      </w:r>
      <w:r>
        <w:rPr>
          <w:rFonts w:hint="eastAsia" w:ascii="Times New Roman" w:hAnsi="Times New Roman"/>
          <w:color w:val="auto"/>
          <w:szCs w:val="22"/>
          <w:highlight w:val="none"/>
        </w:rPr>
        <w:t>以无组织形式排放外环境。</w:t>
      </w:r>
      <w:r>
        <w:rPr>
          <w:rFonts w:hint="eastAsia" w:ascii="Times New Roman" w:hAnsi="Times New Roman"/>
          <w:color w:val="auto"/>
          <w:szCs w:val="22"/>
          <w:highlight w:val="none"/>
        </w:rPr>
        <w:t>本项目</w:t>
      </w:r>
      <w:r>
        <w:rPr>
          <w:rFonts w:hint="eastAsia" w:ascii="Times New Roman" w:hAnsi="Times New Roman"/>
          <w:color w:val="auto"/>
          <w:szCs w:val="22"/>
          <w:highlight w:val="none"/>
          <w:lang w:val="en-US" w:eastAsia="zh-CN"/>
        </w:rPr>
        <w:t>废气依托</w:t>
      </w:r>
      <w:r>
        <w:rPr>
          <w:rFonts w:hint="eastAsia" w:ascii="Times New Roman" w:hAnsi="Times New Roman"/>
          <w:color w:val="auto"/>
          <w:szCs w:val="22"/>
          <w:highlight w:val="none"/>
        </w:rPr>
        <w:t>一套3级碱液喷淋+二级活性炭吸附处理设施处理后经20m高排气筒DA005排放，年工作时间为2000h。</w:t>
      </w:r>
      <w:r>
        <w:rPr>
          <w:rFonts w:hint="eastAsia" w:ascii="Times New Roman" w:hAnsi="Times New Roman"/>
          <w:color w:val="auto"/>
          <w:szCs w:val="22"/>
          <w:highlight w:val="none"/>
          <w:lang w:val="en-US" w:eastAsia="zh-CN"/>
        </w:rPr>
        <w:t>捕集率取98%，去除率取90%。</w:t>
      </w:r>
    </w:p>
    <w:p w14:paraId="572CF902">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本项目使用的原辅材料在常温下进行物理复配生产，类比《南通赛可特电子有限公司PCB、封装基板及芯片专用材料扩改项目环境影响报告表》，该项目产品方案有金属保护液、电子用剥离液、蚀刻液、酸性孔金属化试剂和碱性孔金属化试剂等，工艺流程为投料、混合搅拌和检验包装，属于常温下物理复配（无化学反应），投料工序、搅拌工序和检验包装工序废气产污系数均为0.05%。</w:t>
      </w:r>
    </w:p>
    <w:p w14:paraId="5C6B9C96">
      <w:pPr>
        <w:spacing w:line="360" w:lineRule="auto"/>
        <w:ind w:left="-105" w:right="-105" w:firstLine="480" w:firstLineChars="200"/>
        <w:jc w:val="both"/>
        <w:rPr>
          <w:rFonts w:hint="eastAsia" w:ascii="Times New Roman" w:hAnsi="Times New Roman"/>
          <w:color w:val="auto"/>
          <w:szCs w:val="22"/>
          <w:highlight w:val="none"/>
        </w:rPr>
      </w:pPr>
      <w:r>
        <w:rPr>
          <w:rFonts w:hint="eastAsia" w:ascii="Times New Roman" w:hAnsi="Times New Roman"/>
          <w:color w:val="auto"/>
          <w:szCs w:val="22"/>
          <w:highlight w:val="none"/>
        </w:rPr>
        <w:t>本项目产品、工艺和原料与其类同，故本项目废气产生量类比《南通赛可特电子有限公司PCB、封装基板及芯片专用材料扩改项目环境影响报告表》中相关产污系数可行，即</w:t>
      </w:r>
      <w:r>
        <w:rPr>
          <w:rFonts w:hint="eastAsia" w:ascii="Times New Roman" w:hAnsi="Times New Roman"/>
          <w:color w:val="auto"/>
          <w:szCs w:val="22"/>
          <w:highlight w:val="none"/>
          <w:lang w:val="en-US" w:eastAsia="zh-CN"/>
        </w:rPr>
        <w:t>投料、</w:t>
      </w:r>
      <w:r>
        <w:rPr>
          <w:rFonts w:hint="eastAsia" w:ascii="Times New Roman" w:hAnsi="Times New Roman"/>
          <w:color w:val="auto"/>
          <w:szCs w:val="22"/>
          <w:highlight w:val="none"/>
        </w:rPr>
        <w:t>混合</w:t>
      </w:r>
      <w:r>
        <w:rPr>
          <w:rFonts w:hint="eastAsia" w:ascii="Times New Roman" w:hAnsi="Times New Roman"/>
          <w:color w:val="auto"/>
          <w:szCs w:val="22"/>
          <w:highlight w:val="none"/>
          <w:lang w:val="en-US" w:eastAsia="zh-CN"/>
        </w:rPr>
        <w:t>搅拌</w:t>
      </w:r>
      <w:r>
        <w:rPr>
          <w:rFonts w:hint="eastAsia" w:ascii="Times New Roman" w:hAnsi="Times New Roman"/>
          <w:color w:val="auto"/>
          <w:szCs w:val="22"/>
          <w:highlight w:val="none"/>
        </w:rPr>
        <w:t>和收缸产污环节产污系数均为0.05%，其中取样分析时在出料口采样产生的有机废气计入收缸产污环节。</w:t>
      </w:r>
    </w:p>
    <w:p w14:paraId="60C2E955">
      <w:pPr>
        <w:spacing w:line="360" w:lineRule="auto"/>
        <w:ind w:left="-105" w:right="-105" w:firstLine="480" w:firstLineChars="200"/>
        <w:jc w:val="both"/>
        <w:rPr>
          <w:rFonts w:ascii="Times New Roman" w:hAnsi="Times New Roman"/>
          <w:color w:val="auto"/>
          <w:szCs w:val="22"/>
          <w:highlight w:val="none"/>
        </w:rPr>
      </w:pPr>
      <w:r>
        <w:rPr>
          <w:rFonts w:hint="eastAsia" w:ascii="Times New Roman" w:hAnsi="Times New Roman"/>
          <w:color w:val="auto"/>
          <w:szCs w:val="22"/>
          <w:highlight w:val="none"/>
        </w:rPr>
        <w:t>因此工艺废气产生情况见下表。</w:t>
      </w:r>
    </w:p>
    <w:p w14:paraId="3B9FEDD9">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w:t>
      </w:r>
      <w:r>
        <w:rPr>
          <w:rFonts w:eastAsia="宋体" w:cs="Times New Roman"/>
          <w:color w:val="auto"/>
          <w:sz w:val="24"/>
          <w:szCs w:val="24"/>
          <w:highlight w:val="none"/>
        </w:rPr>
        <w:fldChar w:fldCharType="end"/>
      </w:r>
      <w:r>
        <w:rPr>
          <w:rFonts w:eastAsia="宋体" w:cs="Times New Roman"/>
          <w:color w:val="auto"/>
          <w:sz w:val="24"/>
          <w:szCs w:val="24"/>
          <w:highlight w:val="none"/>
        </w:rPr>
        <w:t>本项目</w:t>
      </w:r>
      <w:r>
        <w:rPr>
          <w:rFonts w:hint="eastAsia" w:eastAsia="宋体" w:cs="Times New Roman"/>
          <w:color w:val="auto"/>
          <w:sz w:val="24"/>
          <w:szCs w:val="24"/>
          <w:highlight w:val="none"/>
        </w:rPr>
        <w:t>工艺</w:t>
      </w:r>
      <w:r>
        <w:rPr>
          <w:rFonts w:eastAsia="宋体" w:cs="Times New Roman"/>
          <w:color w:val="auto"/>
          <w:sz w:val="24"/>
          <w:szCs w:val="24"/>
          <w:highlight w:val="none"/>
        </w:rPr>
        <w:t>废气产生情况</w:t>
      </w:r>
      <w:r>
        <w:rPr>
          <w:rFonts w:hint="eastAsia" w:eastAsia="宋体" w:cs="Times New Roman"/>
          <w:color w:val="auto"/>
          <w:sz w:val="24"/>
          <w:szCs w:val="24"/>
          <w:highlight w:val="none"/>
        </w:rPr>
        <w:t>汇总表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230"/>
        <w:gridCol w:w="930"/>
        <w:gridCol w:w="855"/>
        <w:gridCol w:w="675"/>
        <w:gridCol w:w="968"/>
        <w:gridCol w:w="968"/>
        <w:gridCol w:w="968"/>
        <w:gridCol w:w="968"/>
      </w:tblGrid>
      <w:tr w14:paraId="40BFA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vMerge w:val="restart"/>
            <w:tcBorders>
              <w:tl2br w:val="nil"/>
              <w:tr2bl w:val="nil"/>
            </w:tcBorders>
            <w:vAlign w:val="center"/>
          </w:tcPr>
          <w:p w14:paraId="2163553A">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污染源</w:t>
            </w:r>
          </w:p>
        </w:tc>
        <w:tc>
          <w:tcPr>
            <w:tcW w:w="1230" w:type="dxa"/>
            <w:vMerge w:val="restart"/>
            <w:tcBorders>
              <w:tl2br w:val="nil"/>
              <w:tr2bl w:val="nil"/>
            </w:tcBorders>
            <w:vAlign w:val="center"/>
          </w:tcPr>
          <w:p w14:paraId="6CA50C82">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污染因子</w:t>
            </w:r>
          </w:p>
        </w:tc>
        <w:tc>
          <w:tcPr>
            <w:tcW w:w="930" w:type="dxa"/>
            <w:vMerge w:val="restart"/>
            <w:tcBorders>
              <w:tl2br w:val="nil"/>
              <w:tr2bl w:val="nil"/>
            </w:tcBorders>
            <w:vAlign w:val="center"/>
          </w:tcPr>
          <w:p w14:paraId="213CEFE6">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总产生量t/a</w:t>
            </w:r>
          </w:p>
        </w:tc>
        <w:tc>
          <w:tcPr>
            <w:tcW w:w="855" w:type="dxa"/>
            <w:vMerge w:val="restart"/>
            <w:tcBorders>
              <w:tl2br w:val="nil"/>
              <w:tr2bl w:val="nil"/>
            </w:tcBorders>
            <w:vAlign w:val="center"/>
          </w:tcPr>
          <w:p w14:paraId="670D50C0">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排放时间h/a</w:t>
            </w:r>
          </w:p>
        </w:tc>
        <w:tc>
          <w:tcPr>
            <w:tcW w:w="675" w:type="dxa"/>
            <w:vMerge w:val="restart"/>
            <w:tcBorders>
              <w:tl2br w:val="nil"/>
              <w:tr2bl w:val="nil"/>
            </w:tcBorders>
            <w:vAlign w:val="center"/>
          </w:tcPr>
          <w:p w14:paraId="23A016B1">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收集率</w:t>
            </w:r>
          </w:p>
        </w:tc>
        <w:tc>
          <w:tcPr>
            <w:tcW w:w="1936" w:type="dxa"/>
            <w:gridSpan w:val="2"/>
            <w:tcBorders>
              <w:tl2br w:val="nil"/>
              <w:tr2bl w:val="nil"/>
            </w:tcBorders>
            <w:vAlign w:val="center"/>
          </w:tcPr>
          <w:p w14:paraId="0D64100A">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有组织产生量</w:t>
            </w:r>
          </w:p>
        </w:tc>
        <w:tc>
          <w:tcPr>
            <w:tcW w:w="1936" w:type="dxa"/>
            <w:gridSpan w:val="2"/>
            <w:tcBorders>
              <w:tl2br w:val="nil"/>
              <w:tr2bl w:val="nil"/>
            </w:tcBorders>
            <w:vAlign w:val="center"/>
          </w:tcPr>
          <w:p w14:paraId="35D9DFED">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无组织产生量</w:t>
            </w:r>
          </w:p>
        </w:tc>
      </w:tr>
      <w:tr w14:paraId="0182E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vMerge w:val="continue"/>
            <w:tcBorders>
              <w:tl2br w:val="nil"/>
              <w:tr2bl w:val="nil"/>
            </w:tcBorders>
            <w:vAlign w:val="center"/>
          </w:tcPr>
          <w:p w14:paraId="4DA5190F">
            <w:pPr>
              <w:pStyle w:val="21"/>
              <w:ind w:left="-105" w:right="-105" w:firstLine="0"/>
              <w:jc w:val="center"/>
              <w:rPr>
                <w:rFonts w:eastAsia="宋体"/>
                <w:color w:val="auto"/>
                <w:sz w:val="21"/>
                <w:szCs w:val="21"/>
                <w:highlight w:val="none"/>
              </w:rPr>
            </w:pPr>
          </w:p>
        </w:tc>
        <w:tc>
          <w:tcPr>
            <w:tcW w:w="1230" w:type="dxa"/>
            <w:vMerge w:val="continue"/>
            <w:tcBorders>
              <w:tl2br w:val="nil"/>
              <w:tr2bl w:val="nil"/>
            </w:tcBorders>
            <w:vAlign w:val="center"/>
          </w:tcPr>
          <w:p w14:paraId="10710E7A">
            <w:pPr>
              <w:pStyle w:val="21"/>
              <w:ind w:left="-105" w:right="-105" w:firstLine="0"/>
              <w:jc w:val="center"/>
              <w:rPr>
                <w:rFonts w:eastAsia="宋体"/>
                <w:color w:val="auto"/>
                <w:sz w:val="21"/>
                <w:szCs w:val="21"/>
                <w:highlight w:val="none"/>
              </w:rPr>
            </w:pPr>
          </w:p>
        </w:tc>
        <w:tc>
          <w:tcPr>
            <w:tcW w:w="930" w:type="dxa"/>
            <w:vMerge w:val="continue"/>
            <w:tcBorders>
              <w:tl2br w:val="nil"/>
              <w:tr2bl w:val="nil"/>
            </w:tcBorders>
            <w:vAlign w:val="center"/>
          </w:tcPr>
          <w:p w14:paraId="659B0610">
            <w:pPr>
              <w:pStyle w:val="21"/>
              <w:ind w:left="-105" w:right="-105" w:firstLine="0"/>
              <w:jc w:val="center"/>
              <w:rPr>
                <w:rFonts w:eastAsia="宋体"/>
                <w:color w:val="auto"/>
                <w:sz w:val="21"/>
                <w:szCs w:val="21"/>
                <w:highlight w:val="none"/>
              </w:rPr>
            </w:pPr>
          </w:p>
        </w:tc>
        <w:tc>
          <w:tcPr>
            <w:tcW w:w="855" w:type="dxa"/>
            <w:vMerge w:val="continue"/>
            <w:tcBorders>
              <w:tl2br w:val="nil"/>
              <w:tr2bl w:val="nil"/>
            </w:tcBorders>
            <w:vAlign w:val="center"/>
          </w:tcPr>
          <w:p w14:paraId="09E5074F">
            <w:pPr>
              <w:pStyle w:val="21"/>
              <w:ind w:left="-105" w:right="-105" w:firstLine="0"/>
              <w:jc w:val="center"/>
              <w:rPr>
                <w:rFonts w:eastAsia="宋体"/>
                <w:color w:val="auto"/>
                <w:sz w:val="21"/>
                <w:szCs w:val="21"/>
                <w:highlight w:val="none"/>
              </w:rPr>
            </w:pPr>
          </w:p>
        </w:tc>
        <w:tc>
          <w:tcPr>
            <w:tcW w:w="675" w:type="dxa"/>
            <w:vMerge w:val="continue"/>
            <w:tcBorders>
              <w:tl2br w:val="nil"/>
              <w:tr2bl w:val="nil"/>
            </w:tcBorders>
            <w:vAlign w:val="center"/>
          </w:tcPr>
          <w:p w14:paraId="3C094C70">
            <w:pPr>
              <w:pStyle w:val="21"/>
              <w:ind w:left="-105" w:right="-105" w:firstLine="0"/>
              <w:jc w:val="center"/>
              <w:rPr>
                <w:rFonts w:eastAsia="宋体"/>
                <w:color w:val="auto"/>
                <w:sz w:val="21"/>
                <w:szCs w:val="21"/>
                <w:highlight w:val="none"/>
              </w:rPr>
            </w:pPr>
          </w:p>
        </w:tc>
        <w:tc>
          <w:tcPr>
            <w:tcW w:w="968" w:type="dxa"/>
            <w:tcBorders>
              <w:tl2br w:val="nil"/>
              <w:tr2bl w:val="nil"/>
            </w:tcBorders>
            <w:vAlign w:val="center"/>
          </w:tcPr>
          <w:p w14:paraId="38C36840">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产生速率kg/h</w:t>
            </w:r>
          </w:p>
        </w:tc>
        <w:tc>
          <w:tcPr>
            <w:tcW w:w="968" w:type="dxa"/>
            <w:tcBorders>
              <w:tl2br w:val="nil"/>
              <w:tr2bl w:val="nil"/>
            </w:tcBorders>
            <w:vAlign w:val="center"/>
          </w:tcPr>
          <w:p w14:paraId="08D3F656">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产生量t/a</w:t>
            </w:r>
          </w:p>
        </w:tc>
        <w:tc>
          <w:tcPr>
            <w:tcW w:w="968" w:type="dxa"/>
            <w:tcBorders>
              <w:tl2br w:val="nil"/>
              <w:tr2bl w:val="nil"/>
            </w:tcBorders>
            <w:vAlign w:val="center"/>
          </w:tcPr>
          <w:p w14:paraId="64C8BBF6">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产生速率kg/h</w:t>
            </w:r>
          </w:p>
        </w:tc>
        <w:tc>
          <w:tcPr>
            <w:tcW w:w="968" w:type="dxa"/>
            <w:tcBorders>
              <w:tl2br w:val="nil"/>
              <w:tr2bl w:val="nil"/>
            </w:tcBorders>
            <w:vAlign w:val="center"/>
          </w:tcPr>
          <w:p w14:paraId="13D244ED">
            <w:pPr>
              <w:pStyle w:val="21"/>
              <w:ind w:left="-105" w:right="-105" w:firstLine="0"/>
              <w:jc w:val="center"/>
              <w:rPr>
                <w:rFonts w:eastAsia="宋体"/>
                <w:b/>
                <w:bCs/>
                <w:color w:val="auto"/>
                <w:sz w:val="21"/>
                <w:szCs w:val="21"/>
                <w:highlight w:val="none"/>
              </w:rPr>
            </w:pPr>
            <w:r>
              <w:rPr>
                <w:rFonts w:hint="eastAsia" w:eastAsia="宋体"/>
                <w:b/>
                <w:bCs/>
                <w:color w:val="auto"/>
                <w:sz w:val="21"/>
                <w:szCs w:val="21"/>
                <w:highlight w:val="none"/>
              </w:rPr>
              <w:t>产生量t/a</w:t>
            </w:r>
          </w:p>
        </w:tc>
      </w:tr>
      <w:tr w14:paraId="56B3C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5A5F3455">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混合G1-1</w:t>
            </w:r>
          </w:p>
        </w:tc>
        <w:tc>
          <w:tcPr>
            <w:tcW w:w="1230" w:type="dxa"/>
            <w:tcBorders>
              <w:tl2br w:val="nil"/>
              <w:tr2bl w:val="nil"/>
            </w:tcBorders>
            <w:vAlign w:val="center"/>
          </w:tcPr>
          <w:p w14:paraId="0895B671">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非甲烷总烃</w:t>
            </w:r>
          </w:p>
        </w:tc>
        <w:tc>
          <w:tcPr>
            <w:tcW w:w="930" w:type="dxa"/>
            <w:tcBorders>
              <w:tl2br w:val="nil"/>
              <w:tr2bl w:val="nil"/>
            </w:tcBorders>
            <w:vAlign w:val="center"/>
          </w:tcPr>
          <w:p w14:paraId="65B34384">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0.</w:t>
            </w:r>
            <w:r>
              <w:rPr>
                <w:rFonts w:hint="eastAsia" w:eastAsia="宋体"/>
                <w:color w:val="auto"/>
                <w:spacing w:val="-8"/>
                <w:sz w:val="21"/>
                <w:szCs w:val="21"/>
                <w:highlight w:val="none"/>
                <w:lang w:val="en-US" w:eastAsia="zh-CN"/>
              </w:rPr>
              <w:t>78</w:t>
            </w:r>
            <w:r>
              <w:rPr>
                <w:rFonts w:hint="eastAsia" w:eastAsia="宋体"/>
                <w:color w:val="auto"/>
                <w:spacing w:val="-8"/>
                <w:sz w:val="21"/>
                <w:szCs w:val="21"/>
                <w:highlight w:val="none"/>
              </w:rPr>
              <w:t>5</w:t>
            </w:r>
          </w:p>
        </w:tc>
        <w:tc>
          <w:tcPr>
            <w:tcW w:w="855" w:type="dxa"/>
            <w:tcBorders>
              <w:tl2br w:val="nil"/>
              <w:tr2bl w:val="nil"/>
            </w:tcBorders>
            <w:vAlign w:val="center"/>
          </w:tcPr>
          <w:p w14:paraId="023D6DFF">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2000</w:t>
            </w:r>
          </w:p>
        </w:tc>
        <w:tc>
          <w:tcPr>
            <w:tcW w:w="675" w:type="dxa"/>
            <w:tcBorders>
              <w:tl2br w:val="nil"/>
              <w:tr2bl w:val="nil"/>
            </w:tcBorders>
            <w:vAlign w:val="center"/>
          </w:tcPr>
          <w:p w14:paraId="6EB88E29">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9</w:t>
            </w:r>
            <w:r>
              <w:rPr>
                <w:rFonts w:hint="eastAsia" w:eastAsia="宋体"/>
                <w:color w:val="auto"/>
                <w:spacing w:val="-8"/>
                <w:sz w:val="21"/>
                <w:szCs w:val="21"/>
                <w:highlight w:val="none"/>
                <w:lang w:val="en-US" w:eastAsia="zh-CN"/>
              </w:rPr>
              <w:t>8</w:t>
            </w:r>
            <w:r>
              <w:rPr>
                <w:rFonts w:hint="eastAsia" w:eastAsia="宋体"/>
                <w:color w:val="auto"/>
                <w:spacing w:val="-8"/>
                <w:sz w:val="21"/>
                <w:szCs w:val="21"/>
                <w:highlight w:val="none"/>
              </w:rPr>
              <w:t>%</w:t>
            </w:r>
          </w:p>
        </w:tc>
        <w:tc>
          <w:tcPr>
            <w:tcW w:w="968" w:type="dxa"/>
            <w:tcBorders>
              <w:tl2br w:val="nil"/>
              <w:tr2bl w:val="nil"/>
            </w:tcBorders>
            <w:vAlign w:val="center"/>
          </w:tcPr>
          <w:p w14:paraId="104D703E">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0.3847 </w:t>
            </w:r>
          </w:p>
        </w:tc>
        <w:tc>
          <w:tcPr>
            <w:tcW w:w="968" w:type="dxa"/>
            <w:tcBorders>
              <w:tl2br w:val="nil"/>
              <w:tr2bl w:val="nil"/>
            </w:tcBorders>
            <w:vAlign w:val="center"/>
          </w:tcPr>
          <w:p w14:paraId="107EBF13">
            <w:pPr>
              <w:keepNext w:val="0"/>
              <w:keepLines w:val="0"/>
              <w:widowControl/>
              <w:suppressLineNumbers w:val="0"/>
              <w:jc w:val="center"/>
              <w:textAlignment w:val="center"/>
              <w:rPr>
                <w:rFonts w:hint="eastAsia" w:eastAsia="宋体"/>
                <w:color w:val="auto"/>
                <w:spacing w:val="-8"/>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0.7693 </w:t>
            </w:r>
          </w:p>
        </w:tc>
        <w:tc>
          <w:tcPr>
            <w:tcW w:w="968" w:type="dxa"/>
            <w:tcBorders>
              <w:tl2br w:val="nil"/>
              <w:tr2bl w:val="nil"/>
            </w:tcBorders>
            <w:vAlign w:val="center"/>
          </w:tcPr>
          <w:p w14:paraId="6CA5EDDB">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0.0079 </w:t>
            </w:r>
          </w:p>
        </w:tc>
        <w:tc>
          <w:tcPr>
            <w:tcW w:w="968" w:type="dxa"/>
            <w:tcBorders>
              <w:tl2br w:val="nil"/>
              <w:tr2bl w:val="nil"/>
            </w:tcBorders>
            <w:vAlign w:val="center"/>
          </w:tcPr>
          <w:p w14:paraId="132BEA41">
            <w:pPr>
              <w:keepNext w:val="0"/>
              <w:keepLines w:val="0"/>
              <w:widowControl/>
              <w:suppressLineNumbers w:val="0"/>
              <w:jc w:val="center"/>
              <w:textAlignment w:val="center"/>
              <w:rPr>
                <w:rFonts w:eastAsia="宋体"/>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0.0157 </w:t>
            </w:r>
          </w:p>
        </w:tc>
      </w:tr>
      <w:tr w14:paraId="34D02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666885CD">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收缸G1-3</w:t>
            </w:r>
          </w:p>
        </w:tc>
        <w:tc>
          <w:tcPr>
            <w:tcW w:w="1230" w:type="dxa"/>
            <w:tcBorders>
              <w:tl2br w:val="nil"/>
              <w:tr2bl w:val="nil"/>
            </w:tcBorders>
            <w:vAlign w:val="center"/>
          </w:tcPr>
          <w:p w14:paraId="4672CACC">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非甲烷总烃</w:t>
            </w:r>
          </w:p>
        </w:tc>
        <w:tc>
          <w:tcPr>
            <w:tcW w:w="930" w:type="dxa"/>
            <w:tcBorders>
              <w:tl2br w:val="nil"/>
              <w:tr2bl w:val="nil"/>
            </w:tcBorders>
            <w:vAlign w:val="center"/>
          </w:tcPr>
          <w:p w14:paraId="1F7480C5">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0.3925</w:t>
            </w:r>
          </w:p>
        </w:tc>
        <w:tc>
          <w:tcPr>
            <w:tcW w:w="855" w:type="dxa"/>
            <w:tcBorders>
              <w:tl2br w:val="nil"/>
              <w:tr2bl w:val="nil"/>
            </w:tcBorders>
            <w:vAlign w:val="center"/>
          </w:tcPr>
          <w:p w14:paraId="274CE907">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2000</w:t>
            </w:r>
          </w:p>
        </w:tc>
        <w:tc>
          <w:tcPr>
            <w:tcW w:w="675" w:type="dxa"/>
            <w:tcBorders>
              <w:tl2br w:val="nil"/>
              <w:tr2bl w:val="nil"/>
            </w:tcBorders>
            <w:vAlign w:val="center"/>
          </w:tcPr>
          <w:p w14:paraId="6EA2EB9F">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9</w:t>
            </w:r>
            <w:r>
              <w:rPr>
                <w:rFonts w:hint="eastAsia" w:eastAsia="宋体"/>
                <w:color w:val="auto"/>
                <w:spacing w:val="-8"/>
                <w:sz w:val="21"/>
                <w:szCs w:val="21"/>
                <w:highlight w:val="none"/>
                <w:lang w:val="en-US" w:eastAsia="zh-CN"/>
              </w:rPr>
              <w:t>8</w:t>
            </w:r>
            <w:r>
              <w:rPr>
                <w:rFonts w:hint="eastAsia" w:eastAsia="宋体"/>
                <w:color w:val="auto"/>
                <w:spacing w:val="-8"/>
                <w:sz w:val="21"/>
                <w:szCs w:val="21"/>
                <w:highlight w:val="none"/>
              </w:rPr>
              <w:t>%</w:t>
            </w:r>
          </w:p>
        </w:tc>
        <w:tc>
          <w:tcPr>
            <w:tcW w:w="968" w:type="dxa"/>
            <w:tcBorders>
              <w:tl2br w:val="nil"/>
              <w:tr2bl w:val="nil"/>
            </w:tcBorders>
            <w:vAlign w:val="center"/>
          </w:tcPr>
          <w:p w14:paraId="171B3855">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0.1923 </w:t>
            </w:r>
          </w:p>
        </w:tc>
        <w:tc>
          <w:tcPr>
            <w:tcW w:w="968" w:type="dxa"/>
            <w:tcBorders>
              <w:tl2br w:val="nil"/>
              <w:tr2bl w:val="nil"/>
            </w:tcBorders>
            <w:vAlign w:val="center"/>
          </w:tcPr>
          <w:p w14:paraId="387D9431">
            <w:pPr>
              <w:keepNext w:val="0"/>
              <w:keepLines w:val="0"/>
              <w:widowControl/>
              <w:suppressLineNumbers w:val="0"/>
              <w:jc w:val="center"/>
              <w:textAlignment w:val="center"/>
              <w:rPr>
                <w:rFonts w:eastAsia="宋体"/>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0.3847 </w:t>
            </w:r>
          </w:p>
        </w:tc>
        <w:tc>
          <w:tcPr>
            <w:tcW w:w="968" w:type="dxa"/>
            <w:tcBorders>
              <w:tl2br w:val="nil"/>
              <w:tr2bl w:val="nil"/>
            </w:tcBorders>
            <w:vAlign w:val="center"/>
          </w:tcPr>
          <w:p w14:paraId="09334971">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0.0039 </w:t>
            </w:r>
          </w:p>
        </w:tc>
        <w:tc>
          <w:tcPr>
            <w:tcW w:w="968" w:type="dxa"/>
            <w:tcBorders>
              <w:tl2br w:val="nil"/>
              <w:tr2bl w:val="nil"/>
            </w:tcBorders>
            <w:vAlign w:val="center"/>
          </w:tcPr>
          <w:p w14:paraId="0BFB49AF">
            <w:pPr>
              <w:keepNext w:val="0"/>
              <w:keepLines w:val="0"/>
              <w:widowControl/>
              <w:suppressLineNumbers w:val="0"/>
              <w:jc w:val="center"/>
              <w:textAlignment w:val="center"/>
              <w:rPr>
                <w:rFonts w:eastAsia="宋体"/>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0.007</w:t>
            </w:r>
            <w:r>
              <w:rPr>
                <w:rFonts w:hint="eastAsia" w:ascii="Times New Roman" w:hAnsi="Times New Roman" w:eastAsia="等线" w:cs="Times New Roman"/>
                <w:i w:val="0"/>
                <w:iCs w:val="0"/>
                <w:color w:val="auto"/>
                <w:kern w:val="0"/>
                <w:sz w:val="21"/>
                <w:szCs w:val="21"/>
                <w:highlight w:val="none"/>
                <w:u w:val="none"/>
                <w:lang w:val="en-US" w:eastAsia="zh-CN" w:bidi="ar"/>
              </w:rPr>
              <w:t>8</w:t>
            </w:r>
            <w:r>
              <w:rPr>
                <w:rFonts w:hint="default" w:ascii="Times New Roman" w:hAnsi="Times New Roman" w:eastAsia="等线" w:cs="Times New Roman"/>
                <w:i w:val="0"/>
                <w:iCs w:val="0"/>
                <w:color w:val="auto"/>
                <w:kern w:val="0"/>
                <w:sz w:val="21"/>
                <w:szCs w:val="21"/>
                <w:highlight w:val="none"/>
                <w:u w:val="none"/>
                <w:lang w:val="en-US" w:eastAsia="zh-CN" w:bidi="ar"/>
              </w:rPr>
              <w:t xml:space="preserve"> </w:t>
            </w:r>
          </w:p>
        </w:tc>
      </w:tr>
      <w:tr w14:paraId="156EA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7CB3067C">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合计</w:t>
            </w:r>
          </w:p>
        </w:tc>
        <w:tc>
          <w:tcPr>
            <w:tcW w:w="1230" w:type="dxa"/>
            <w:tcBorders>
              <w:tl2br w:val="nil"/>
              <w:tr2bl w:val="nil"/>
            </w:tcBorders>
            <w:vAlign w:val="center"/>
          </w:tcPr>
          <w:p w14:paraId="63FD35ED">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非甲烷总烃</w:t>
            </w:r>
          </w:p>
        </w:tc>
        <w:tc>
          <w:tcPr>
            <w:tcW w:w="930" w:type="dxa"/>
            <w:tcBorders>
              <w:tl2br w:val="nil"/>
              <w:tr2bl w:val="nil"/>
            </w:tcBorders>
            <w:vAlign w:val="center"/>
          </w:tcPr>
          <w:p w14:paraId="66499A79">
            <w:pPr>
              <w:pStyle w:val="21"/>
              <w:ind w:left="-105" w:right="-105" w:firstLine="0"/>
              <w:jc w:val="center"/>
              <w:rPr>
                <w:rFonts w:hint="default" w:eastAsia="宋体"/>
                <w:color w:val="auto"/>
                <w:spacing w:val="-8"/>
                <w:sz w:val="21"/>
                <w:szCs w:val="21"/>
                <w:highlight w:val="none"/>
                <w:lang w:val="en-US" w:eastAsia="zh-CN"/>
              </w:rPr>
            </w:pPr>
            <w:r>
              <w:rPr>
                <w:rFonts w:hint="eastAsia" w:eastAsia="宋体"/>
                <w:color w:val="auto"/>
                <w:spacing w:val="-8"/>
                <w:sz w:val="21"/>
                <w:szCs w:val="21"/>
                <w:highlight w:val="none"/>
                <w:lang w:val="en-US" w:eastAsia="zh-CN"/>
              </w:rPr>
              <w:t>1.1775</w:t>
            </w:r>
          </w:p>
        </w:tc>
        <w:tc>
          <w:tcPr>
            <w:tcW w:w="855" w:type="dxa"/>
            <w:tcBorders>
              <w:tl2br w:val="nil"/>
              <w:tr2bl w:val="nil"/>
            </w:tcBorders>
            <w:vAlign w:val="center"/>
          </w:tcPr>
          <w:p w14:paraId="41AFC8B2">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2000</w:t>
            </w:r>
          </w:p>
        </w:tc>
        <w:tc>
          <w:tcPr>
            <w:tcW w:w="675" w:type="dxa"/>
            <w:tcBorders>
              <w:tl2br w:val="nil"/>
              <w:tr2bl w:val="nil"/>
            </w:tcBorders>
            <w:vAlign w:val="center"/>
          </w:tcPr>
          <w:p w14:paraId="6CA4B45D">
            <w:pPr>
              <w:pStyle w:val="21"/>
              <w:ind w:left="-105" w:right="-105" w:firstLine="0"/>
              <w:jc w:val="center"/>
              <w:rPr>
                <w:rFonts w:eastAsia="宋体"/>
                <w:color w:val="auto"/>
                <w:spacing w:val="-8"/>
                <w:sz w:val="21"/>
                <w:szCs w:val="21"/>
                <w:highlight w:val="none"/>
              </w:rPr>
            </w:pPr>
            <w:r>
              <w:rPr>
                <w:rFonts w:hint="eastAsia" w:eastAsia="宋体"/>
                <w:color w:val="auto"/>
                <w:spacing w:val="-8"/>
                <w:sz w:val="21"/>
                <w:szCs w:val="21"/>
                <w:highlight w:val="none"/>
              </w:rPr>
              <w:t>9</w:t>
            </w:r>
            <w:r>
              <w:rPr>
                <w:rFonts w:hint="eastAsia" w:eastAsia="宋体"/>
                <w:color w:val="auto"/>
                <w:spacing w:val="-8"/>
                <w:sz w:val="21"/>
                <w:szCs w:val="21"/>
                <w:highlight w:val="none"/>
                <w:lang w:val="en-US" w:eastAsia="zh-CN"/>
              </w:rPr>
              <w:t>8</w:t>
            </w:r>
            <w:r>
              <w:rPr>
                <w:rFonts w:hint="eastAsia" w:eastAsia="宋体"/>
                <w:color w:val="auto"/>
                <w:spacing w:val="-8"/>
                <w:sz w:val="21"/>
                <w:szCs w:val="21"/>
                <w:highlight w:val="none"/>
              </w:rPr>
              <w:t>%</w:t>
            </w:r>
          </w:p>
        </w:tc>
        <w:tc>
          <w:tcPr>
            <w:tcW w:w="968" w:type="dxa"/>
            <w:tcBorders>
              <w:tl2br w:val="nil"/>
              <w:tr2bl w:val="nil"/>
            </w:tcBorders>
            <w:vAlign w:val="center"/>
          </w:tcPr>
          <w:p w14:paraId="10DF1BB2">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0.5770 </w:t>
            </w:r>
          </w:p>
        </w:tc>
        <w:tc>
          <w:tcPr>
            <w:tcW w:w="968" w:type="dxa"/>
            <w:tcBorders>
              <w:tl2br w:val="nil"/>
              <w:tr2bl w:val="nil"/>
            </w:tcBorders>
            <w:vAlign w:val="center"/>
          </w:tcPr>
          <w:p w14:paraId="3436AAAB">
            <w:pPr>
              <w:keepNext w:val="0"/>
              <w:keepLines w:val="0"/>
              <w:widowControl/>
              <w:suppressLineNumbers w:val="0"/>
              <w:jc w:val="center"/>
              <w:textAlignment w:val="center"/>
              <w:rPr>
                <w:rFonts w:eastAsia="宋体"/>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1.1540 </w:t>
            </w:r>
          </w:p>
        </w:tc>
        <w:tc>
          <w:tcPr>
            <w:tcW w:w="968" w:type="dxa"/>
            <w:tcBorders>
              <w:tl2br w:val="nil"/>
              <w:tr2bl w:val="nil"/>
            </w:tcBorders>
            <w:vAlign w:val="center"/>
          </w:tcPr>
          <w:p w14:paraId="53EB2619">
            <w:pPr>
              <w:keepNext w:val="0"/>
              <w:keepLines w:val="0"/>
              <w:widowControl/>
              <w:suppressLineNumbers w:val="0"/>
              <w:jc w:val="center"/>
              <w:textAlignment w:val="center"/>
              <w:rPr>
                <w:rFonts w:ascii="Times New Roman" w:hAnsi="Times New Roman" w:cs="Times New Roman"/>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0.0118 </w:t>
            </w:r>
          </w:p>
        </w:tc>
        <w:tc>
          <w:tcPr>
            <w:tcW w:w="968" w:type="dxa"/>
            <w:tcBorders>
              <w:tl2br w:val="nil"/>
              <w:tr2bl w:val="nil"/>
            </w:tcBorders>
            <w:vAlign w:val="center"/>
          </w:tcPr>
          <w:p w14:paraId="67EE2FB8">
            <w:pPr>
              <w:keepNext w:val="0"/>
              <w:keepLines w:val="0"/>
              <w:widowControl/>
              <w:suppressLineNumbers w:val="0"/>
              <w:jc w:val="center"/>
              <w:textAlignment w:val="center"/>
              <w:rPr>
                <w:rFonts w:eastAsia="宋体"/>
                <w:color w:val="auto"/>
                <w:spacing w:val="-8"/>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0.023</w:t>
            </w:r>
            <w:r>
              <w:rPr>
                <w:rFonts w:hint="eastAsia" w:ascii="Times New Roman" w:hAnsi="Times New Roman" w:eastAsia="等线" w:cs="Times New Roman"/>
                <w:i w:val="0"/>
                <w:iCs w:val="0"/>
                <w:color w:val="auto"/>
                <w:kern w:val="0"/>
                <w:sz w:val="21"/>
                <w:szCs w:val="21"/>
                <w:highlight w:val="none"/>
                <w:u w:val="none"/>
                <w:lang w:val="en-US" w:eastAsia="zh-CN" w:bidi="ar"/>
              </w:rPr>
              <w:t>5</w:t>
            </w:r>
            <w:r>
              <w:rPr>
                <w:rFonts w:hint="default" w:ascii="Times New Roman" w:hAnsi="Times New Roman" w:eastAsia="等线" w:cs="Times New Roman"/>
                <w:i w:val="0"/>
                <w:iCs w:val="0"/>
                <w:color w:val="auto"/>
                <w:kern w:val="0"/>
                <w:sz w:val="21"/>
                <w:szCs w:val="21"/>
                <w:highlight w:val="none"/>
                <w:u w:val="none"/>
                <w:lang w:val="en-US" w:eastAsia="zh-CN" w:bidi="ar"/>
              </w:rPr>
              <w:t xml:space="preserve"> </w:t>
            </w:r>
          </w:p>
        </w:tc>
      </w:tr>
    </w:tbl>
    <w:p w14:paraId="72CF644F">
      <w:pPr>
        <w:spacing w:before="120" w:beforeLines="50"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（2）实验废气</w:t>
      </w:r>
    </w:p>
    <w:p w14:paraId="5086A450">
      <w:pPr>
        <w:spacing w:line="360" w:lineRule="auto"/>
        <w:ind w:left="-105" w:right="-105" w:firstLine="480" w:firstLineChars="200"/>
        <w:jc w:val="both"/>
        <w:rPr>
          <w:rFonts w:ascii="Times New Roman" w:hAnsi="Times New Roman"/>
          <w:color w:val="auto"/>
          <w:szCs w:val="22"/>
          <w:highlight w:val="none"/>
        </w:rPr>
      </w:pPr>
      <w:r>
        <w:rPr>
          <w:rFonts w:ascii="Times New Roman" w:hAnsi="Times New Roman"/>
          <w:color w:val="auto"/>
          <w:szCs w:val="22"/>
          <w:highlight w:val="none"/>
        </w:rPr>
        <w:t>本项目设一座生产检测</w:t>
      </w:r>
      <w:r>
        <w:rPr>
          <w:rFonts w:hint="eastAsia" w:ascii="Times New Roman" w:hAnsi="Times New Roman"/>
          <w:color w:val="auto"/>
          <w:szCs w:val="22"/>
          <w:highlight w:val="none"/>
        </w:rPr>
        <w:t>实验楼</w:t>
      </w:r>
      <w:r>
        <w:rPr>
          <w:rFonts w:ascii="Times New Roman" w:hAnsi="Times New Roman"/>
          <w:color w:val="auto"/>
          <w:szCs w:val="22"/>
          <w:highlight w:val="none"/>
        </w:rPr>
        <w:t>，使用甲醇、</w:t>
      </w:r>
      <w:r>
        <w:rPr>
          <w:rFonts w:hint="eastAsia" w:ascii="Times New Roman" w:hAnsi="Times New Roman"/>
          <w:color w:val="auto"/>
          <w:szCs w:val="22"/>
          <w:highlight w:val="none"/>
        </w:rPr>
        <w:t>硝酸</w:t>
      </w:r>
      <w:r>
        <w:rPr>
          <w:rFonts w:ascii="Times New Roman" w:hAnsi="Times New Roman"/>
          <w:color w:val="auto"/>
          <w:szCs w:val="22"/>
          <w:highlight w:val="none"/>
        </w:rPr>
        <w:t>等试剂和少量产品进行质量分析和检测，试剂使用过程中挥发产生废气</w:t>
      </w:r>
      <w:r>
        <w:rPr>
          <w:rFonts w:hint="eastAsia" w:ascii="Times New Roman" w:hAnsi="Times New Roman"/>
          <w:color w:val="auto"/>
          <w:szCs w:val="22"/>
          <w:highlight w:val="none"/>
          <w:lang w:eastAsia="zh-CN"/>
        </w:rPr>
        <w:t>（</w:t>
      </w:r>
      <w:r>
        <w:rPr>
          <w:rFonts w:hint="eastAsia" w:ascii="Times New Roman" w:hAnsi="Times New Roman"/>
          <w:color w:val="auto"/>
          <w:szCs w:val="22"/>
          <w:highlight w:val="none"/>
          <w:lang w:val="en-US" w:eastAsia="zh-CN"/>
        </w:rPr>
        <w:t>有机废气以非甲烷总烃表征</w:t>
      </w:r>
      <w:r>
        <w:rPr>
          <w:rFonts w:hint="eastAsia" w:ascii="Times New Roman" w:hAnsi="Times New Roman"/>
          <w:color w:val="auto"/>
          <w:szCs w:val="22"/>
          <w:highlight w:val="none"/>
          <w:lang w:eastAsia="zh-CN"/>
        </w:rPr>
        <w:t>）</w:t>
      </w:r>
      <w:r>
        <w:rPr>
          <w:rFonts w:ascii="Times New Roman" w:hAnsi="Times New Roman"/>
          <w:color w:val="auto"/>
          <w:szCs w:val="22"/>
          <w:highlight w:val="none"/>
        </w:rPr>
        <w:t>。</w:t>
      </w:r>
    </w:p>
    <w:p w14:paraId="0796F600">
      <w:pPr>
        <w:spacing w:line="360" w:lineRule="auto"/>
        <w:ind w:left="-105" w:right="-105" w:firstLine="480" w:firstLineChars="200"/>
        <w:jc w:val="both"/>
        <w:rPr>
          <w:rFonts w:hint="default" w:ascii="Times New Roman" w:hAnsi="Times New Roman" w:eastAsia="宋体"/>
          <w:color w:val="auto"/>
          <w:szCs w:val="22"/>
          <w:highlight w:val="none"/>
          <w:lang w:val="en-US" w:eastAsia="zh-CN"/>
        </w:rPr>
      </w:pPr>
      <w:r>
        <w:rPr>
          <w:rFonts w:hint="eastAsia" w:ascii="Times New Roman" w:hAnsi="Times New Roman"/>
          <w:color w:val="auto"/>
          <w:szCs w:val="22"/>
          <w:highlight w:val="none"/>
        </w:rPr>
        <w:t>每批次产品抽取</w:t>
      </w:r>
      <w:r>
        <w:rPr>
          <w:rFonts w:hint="eastAsia" w:ascii="Times New Roman" w:hAnsi="Times New Roman"/>
          <w:color w:val="auto"/>
          <w:szCs w:val="22"/>
          <w:highlight w:val="none"/>
          <w:lang w:val="en-US" w:eastAsia="zh-CN"/>
        </w:rPr>
        <w:t>10</w:t>
      </w:r>
      <w:r>
        <w:rPr>
          <w:rFonts w:hint="eastAsia" w:ascii="Times New Roman" w:hAnsi="Times New Roman"/>
          <w:color w:val="auto"/>
          <w:szCs w:val="22"/>
          <w:highlight w:val="none"/>
        </w:rPr>
        <w:t>0mL样品进行质量分析，全年全线作134批次，合计抽取样品0.0</w:t>
      </w:r>
      <w:r>
        <w:rPr>
          <w:rFonts w:hint="eastAsia" w:ascii="Times New Roman" w:hAnsi="Times New Roman"/>
          <w:color w:val="auto"/>
          <w:szCs w:val="22"/>
          <w:highlight w:val="none"/>
          <w:lang w:val="en-US" w:eastAsia="zh-CN"/>
        </w:rPr>
        <w:t>134</w:t>
      </w:r>
      <w:r>
        <w:rPr>
          <w:rFonts w:hint="eastAsia" w:ascii="Times New Roman" w:hAnsi="Times New Roman"/>
          <w:color w:val="auto"/>
          <w:szCs w:val="22"/>
          <w:highlight w:val="none"/>
        </w:rPr>
        <w:t>吨。</w:t>
      </w:r>
      <w:r>
        <w:rPr>
          <w:rFonts w:hint="eastAsia" w:ascii="Times New Roman" w:hAnsi="Times New Roman"/>
          <w:color w:val="auto"/>
          <w:szCs w:val="22"/>
          <w:highlight w:val="none"/>
          <w:lang w:val="en-US" w:eastAsia="zh-CN"/>
        </w:rPr>
        <w:t>根据物料平衡，本项目实验废气产生情况如下：</w:t>
      </w:r>
    </w:p>
    <w:p w14:paraId="502EE63B">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2</w:t>
      </w:r>
      <w:r>
        <w:rPr>
          <w:rFonts w:eastAsia="宋体" w:cs="Times New Roman"/>
          <w:color w:val="auto"/>
          <w:sz w:val="24"/>
          <w:szCs w:val="24"/>
          <w:highlight w:val="none"/>
        </w:rPr>
        <w:fldChar w:fldCharType="end"/>
      </w:r>
      <w:r>
        <w:rPr>
          <w:rFonts w:eastAsia="宋体" w:cs="Times New Roman"/>
          <w:color w:val="auto"/>
          <w:sz w:val="24"/>
          <w:szCs w:val="24"/>
          <w:highlight w:val="none"/>
        </w:rPr>
        <w:t>本项目</w:t>
      </w:r>
      <w:r>
        <w:rPr>
          <w:rFonts w:hint="eastAsia" w:eastAsia="宋体" w:cs="Times New Roman"/>
          <w:color w:val="auto"/>
          <w:sz w:val="24"/>
          <w:szCs w:val="24"/>
          <w:highlight w:val="none"/>
        </w:rPr>
        <w:t>实验</w:t>
      </w:r>
      <w:r>
        <w:rPr>
          <w:rFonts w:eastAsia="宋体" w:cs="Times New Roman"/>
          <w:color w:val="auto"/>
          <w:sz w:val="24"/>
          <w:szCs w:val="24"/>
          <w:highlight w:val="none"/>
        </w:rPr>
        <w:t>废气产生情况</w:t>
      </w:r>
      <w:r>
        <w:rPr>
          <w:rFonts w:hint="eastAsia" w:eastAsia="宋体" w:cs="Times New Roman"/>
          <w:color w:val="auto"/>
          <w:sz w:val="24"/>
          <w:szCs w:val="24"/>
          <w:highlight w:val="none"/>
        </w:rPr>
        <w:t>汇总表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1902"/>
        <w:gridCol w:w="2180"/>
        <w:gridCol w:w="2181"/>
      </w:tblGrid>
      <w:tr w14:paraId="61015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1C3B1FC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来源</w:t>
            </w:r>
          </w:p>
        </w:tc>
        <w:tc>
          <w:tcPr>
            <w:tcW w:w="1268" w:type="dxa"/>
            <w:tcBorders>
              <w:tl2br w:val="nil"/>
              <w:tr2bl w:val="nil"/>
            </w:tcBorders>
            <w:vAlign w:val="center"/>
          </w:tcPr>
          <w:p w14:paraId="1D25CAD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年用量</w:t>
            </w:r>
          </w:p>
        </w:tc>
        <w:tc>
          <w:tcPr>
            <w:tcW w:w="1453" w:type="dxa"/>
            <w:tcBorders>
              <w:tl2br w:val="nil"/>
              <w:tr2bl w:val="nil"/>
            </w:tcBorders>
            <w:vAlign w:val="center"/>
          </w:tcPr>
          <w:p w14:paraId="790893E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污染物</w:t>
            </w:r>
          </w:p>
        </w:tc>
        <w:tc>
          <w:tcPr>
            <w:tcW w:w="1454" w:type="dxa"/>
            <w:tcBorders>
              <w:tl2br w:val="nil"/>
              <w:tr2bl w:val="nil"/>
            </w:tcBorders>
            <w:vAlign w:val="center"/>
          </w:tcPr>
          <w:p w14:paraId="0B38920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废气产生量（t/a）</w:t>
            </w:r>
          </w:p>
        </w:tc>
      </w:tr>
      <w:tr w14:paraId="181D5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119CB4B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甲醇</w:t>
            </w:r>
          </w:p>
        </w:tc>
        <w:tc>
          <w:tcPr>
            <w:tcW w:w="1268" w:type="dxa"/>
            <w:tcBorders>
              <w:tl2br w:val="nil"/>
              <w:tr2bl w:val="nil"/>
            </w:tcBorders>
            <w:vAlign w:val="center"/>
          </w:tcPr>
          <w:p w14:paraId="35B57EA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0.005t/a</w:t>
            </w:r>
          </w:p>
        </w:tc>
        <w:tc>
          <w:tcPr>
            <w:tcW w:w="1453" w:type="dxa"/>
            <w:tcBorders>
              <w:tl2br w:val="nil"/>
              <w:tr2bl w:val="nil"/>
            </w:tcBorders>
            <w:vAlign w:val="center"/>
          </w:tcPr>
          <w:p w14:paraId="5846FD0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1454" w:type="dxa"/>
            <w:tcBorders>
              <w:tl2br w:val="nil"/>
              <w:tr2bl w:val="nil"/>
            </w:tcBorders>
            <w:vAlign w:val="center"/>
          </w:tcPr>
          <w:p w14:paraId="3364F30D">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0.0005</w:t>
            </w:r>
          </w:p>
        </w:tc>
      </w:tr>
      <w:tr w14:paraId="7DF14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0D940C6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硝酸</w:t>
            </w:r>
            <w:r>
              <w:rPr>
                <w:rFonts w:hint="eastAsia" w:ascii="Times New Roman" w:hAnsi="Times New Roman" w:cs="Times New Roman"/>
                <w:color w:val="auto"/>
                <w:sz w:val="21"/>
                <w:szCs w:val="21"/>
                <w:highlight w:val="none"/>
              </w:rPr>
              <w:t>（55%）</w:t>
            </w:r>
          </w:p>
        </w:tc>
        <w:tc>
          <w:tcPr>
            <w:tcW w:w="1268" w:type="dxa"/>
            <w:tcBorders>
              <w:tl2br w:val="nil"/>
              <w:tr2bl w:val="nil"/>
            </w:tcBorders>
            <w:vAlign w:val="center"/>
          </w:tcPr>
          <w:p w14:paraId="1F968D1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0.003t/a</w:t>
            </w:r>
          </w:p>
        </w:tc>
        <w:tc>
          <w:tcPr>
            <w:tcW w:w="1453" w:type="dxa"/>
            <w:tcBorders>
              <w:tl2br w:val="nil"/>
              <w:tr2bl w:val="nil"/>
            </w:tcBorders>
            <w:vAlign w:val="center"/>
          </w:tcPr>
          <w:p w14:paraId="090ACFA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氮氧化物</w:t>
            </w:r>
          </w:p>
        </w:tc>
        <w:tc>
          <w:tcPr>
            <w:tcW w:w="1454" w:type="dxa"/>
            <w:tcBorders>
              <w:tl2br w:val="nil"/>
              <w:tr2bl w:val="nil"/>
            </w:tcBorders>
            <w:vAlign w:val="center"/>
          </w:tcPr>
          <w:p w14:paraId="7C313C86">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0.003</w:t>
            </w:r>
          </w:p>
        </w:tc>
      </w:tr>
      <w:tr w14:paraId="3C44D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5640ECB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卡尔费休试剂</w:t>
            </w:r>
          </w:p>
        </w:tc>
        <w:tc>
          <w:tcPr>
            <w:tcW w:w="1268" w:type="dxa"/>
            <w:tcBorders>
              <w:tl2br w:val="nil"/>
              <w:tr2bl w:val="nil"/>
            </w:tcBorders>
            <w:vAlign w:val="center"/>
          </w:tcPr>
          <w:p w14:paraId="6659B20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0.005t/a</w:t>
            </w:r>
          </w:p>
        </w:tc>
        <w:tc>
          <w:tcPr>
            <w:tcW w:w="1453" w:type="dxa"/>
            <w:tcBorders>
              <w:tl2br w:val="nil"/>
              <w:tr2bl w:val="nil"/>
            </w:tcBorders>
            <w:vAlign w:val="center"/>
          </w:tcPr>
          <w:p w14:paraId="64CB04B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1454" w:type="dxa"/>
            <w:tcBorders>
              <w:tl2br w:val="nil"/>
              <w:tr2bl w:val="nil"/>
            </w:tcBorders>
            <w:vAlign w:val="center"/>
          </w:tcPr>
          <w:p w14:paraId="576A3246">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0.0003</w:t>
            </w:r>
          </w:p>
        </w:tc>
      </w:tr>
      <w:tr w14:paraId="40C0F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2903AD0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异丙醇</w:t>
            </w:r>
          </w:p>
        </w:tc>
        <w:tc>
          <w:tcPr>
            <w:tcW w:w="1268" w:type="dxa"/>
            <w:tcBorders>
              <w:tl2br w:val="nil"/>
              <w:tr2bl w:val="nil"/>
            </w:tcBorders>
            <w:vAlign w:val="center"/>
          </w:tcPr>
          <w:p w14:paraId="3E3B1F9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0.005t/a</w:t>
            </w:r>
          </w:p>
        </w:tc>
        <w:tc>
          <w:tcPr>
            <w:tcW w:w="1453" w:type="dxa"/>
            <w:tcBorders>
              <w:tl2br w:val="nil"/>
              <w:tr2bl w:val="nil"/>
            </w:tcBorders>
            <w:vAlign w:val="center"/>
          </w:tcPr>
          <w:p w14:paraId="5E6203F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454" w:type="dxa"/>
            <w:tcBorders>
              <w:tl2br w:val="nil"/>
              <w:tr2bl w:val="nil"/>
            </w:tcBorders>
            <w:vAlign w:val="center"/>
          </w:tcPr>
          <w:p w14:paraId="724B6B54">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0.0005</w:t>
            </w:r>
          </w:p>
        </w:tc>
      </w:tr>
      <w:tr w14:paraId="53FFF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dxa"/>
            <w:tcBorders>
              <w:tl2br w:val="nil"/>
              <w:tr2bl w:val="nil"/>
            </w:tcBorders>
            <w:vAlign w:val="center"/>
          </w:tcPr>
          <w:p w14:paraId="6047BD8B">
            <w:pPr>
              <w:pStyle w:val="236"/>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产品</w:t>
            </w:r>
          </w:p>
        </w:tc>
        <w:tc>
          <w:tcPr>
            <w:tcW w:w="1268" w:type="dxa"/>
            <w:tcBorders>
              <w:tl2br w:val="nil"/>
              <w:tr2bl w:val="nil"/>
            </w:tcBorders>
            <w:vAlign w:val="center"/>
          </w:tcPr>
          <w:p w14:paraId="07197FE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134</w:t>
            </w:r>
            <w:r>
              <w:rPr>
                <w:rFonts w:hint="eastAsia" w:ascii="Times New Roman" w:hAnsi="Times New Roman" w:cs="Times New Roman"/>
                <w:color w:val="auto"/>
                <w:sz w:val="21"/>
                <w:szCs w:val="21"/>
                <w:highlight w:val="none"/>
              </w:rPr>
              <w:t>t/a</w:t>
            </w:r>
          </w:p>
        </w:tc>
        <w:tc>
          <w:tcPr>
            <w:tcW w:w="1453" w:type="dxa"/>
            <w:tcBorders>
              <w:tl2br w:val="nil"/>
              <w:tr2bl w:val="nil"/>
            </w:tcBorders>
            <w:vAlign w:val="center"/>
          </w:tcPr>
          <w:p w14:paraId="6DDBD97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454" w:type="dxa"/>
            <w:tcBorders>
              <w:tl2br w:val="nil"/>
              <w:tr2bl w:val="nil"/>
            </w:tcBorders>
            <w:vAlign w:val="center"/>
          </w:tcPr>
          <w:p w14:paraId="4E0CE030">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0.0062</w:t>
            </w:r>
          </w:p>
        </w:tc>
      </w:tr>
      <w:tr w14:paraId="68621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6" w:type="dxa"/>
            <w:gridSpan w:val="2"/>
            <w:vMerge w:val="restart"/>
            <w:tcBorders>
              <w:tl2br w:val="nil"/>
              <w:tr2bl w:val="nil"/>
            </w:tcBorders>
            <w:vAlign w:val="center"/>
          </w:tcPr>
          <w:p w14:paraId="232A6A6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合计</w:t>
            </w:r>
          </w:p>
        </w:tc>
        <w:tc>
          <w:tcPr>
            <w:tcW w:w="1453" w:type="dxa"/>
            <w:tcBorders>
              <w:tl2br w:val="nil"/>
              <w:tr2bl w:val="nil"/>
            </w:tcBorders>
            <w:vAlign w:val="center"/>
          </w:tcPr>
          <w:p w14:paraId="31699A3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1454" w:type="dxa"/>
            <w:tcBorders>
              <w:tl2br w:val="nil"/>
              <w:tr2bl w:val="nil"/>
            </w:tcBorders>
            <w:vAlign w:val="center"/>
          </w:tcPr>
          <w:p w14:paraId="799A0D9A">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0.0008</w:t>
            </w:r>
          </w:p>
        </w:tc>
      </w:tr>
      <w:tr w14:paraId="08B3E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6" w:type="dxa"/>
            <w:gridSpan w:val="2"/>
            <w:vMerge w:val="continue"/>
            <w:tcBorders>
              <w:tl2br w:val="nil"/>
              <w:tr2bl w:val="nil"/>
            </w:tcBorders>
            <w:vAlign w:val="center"/>
          </w:tcPr>
          <w:p w14:paraId="5FBDBFD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p>
        </w:tc>
        <w:tc>
          <w:tcPr>
            <w:tcW w:w="1453" w:type="dxa"/>
            <w:tcBorders>
              <w:tl2br w:val="nil"/>
              <w:tr2bl w:val="nil"/>
            </w:tcBorders>
            <w:vAlign w:val="center"/>
          </w:tcPr>
          <w:p w14:paraId="16A92E3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氮氧化物</w:t>
            </w:r>
          </w:p>
        </w:tc>
        <w:tc>
          <w:tcPr>
            <w:tcW w:w="1454" w:type="dxa"/>
            <w:tcBorders>
              <w:tl2br w:val="nil"/>
              <w:tr2bl w:val="nil"/>
            </w:tcBorders>
            <w:vAlign w:val="center"/>
          </w:tcPr>
          <w:p w14:paraId="1A868842">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0.003</w:t>
            </w:r>
          </w:p>
        </w:tc>
      </w:tr>
      <w:tr w14:paraId="477EA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06" w:type="dxa"/>
            <w:gridSpan w:val="2"/>
            <w:vMerge w:val="continue"/>
            <w:tcBorders>
              <w:tl2br w:val="nil"/>
              <w:tr2bl w:val="nil"/>
            </w:tcBorders>
            <w:vAlign w:val="center"/>
          </w:tcPr>
          <w:p w14:paraId="7E2C8EB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p>
        </w:tc>
        <w:tc>
          <w:tcPr>
            <w:tcW w:w="1453" w:type="dxa"/>
            <w:tcBorders>
              <w:tl2br w:val="nil"/>
              <w:tr2bl w:val="nil"/>
            </w:tcBorders>
            <w:vAlign w:val="center"/>
          </w:tcPr>
          <w:p w14:paraId="562E3A6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454" w:type="dxa"/>
            <w:tcBorders>
              <w:tl2br w:val="nil"/>
              <w:tr2bl w:val="nil"/>
            </w:tcBorders>
            <w:vAlign w:val="center"/>
          </w:tcPr>
          <w:p w14:paraId="1449CFC5">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0.0067</w:t>
            </w:r>
          </w:p>
        </w:tc>
      </w:tr>
    </w:tbl>
    <w:p w14:paraId="6BC9B6E4">
      <w:pPr>
        <w:spacing w:line="360" w:lineRule="auto"/>
        <w:ind w:left="-105" w:right="-105" w:firstLine="480" w:firstLineChars="200"/>
        <w:jc w:val="both"/>
        <w:rPr>
          <w:rFonts w:ascii="Times New Roman" w:hAnsi="Times New Roman"/>
          <w:color w:val="auto"/>
          <w:szCs w:val="22"/>
          <w:highlight w:val="none"/>
        </w:rPr>
        <w:sectPr>
          <w:headerReference r:id="rId20"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hint="eastAsia" w:ascii="Times New Roman" w:hAnsi="Times New Roman"/>
          <w:color w:val="auto"/>
          <w:szCs w:val="22"/>
          <w:highlight w:val="none"/>
          <w:lang w:val="en-US" w:eastAsia="zh-CN"/>
        </w:rPr>
        <w:t>根据企业介绍，</w:t>
      </w:r>
      <w:r>
        <w:rPr>
          <w:rFonts w:hint="eastAsia" w:ascii="Times New Roman" w:hAnsi="Times New Roman"/>
          <w:color w:val="auto"/>
          <w:szCs w:val="22"/>
          <w:highlight w:val="none"/>
        </w:rPr>
        <w:t>实验间一</w:t>
      </w:r>
      <w:r>
        <w:rPr>
          <w:rFonts w:hint="eastAsia" w:ascii="Times New Roman" w:hAnsi="Times New Roman"/>
          <w:color w:val="auto"/>
          <w:szCs w:val="22"/>
          <w:highlight w:val="none"/>
          <w:lang w:val="en-US" w:eastAsia="zh-CN"/>
        </w:rPr>
        <w:t>设置</w:t>
      </w:r>
      <w:r>
        <w:rPr>
          <w:rFonts w:ascii="Times New Roman" w:hAnsi="Times New Roman"/>
          <w:color w:val="auto"/>
          <w:szCs w:val="22"/>
          <w:highlight w:val="none"/>
        </w:rPr>
        <w:t>通风橱</w:t>
      </w:r>
      <w:r>
        <w:rPr>
          <w:rFonts w:hint="eastAsia" w:ascii="Times New Roman" w:hAnsi="Times New Roman"/>
          <w:color w:val="auto"/>
          <w:szCs w:val="22"/>
          <w:highlight w:val="none"/>
          <w:lang w:eastAsia="zh-CN"/>
        </w:rPr>
        <w:t>，</w:t>
      </w:r>
      <w:r>
        <w:rPr>
          <w:rFonts w:hint="eastAsia" w:ascii="Times New Roman" w:hAnsi="Times New Roman"/>
          <w:color w:val="auto"/>
          <w:szCs w:val="22"/>
          <w:highlight w:val="none"/>
          <w:lang w:val="en-US" w:eastAsia="zh-CN"/>
        </w:rPr>
        <w:t>但该实验室目前仅进行卡尔费休水分测试，废液转移至收集罐不在通风橱内进行，故废气在实验间一内无组织排放</w:t>
      </w:r>
      <w:r>
        <w:rPr>
          <w:rFonts w:hint="eastAsia" w:ascii="Times New Roman" w:hAnsi="Times New Roman"/>
          <w:color w:val="auto"/>
          <w:szCs w:val="22"/>
          <w:highlight w:val="none"/>
        </w:rPr>
        <w:t>；实验间二</w:t>
      </w:r>
      <w:r>
        <w:rPr>
          <w:rFonts w:hint="eastAsia" w:ascii="Times New Roman" w:hAnsi="Times New Roman"/>
          <w:color w:val="auto"/>
          <w:szCs w:val="22"/>
          <w:highlight w:val="none"/>
          <w:lang w:val="en-US" w:eastAsia="zh-CN"/>
        </w:rPr>
        <w:t>进行粒子计数和质谱测试，硝酸稀释和粒子计数器在通风橱内进行，</w:t>
      </w:r>
      <w:r>
        <w:rPr>
          <w:rFonts w:hint="eastAsia" w:ascii="Times New Roman" w:hAnsi="Times New Roman"/>
          <w:color w:val="auto"/>
          <w:szCs w:val="22"/>
          <w:highlight w:val="none"/>
        </w:rPr>
        <w:t>收集效率</w:t>
      </w:r>
      <w:r>
        <w:rPr>
          <w:rFonts w:hint="eastAsia" w:ascii="Times New Roman" w:hAnsi="Times New Roman"/>
          <w:color w:val="auto"/>
          <w:szCs w:val="22"/>
          <w:highlight w:val="none"/>
          <w:lang w:val="en-US" w:eastAsia="zh-CN"/>
        </w:rPr>
        <w:t>取90</w:t>
      </w:r>
      <w:r>
        <w:rPr>
          <w:rFonts w:hint="eastAsia" w:ascii="Times New Roman" w:hAnsi="Times New Roman"/>
          <w:color w:val="auto"/>
          <w:szCs w:val="22"/>
          <w:highlight w:val="none"/>
        </w:rPr>
        <w:t>%，</w:t>
      </w:r>
      <w:r>
        <w:rPr>
          <w:rFonts w:hint="eastAsia" w:ascii="Times New Roman" w:hAnsi="Times New Roman"/>
          <w:color w:val="auto"/>
          <w:szCs w:val="22"/>
          <w:highlight w:val="none"/>
          <w:lang w:val="en-US" w:eastAsia="zh-CN"/>
        </w:rPr>
        <w:t>质谱仪有引风管直接收集废气至废气处理设施，收集率取100%。为方便计算，硝酸稀释时挥发的废气量按10%计，</w:t>
      </w:r>
      <w:r>
        <w:rPr>
          <w:rFonts w:hint="eastAsia" w:ascii="Times New Roman" w:hAnsi="Times New Roman"/>
          <w:color w:val="auto"/>
          <w:szCs w:val="22"/>
          <w:highlight w:val="none"/>
        </w:rPr>
        <w:t>实验室年工作时间为500h。</w:t>
      </w:r>
      <w:r>
        <w:rPr>
          <w:rFonts w:hint="eastAsia" w:ascii="Times New Roman" w:hAnsi="Times New Roman"/>
          <w:color w:val="auto"/>
          <w:szCs w:val="22"/>
          <w:highlight w:val="none"/>
        </w:rPr>
        <w:t>两间实验室</w:t>
      </w:r>
      <w:r>
        <w:rPr>
          <w:rFonts w:ascii="Times New Roman" w:hAnsi="Times New Roman"/>
          <w:color w:val="auto"/>
          <w:szCs w:val="22"/>
          <w:highlight w:val="none"/>
        </w:rPr>
        <w:t>废气收集后由通风管道</w:t>
      </w:r>
      <w:r>
        <w:rPr>
          <w:rFonts w:hint="eastAsia" w:ascii="Times New Roman" w:hAnsi="Times New Roman"/>
          <w:color w:val="auto"/>
          <w:szCs w:val="22"/>
          <w:highlight w:val="none"/>
        </w:rPr>
        <w:t>分别</w:t>
      </w:r>
      <w:r>
        <w:rPr>
          <w:rFonts w:ascii="Times New Roman" w:hAnsi="Times New Roman"/>
          <w:color w:val="auto"/>
          <w:szCs w:val="22"/>
          <w:highlight w:val="none"/>
        </w:rPr>
        <w:t>接入两级活性炭吸附装置处理，处理效率为90%，处理达标后</w:t>
      </w:r>
      <w:r>
        <w:rPr>
          <w:rFonts w:hint="eastAsia" w:ascii="Times New Roman" w:hAnsi="Times New Roman"/>
          <w:color w:val="auto"/>
          <w:szCs w:val="22"/>
          <w:highlight w:val="none"/>
        </w:rPr>
        <w:t>合并至一根15</w:t>
      </w:r>
      <w:r>
        <w:rPr>
          <w:rFonts w:ascii="Times New Roman" w:hAnsi="Times New Roman"/>
          <w:color w:val="auto"/>
          <w:szCs w:val="22"/>
          <w:highlight w:val="none"/>
        </w:rPr>
        <w:t>米排气筒</w:t>
      </w:r>
      <w:r>
        <w:rPr>
          <w:rFonts w:hint="eastAsia" w:ascii="Times New Roman" w:hAnsi="Times New Roman"/>
          <w:color w:val="auto"/>
          <w:szCs w:val="22"/>
          <w:highlight w:val="none"/>
        </w:rPr>
        <w:t>DA006</w:t>
      </w:r>
      <w:r>
        <w:rPr>
          <w:rFonts w:ascii="Times New Roman" w:hAnsi="Times New Roman"/>
          <w:color w:val="auto"/>
          <w:szCs w:val="22"/>
          <w:highlight w:val="none"/>
        </w:rPr>
        <w:t>排放，未收集废气以无组织形式排放。</w:t>
      </w:r>
    </w:p>
    <w:p w14:paraId="26F0EF9B">
      <w:pPr>
        <w:spacing w:line="360" w:lineRule="auto"/>
        <w:ind w:left="-105" w:right="-105" w:firstLine="480" w:firstLineChars="200"/>
        <w:jc w:val="both"/>
        <w:rPr>
          <w:rFonts w:ascii="Times New Roman" w:hAnsi="Times New Roman"/>
          <w:color w:val="auto"/>
          <w:highlight w:val="none"/>
        </w:rPr>
      </w:pPr>
      <w:r>
        <w:rPr>
          <w:rFonts w:ascii="Times New Roman" w:hAnsi="Times New Roman"/>
          <w:color w:val="auto"/>
          <w:szCs w:val="22"/>
          <w:highlight w:val="none"/>
        </w:rPr>
        <w:t>经收集处理后的废气产生和排放情况见</w:t>
      </w:r>
      <w:r>
        <w:rPr>
          <w:rFonts w:hint="eastAsia" w:ascii="Times New Roman" w:hAnsi="Times New Roman"/>
          <w:color w:val="auto"/>
          <w:highlight w:val="none"/>
        </w:rPr>
        <w:t>下表</w:t>
      </w:r>
      <w:r>
        <w:rPr>
          <w:rFonts w:ascii="Times New Roman" w:hAnsi="Times New Roman"/>
          <w:color w:val="auto"/>
          <w:highlight w:val="none"/>
        </w:rPr>
        <w:t>。</w:t>
      </w:r>
      <w:bookmarkStart w:id="232" w:name="_Ref37170131"/>
    </w:p>
    <w:p w14:paraId="1123768B">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3</w:t>
      </w:r>
      <w:r>
        <w:rPr>
          <w:rFonts w:eastAsia="宋体" w:cs="Times New Roman"/>
          <w:color w:val="auto"/>
          <w:sz w:val="24"/>
          <w:szCs w:val="24"/>
          <w:highlight w:val="none"/>
        </w:rPr>
        <w:fldChar w:fldCharType="end"/>
      </w:r>
      <w:bookmarkEnd w:id="232"/>
      <w:r>
        <w:rPr>
          <w:rFonts w:eastAsia="宋体" w:cs="Times New Roman"/>
          <w:color w:val="auto"/>
          <w:sz w:val="24"/>
          <w:szCs w:val="24"/>
          <w:highlight w:val="none"/>
        </w:rPr>
        <w:t>本项目</w:t>
      </w:r>
      <w:r>
        <w:rPr>
          <w:rFonts w:hint="eastAsia" w:eastAsia="宋体" w:cs="Times New Roman"/>
          <w:color w:val="auto"/>
          <w:sz w:val="24"/>
          <w:szCs w:val="24"/>
          <w:highlight w:val="none"/>
        </w:rPr>
        <w:t>大气污染物有组织排放</w:t>
      </w:r>
      <w:r>
        <w:rPr>
          <w:rFonts w:eastAsia="宋体" w:cs="Times New Roman"/>
          <w:color w:val="auto"/>
          <w:sz w:val="24"/>
          <w:szCs w:val="24"/>
          <w:highlight w:val="none"/>
        </w:rPr>
        <w:t>情况</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6"/>
        <w:gridCol w:w="947"/>
        <w:gridCol w:w="688"/>
        <w:gridCol w:w="809"/>
        <w:gridCol w:w="809"/>
        <w:gridCol w:w="809"/>
        <w:gridCol w:w="809"/>
        <w:gridCol w:w="1070"/>
        <w:gridCol w:w="625"/>
        <w:gridCol w:w="863"/>
        <w:gridCol w:w="863"/>
        <w:gridCol w:w="863"/>
        <w:gridCol w:w="781"/>
        <w:gridCol w:w="706"/>
        <w:gridCol w:w="815"/>
        <w:gridCol w:w="829"/>
        <w:gridCol w:w="650"/>
      </w:tblGrid>
      <w:tr w14:paraId="6550C4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37" w:type="dxa"/>
            <w:vMerge w:val="restart"/>
            <w:vAlign w:val="center"/>
          </w:tcPr>
          <w:p w14:paraId="3AC47F1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产污环节</w:t>
            </w:r>
          </w:p>
        </w:tc>
        <w:tc>
          <w:tcPr>
            <w:tcW w:w="978" w:type="dxa"/>
            <w:vMerge w:val="restart"/>
            <w:vAlign w:val="center"/>
          </w:tcPr>
          <w:p w14:paraId="4E8E428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4044" w:type="dxa"/>
            <w:gridSpan w:val="5"/>
            <w:vAlign w:val="center"/>
          </w:tcPr>
          <w:p w14:paraId="09BDB3D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污染物产生情况</w:t>
            </w:r>
          </w:p>
        </w:tc>
        <w:tc>
          <w:tcPr>
            <w:tcW w:w="1748" w:type="dxa"/>
            <w:gridSpan w:val="2"/>
            <w:vAlign w:val="center"/>
          </w:tcPr>
          <w:p w14:paraId="7DC689C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治理措施</w:t>
            </w:r>
          </w:p>
        </w:tc>
        <w:tc>
          <w:tcPr>
            <w:tcW w:w="3475" w:type="dxa"/>
            <w:gridSpan w:val="4"/>
            <w:vAlign w:val="center"/>
          </w:tcPr>
          <w:p w14:paraId="198A426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污染物排放情况</w:t>
            </w:r>
          </w:p>
        </w:tc>
        <w:tc>
          <w:tcPr>
            <w:tcW w:w="706" w:type="dxa"/>
            <w:vMerge w:val="restart"/>
            <w:noWrap/>
            <w:vAlign w:val="center"/>
          </w:tcPr>
          <w:p w14:paraId="791837A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工作时间h</w:t>
            </w:r>
          </w:p>
        </w:tc>
        <w:tc>
          <w:tcPr>
            <w:tcW w:w="840" w:type="dxa"/>
            <w:vMerge w:val="restart"/>
            <w:vAlign w:val="center"/>
          </w:tcPr>
          <w:p w14:paraId="0EF727B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排气筒</w:t>
            </w:r>
          </w:p>
        </w:tc>
        <w:tc>
          <w:tcPr>
            <w:tcW w:w="1523" w:type="dxa"/>
            <w:gridSpan w:val="2"/>
            <w:vAlign w:val="center"/>
          </w:tcPr>
          <w:p w14:paraId="0BB3A82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排放标准</w:t>
            </w:r>
          </w:p>
        </w:tc>
      </w:tr>
      <w:tr w14:paraId="2023A1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37" w:type="dxa"/>
            <w:vMerge w:val="continue"/>
            <w:vAlign w:val="center"/>
          </w:tcPr>
          <w:p w14:paraId="7B50596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p>
        </w:tc>
        <w:tc>
          <w:tcPr>
            <w:tcW w:w="978" w:type="dxa"/>
            <w:vMerge w:val="continue"/>
            <w:vAlign w:val="center"/>
          </w:tcPr>
          <w:p w14:paraId="38CA004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p>
        </w:tc>
        <w:tc>
          <w:tcPr>
            <w:tcW w:w="708" w:type="dxa"/>
            <w:vAlign w:val="center"/>
          </w:tcPr>
          <w:p w14:paraId="5B0B69A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核算方法</w:t>
            </w:r>
          </w:p>
        </w:tc>
        <w:tc>
          <w:tcPr>
            <w:tcW w:w="834" w:type="dxa"/>
            <w:vAlign w:val="center"/>
          </w:tcPr>
          <w:p w14:paraId="0AC11E1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废气产生量m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/h</w:t>
            </w:r>
          </w:p>
        </w:tc>
        <w:tc>
          <w:tcPr>
            <w:tcW w:w="834" w:type="dxa"/>
            <w:vAlign w:val="center"/>
          </w:tcPr>
          <w:p w14:paraId="5487054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产生浓度mg/m</w:t>
            </w:r>
            <w:r>
              <w:rPr>
                <w:rFonts w:ascii="Times New Roman" w:hAnsi="Times New Roman" w:cs="Times New Roman"/>
                <w:b/>
                <w:bCs/>
                <w:color w:val="auto"/>
                <w:sz w:val="21"/>
                <w:szCs w:val="21"/>
                <w:highlight w:val="none"/>
                <w:vertAlign w:val="superscript"/>
              </w:rPr>
              <w:t>3</w:t>
            </w:r>
          </w:p>
        </w:tc>
        <w:tc>
          <w:tcPr>
            <w:tcW w:w="834" w:type="dxa"/>
            <w:vAlign w:val="center"/>
          </w:tcPr>
          <w:p w14:paraId="2A578BB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产生速率kg/h</w:t>
            </w:r>
          </w:p>
        </w:tc>
        <w:tc>
          <w:tcPr>
            <w:tcW w:w="834" w:type="dxa"/>
            <w:vAlign w:val="center"/>
          </w:tcPr>
          <w:p w14:paraId="6AE89C1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产生量t/a</w:t>
            </w:r>
          </w:p>
        </w:tc>
        <w:tc>
          <w:tcPr>
            <w:tcW w:w="1106" w:type="dxa"/>
            <w:vAlign w:val="center"/>
          </w:tcPr>
          <w:p w14:paraId="7C98937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工艺</w:t>
            </w:r>
          </w:p>
        </w:tc>
        <w:tc>
          <w:tcPr>
            <w:tcW w:w="642" w:type="dxa"/>
            <w:vAlign w:val="center"/>
          </w:tcPr>
          <w:p w14:paraId="137EBBF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去除率%</w:t>
            </w:r>
          </w:p>
        </w:tc>
        <w:tc>
          <w:tcPr>
            <w:tcW w:w="890" w:type="dxa"/>
            <w:vAlign w:val="center"/>
          </w:tcPr>
          <w:p w14:paraId="46E5671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核算方法</w:t>
            </w:r>
          </w:p>
        </w:tc>
        <w:tc>
          <w:tcPr>
            <w:tcW w:w="890" w:type="dxa"/>
            <w:vAlign w:val="center"/>
          </w:tcPr>
          <w:p w14:paraId="0A3334F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排放浓度mg/m</w:t>
            </w:r>
            <w:r>
              <w:rPr>
                <w:rFonts w:ascii="Times New Roman" w:hAnsi="Times New Roman" w:cs="Times New Roman"/>
                <w:b/>
                <w:bCs/>
                <w:color w:val="auto"/>
                <w:sz w:val="21"/>
                <w:szCs w:val="21"/>
                <w:highlight w:val="none"/>
                <w:vertAlign w:val="superscript"/>
              </w:rPr>
              <w:t>3</w:t>
            </w:r>
          </w:p>
        </w:tc>
        <w:tc>
          <w:tcPr>
            <w:tcW w:w="890" w:type="dxa"/>
            <w:vAlign w:val="center"/>
          </w:tcPr>
          <w:p w14:paraId="587E9B6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排放速率kg/h</w:t>
            </w:r>
          </w:p>
        </w:tc>
        <w:tc>
          <w:tcPr>
            <w:tcW w:w="805" w:type="dxa"/>
            <w:vAlign w:val="center"/>
          </w:tcPr>
          <w:p w14:paraId="1D3323F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排放量t/a</w:t>
            </w:r>
          </w:p>
        </w:tc>
        <w:tc>
          <w:tcPr>
            <w:tcW w:w="706" w:type="dxa"/>
            <w:vMerge w:val="continue"/>
            <w:vAlign w:val="center"/>
          </w:tcPr>
          <w:p w14:paraId="35A97F0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p>
        </w:tc>
        <w:tc>
          <w:tcPr>
            <w:tcW w:w="840" w:type="dxa"/>
            <w:vMerge w:val="continue"/>
            <w:vAlign w:val="center"/>
          </w:tcPr>
          <w:p w14:paraId="5849D86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p>
        </w:tc>
        <w:tc>
          <w:tcPr>
            <w:tcW w:w="855" w:type="dxa"/>
            <w:vAlign w:val="center"/>
          </w:tcPr>
          <w:p w14:paraId="6C82CA6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浓度mg/m</w:t>
            </w:r>
            <w:r>
              <w:rPr>
                <w:rFonts w:ascii="Times New Roman" w:hAnsi="Times New Roman" w:cs="Times New Roman"/>
                <w:b/>
                <w:bCs/>
                <w:color w:val="auto"/>
                <w:sz w:val="21"/>
                <w:szCs w:val="21"/>
                <w:highlight w:val="none"/>
                <w:vertAlign w:val="superscript"/>
              </w:rPr>
              <w:t>3</w:t>
            </w:r>
          </w:p>
        </w:tc>
        <w:tc>
          <w:tcPr>
            <w:tcW w:w="668" w:type="dxa"/>
            <w:vAlign w:val="center"/>
          </w:tcPr>
          <w:p w14:paraId="52ED47AC">
            <w:pPr>
              <w:keepNext w:val="0"/>
              <w:keepLines w:val="0"/>
              <w:pageBreakBefore w:val="0"/>
              <w:widowControl/>
              <w:kinsoku/>
              <w:wordWrap/>
              <w:overflowPunct/>
              <w:topLinePunct w:val="0"/>
              <w:autoSpaceDE/>
              <w:autoSpaceDN/>
              <w:bidi w:val="0"/>
              <w:adjustRightInd/>
              <w:snapToGrid/>
              <w:ind w:left="0" w:right="0"/>
              <w:jc w:val="center"/>
              <w:rPr>
                <w:b/>
                <w:bCs/>
                <w:color w:val="auto"/>
                <w:sz w:val="21"/>
                <w:szCs w:val="21"/>
                <w:highlight w:val="none"/>
              </w:rPr>
            </w:pPr>
            <w:r>
              <w:rPr>
                <w:rFonts w:hint="eastAsia"/>
                <w:b/>
                <w:bCs/>
                <w:color w:val="auto"/>
                <w:sz w:val="21"/>
                <w:szCs w:val="21"/>
                <w:highlight w:val="none"/>
              </w:rPr>
              <w:t>速率</w:t>
            </w:r>
            <w:r>
              <w:rPr>
                <w:rFonts w:ascii="Times New Roman" w:hAnsi="Times New Roman" w:cs="Times New Roman"/>
                <w:b/>
                <w:bCs/>
                <w:color w:val="auto"/>
                <w:sz w:val="21"/>
                <w:szCs w:val="21"/>
                <w:highlight w:val="none"/>
              </w:rPr>
              <w:t>kg/h</w:t>
            </w:r>
          </w:p>
        </w:tc>
      </w:tr>
      <w:tr w14:paraId="4C231C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14:paraId="4F61F0C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生产工艺</w:t>
            </w:r>
          </w:p>
        </w:tc>
        <w:tc>
          <w:tcPr>
            <w:tcW w:w="978" w:type="dxa"/>
            <w:shd w:val="clear" w:color="auto" w:fill="auto"/>
            <w:vAlign w:val="center"/>
          </w:tcPr>
          <w:p w14:paraId="42F75E2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708" w:type="dxa"/>
            <w:shd w:val="clear" w:color="auto" w:fill="auto"/>
            <w:vAlign w:val="center"/>
          </w:tcPr>
          <w:p w14:paraId="329DB63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olor w:val="auto"/>
                <w:sz w:val="21"/>
                <w:szCs w:val="21"/>
                <w:highlight w:val="none"/>
              </w:rPr>
              <w:t>类比法</w:t>
            </w:r>
          </w:p>
        </w:tc>
        <w:tc>
          <w:tcPr>
            <w:tcW w:w="834" w:type="dxa"/>
            <w:shd w:val="clear" w:color="auto" w:fill="auto"/>
            <w:vAlign w:val="center"/>
          </w:tcPr>
          <w:p w14:paraId="1CA23FF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20000</w:t>
            </w:r>
          </w:p>
        </w:tc>
        <w:tc>
          <w:tcPr>
            <w:tcW w:w="834" w:type="dxa"/>
            <w:shd w:val="clear" w:color="auto" w:fill="auto"/>
            <w:vAlign w:val="center"/>
          </w:tcPr>
          <w:p w14:paraId="1FFEC762">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28.8488</w:t>
            </w:r>
          </w:p>
        </w:tc>
        <w:tc>
          <w:tcPr>
            <w:tcW w:w="834" w:type="dxa"/>
            <w:shd w:val="clear" w:color="auto" w:fill="auto"/>
            <w:vAlign w:val="center"/>
          </w:tcPr>
          <w:p w14:paraId="2B8B4063">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0.5770</w:t>
            </w:r>
          </w:p>
        </w:tc>
        <w:tc>
          <w:tcPr>
            <w:tcW w:w="834" w:type="dxa"/>
            <w:shd w:val="clear" w:color="auto" w:fill="auto"/>
            <w:vAlign w:val="center"/>
          </w:tcPr>
          <w:p w14:paraId="7C4697F1">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1.1540</w:t>
            </w:r>
          </w:p>
        </w:tc>
        <w:tc>
          <w:tcPr>
            <w:tcW w:w="1106" w:type="dxa"/>
            <w:shd w:val="clear" w:color="auto" w:fill="auto"/>
            <w:vAlign w:val="center"/>
          </w:tcPr>
          <w:p w14:paraId="3D797D8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3级碱液喷淋+二级活性炭吸附</w:t>
            </w:r>
          </w:p>
        </w:tc>
        <w:tc>
          <w:tcPr>
            <w:tcW w:w="642" w:type="dxa"/>
            <w:shd w:val="clear" w:color="auto" w:fill="auto"/>
            <w:vAlign w:val="center"/>
          </w:tcPr>
          <w:p w14:paraId="664EDB1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rPr>
              <w:t>90</w:t>
            </w:r>
          </w:p>
        </w:tc>
        <w:tc>
          <w:tcPr>
            <w:tcW w:w="890" w:type="dxa"/>
            <w:shd w:val="clear" w:color="auto" w:fill="auto"/>
            <w:vAlign w:val="center"/>
          </w:tcPr>
          <w:p w14:paraId="791630C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olor w:val="auto"/>
                <w:sz w:val="21"/>
                <w:szCs w:val="21"/>
                <w:highlight w:val="none"/>
              </w:rPr>
              <w:t>类比法</w:t>
            </w:r>
          </w:p>
        </w:tc>
        <w:tc>
          <w:tcPr>
            <w:tcW w:w="890" w:type="dxa"/>
            <w:shd w:val="clear" w:color="auto" w:fill="auto"/>
            <w:vAlign w:val="center"/>
          </w:tcPr>
          <w:p w14:paraId="62490C8D">
            <w:pPr>
              <w:keepNext w:val="0"/>
              <w:keepLines w:val="0"/>
              <w:widowControl/>
              <w:suppressLineNumbers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2.8849</w:t>
            </w:r>
          </w:p>
        </w:tc>
        <w:tc>
          <w:tcPr>
            <w:tcW w:w="890" w:type="dxa"/>
            <w:shd w:val="clear" w:color="auto" w:fill="auto"/>
            <w:vAlign w:val="center"/>
          </w:tcPr>
          <w:p w14:paraId="43D3175D">
            <w:pPr>
              <w:keepNext w:val="0"/>
              <w:keepLines w:val="0"/>
              <w:widowControl/>
              <w:suppressLineNumbers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0.0577</w:t>
            </w:r>
          </w:p>
        </w:tc>
        <w:tc>
          <w:tcPr>
            <w:tcW w:w="805" w:type="dxa"/>
            <w:shd w:val="clear" w:color="auto" w:fill="auto"/>
            <w:vAlign w:val="center"/>
          </w:tcPr>
          <w:p w14:paraId="3559D527">
            <w:pPr>
              <w:keepNext w:val="0"/>
              <w:keepLines w:val="0"/>
              <w:widowControl/>
              <w:suppressLineNumbers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0.1154</w:t>
            </w:r>
          </w:p>
        </w:tc>
        <w:tc>
          <w:tcPr>
            <w:tcW w:w="706" w:type="dxa"/>
            <w:shd w:val="clear" w:color="auto" w:fill="auto"/>
            <w:vAlign w:val="center"/>
          </w:tcPr>
          <w:p w14:paraId="3C7F812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2000</w:t>
            </w:r>
          </w:p>
        </w:tc>
        <w:tc>
          <w:tcPr>
            <w:tcW w:w="840" w:type="dxa"/>
            <w:shd w:val="clear" w:color="000000" w:fill="FFFFFF"/>
            <w:vAlign w:val="center"/>
          </w:tcPr>
          <w:p w14:paraId="40CCA3B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DA005</w:t>
            </w:r>
          </w:p>
        </w:tc>
        <w:tc>
          <w:tcPr>
            <w:tcW w:w="855" w:type="dxa"/>
            <w:shd w:val="clear" w:color="000000" w:fill="FFFFFF"/>
            <w:vAlign w:val="center"/>
          </w:tcPr>
          <w:p w14:paraId="58550CA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w:t>
            </w:r>
          </w:p>
        </w:tc>
        <w:tc>
          <w:tcPr>
            <w:tcW w:w="668" w:type="dxa"/>
            <w:vAlign w:val="center"/>
          </w:tcPr>
          <w:p w14:paraId="46322ED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rPr>
              <w:t>3</w:t>
            </w:r>
          </w:p>
        </w:tc>
      </w:tr>
      <w:tr w14:paraId="11FDF0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737" w:type="dxa"/>
            <w:vMerge w:val="restart"/>
            <w:shd w:val="clear" w:color="auto" w:fill="auto"/>
            <w:vAlign w:val="center"/>
          </w:tcPr>
          <w:p w14:paraId="0982CD7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实验间一</w:t>
            </w:r>
          </w:p>
        </w:tc>
        <w:tc>
          <w:tcPr>
            <w:tcW w:w="978" w:type="dxa"/>
            <w:shd w:val="clear" w:color="auto" w:fill="auto"/>
            <w:vAlign w:val="center"/>
          </w:tcPr>
          <w:p w14:paraId="1630E40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708" w:type="dxa"/>
            <w:shd w:val="clear" w:color="auto" w:fill="auto"/>
            <w:vAlign w:val="center"/>
          </w:tcPr>
          <w:p w14:paraId="3E13688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olor w:val="auto"/>
                <w:sz w:val="21"/>
                <w:szCs w:val="21"/>
                <w:highlight w:val="none"/>
              </w:rPr>
              <w:t>类比法</w:t>
            </w:r>
          </w:p>
        </w:tc>
        <w:tc>
          <w:tcPr>
            <w:tcW w:w="834" w:type="dxa"/>
            <w:shd w:val="clear" w:color="auto" w:fill="auto"/>
            <w:vAlign w:val="center"/>
          </w:tcPr>
          <w:p w14:paraId="641D0BB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4000</w:t>
            </w:r>
          </w:p>
        </w:tc>
        <w:tc>
          <w:tcPr>
            <w:tcW w:w="834" w:type="dxa"/>
            <w:shd w:val="clear" w:color="auto" w:fill="auto"/>
            <w:vAlign w:val="center"/>
          </w:tcPr>
          <w:p w14:paraId="3DC136F5">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3.0859</w:t>
            </w:r>
          </w:p>
        </w:tc>
        <w:tc>
          <w:tcPr>
            <w:tcW w:w="834" w:type="dxa"/>
            <w:shd w:val="clear" w:color="auto" w:fill="auto"/>
            <w:vAlign w:val="center"/>
          </w:tcPr>
          <w:p w14:paraId="57F90E0B">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0.0123</w:t>
            </w:r>
          </w:p>
        </w:tc>
        <w:tc>
          <w:tcPr>
            <w:tcW w:w="834" w:type="dxa"/>
            <w:shd w:val="clear" w:color="auto" w:fill="auto"/>
            <w:vAlign w:val="center"/>
          </w:tcPr>
          <w:p w14:paraId="59077C9E">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0.0062</w:t>
            </w:r>
          </w:p>
        </w:tc>
        <w:tc>
          <w:tcPr>
            <w:tcW w:w="1106" w:type="dxa"/>
            <w:vMerge w:val="restart"/>
            <w:shd w:val="clear" w:color="auto" w:fill="auto"/>
            <w:vAlign w:val="center"/>
          </w:tcPr>
          <w:p w14:paraId="6CACE36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olor w:val="auto"/>
                <w:sz w:val="21"/>
                <w:szCs w:val="21"/>
                <w:highlight w:val="none"/>
              </w:rPr>
              <w:t>两级活性炭吸附</w:t>
            </w:r>
          </w:p>
        </w:tc>
        <w:tc>
          <w:tcPr>
            <w:tcW w:w="642" w:type="dxa"/>
            <w:shd w:val="clear" w:color="auto" w:fill="auto"/>
            <w:vAlign w:val="center"/>
          </w:tcPr>
          <w:p w14:paraId="4E07267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9</w:t>
            </w:r>
            <w:r>
              <w:rPr>
                <w:rFonts w:hint="eastAsia" w:ascii="Times New Roman" w:hAnsi="Times New Roman" w:eastAsia="等线" w:cs="Times New Roman"/>
                <w:color w:val="auto"/>
                <w:sz w:val="21"/>
                <w:szCs w:val="21"/>
                <w:highlight w:val="none"/>
              </w:rPr>
              <w:t>0</w:t>
            </w:r>
          </w:p>
        </w:tc>
        <w:tc>
          <w:tcPr>
            <w:tcW w:w="890" w:type="dxa"/>
            <w:shd w:val="clear" w:color="auto" w:fill="auto"/>
            <w:vAlign w:val="center"/>
          </w:tcPr>
          <w:p w14:paraId="0C5C6C7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olor w:val="auto"/>
                <w:sz w:val="21"/>
                <w:szCs w:val="21"/>
                <w:highlight w:val="none"/>
              </w:rPr>
              <w:t>类比法</w:t>
            </w:r>
          </w:p>
        </w:tc>
        <w:tc>
          <w:tcPr>
            <w:tcW w:w="890" w:type="dxa"/>
            <w:shd w:val="clear" w:color="auto" w:fill="auto"/>
            <w:vAlign w:val="center"/>
          </w:tcPr>
          <w:p w14:paraId="1A70B691">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0.3086</w:t>
            </w:r>
          </w:p>
        </w:tc>
        <w:tc>
          <w:tcPr>
            <w:tcW w:w="890" w:type="dxa"/>
            <w:shd w:val="clear" w:color="auto" w:fill="auto"/>
            <w:vAlign w:val="center"/>
          </w:tcPr>
          <w:p w14:paraId="3DFF7A55">
            <w:pPr>
              <w:keepNext w:val="0"/>
              <w:keepLines w:val="0"/>
              <w:pageBreakBefore w:val="0"/>
              <w:widowControl/>
              <w:suppressLineNumbers w:val="0"/>
              <w:kinsoku/>
              <w:wordWrap/>
              <w:overflowPunct/>
              <w:topLinePunct w:val="0"/>
              <w:autoSpaceDE/>
              <w:autoSpaceDN/>
              <w:bidi w:val="0"/>
              <w:adjustRightInd/>
              <w:snapToGrid/>
              <w:ind w:left="0" w:right="0"/>
              <w:jc w:val="right"/>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0.0012</w:t>
            </w:r>
          </w:p>
        </w:tc>
        <w:tc>
          <w:tcPr>
            <w:tcW w:w="805" w:type="dxa"/>
            <w:shd w:val="clear" w:color="auto" w:fill="auto"/>
            <w:vAlign w:val="center"/>
          </w:tcPr>
          <w:p w14:paraId="06ECF93D">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0.0006</w:t>
            </w:r>
          </w:p>
        </w:tc>
        <w:tc>
          <w:tcPr>
            <w:tcW w:w="706" w:type="dxa"/>
            <w:shd w:val="clear" w:color="auto" w:fill="auto"/>
            <w:vAlign w:val="center"/>
          </w:tcPr>
          <w:p w14:paraId="7064382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500</w:t>
            </w:r>
          </w:p>
        </w:tc>
        <w:tc>
          <w:tcPr>
            <w:tcW w:w="840" w:type="dxa"/>
            <w:vMerge w:val="restart"/>
            <w:shd w:val="clear" w:color="000000" w:fill="FFFFFF"/>
            <w:vAlign w:val="center"/>
          </w:tcPr>
          <w:p w14:paraId="3B1A306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DA006</w:t>
            </w:r>
          </w:p>
        </w:tc>
        <w:tc>
          <w:tcPr>
            <w:tcW w:w="855" w:type="dxa"/>
            <w:shd w:val="clear" w:color="000000" w:fill="FFFFFF"/>
            <w:vAlign w:val="center"/>
          </w:tcPr>
          <w:p w14:paraId="5131C87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w:t>
            </w:r>
          </w:p>
        </w:tc>
        <w:tc>
          <w:tcPr>
            <w:tcW w:w="668" w:type="dxa"/>
            <w:vAlign w:val="center"/>
          </w:tcPr>
          <w:p w14:paraId="1485919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r>
      <w:tr w14:paraId="448570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737" w:type="dxa"/>
            <w:vMerge w:val="continue"/>
            <w:tcBorders>
              <w:bottom w:val="single" w:color="auto" w:sz="4" w:space="0"/>
            </w:tcBorders>
            <w:shd w:val="clear" w:color="auto" w:fill="auto"/>
            <w:vAlign w:val="center"/>
          </w:tcPr>
          <w:p w14:paraId="3788F2B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978" w:type="dxa"/>
            <w:tcBorders>
              <w:bottom w:val="single" w:color="auto" w:sz="4" w:space="0"/>
            </w:tcBorders>
            <w:shd w:val="clear" w:color="auto" w:fill="auto"/>
            <w:vAlign w:val="center"/>
          </w:tcPr>
          <w:p w14:paraId="5A56700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708" w:type="dxa"/>
            <w:tcBorders>
              <w:bottom w:val="single" w:color="auto" w:sz="4" w:space="0"/>
            </w:tcBorders>
            <w:shd w:val="clear" w:color="auto" w:fill="auto"/>
            <w:vAlign w:val="center"/>
          </w:tcPr>
          <w:p w14:paraId="78C1A729">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类比法</w:t>
            </w:r>
          </w:p>
        </w:tc>
        <w:tc>
          <w:tcPr>
            <w:tcW w:w="834" w:type="dxa"/>
            <w:tcBorders>
              <w:bottom w:val="single" w:color="auto" w:sz="4" w:space="0"/>
            </w:tcBorders>
            <w:shd w:val="clear" w:color="auto" w:fill="auto"/>
            <w:vAlign w:val="center"/>
          </w:tcPr>
          <w:p w14:paraId="40A2E40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4000</w:t>
            </w:r>
          </w:p>
        </w:tc>
        <w:tc>
          <w:tcPr>
            <w:tcW w:w="834" w:type="dxa"/>
            <w:tcBorders>
              <w:bottom w:val="single" w:color="auto" w:sz="4" w:space="0"/>
            </w:tcBorders>
            <w:shd w:val="clear" w:color="auto" w:fill="auto"/>
            <w:vAlign w:val="center"/>
          </w:tcPr>
          <w:p w14:paraId="788FD334">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1.4850</w:t>
            </w:r>
          </w:p>
        </w:tc>
        <w:tc>
          <w:tcPr>
            <w:tcW w:w="834" w:type="dxa"/>
            <w:tcBorders>
              <w:bottom w:val="single" w:color="auto" w:sz="4" w:space="0"/>
            </w:tcBorders>
            <w:shd w:val="clear" w:color="auto" w:fill="auto"/>
            <w:vAlign w:val="center"/>
          </w:tcPr>
          <w:p w14:paraId="148567F4">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0.0059</w:t>
            </w:r>
          </w:p>
        </w:tc>
        <w:tc>
          <w:tcPr>
            <w:tcW w:w="834" w:type="dxa"/>
            <w:tcBorders>
              <w:bottom w:val="single" w:color="auto" w:sz="4" w:space="0"/>
            </w:tcBorders>
            <w:shd w:val="clear" w:color="auto" w:fill="auto"/>
            <w:vAlign w:val="center"/>
          </w:tcPr>
          <w:p w14:paraId="0FC2FFB3">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bidi="ar"/>
              </w:rPr>
            </w:pPr>
            <w:r>
              <w:rPr>
                <w:rFonts w:hint="default" w:ascii="Times New Roman" w:hAnsi="Times New Roman" w:eastAsia="等线" w:cs="Times New Roman"/>
                <w:i w:val="0"/>
                <w:iCs w:val="0"/>
                <w:color w:val="auto"/>
                <w:kern w:val="0"/>
                <w:sz w:val="21"/>
                <w:szCs w:val="21"/>
                <w:highlight w:val="none"/>
                <w:u w:val="none"/>
                <w:lang w:val="en-US" w:eastAsia="zh-CN" w:bidi="ar"/>
              </w:rPr>
              <w:t>0.00</w:t>
            </w:r>
            <w:r>
              <w:rPr>
                <w:rFonts w:hint="eastAsia" w:ascii="Times New Roman" w:hAnsi="Times New Roman" w:eastAsia="等线" w:cs="Times New Roman"/>
                <w:i w:val="0"/>
                <w:iCs w:val="0"/>
                <w:color w:val="auto"/>
                <w:kern w:val="0"/>
                <w:sz w:val="21"/>
                <w:szCs w:val="21"/>
                <w:highlight w:val="none"/>
                <w:u w:val="none"/>
                <w:lang w:val="en-US" w:eastAsia="zh-CN" w:bidi="ar"/>
              </w:rPr>
              <w:t>297</w:t>
            </w:r>
          </w:p>
        </w:tc>
        <w:tc>
          <w:tcPr>
            <w:tcW w:w="1106" w:type="dxa"/>
            <w:vMerge w:val="continue"/>
            <w:tcBorders>
              <w:bottom w:val="single" w:color="auto" w:sz="4" w:space="0"/>
            </w:tcBorders>
            <w:shd w:val="clear" w:color="auto" w:fill="auto"/>
            <w:vAlign w:val="center"/>
          </w:tcPr>
          <w:p w14:paraId="41E4EDAD">
            <w:pPr>
              <w:keepNext w:val="0"/>
              <w:keepLines w:val="0"/>
              <w:pageBreakBefore w:val="0"/>
              <w:widowControl/>
              <w:kinsoku/>
              <w:wordWrap/>
              <w:overflowPunct/>
              <w:topLinePunct w:val="0"/>
              <w:autoSpaceDE/>
              <w:autoSpaceDN/>
              <w:bidi w:val="0"/>
              <w:adjustRightInd/>
              <w:snapToGrid/>
              <w:ind w:left="0" w:right="0"/>
              <w:jc w:val="center"/>
              <w:rPr>
                <w:rFonts w:hint="eastAsia"/>
                <w:color w:val="auto"/>
                <w:sz w:val="21"/>
                <w:szCs w:val="21"/>
                <w:highlight w:val="none"/>
              </w:rPr>
            </w:pPr>
          </w:p>
        </w:tc>
        <w:tc>
          <w:tcPr>
            <w:tcW w:w="642" w:type="dxa"/>
            <w:shd w:val="clear" w:color="auto" w:fill="auto"/>
            <w:vAlign w:val="center"/>
          </w:tcPr>
          <w:p w14:paraId="0DC2D9CC">
            <w:pPr>
              <w:keepNext w:val="0"/>
              <w:keepLines w:val="0"/>
              <w:pageBreakBefore w:val="0"/>
              <w:widowControl/>
              <w:kinsoku/>
              <w:wordWrap/>
              <w:overflowPunct/>
              <w:topLinePunct w:val="0"/>
              <w:autoSpaceDE/>
              <w:autoSpaceDN/>
              <w:bidi w:val="0"/>
              <w:adjustRightInd/>
              <w:snapToGrid/>
              <w:ind w:left="0" w:leftChars="0" w:right="0" w:rightChars="0"/>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9</w:t>
            </w:r>
            <w:r>
              <w:rPr>
                <w:rFonts w:hint="eastAsia" w:ascii="Times New Roman" w:hAnsi="Times New Roman" w:eastAsia="等线" w:cs="Times New Roman"/>
                <w:color w:val="auto"/>
                <w:sz w:val="21"/>
                <w:szCs w:val="21"/>
                <w:highlight w:val="none"/>
              </w:rPr>
              <w:t>0</w:t>
            </w:r>
          </w:p>
        </w:tc>
        <w:tc>
          <w:tcPr>
            <w:tcW w:w="890" w:type="dxa"/>
            <w:shd w:val="clear" w:color="auto" w:fill="auto"/>
            <w:vAlign w:val="center"/>
          </w:tcPr>
          <w:p w14:paraId="1C3A9FB4">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color w:val="auto"/>
                <w:sz w:val="21"/>
                <w:szCs w:val="21"/>
                <w:highlight w:val="none"/>
              </w:rPr>
            </w:pPr>
            <w:r>
              <w:rPr>
                <w:rFonts w:hint="eastAsia"/>
                <w:color w:val="auto"/>
                <w:sz w:val="21"/>
                <w:szCs w:val="21"/>
                <w:highlight w:val="none"/>
              </w:rPr>
              <w:t>类比法</w:t>
            </w:r>
          </w:p>
        </w:tc>
        <w:tc>
          <w:tcPr>
            <w:tcW w:w="890" w:type="dxa"/>
            <w:shd w:val="clear" w:color="auto" w:fill="auto"/>
            <w:vAlign w:val="center"/>
          </w:tcPr>
          <w:p w14:paraId="26699988">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0.1485</w:t>
            </w:r>
          </w:p>
        </w:tc>
        <w:tc>
          <w:tcPr>
            <w:tcW w:w="890" w:type="dxa"/>
            <w:shd w:val="clear" w:color="auto" w:fill="auto"/>
            <w:vAlign w:val="center"/>
          </w:tcPr>
          <w:p w14:paraId="1ED89700">
            <w:pPr>
              <w:keepNext w:val="0"/>
              <w:keepLines w:val="0"/>
              <w:pageBreakBefore w:val="0"/>
              <w:widowControl/>
              <w:suppressLineNumbers w:val="0"/>
              <w:kinsoku/>
              <w:wordWrap/>
              <w:overflowPunct/>
              <w:topLinePunct w:val="0"/>
              <w:autoSpaceDE/>
              <w:autoSpaceDN/>
              <w:bidi w:val="0"/>
              <w:adjustRightInd/>
              <w:snapToGrid/>
              <w:ind w:left="0" w:right="0"/>
              <w:jc w:val="right"/>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0.0006</w:t>
            </w:r>
          </w:p>
        </w:tc>
        <w:tc>
          <w:tcPr>
            <w:tcW w:w="805" w:type="dxa"/>
            <w:shd w:val="clear" w:color="auto" w:fill="auto"/>
            <w:vAlign w:val="center"/>
          </w:tcPr>
          <w:p w14:paraId="60E919C7">
            <w:pPr>
              <w:keepNext w:val="0"/>
              <w:keepLines w:val="0"/>
              <w:pageBreakBefore w:val="0"/>
              <w:widowControl/>
              <w:suppressLineNumbers w:val="0"/>
              <w:kinsoku/>
              <w:wordWrap/>
              <w:overflowPunct/>
              <w:topLinePunct w:val="0"/>
              <w:autoSpaceDE/>
              <w:autoSpaceDN/>
              <w:bidi w:val="0"/>
              <w:adjustRightInd/>
              <w:snapToGrid/>
              <w:ind w:left="0" w:right="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0.0003</w:t>
            </w:r>
          </w:p>
        </w:tc>
        <w:tc>
          <w:tcPr>
            <w:tcW w:w="706" w:type="dxa"/>
            <w:shd w:val="clear" w:color="auto" w:fill="auto"/>
            <w:vAlign w:val="center"/>
          </w:tcPr>
          <w:p w14:paraId="58482C27">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840" w:type="dxa"/>
            <w:vMerge w:val="continue"/>
            <w:shd w:val="clear" w:color="000000" w:fill="FFFFFF"/>
            <w:vAlign w:val="center"/>
          </w:tcPr>
          <w:p w14:paraId="28A4C8F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855" w:type="dxa"/>
            <w:shd w:val="clear" w:color="000000" w:fill="FFFFFF"/>
            <w:vAlign w:val="center"/>
          </w:tcPr>
          <w:p w14:paraId="5E355A8C">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668" w:type="dxa"/>
            <w:vAlign w:val="center"/>
          </w:tcPr>
          <w:p w14:paraId="2C26C1BA">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r>
    </w:tbl>
    <w:p w14:paraId="2CC87D03">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w:t>
      </w:r>
      <w:r>
        <w:rPr>
          <w:rFonts w:eastAsia="宋体" w:cs="Times New Roman"/>
          <w:color w:val="auto"/>
          <w:sz w:val="24"/>
          <w:szCs w:val="24"/>
          <w:highlight w:val="none"/>
        </w:rPr>
        <w:fldChar w:fldCharType="end"/>
      </w:r>
      <w:r>
        <w:rPr>
          <w:rFonts w:eastAsia="宋体" w:cs="Times New Roman"/>
          <w:color w:val="auto"/>
          <w:sz w:val="24"/>
          <w:szCs w:val="24"/>
          <w:highlight w:val="none"/>
        </w:rPr>
        <w:t>本项目</w:t>
      </w:r>
      <w:r>
        <w:rPr>
          <w:rFonts w:hint="eastAsia" w:eastAsia="宋体" w:cs="Times New Roman"/>
          <w:color w:val="auto"/>
          <w:sz w:val="24"/>
          <w:szCs w:val="24"/>
          <w:highlight w:val="none"/>
        </w:rPr>
        <w:t>大气污染物有组织废气依托排放</w:t>
      </w:r>
      <w:r>
        <w:rPr>
          <w:rFonts w:eastAsia="宋体" w:cs="Times New Roman"/>
          <w:color w:val="auto"/>
          <w:sz w:val="24"/>
          <w:szCs w:val="24"/>
          <w:highlight w:val="none"/>
        </w:rPr>
        <w:t>情况</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550"/>
        <w:gridCol w:w="1786"/>
        <w:gridCol w:w="1261"/>
        <w:gridCol w:w="1411"/>
        <w:gridCol w:w="1503"/>
        <w:gridCol w:w="1322"/>
        <w:gridCol w:w="1322"/>
        <w:gridCol w:w="1322"/>
        <w:gridCol w:w="1323"/>
      </w:tblGrid>
      <w:tr w14:paraId="2FF473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dxa"/>
            <w:vMerge w:val="restart"/>
            <w:vAlign w:val="center"/>
          </w:tcPr>
          <w:p w14:paraId="7326F0D1">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点源编号</w:t>
            </w:r>
          </w:p>
        </w:tc>
        <w:tc>
          <w:tcPr>
            <w:tcW w:w="1550" w:type="dxa"/>
            <w:vMerge w:val="restart"/>
            <w:vAlign w:val="center"/>
          </w:tcPr>
          <w:p w14:paraId="65F14FD4">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产污环节</w:t>
            </w:r>
          </w:p>
        </w:tc>
        <w:tc>
          <w:tcPr>
            <w:tcW w:w="1788" w:type="dxa"/>
            <w:vMerge w:val="restart"/>
            <w:vAlign w:val="center"/>
          </w:tcPr>
          <w:p w14:paraId="78999F03">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污染物种类</w:t>
            </w:r>
          </w:p>
        </w:tc>
        <w:tc>
          <w:tcPr>
            <w:tcW w:w="1261" w:type="dxa"/>
            <w:vMerge w:val="restart"/>
            <w:vAlign w:val="center"/>
          </w:tcPr>
          <w:p w14:paraId="3F074BED">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设计风量m</w:t>
            </w:r>
            <w:r>
              <w:rPr>
                <w:rFonts w:ascii="Times New Roman" w:hAnsi="Times New Roman" w:eastAsia="宋体" w:cs="Times New Roman"/>
                <w:b/>
                <w:bCs/>
                <w:color w:val="auto"/>
                <w:sz w:val="21"/>
                <w:highlight w:val="none"/>
                <w:vertAlign w:val="superscript"/>
                <w:lang w:val="en-US"/>
              </w:rPr>
              <w:t>3</w:t>
            </w:r>
            <w:r>
              <w:rPr>
                <w:rFonts w:ascii="Times New Roman" w:hAnsi="Times New Roman" w:eastAsia="宋体" w:cs="Times New Roman"/>
                <w:b/>
                <w:bCs/>
                <w:color w:val="auto"/>
                <w:sz w:val="21"/>
                <w:highlight w:val="none"/>
                <w:lang w:val="en-US"/>
              </w:rPr>
              <w:t>/h</w:t>
            </w:r>
          </w:p>
        </w:tc>
        <w:tc>
          <w:tcPr>
            <w:tcW w:w="2914" w:type="dxa"/>
            <w:gridSpan w:val="2"/>
            <w:vAlign w:val="center"/>
          </w:tcPr>
          <w:p w14:paraId="2D86DB16">
            <w:pPr>
              <w:pStyle w:val="237"/>
              <w:ind w:left="-105" w:right="-105"/>
              <w:rPr>
                <w:rFonts w:ascii="Times New Roman" w:hAnsi="Times New Roman" w:eastAsia="宋体" w:cs="Times New Roman"/>
                <w:b/>
                <w:bCs/>
                <w:color w:val="auto"/>
                <w:sz w:val="21"/>
                <w:highlight w:val="none"/>
                <w:lang w:val="en-US"/>
              </w:rPr>
            </w:pPr>
            <w:r>
              <w:rPr>
                <w:rFonts w:hint="eastAsia" w:eastAsia="宋体"/>
                <w:b/>
                <w:bCs/>
                <w:color w:val="auto"/>
                <w:sz w:val="21"/>
                <w:highlight w:val="none"/>
              </w:rPr>
              <w:t>污染物</w:t>
            </w:r>
            <w:r>
              <w:rPr>
                <w:rFonts w:hint="eastAsia" w:ascii="Times New Roman" w:hAnsi="Times New Roman" w:eastAsia="宋体" w:cs="Times New Roman"/>
                <w:b/>
                <w:bCs/>
                <w:color w:val="auto"/>
                <w:sz w:val="21"/>
                <w:highlight w:val="none"/>
                <w:lang w:val="en-US"/>
              </w:rPr>
              <w:t>产生情况</w:t>
            </w:r>
          </w:p>
        </w:tc>
        <w:tc>
          <w:tcPr>
            <w:tcW w:w="3966" w:type="dxa"/>
            <w:gridSpan w:val="3"/>
            <w:vAlign w:val="center"/>
          </w:tcPr>
          <w:p w14:paraId="507C8BB3">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污染物排放情况</w:t>
            </w:r>
          </w:p>
        </w:tc>
        <w:tc>
          <w:tcPr>
            <w:tcW w:w="1323" w:type="dxa"/>
            <w:vMerge w:val="restart"/>
            <w:vAlign w:val="center"/>
          </w:tcPr>
          <w:p w14:paraId="3016EF75">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工作时间h</w:t>
            </w:r>
          </w:p>
        </w:tc>
      </w:tr>
      <w:tr w14:paraId="440D9B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dxa"/>
            <w:vMerge w:val="continue"/>
            <w:vAlign w:val="center"/>
          </w:tcPr>
          <w:p w14:paraId="2B557FB6">
            <w:pPr>
              <w:pStyle w:val="237"/>
              <w:ind w:left="-105" w:right="-105"/>
              <w:rPr>
                <w:rFonts w:ascii="Times New Roman" w:hAnsi="Times New Roman" w:eastAsia="宋体" w:cs="Times New Roman"/>
                <w:b/>
                <w:bCs/>
                <w:color w:val="auto"/>
                <w:sz w:val="21"/>
                <w:highlight w:val="none"/>
                <w:lang w:val="en-US"/>
              </w:rPr>
            </w:pPr>
          </w:p>
        </w:tc>
        <w:tc>
          <w:tcPr>
            <w:tcW w:w="1550" w:type="dxa"/>
            <w:vMerge w:val="continue"/>
            <w:vAlign w:val="center"/>
          </w:tcPr>
          <w:p w14:paraId="4415DEDA">
            <w:pPr>
              <w:pStyle w:val="237"/>
              <w:ind w:left="-105" w:right="-105"/>
              <w:rPr>
                <w:rFonts w:ascii="Times New Roman" w:hAnsi="Times New Roman" w:eastAsia="宋体" w:cs="Times New Roman"/>
                <w:b/>
                <w:bCs/>
                <w:color w:val="auto"/>
                <w:sz w:val="21"/>
                <w:highlight w:val="none"/>
                <w:lang w:val="en-US"/>
              </w:rPr>
            </w:pPr>
          </w:p>
        </w:tc>
        <w:tc>
          <w:tcPr>
            <w:tcW w:w="1788" w:type="dxa"/>
            <w:vMerge w:val="continue"/>
            <w:vAlign w:val="center"/>
          </w:tcPr>
          <w:p w14:paraId="39DEB194">
            <w:pPr>
              <w:pStyle w:val="237"/>
              <w:ind w:left="-105" w:right="-105"/>
              <w:rPr>
                <w:rFonts w:ascii="Times New Roman" w:hAnsi="Times New Roman" w:eastAsia="宋体" w:cs="Times New Roman"/>
                <w:b/>
                <w:bCs/>
                <w:color w:val="auto"/>
                <w:sz w:val="21"/>
                <w:highlight w:val="none"/>
                <w:lang w:val="en-US"/>
              </w:rPr>
            </w:pPr>
          </w:p>
        </w:tc>
        <w:tc>
          <w:tcPr>
            <w:tcW w:w="1261" w:type="dxa"/>
            <w:vMerge w:val="continue"/>
            <w:vAlign w:val="center"/>
          </w:tcPr>
          <w:p w14:paraId="5042DBC6">
            <w:pPr>
              <w:pStyle w:val="237"/>
              <w:ind w:left="-105" w:right="-105"/>
              <w:rPr>
                <w:rFonts w:ascii="Times New Roman" w:hAnsi="Times New Roman" w:eastAsia="宋体" w:cs="Times New Roman"/>
                <w:b/>
                <w:bCs/>
                <w:color w:val="auto"/>
                <w:sz w:val="21"/>
                <w:highlight w:val="none"/>
                <w:lang w:val="en-US"/>
              </w:rPr>
            </w:pPr>
          </w:p>
        </w:tc>
        <w:tc>
          <w:tcPr>
            <w:tcW w:w="1411" w:type="dxa"/>
            <w:vAlign w:val="center"/>
          </w:tcPr>
          <w:p w14:paraId="46C348C2">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产生浓度</w:t>
            </w:r>
            <w:r>
              <w:rPr>
                <w:rFonts w:hint="eastAsia" w:ascii="Times New Roman" w:hAnsi="Times New Roman" w:eastAsia="宋体" w:cs="Times New Roman"/>
                <w:b/>
                <w:bCs/>
                <w:color w:val="auto"/>
                <w:sz w:val="21"/>
                <w:highlight w:val="none"/>
                <w:lang w:val="en-US"/>
              </w:rPr>
              <w:t>*</w:t>
            </w:r>
          </w:p>
          <w:p w14:paraId="05A39CB2">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mg/m</w:t>
            </w:r>
            <w:r>
              <w:rPr>
                <w:rFonts w:ascii="Times New Roman" w:hAnsi="Times New Roman" w:eastAsia="宋体" w:cs="Times New Roman"/>
                <w:b/>
                <w:bCs/>
                <w:color w:val="auto"/>
                <w:sz w:val="21"/>
                <w:highlight w:val="none"/>
                <w:vertAlign w:val="superscript"/>
                <w:lang w:val="en-US"/>
              </w:rPr>
              <w:t>3</w:t>
            </w:r>
          </w:p>
        </w:tc>
        <w:tc>
          <w:tcPr>
            <w:tcW w:w="1503" w:type="dxa"/>
            <w:vAlign w:val="center"/>
          </w:tcPr>
          <w:p w14:paraId="4C6D657D">
            <w:pPr>
              <w:pStyle w:val="237"/>
              <w:ind w:left="-105" w:right="-105"/>
              <w:rPr>
                <w:rFonts w:ascii="Times New Roman" w:hAnsi="Times New Roman" w:eastAsia="宋体" w:cs="Times New Roman"/>
                <w:b/>
                <w:bCs/>
                <w:color w:val="auto"/>
                <w:sz w:val="21"/>
                <w:highlight w:val="none"/>
                <w:lang w:val="en-US"/>
              </w:rPr>
            </w:pPr>
            <w:r>
              <w:rPr>
                <w:rFonts w:ascii="Times New Roman" w:hAnsi="Times New Roman" w:eastAsia="宋体" w:cs="Times New Roman"/>
                <w:b/>
                <w:bCs/>
                <w:color w:val="auto"/>
                <w:sz w:val="21"/>
                <w:highlight w:val="none"/>
                <w:lang w:val="en-US"/>
              </w:rPr>
              <w:t>产生量</w:t>
            </w:r>
            <w:r>
              <w:rPr>
                <w:rFonts w:ascii="Times New Roman" w:hAnsi="Times New Roman" w:eastAsia="宋体" w:cs="Times New Roman"/>
                <w:b/>
                <w:bCs/>
                <w:snapToGrid w:val="0"/>
                <w:color w:val="auto"/>
                <w:sz w:val="21"/>
                <w:highlight w:val="none"/>
                <w:lang w:val="en-US"/>
              </w:rPr>
              <w:t>t/a</w:t>
            </w:r>
          </w:p>
        </w:tc>
        <w:tc>
          <w:tcPr>
            <w:tcW w:w="1322" w:type="dxa"/>
            <w:vAlign w:val="center"/>
          </w:tcPr>
          <w:p w14:paraId="4C7E978D">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排放浓度</w:t>
            </w:r>
            <w:r>
              <w:rPr>
                <w:rFonts w:hint="eastAsia" w:ascii="Times New Roman" w:hAnsi="Times New Roman" w:cs="Times New Roman"/>
                <w:b/>
                <w:bCs/>
                <w:color w:val="auto"/>
                <w:sz w:val="21"/>
                <w:szCs w:val="21"/>
                <w:highlight w:val="none"/>
              </w:rPr>
              <w:t>*</w:t>
            </w:r>
            <w:r>
              <w:rPr>
                <w:rFonts w:ascii="Times New Roman" w:hAnsi="Times New Roman" w:cs="Times New Roman"/>
                <w:b/>
                <w:bCs/>
                <w:color w:val="auto"/>
                <w:sz w:val="21"/>
                <w:szCs w:val="21"/>
                <w:highlight w:val="none"/>
              </w:rPr>
              <w:t>mg/m</w:t>
            </w:r>
            <w:r>
              <w:rPr>
                <w:rFonts w:ascii="Times New Roman" w:hAnsi="Times New Roman" w:cs="Times New Roman"/>
                <w:b/>
                <w:bCs/>
                <w:color w:val="auto"/>
                <w:sz w:val="21"/>
                <w:szCs w:val="21"/>
                <w:highlight w:val="none"/>
                <w:vertAlign w:val="superscript"/>
              </w:rPr>
              <w:t>3</w:t>
            </w:r>
          </w:p>
        </w:tc>
        <w:tc>
          <w:tcPr>
            <w:tcW w:w="1322" w:type="dxa"/>
            <w:vAlign w:val="center"/>
          </w:tcPr>
          <w:p w14:paraId="60BC4099">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排放速率kg/h</w:t>
            </w:r>
          </w:p>
        </w:tc>
        <w:tc>
          <w:tcPr>
            <w:tcW w:w="1322" w:type="dxa"/>
            <w:vAlign w:val="center"/>
          </w:tcPr>
          <w:p w14:paraId="0D1A2C1A">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排放量t/a</w:t>
            </w:r>
          </w:p>
        </w:tc>
        <w:tc>
          <w:tcPr>
            <w:tcW w:w="1323" w:type="dxa"/>
            <w:vMerge w:val="continue"/>
            <w:vAlign w:val="center"/>
          </w:tcPr>
          <w:p w14:paraId="59D6298B">
            <w:pPr>
              <w:pStyle w:val="237"/>
              <w:ind w:left="-105" w:right="-105"/>
              <w:rPr>
                <w:rFonts w:ascii="Times New Roman" w:hAnsi="Times New Roman" w:eastAsia="宋体" w:cs="Times New Roman"/>
                <w:b/>
                <w:bCs/>
                <w:color w:val="auto"/>
                <w:sz w:val="21"/>
                <w:highlight w:val="none"/>
                <w:lang w:val="en-US"/>
              </w:rPr>
            </w:pPr>
          </w:p>
        </w:tc>
      </w:tr>
      <w:tr w14:paraId="622F08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dxa"/>
            <w:vAlign w:val="center"/>
          </w:tcPr>
          <w:p w14:paraId="294B0162">
            <w:pPr>
              <w:pStyle w:val="237"/>
              <w:ind w:left="-105" w:right="-105"/>
              <w:rPr>
                <w:rFonts w:ascii="Times New Roman" w:hAnsi="Times New Roman" w:eastAsia="宋体" w:cs="Times New Roman"/>
                <w:color w:val="auto"/>
                <w:sz w:val="21"/>
                <w:highlight w:val="none"/>
                <w:lang w:val="en-US"/>
              </w:rPr>
            </w:pPr>
            <w:r>
              <w:rPr>
                <w:rFonts w:hint="eastAsia" w:ascii="Times New Roman" w:hAnsi="Times New Roman" w:eastAsia="宋体" w:cs="Times New Roman"/>
                <w:color w:val="auto"/>
                <w:sz w:val="21"/>
                <w:highlight w:val="none"/>
                <w:lang w:val="en-US"/>
              </w:rPr>
              <w:t>DA005</w:t>
            </w:r>
          </w:p>
        </w:tc>
        <w:tc>
          <w:tcPr>
            <w:tcW w:w="1550" w:type="dxa"/>
            <w:vAlign w:val="center"/>
          </w:tcPr>
          <w:p w14:paraId="7307876F">
            <w:pPr>
              <w:pStyle w:val="237"/>
              <w:ind w:left="-105" w:right="-105"/>
              <w:rPr>
                <w:rFonts w:ascii="Times New Roman" w:hAnsi="Times New Roman" w:eastAsia="宋体" w:cs="Times New Roman"/>
                <w:color w:val="auto"/>
                <w:sz w:val="21"/>
                <w:highlight w:val="none"/>
                <w:lang w:val="en-US"/>
              </w:rPr>
            </w:pPr>
            <w:r>
              <w:rPr>
                <w:rFonts w:hint="eastAsia" w:ascii="Times New Roman" w:hAnsi="Times New Roman" w:eastAsia="宋体" w:cs="Times New Roman"/>
                <w:color w:val="auto"/>
                <w:sz w:val="21"/>
                <w:highlight w:val="none"/>
                <w:lang w:val="en-US"/>
              </w:rPr>
              <w:t>二工场所有反应釜</w:t>
            </w:r>
          </w:p>
        </w:tc>
        <w:tc>
          <w:tcPr>
            <w:tcW w:w="1788" w:type="dxa"/>
            <w:vAlign w:val="center"/>
          </w:tcPr>
          <w:p w14:paraId="3E365444">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w:t>
            </w:r>
          </w:p>
        </w:tc>
        <w:tc>
          <w:tcPr>
            <w:tcW w:w="1261" w:type="dxa"/>
            <w:vAlign w:val="center"/>
          </w:tcPr>
          <w:p w14:paraId="295617F8">
            <w:pPr>
              <w:pStyle w:val="237"/>
              <w:ind w:left="-105" w:right="-105"/>
              <w:rPr>
                <w:rFonts w:ascii="Times New Roman" w:hAnsi="Times New Roman" w:eastAsia="宋体" w:cs="Times New Roman"/>
                <w:color w:val="auto"/>
                <w:sz w:val="21"/>
                <w:highlight w:val="none"/>
                <w:lang w:val="en-US"/>
              </w:rPr>
            </w:pPr>
            <w:r>
              <w:rPr>
                <w:rFonts w:hint="eastAsia" w:ascii="Times New Roman" w:hAnsi="Times New Roman" w:eastAsia="宋体" w:cs="Times New Roman"/>
                <w:color w:val="auto"/>
                <w:sz w:val="21"/>
                <w:highlight w:val="none"/>
                <w:lang w:val="en-US"/>
              </w:rPr>
              <w:t>20000</w:t>
            </w:r>
          </w:p>
        </w:tc>
        <w:tc>
          <w:tcPr>
            <w:tcW w:w="1411" w:type="dxa"/>
            <w:vAlign w:val="center"/>
          </w:tcPr>
          <w:p w14:paraId="78882C1B">
            <w:pPr>
              <w:pStyle w:val="237"/>
              <w:ind w:left="-105" w:right="-105"/>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29.6815</w:t>
            </w:r>
          </w:p>
        </w:tc>
        <w:tc>
          <w:tcPr>
            <w:tcW w:w="1503" w:type="dxa"/>
            <w:vAlign w:val="center"/>
          </w:tcPr>
          <w:p w14:paraId="1BEC642C">
            <w:pPr>
              <w:pStyle w:val="237"/>
              <w:ind w:left="-105" w:right="-105"/>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1.2939</w:t>
            </w:r>
          </w:p>
        </w:tc>
        <w:tc>
          <w:tcPr>
            <w:tcW w:w="1322" w:type="dxa"/>
            <w:vAlign w:val="center"/>
          </w:tcPr>
          <w:p w14:paraId="32641A15">
            <w:pPr>
              <w:pStyle w:val="237"/>
              <w:ind w:left="-105" w:right="-105"/>
              <w:rPr>
                <w:rFonts w:hint="default" w:ascii="Times New Roman" w:hAnsi="Times New Roman" w:eastAsia="等线" w:cs="Times New Roman"/>
                <w:color w:val="auto"/>
                <w:sz w:val="21"/>
                <w:highlight w:val="none"/>
                <w:lang w:val="en-US" w:eastAsia="zh-CN"/>
              </w:rPr>
            </w:pPr>
            <w:r>
              <w:rPr>
                <w:rFonts w:hint="eastAsia" w:ascii="Times New Roman" w:hAnsi="Times New Roman" w:eastAsia="等线" w:cs="Times New Roman"/>
                <w:color w:val="auto"/>
                <w:sz w:val="21"/>
                <w:highlight w:val="none"/>
                <w:lang w:val="en-US" w:eastAsia="zh-CN"/>
              </w:rPr>
              <w:t>3.0509</w:t>
            </w:r>
          </w:p>
        </w:tc>
        <w:tc>
          <w:tcPr>
            <w:tcW w:w="1322" w:type="dxa"/>
            <w:vAlign w:val="center"/>
          </w:tcPr>
          <w:p w14:paraId="06109FEE">
            <w:pPr>
              <w:pStyle w:val="237"/>
              <w:ind w:left="-105" w:right="-105"/>
              <w:rPr>
                <w:rFonts w:hint="default" w:ascii="Times New Roman" w:hAnsi="Times New Roman" w:eastAsia="等线" w:cs="Times New Roman"/>
                <w:color w:val="auto"/>
                <w:sz w:val="21"/>
                <w:highlight w:val="none"/>
                <w:lang w:val="en-US" w:eastAsia="zh-CN"/>
              </w:rPr>
            </w:pPr>
            <w:r>
              <w:rPr>
                <w:rFonts w:hint="eastAsia" w:ascii="Times New Roman" w:hAnsi="Times New Roman" w:eastAsia="等线" w:cs="Times New Roman"/>
                <w:color w:val="auto"/>
                <w:sz w:val="21"/>
                <w:highlight w:val="none"/>
                <w:lang w:val="en-US" w:eastAsia="zh-CN"/>
              </w:rPr>
              <w:t>0.0610</w:t>
            </w:r>
          </w:p>
        </w:tc>
        <w:tc>
          <w:tcPr>
            <w:tcW w:w="1322" w:type="dxa"/>
            <w:vAlign w:val="center"/>
          </w:tcPr>
          <w:p w14:paraId="78C8DDE6">
            <w:pPr>
              <w:pStyle w:val="237"/>
              <w:ind w:left="-105" w:right="-105"/>
              <w:rPr>
                <w:rFonts w:hint="default" w:ascii="Times New Roman" w:hAnsi="Times New Roman" w:eastAsia="等线" w:cs="Times New Roman"/>
                <w:color w:val="auto"/>
                <w:sz w:val="21"/>
                <w:highlight w:val="none"/>
                <w:lang w:val="en-US" w:eastAsia="zh-CN"/>
              </w:rPr>
            </w:pPr>
            <w:r>
              <w:rPr>
                <w:rFonts w:hint="eastAsia" w:ascii="Times New Roman" w:hAnsi="Times New Roman" w:eastAsia="等线" w:cs="Times New Roman"/>
                <w:color w:val="auto"/>
                <w:sz w:val="21"/>
                <w:highlight w:val="none"/>
                <w:lang w:val="en-US" w:eastAsia="zh-CN"/>
              </w:rPr>
              <w:t>0.1433</w:t>
            </w:r>
          </w:p>
        </w:tc>
        <w:tc>
          <w:tcPr>
            <w:tcW w:w="1323" w:type="dxa"/>
            <w:vAlign w:val="center"/>
          </w:tcPr>
          <w:p w14:paraId="2161A884">
            <w:pPr>
              <w:pStyle w:val="237"/>
              <w:ind w:left="-105" w:right="-105"/>
              <w:rPr>
                <w:rFonts w:ascii="Times New Roman" w:hAnsi="Times New Roman" w:eastAsia="宋体" w:cs="Times New Roman"/>
                <w:color w:val="auto"/>
                <w:sz w:val="21"/>
                <w:highlight w:val="none"/>
                <w:lang w:val="en-US"/>
              </w:rPr>
            </w:pPr>
            <w:r>
              <w:rPr>
                <w:rFonts w:hint="eastAsia" w:ascii="Times New Roman" w:hAnsi="Times New Roman" w:eastAsia="宋体" w:cs="Times New Roman"/>
                <w:color w:val="auto"/>
                <w:sz w:val="21"/>
                <w:highlight w:val="none"/>
                <w:lang w:val="en-US"/>
              </w:rPr>
              <w:t>8400</w:t>
            </w:r>
          </w:p>
        </w:tc>
      </w:tr>
    </w:tbl>
    <w:p w14:paraId="0AF98D13">
      <w:pPr>
        <w:pStyle w:val="15"/>
        <w:spacing w:line="360" w:lineRule="auto"/>
        <w:ind w:left="-105" w:right="-105" w:firstLine="422"/>
        <w:jc w:val="both"/>
        <w:rPr>
          <w:rFonts w:eastAsia="宋体" w:cs="Times New Roman"/>
          <w:color w:val="auto"/>
          <w:sz w:val="21"/>
          <w:szCs w:val="21"/>
          <w:highlight w:val="none"/>
        </w:rPr>
      </w:pPr>
      <w:r>
        <w:rPr>
          <w:rFonts w:hint="eastAsia" w:eastAsia="宋体" w:cs="Times New Roman"/>
          <w:color w:val="auto"/>
          <w:sz w:val="21"/>
          <w:szCs w:val="21"/>
          <w:highlight w:val="none"/>
        </w:rPr>
        <w:t>注：（1）非甲烷总烃为异氰酸酯、丁酮、丙烯酸等有机废气的总和；（2）浓度按两个工序同时排放的最不利情况计。</w:t>
      </w:r>
    </w:p>
    <w:p w14:paraId="0CAD66C7">
      <w:pPr>
        <w:pStyle w:val="15"/>
        <w:spacing w:line="360" w:lineRule="auto"/>
        <w:ind w:left="-105" w:right="-105" w:firstLine="482"/>
        <w:rPr>
          <w:rFonts w:eastAsia="宋体" w:cs="Times New Roman"/>
          <w:color w:val="auto"/>
          <w:sz w:val="24"/>
          <w:szCs w:val="24"/>
          <w:highlight w:val="none"/>
        </w:rPr>
      </w:pPr>
    </w:p>
    <w:p w14:paraId="3D11B594">
      <w:pPr>
        <w:pStyle w:val="15"/>
        <w:spacing w:line="360" w:lineRule="auto"/>
        <w:ind w:left="-105" w:right="-105" w:firstLine="482"/>
        <w:rPr>
          <w:rFonts w:eastAsia="宋体" w:cs="Times New Roman"/>
          <w:color w:val="auto"/>
          <w:sz w:val="24"/>
          <w:szCs w:val="24"/>
          <w:highlight w:val="none"/>
        </w:rPr>
      </w:pPr>
    </w:p>
    <w:p w14:paraId="4830F80A">
      <w:pPr>
        <w:pStyle w:val="15"/>
        <w:spacing w:line="360" w:lineRule="auto"/>
        <w:ind w:left="-105" w:right="-105" w:firstLine="482"/>
        <w:rPr>
          <w:rFonts w:eastAsia="宋体" w:cs="Times New Roman"/>
          <w:color w:val="auto"/>
          <w:sz w:val="24"/>
          <w:szCs w:val="24"/>
          <w:highlight w:val="none"/>
        </w:rPr>
      </w:pPr>
    </w:p>
    <w:p w14:paraId="1A3CC8D8">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5</w:t>
      </w:r>
      <w:r>
        <w:rPr>
          <w:rFonts w:eastAsia="宋体" w:cs="Times New Roman"/>
          <w:color w:val="auto"/>
          <w:sz w:val="24"/>
          <w:szCs w:val="24"/>
          <w:highlight w:val="none"/>
        </w:rPr>
        <w:fldChar w:fldCharType="end"/>
      </w:r>
      <w:r>
        <w:rPr>
          <w:rFonts w:eastAsia="宋体" w:cs="Times New Roman"/>
          <w:color w:val="auto"/>
          <w:sz w:val="24"/>
          <w:szCs w:val="24"/>
          <w:highlight w:val="none"/>
        </w:rPr>
        <w:t>本项目</w:t>
      </w:r>
      <w:r>
        <w:rPr>
          <w:rFonts w:hint="eastAsia" w:eastAsia="宋体" w:cs="Times New Roman"/>
          <w:color w:val="auto"/>
          <w:sz w:val="24"/>
          <w:szCs w:val="24"/>
          <w:highlight w:val="none"/>
        </w:rPr>
        <w:t>大气污染物无组织排放</w:t>
      </w:r>
      <w:r>
        <w:rPr>
          <w:rFonts w:eastAsia="宋体" w:cs="Times New Roman"/>
          <w:color w:val="auto"/>
          <w:sz w:val="24"/>
          <w:szCs w:val="24"/>
          <w:highlight w:val="none"/>
        </w:rPr>
        <w:t>情况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159"/>
        <w:gridCol w:w="1950"/>
        <w:gridCol w:w="1950"/>
        <w:gridCol w:w="1951"/>
        <w:gridCol w:w="1951"/>
        <w:gridCol w:w="1951"/>
      </w:tblGrid>
      <w:tr w14:paraId="478D9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restart"/>
            <w:tcBorders>
              <w:tl2br w:val="nil"/>
              <w:tr2bl w:val="nil"/>
            </w:tcBorders>
            <w:vAlign w:val="center"/>
          </w:tcPr>
          <w:p w14:paraId="7643B8E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污染源位置</w:t>
            </w:r>
          </w:p>
        </w:tc>
        <w:tc>
          <w:tcPr>
            <w:tcW w:w="2159" w:type="dxa"/>
            <w:vMerge w:val="restart"/>
            <w:tcBorders>
              <w:tl2br w:val="nil"/>
              <w:tr2bl w:val="nil"/>
            </w:tcBorders>
            <w:vAlign w:val="center"/>
          </w:tcPr>
          <w:p w14:paraId="69B2B26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污染物名称</w:t>
            </w:r>
          </w:p>
        </w:tc>
        <w:tc>
          <w:tcPr>
            <w:tcW w:w="3900" w:type="dxa"/>
            <w:gridSpan w:val="2"/>
            <w:tcBorders>
              <w:tl2br w:val="nil"/>
              <w:tr2bl w:val="nil"/>
            </w:tcBorders>
            <w:vAlign w:val="center"/>
          </w:tcPr>
          <w:p w14:paraId="4D2255E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排放情况</w:t>
            </w:r>
          </w:p>
        </w:tc>
        <w:tc>
          <w:tcPr>
            <w:tcW w:w="1951" w:type="dxa"/>
            <w:vMerge w:val="restart"/>
            <w:tcBorders>
              <w:tl2br w:val="nil"/>
              <w:tr2bl w:val="nil"/>
            </w:tcBorders>
            <w:vAlign w:val="center"/>
          </w:tcPr>
          <w:p w14:paraId="5A552BB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面源面积m</w:t>
            </w:r>
            <w:r>
              <w:rPr>
                <w:rFonts w:hint="eastAsia" w:ascii="Times New Roman" w:hAnsi="Times New Roman" w:cs="Times New Roman"/>
                <w:b/>
                <w:bCs/>
                <w:color w:val="auto"/>
                <w:sz w:val="21"/>
                <w:szCs w:val="21"/>
                <w:highlight w:val="none"/>
                <w:vertAlign w:val="superscript"/>
              </w:rPr>
              <w:t>2</w:t>
            </w:r>
          </w:p>
        </w:tc>
        <w:tc>
          <w:tcPr>
            <w:tcW w:w="1951" w:type="dxa"/>
            <w:vMerge w:val="restart"/>
            <w:tcBorders>
              <w:tl2br w:val="nil"/>
              <w:tr2bl w:val="nil"/>
            </w:tcBorders>
            <w:vAlign w:val="center"/>
          </w:tcPr>
          <w:p w14:paraId="1A092A4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面源高度m</w:t>
            </w:r>
          </w:p>
        </w:tc>
        <w:tc>
          <w:tcPr>
            <w:tcW w:w="1951" w:type="dxa"/>
            <w:vMerge w:val="restart"/>
            <w:tcBorders>
              <w:tl2br w:val="nil"/>
              <w:tr2bl w:val="nil"/>
            </w:tcBorders>
            <w:vAlign w:val="center"/>
          </w:tcPr>
          <w:p w14:paraId="65CDCEB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无组织排放监控浓度限值mg/m</w:t>
            </w:r>
            <w:r>
              <w:rPr>
                <w:rFonts w:hint="eastAsia" w:ascii="Times New Roman" w:hAnsi="Times New Roman" w:cs="Times New Roman"/>
                <w:b/>
                <w:bCs/>
                <w:color w:val="auto"/>
                <w:sz w:val="21"/>
                <w:szCs w:val="21"/>
                <w:highlight w:val="none"/>
                <w:vertAlign w:val="superscript"/>
              </w:rPr>
              <w:t>3</w:t>
            </w:r>
          </w:p>
        </w:tc>
      </w:tr>
      <w:tr w14:paraId="44965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continue"/>
            <w:tcBorders>
              <w:tl2br w:val="nil"/>
              <w:tr2bl w:val="nil"/>
            </w:tcBorders>
            <w:vAlign w:val="center"/>
          </w:tcPr>
          <w:p w14:paraId="17547AA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2159" w:type="dxa"/>
            <w:vMerge w:val="continue"/>
            <w:tcBorders>
              <w:tl2br w:val="nil"/>
              <w:tr2bl w:val="nil"/>
            </w:tcBorders>
            <w:vAlign w:val="center"/>
          </w:tcPr>
          <w:p w14:paraId="11C296E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1950" w:type="dxa"/>
            <w:tcBorders>
              <w:tl2br w:val="nil"/>
              <w:tr2bl w:val="nil"/>
            </w:tcBorders>
            <w:vAlign w:val="center"/>
          </w:tcPr>
          <w:p w14:paraId="521055C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排放量（t/a）</w:t>
            </w:r>
          </w:p>
        </w:tc>
        <w:tc>
          <w:tcPr>
            <w:tcW w:w="1950" w:type="dxa"/>
            <w:tcBorders>
              <w:tl2br w:val="nil"/>
              <w:tr2bl w:val="nil"/>
            </w:tcBorders>
            <w:vAlign w:val="center"/>
          </w:tcPr>
          <w:p w14:paraId="64CA175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时间h</w:t>
            </w:r>
          </w:p>
        </w:tc>
        <w:tc>
          <w:tcPr>
            <w:tcW w:w="1951" w:type="dxa"/>
            <w:vMerge w:val="continue"/>
            <w:tcBorders>
              <w:tl2br w:val="nil"/>
              <w:tr2bl w:val="nil"/>
            </w:tcBorders>
            <w:vAlign w:val="center"/>
          </w:tcPr>
          <w:p w14:paraId="0E45EB8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1951" w:type="dxa"/>
            <w:vMerge w:val="continue"/>
            <w:tcBorders>
              <w:tl2br w:val="nil"/>
              <w:tr2bl w:val="nil"/>
            </w:tcBorders>
            <w:vAlign w:val="center"/>
          </w:tcPr>
          <w:p w14:paraId="1EADD09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1951" w:type="dxa"/>
            <w:vMerge w:val="continue"/>
            <w:tcBorders>
              <w:tl2br w:val="nil"/>
              <w:tr2bl w:val="nil"/>
            </w:tcBorders>
            <w:vAlign w:val="center"/>
          </w:tcPr>
          <w:p w14:paraId="7F74D1B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r>
      <w:tr w14:paraId="5E73C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tcBorders>
              <w:tl2br w:val="nil"/>
              <w:tr2bl w:val="nil"/>
            </w:tcBorders>
            <w:vAlign w:val="center"/>
          </w:tcPr>
          <w:p w14:paraId="753E2AA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二工场车间</w:t>
            </w:r>
          </w:p>
        </w:tc>
        <w:tc>
          <w:tcPr>
            <w:tcW w:w="2159" w:type="dxa"/>
            <w:tcBorders>
              <w:tl2br w:val="nil"/>
              <w:tr2bl w:val="nil"/>
            </w:tcBorders>
            <w:vAlign w:val="center"/>
          </w:tcPr>
          <w:p w14:paraId="0E621E9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950" w:type="dxa"/>
            <w:tcBorders>
              <w:tl2br w:val="nil"/>
              <w:tr2bl w:val="nil"/>
            </w:tcBorders>
            <w:vAlign w:val="center"/>
          </w:tcPr>
          <w:p w14:paraId="73D4E52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0.0235</w:t>
            </w:r>
          </w:p>
        </w:tc>
        <w:tc>
          <w:tcPr>
            <w:tcW w:w="1950" w:type="dxa"/>
            <w:tcBorders>
              <w:tl2br w:val="nil"/>
              <w:tr2bl w:val="nil"/>
            </w:tcBorders>
            <w:vAlign w:val="center"/>
          </w:tcPr>
          <w:p w14:paraId="7C3F961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2000</w:t>
            </w:r>
          </w:p>
        </w:tc>
        <w:tc>
          <w:tcPr>
            <w:tcW w:w="1951" w:type="dxa"/>
            <w:tcBorders>
              <w:tl2br w:val="nil"/>
              <w:tr2bl w:val="nil"/>
            </w:tcBorders>
            <w:vAlign w:val="center"/>
          </w:tcPr>
          <w:p w14:paraId="237BCF3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630</w:t>
            </w:r>
          </w:p>
        </w:tc>
        <w:tc>
          <w:tcPr>
            <w:tcW w:w="1951" w:type="dxa"/>
            <w:tcBorders>
              <w:tl2br w:val="nil"/>
              <w:tr2bl w:val="nil"/>
            </w:tcBorders>
            <w:vAlign w:val="center"/>
          </w:tcPr>
          <w:p w14:paraId="02182E8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12.4</w:t>
            </w:r>
          </w:p>
        </w:tc>
        <w:tc>
          <w:tcPr>
            <w:tcW w:w="1951" w:type="dxa"/>
            <w:tcBorders>
              <w:tl2br w:val="nil"/>
              <w:tr2bl w:val="nil"/>
            </w:tcBorders>
            <w:vAlign w:val="center"/>
          </w:tcPr>
          <w:p w14:paraId="566F4B8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r>
      <w:tr w14:paraId="16EA1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restart"/>
            <w:tcBorders>
              <w:tl2br w:val="nil"/>
              <w:tr2bl w:val="nil"/>
            </w:tcBorders>
            <w:vAlign w:val="center"/>
          </w:tcPr>
          <w:p w14:paraId="33FE7F9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实验室</w:t>
            </w:r>
          </w:p>
        </w:tc>
        <w:tc>
          <w:tcPr>
            <w:tcW w:w="2159" w:type="dxa"/>
            <w:tcBorders>
              <w:tl2br w:val="nil"/>
              <w:tr2bl w:val="nil"/>
            </w:tcBorders>
            <w:vAlign w:val="center"/>
          </w:tcPr>
          <w:p w14:paraId="3D93FDA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r>
              <w:rPr>
                <w:rFonts w:hint="eastAsia" w:ascii="Times New Roman" w:hAnsi="Times New Roman"/>
                <w:color w:val="auto"/>
                <w:sz w:val="21"/>
                <w:szCs w:val="21"/>
                <w:highlight w:val="none"/>
              </w:rPr>
              <w:t>（含甲醇）</w:t>
            </w:r>
          </w:p>
        </w:tc>
        <w:tc>
          <w:tcPr>
            <w:tcW w:w="1950" w:type="dxa"/>
            <w:tcBorders>
              <w:tl2br w:val="nil"/>
              <w:tr2bl w:val="nil"/>
            </w:tcBorders>
            <w:vAlign w:val="center"/>
          </w:tcPr>
          <w:p w14:paraId="3923718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rPr>
              <w:t>3</w:t>
            </w:r>
          </w:p>
        </w:tc>
        <w:tc>
          <w:tcPr>
            <w:tcW w:w="1950" w:type="dxa"/>
            <w:vMerge w:val="restart"/>
            <w:tcBorders>
              <w:tl2br w:val="nil"/>
              <w:tr2bl w:val="nil"/>
            </w:tcBorders>
            <w:vAlign w:val="center"/>
          </w:tcPr>
          <w:p w14:paraId="456BB15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500</w:t>
            </w:r>
          </w:p>
        </w:tc>
        <w:tc>
          <w:tcPr>
            <w:tcW w:w="1951" w:type="dxa"/>
            <w:vMerge w:val="restart"/>
            <w:tcBorders>
              <w:tl2br w:val="nil"/>
              <w:tr2bl w:val="nil"/>
            </w:tcBorders>
            <w:vAlign w:val="center"/>
          </w:tcPr>
          <w:p w14:paraId="3A02E59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348</w:t>
            </w:r>
          </w:p>
        </w:tc>
        <w:tc>
          <w:tcPr>
            <w:tcW w:w="1951" w:type="dxa"/>
            <w:vMerge w:val="restart"/>
            <w:tcBorders>
              <w:tl2br w:val="nil"/>
              <w:tr2bl w:val="nil"/>
            </w:tcBorders>
            <w:vAlign w:val="center"/>
          </w:tcPr>
          <w:p w14:paraId="3D0BC1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8.7</w:t>
            </w:r>
          </w:p>
        </w:tc>
        <w:tc>
          <w:tcPr>
            <w:tcW w:w="1951" w:type="dxa"/>
            <w:vMerge w:val="restart"/>
            <w:tcBorders>
              <w:tl2br w:val="nil"/>
              <w:tr2bl w:val="nil"/>
            </w:tcBorders>
            <w:vAlign w:val="center"/>
          </w:tcPr>
          <w:p w14:paraId="1C20E3B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r>
      <w:tr w14:paraId="08F01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continue"/>
            <w:tcBorders>
              <w:tl2br w:val="nil"/>
              <w:tr2bl w:val="nil"/>
            </w:tcBorders>
            <w:vAlign w:val="center"/>
          </w:tcPr>
          <w:p w14:paraId="3D0CAE4B">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bookmarkStart w:id="233" w:name="_Ref21341"/>
          </w:p>
        </w:tc>
        <w:tc>
          <w:tcPr>
            <w:tcW w:w="2159" w:type="dxa"/>
            <w:tcBorders>
              <w:tl2br w:val="nil"/>
              <w:tr2bl w:val="nil"/>
            </w:tcBorders>
            <w:vAlign w:val="center"/>
          </w:tcPr>
          <w:p w14:paraId="7CC45051">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1950" w:type="dxa"/>
            <w:tcBorders>
              <w:tl2br w:val="nil"/>
              <w:tr2bl w:val="nil"/>
            </w:tcBorders>
            <w:vAlign w:val="center"/>
          </w:tcPr>
          <w:p w14:paraId="32BB9994">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0.00003</w:t>
            </w:r>
          </w:p>
        </w:tc>
        <w:tc>
          <w:tcPr>
            <w:tcW w:w="1950" w:type="dxa"/>
            <w:vMerge w:val="continue"/>
            <w:tcBorders>
              <w:tl2br w:val="nil"/>
              <w:tr2bl w:val="nil"/>
            </w:tcBorders>
            <w:vAlign w:val="center"/>
          </w:tcPr>
          <w:p w14:paraId="3961EBB7">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686EB24D">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2E94D95E">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48BD355D">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r>
      <w:tr w14:paraId="4B735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continue"/>
            <w:tcBorders>
              <w:tl2br w:val="nil"/>
              <w:tr2bl w:val="nil"/>
            </w:tcBorders>
            <w:vAlign w:val="center"/>
          </w:tcPr>
          <w:p w14:paraId="1381F2AD">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2159" w:type="dxa"/>
            <w:tcBorders>
              <w:tl2br w:val="nil"/>
              <w:tr2bl w:val="nil"/>
            </w:tcBorders>
            <w:vAlign w:val="center"/>
          </w:tcPr>
          <w:p w14:paraId="1540E484">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olor w:val="auto"/>
                <w:sz w:val="21"/>
                <w:szCs w:val="21"/>
                <w:highlight w:val="none"/>
              </w:rPr>
              <w:t>甲醇</w:t>
            </w:r>
          </w:p>
        </w:tc>
        <w:tc>
          <w:tcPr>
            <w:tcW w:w="1950" w:type="dxa"/>
            <w:tcBorders>
              <w:tl2br w:val="nil"/>
              <w:tr2bl w:val="nil"/>
            </w:tcBorders>
            <w:vAlign w:val="center"/>
          </w:tcPr>
          <w:p w14:paraId="6C66E7AC">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0.0008</w:t>
            </w:r>
          </w:p>
        </w:tc>
        <w:tc>
          <w:tcPr>
            <w:tcW w:w="1950" w:type="dxa"/>
            <w:vMerge w:val="continue"/>
            <w:tcBorders>
              <w:tl2br w:val="nil"/>
              <w:tr2bl w:val="nil"/>
            </w:tcBorders>
            <w:vAlign w:val="center"/>
          </w:tcPr>
          <w:p w14:paraId="4D3F690F">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22B62B49">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20EDA24D">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951" w:type="dxa"/>
            <w:vMerge w:val="continue"/>
            <w:tcBorders>
              <w:tl2br w:val="nil"/>
              <w:tr2bl w:val="nil"/>
            </w:tcBorders>
            <w:vAlign w:val="center"/>
          </w:tcPr>
          <w:p w14:paraId="5453E2BD">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r>
    </w:tbl>
    <w:p w14:paraId="3C87B426">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6</w:t>
      </w:r>
      <w:r>
        <w:rPr>
          <w:rFonts w:eastAsia="宋体" w:cs="Times New Roman"/>
          <w:color w:val="auto"/>
          <w:sz w:val="24"/>
          <w:szCs w:val="24"/>
          <w:highlight w:val="none"/>
        </w:rPr>
        <w:fldChar w:fldCharType="end"/>
      </w:r>
      <w:bookmarkEnd w:id="233"/>
      <w:r>
        <w:rPr>
          <w:rFonts w:hint="eastAsia" w:eastAsia="宋体" w:cs="Times New Roman"/>
          <w:color w:val="auto"/>
          <w:sz w:val="24"/>
          <w:szCs w:val="24"/>
          <w:highlight w:val="none"/>
        </w:rPr>
        <w:t>二工场大气污染物无组织排放</w:t>
      </w:r>
      <w:r>
        <w:rPr>
          <w:rFonts w:eastAsia="宋体" w:cs="Times New Roman"/>
          <w:color w:val="auto"/>
          <w:sz w:val="24"/>
          <w:szCs w:val="24"/>
          <w:highlight w:val="none"/>
        </w:rPr>
        <w:t>情况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159"/>
        <w:gridCol w:w="1950"/>
        <w:gridCol w:w="1950"/>
        <w:gridCol w:w="1951"/>
        <w:gridCol w:w="1951"/>
        <w:gridCol w:w="1951"/>
      </w:tblGrid>
      <w:tr w14:paraId="626F6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restart"/>
            <w:tcBorders>
              <w:tl2br w:val="nil"/>
              <w:tr2bl w:val="nil"/>
            </w:tcBorders>
            <w:vAlign w:val="center"/>
          </w:tcPr>
          <w:p w14:paraId="54DA8F6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污染源位置</w:t>
            </w:r>
          </w:p>
        </w:tc>
        <w:tc>
          <w:tcPr>
            <w:tcW w:w="2159" w:type="dxa"/>
            <w:vMerge w:val="restart"/>
            <w:tcBorders>
              <w:tl2br w:val="nil"/>
              <w:tr2bl w:val="nil"/>
            </w:tcBorders>
            <w:vAlign w:val="center"/>
          </w:tcPr>
          <w:p w14:paraId="1919D3CE">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污染物名称</w:t>
            </w:r>
          </w:p>
        </w:tc>
        <w:tc>
          <w:tcPr>
            <w:tcW w:w="3900" w:type="dxa"/>
            <w:gridSpan w:val="2"/>
            <w:tcBorders>
              <w:tl2br w:val="nil"/>
              <w:tr2bl w:val="nil"/>
            </w:tcBorders>
            <w:vAlign w:val="center"/>
          </w:tcPr>
          <w:p w14:paraId="6A48D57E">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排放情况</w:t>
            </w:r>
          </w:p>
        </w:tc>
        <w:tc>
          <w:tcPr>
            <w:tcW w:w="1951" w:type="dxa"/>
            <w:vMerge w:val="restart"/>
            <w:tcBorders>
              <w:tl2br w:val="nil"/>
              <w:tr2bl w:val="nil"/>
            </w:tcBorders>
            <w:vAlign w:val="center"/>
          </w:tcPr>
          <w:p w14:paraId="0E21085E">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面源面积m</w:t>
            </w:r>
            <w:r>
              <w:rPr>
                <w:rFonts w:hint="eastAsia" w:ascii="Times New Roman" w:hAnsi="Times New Roman" w:cs="Times New Roman"/>
                <w:b/>
                <w:bCs/>
                <w:color w:val="auto"/>
                <w:sz w:val="21"/>
                <w:szCs w:val="21"/>
                <w:highlight w:val="none"/>
                <w:vertAlign w:val="superscript"/>
              </w:rPr>
              <w:t>2</w:t>
            </w:r>
          </w:p>
        </w:tc>
        <w:tc>
          <w:tcPr>
            <w:tcW w:w="1951" w:type="dxa"/>
            <w:vMerge w:val="restart"/>
            <w:tcBorders>
              <w:tl2br w:val="nil"/>
              <w:tr2bl w:val="nil"/>
            </w:tcBorders>
            <w:vAlign w:val="center"/>
          </w:tcPr>
          <w:p w14:paraId="6371A4AC">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面源高度m</w:t>
            </w:r>
          </w:p>
        </w:tc>
        <w:tc>
          <w:tcPr>
            <w:tcW w:w="1951" w:type="dxa"/>
            <w:vMerge w:val="restart"/>
            <w:tcBorders>
              <w:tl2br w:val="nil"/>
              <w:tr2bl w:val="nil"/>
            </w:tcBorders>
            <w:vAlign w:val="center"/>
          </w:tcPr>
          <w:p w14:paraId="0C12C76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无组织排放监控浓度限值mg/m</w:t>
            </w:r>
            <w:r>
              <w:rPr>
                <w:rFonts w:hint="eastAsia" w:ascii="Times New Roman" w:hAnsi="Times New Roman" w:cs="Times New Roman"/>
                <w:b/>
                <w:bCs/>
                <w:color w:val="auto"/>
                <w:sz w:val="21"/>
                <w:szCs w:val="21"/>
                <w:highlight w:val="none"/>
                <w:vertAlign w:val="superscript"/>
              </w:rPr>
              <w:t>3</w:t>
            </w:r>
          </w:p>
        </w:tc>
      </w:tr>
      <w:tr w14:paraId="26F8D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vMerge w:val="continue"/>
            <w:tcBorders>
              <w:tl2br w:val="nil"/>
              <w:tr2bl w:val="nil"/>
            </w:tcBorders>
            <w:vAlign w:val="center"/>
          </w:tcPr>
          <w:p w14:paraId="60C7524A">
            <w:pPr>
              <w:ind w:left="-105" w:right="-105"/>
              <w:jc w:val="center"/>
              <w:rPr>
                <w:rFonts w:ascii="Times New Roman" w:hAnsi="Times New Roman" w:cs="Times New Roman"/>
                <w:b/>
                <w:bCs/>
                <w:color w:val="auto"/>
                <w:sz w:val="21"/>
                <w:szCs w:val="21"/>
                <w:highlight w:val="none"/>
              </w:rPr>
            </w:pPr>
          </w:p>
        </w:tc>
        <w:tc>
          <w:tcPr>
            <w:tcW w:w="2159" w:type="dxa"/>
            <w:vMerge w:val="continue"/>
            <w:tcBorders>
              <w:tl2br w:val="nil"/>
              <w:tr2bl w:val="nil"/>
            </w:tcBorders>
            <w:vAlign w:val="center"/>
          </w:tcPr>
          <w:p w14:paraId="7D489517">
            <w:pPr>
              <w:ind w:left="-105" w:right="-105"/>
              <w:jc w:val="center"/>
              <w:rPr>
                <w:rFonts w:ascii="Times New Roman" w:hAnsi="Times New Roman" w:cs="Times New Roman"/>
                <w:b/>
                <w:bCs/>
                <w:color w:val="auto"/>
                <w:sz w:val="21"/>
                <w:szCs w:val="21"/>
                <w:highlight w:val="none"/>
              </w:rPr>
            </w:pPr>
          </w:p>
        </w:tc>
        <w:tc>
          <w:tcPr>
            <w:tcW w:w="1950" w:type="dxa"/>
            <w:tcBorders>
              <w:tl2br w:val="nil"/>
              <w:tr2bl w:val="nil"/>
            </w:tcBorders>
            <w:vAlign w:val="center"/>
          </w:tcPr>
          <w:p w14:paraId="2BC18405">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排放量（t/a）</w:t>
            </w:r>
          </w:p>
        </w:tc>
        <w:tc>
          <w:tcPr>
            <w:tcW w:w="1950" w:type="dxa"/>
            <w:tcBorders>
              <w:tl2br w:val="nil"/>
              <w:tr2bl w:val="nil"/>
            </w:tcBorders>
            <w:vAlign w:val="center"/>
          </w:tcPr>
          <w:p w14:paraId="47C61FC4">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时间h</w:t>
            </w:r>
          </w:p>
        </w:tc>
        <w:tc>
          <w:tcPr>
            <w:tcW w:w="1951" w:type="dxa"/>
            <w:vMerge w:val="continue"/>
            <w:tcBorders>
              <w:tl2br w:val="nil"/>
              <w:tr2bl w:val="nil"/>
            </w:tcBorders>
            <w:vAlign w:val="center"/>
          </w:tcPr>
          <w:p w14:paraId="6444E12E">
            <w:pPr>
              <w:ind w:left="-105" w:right="-105"/>
              <w:jc w:val="center"/>
              <w:rPr>
                <w:rFonts w:ascii="Times New Roman" w:hAnsi="Times New Roman" w:cs="Times New Roman"/>
                <w:b/>
                <w:bCs/>
                <w:color w:val="auto"/>
                <w:sz w:val="21"/>
                <w:szCs w:val="21"/>
                <w:highlight w:val="none"/>
              </w:rPr>
            </w:pPr>
          </w:p>
        </w:tc>
        <w:tc>
          <w:tcPr>
            <w:tcW w:w="1951" w:type="dxa"/>
            <w:vMerge w:val="continue"/>
            <w:tcBorders>
              <w:tl2br w:val="nil"/>
              <w:tr2bl w:val="nil"/>
            </w:tcBorders>
            <w:vAlign w:val="center"/>
          </w:tcPr>
          <w:p w14:paraId="42D8EE65">
            <w:pPr>
              <w:ind w:left="-105" w:right="-105"/>
              <w:jc w:val="center"/>
              <w:rPr>
                <w:rFonts w:ascii="Times New Roman" w:hAnsi="Times New Roman" w:cs="Times New Roman"/>
                <w:b/>
                <w:bCs/>
                <w:color w:val="auto"/>
                <w:sz w:val="21"/>
                <w:szCs w:val="21"/>
                <w:highlight w:val="none"/>
              </w:rPr>
            </w:pPr>
          </w:p>
        </w:tc>
        <w:tc>
          <w:tcPr>
            <w:tcW w:w="1951" w:type="dxa"/>
            <w:vMerge w:val="continue"/>
            <w:tcBorders>
              <w:tl2br w:val="nil"/>
              <w:tr2bl w:val="nil"/>
            </w:tcBorders>
            <w:vAlign w:val="center"/>
          </w:tcPr>
          <w:p w14:paraId="52A231BD">
            <w:pPr>
              <w:ind w:left="-105" w:right="-105"/>
              <w:jc w:val="center"/>
              <w:rPr>
                <w:rFonts w:ascii="Times New Roman" w:hAnsi="Times New Roman" w:cs="Times New Roman"/>
                <w:b/>
                <w:bCs/>
                <w:color w:val="auto"/>
                <w:sz w:val="21"/>
                <w:szCs w:val="21"/>
                <w:highlight w:val="none"/>
              </w:rPr>
            </w:pPr>
          </w:p>
        </w:tc>
      </w:tr>
      <w:tr w14:paraId="1F767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0" w:type="dxa"/>
            <w:tcBorders>
              <w:tl2br w:val="nil"/>
              <w:tr2bl w:val="nil"/>
            </w:tcBorders>
            <w:vAlign w:val="center"/>
          </w:tcPr>
          <w:p w14:paraId="0556315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二工场车间</w:t>
            </w:r>
          </w:p>
        </w:tc>
        <w:tc>
          <w:tcPr>
            <w:tcW w:w="2159" w:type="dxa"/>
            <w:tcBorders>
              <w:tl2br w:val="nil"/>
              <w:tr2bl w:val="nil"/>
            </w:tcBorders>
            <w:vAlign w:val="center"/>
          </w:tcPr>
          <w:p w14:paraId="2F9169E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950" w:type="dxa"/>
            <w:tcBorders>
              <w:tl2br w:val="nil"/>
              <w:tr2bl w:val="nil"/>
            </w:tcBorders>
            <w:vAlign w:val="center"/>
          </w:tcPr>
          <w:p w14:paraId="302CBD9F">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0.0395</w:t>
            </w:r>
          </w:p>
        </w:tc>
        <w:tc>
          <w:tcPr>
            <w:tcW w:w="1950" w:type="dxa"/>
            <w:tcBorders>
              <w:tl2br w:val="nil"/>
              <w:tr2bl w:val="nil"/>
            </w:tcBorders>
            <w:vAlign w:val="center"/>
          </w:tcPr>
          <w:p w14:paraId="0C11093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8400</w:t>
            </w:r>
          </w:p>
        </w:tc>
        <w:tc>
          <w:tcPr>
            <w:tcW w:w="1951" w:type="dxa"/>
            <w:tcBorders>
              <w:tl2br w:val="nil"/>
              <w:tr2bl w:val="nil"/>
            </w:tcBorders>
            <w:vAlign w:val="center"/>
          </w:tcPr>
          <w:p w14:paraId="5A1EB79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630</w:t>
            </w:r>
          </w:p>
        </w:tc>
        <w:tc>
          <w:tcPr>
            <w:tcW w:w="1951" w:type="dxa"/>
            <w:tcBorders>
              <w:tl2br w:val="nil"/>
              <w:tr2bl w:val="nil"/>
            </w:tcBorders>
            <w:vAlign w:val="center"/>
          </w:tcPr>
          <w:p w14:paraId="3360B10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12.4</w:t>
            </w:r>
          </w:p>
        </w:tc>
        <w:tc>
          <w:tcPr>
            <w:tcW w:w="1951" w:type="dxa"/>
            <w:tcBorders>
              <w:tl2br w:val="nil"/>
              <w:tr2bl w:val="nil"/>
            </w:tcBorders>
            <w:vAlign w:val="center"/>
          </w:tcPr>
          <w:p w14:paraId="5F27289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r>
    </w:tbl>
    <w:p w14:paraId="737DD2DF">
      <w:pPr>
        <w:spacing w:line="360" w:lineRule="auto"/>
        <w:ind w:left="-105" w:right="-105"/>
        <w:rPr>
          <w:rFonts w:ascii="Times New Roman" w:hAnsi="Times New Roman"/>
          <w:color w:val="auto"/>
          <w:highlight w:val="none"/>
        </w:rPr>
      </w:pPr>
    </w:p>
    <w:p w14:paraId="676E6448">
      <w:pPr>
        <w:pStyle w:val="20"/>
        <w:ind w:left="-105" w:right="-105" w:firstLine="560"/>
        <w:rPr>
          <w:rFonts w:ascii="Times New Roman" w:hAnsi="Times New Roman"/>
          <w:color w:val="auto"/>
          <w:highlight w:val="none"/>
        </w:rPr>
      </w:pPr>
    </w:p>
    <w:p w14:paraId="1CDD0A3E">
      <w:pPr>
        <w:pStyle w:val="21"/>
        <w:ind w:left="-105" w:right="-105" w:firstLine="560"/>
        <w:rPr>
          <w:color w:val="auto"/>
          <w:highlight w:val="none"/>
        </w:rPr>
      </w:pPr>
    </w:p>
    <w:p w14:paraId="22FFBC9B">
      <w:pPr>
        <w:pStyle w:val="21"/>
        <w:ind w:left="-105" w:right="-105" w:firstLine="560"/>
        <w:rPr>
          <w:color w:val="auto"/>
          <w:highlight w:val="none"/>
        </w:rPr>
      </w:pPr>
    </w:p>
    <w:p w14:paraId="6BA453BF">
      <w:pPr>
        <w:pStyle w:val="21"/>
        <w:ind w:left="-105" w:right="-105" w:firstLine="560"/>
        <w:rPr>
          <w:color w:val="auto"/>
          <w:highlight w:val="none"/>
        </w:rPr>
        <w:sectPr>
          <w:pgSz w:w="16838" w:h="11906" w:orient="landscape"/>
          <w:pgMar w:top="1797" w:right="1701" w:bottom="1514" w:left="1701" w:header="851" w:footer="851" w:gutter="0"/>
          <w:pgBorders>
            <w:top w:val="none" w:sz="0" w:space="0"/>
            <w:left w:val="none" w:sz="0" w:space="0"/>
            <w:bottom w:val="none" w:sz="0" w:space="0"/>
            <w:right w:val="none" w:sz="0" w:space="0"/>
          </w:pgBorders>
          <w:cols w:space="720" w:num="1"/>
          <w:docGrid w:linePitch="498" w:charSpace="-2336"/>
        </w:sectPr>
      </w:pPr>
    </w:p>
    <w:p w14:paraId="0130A15D">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34" w:name="_Toc60653503"/>
      <w:r>
        <w:rPr>
          <w:rFonts w:hint="eastAsia" w:eastAsia="宋体"/>
          <w:color w:val="auto"/>
          <w:sz w:val="28"/>
          <w:szCs w:val="28"/>
          <w:highlight w:val="none"/>
        </w:rPr>
        <w:t>废水污染源强分析</w:t>
      </w:r>
      <w:bookmarkEnd w:id="234"/>
    </w:p>
    <w:p w14:paraId="5054C6A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本项目废水主要为超纯水制备过程产生的RO浓水和系统反冲洗水</w:t>
      </w:r>
      <w:r>
        <w:rPr>
          <w:rFonts w:hint="eastAsia" w:ascii="Times New Roman" w:hAnsi="Times New Roman"/>
          <w:color w:val="auto"/>
          <w:highlight w:val="none"/>
          <w:lang w:val="en-US" w:eastAsia="zh-CN"/>
        </w:rPr>
        <w:t>12.5</w:t>
      </w:r>
      <w:r>
        <w:rPr>
          <w:rFonts w:hint="eastAsia" w:ascii="Times New Roman" w:hAnsi="Times New Roman"/>
          <w:color w:val="auto"/>
          <w:highlight w:val="none"/>
        </w:rPr>
        <w:t>t/a，由于该水水质简单，类比同类项目废水污染物源强，具体见下表：</w:t>
      </w:r>
    </w:p>
    <w:p w14:paraId="50DC7C58">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7</w:t>
      </w:r>
      <w:r>
        <w:rPr>
          <w:rFonts w:eastAsia="宋体" w:cs="Times New Roman"/>
          <w:color w:val="auto"/>
          <w:sz w:val="24"/>
          <w:szCs w:val="24"/>
          <w:highlight w:val="none"/>
        </w:rPr>
        <w:fldChar w:fldCharType="end"/>
      </w:r>
      <w:r>
        <w:rPr>
          <w:rFonts w:hint="eastAsia" w:eastAsia="宋体" w:cs="Times New Roman"/>
          <w:color w:val="auto"/>
          <w:sz w:val="24"/>
          <w:szCs w:val="24"/>
          <w:highlight w:val="none"/>
        </w:rPr>
        <w:t>本项目废水污染物产生源强表</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1772"/>
        <w:gridCol w:w="1558"/>
        <w:gridCol w:w="1898"/>
        <w:gridCol w:w="1841"/>
      </w:tblGrid>
      <w:tr w14:paraId="2B8751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51" w:type="dxa"/>
            <w:vAlign w:val="center"/>
          </w:tcPr>
          <w:p w14:paraId="26214BB2">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种类</w:t>
            </w:r>
          </w:p>
        </w:tc>
        <w:tc>
          <w:tcPr>
            <w:tcW w:w="1772" w:type="dxa"/>
            <w:vAlign w:val="center"/>
          </w:tcPr>
          <w:p w14:paraId="4BE93A18">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水量（t/a）</w:t>
            </w:r>
          </w:p>
        </w:tc>
        <w:tc>
          <w:tcPr>
            <w:tcW w:w="1558" w:type="dxa"/>
            <w:vAlign w:val="center"/>
          </w:tcPr>
          <w:p w14:paraId="6F285E7C">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1898" w:type="dxa"/>
            <w:vAlign w:val="center"/>
          </w:tcPr>
          <w:p w14:paraId="6C875629">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产生浓度（mg/L）</w:t>
            </w:r>
          </w:p>
        </w:tc>
        <w:tc>
          <w:tcPr>
            <w:tcW w:w="1841" w:type="dxa"/>
            <w:vAlign w:val="center"/>
          </w:tcPr>
          <w:p w14:paraId="6C5794F9">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产生量（t/a）</w:t>
            </w:r>
          </w:p>
        </w:tc>
      </w:tr>
      <w:tr w14:paraId="498F0A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1" w:type="dxa"/>
            <w:vMerge w:val="restart"/>
            <w:vAlign w:val="center"/>
          </w:tcPr>
          <w:p w14:paraId="6390D57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制纯浓水、反冲洗水</w:t>
            </w:r>
          </w:p>
        </w:tc>
        <w:tc>
          <w:tcPr>
            <w:tcW w:w="1772" w:type="dxa"/>
            <w:vMerge w:val="restart"/>
            <w:vAlign w:val="center"/>
          </w:tcPr>
          <w:p w14:paraId="1697AD5F">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12.5</w:t>
            </w:r>
          </w:p>
        </w:tc>
        <w:tc>
          <w:tcPr>
            <w:tcW w:w="1558" w:type="dxa"/>
            <w:vAlign w:val="center"/>
          </w:tcPr>
          <w:p w14:paraId="61CF2F9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p>
        </w:tc>
        <w:tc>
          <w:tcPr>
            <w:tcW w:w="1898" w:type="dxa"/>
            <w:vAlign w:val="center"/>
          </w:tcPr>
          <w:p w14:paraId="398ACF17">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w:t>
            </w:r>
          </w:p>
        </w:tc>
        <w:tc>
          <w:tcPr>
            <w:tcW w:w="1841" w:type="dxa"/>
            <w:vAlign w:val="center"/>
          </w:tcPr>
          <w:p w14:paraId="2CAB08F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rPr>
              <w:t>8</w:t>
            </w:r>
          </w:p>
        </w:tc>
      </w:tr>
      <w:tr w14:paraId="5F9980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1" w:type="dxa"/>
            <w:vMerge w:val="continue"/>
            <w:vAlign w:val="center"/>
          </w:tcPr>
          <w:p w14:paraId="3CDC8D50">
            <w:pPr>
              <w:ind w:left="-105" w:right="-105"/>
              <w:jc w:val="center"/>
              <w:rPr>
                <w:rFonts w:ascii="Times New Roman" w:hAnsi="Times New Roman" w:cs="Times New Roman"/>
                <w:color w:val="auto"/>
                <w:sz w:val="21"/>
                <w:szCs w:val="21"/>
                <w:highlight w:val="none"/>
              </w:rPr>
            </w:pPr>
          </w:p>
        </w:tc>
        <w:tc>
          <w:tcPr>
            <w:tcW w:w="1772" w:type="dxa"/>
            <w:vMerge w:val="continue"/>
            <w:vAlign w:val="center"/>
          </w:tcPr>
          <w:p w14:paraId="7D245978">
            <w:pPr>
              <w:ind w:left="-105" w:right="-105"/>
              <w:jc w:val="center"/>
              <w:rPr>
                <w:rFonts w:ascii="Times New Roman" w:hAnsi="Times New Roman" w:cs="Times New Roman"/>
                <w:color w:val="auto"/>
                <w:sz w:val="21"/>
                <w:szCs w:val="21"/>
                <w:highlight w:val="none"/>
              </w:rPr>
            </w:pPr>
          </w:p>
        </w:tc>
        <w:tc>
          <w:tcPr>
            <w:tcW w:w="1558" w:type="dxa"/>
            <w:vAlign w:val="center"/>
          </w:tcPr>
          <w:p w14:paraId="3F865F8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1898" w:type="dxa"/>
            <w:vAlign w:val="center"/>
          </w:tcPr>
          <w:p w14:paraId="6E48DB6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w:t>
            </w:r>
          </w:p>
        </w:tc>
        <w:tc>
          <w:tcPr>
            <w:tcW w:w="1841" w:type="dxa"/>
            <w:vAlign w:val="center"/>
          </w:tcPr>
          <w:p w14:paraId="71B17049">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04</w:t>
            </w:r>
          </w:p>
        </w:tc>
      </w:tr>
    </w:tbl>
    <w:p w14:paraId="13217C27">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项目纯水制备过程中不添加任何药剂，纯水制备浓水、反冲洗水污染较轻，少量污染主要来源于自来水，主要污染因子是COD、SS，根据同类项目调查，纯水制备浓水、反冲洗水完全可用于冲厕，且基本不会影响生活污水的产生情况，因此本报告不再对其进行分析评价。</w:t>
      </w:r>
    </w:p>
    <w:p w14:paraId="589C4367">
      <w:pPr>
        <w:spacing w:line="360" w:lineRule="auto"/>
        <w:ind w:left="-105" w:right="-105" w:firstLine="480" w:firstLineChars="200"/>
        <w:rPr>
          <w:rFonts w:hint="default" w:ascii="Times New Roman" w:hAnsi="Times New Roman" w:eastAsia="宋体"/>
          <w:color w:val="auto"/>
          <w:highlight w:val="none"/>
          <w:lang w:val="en-US" w:eastAsia="zh-CN"/>
        </w:rPr>
      </w:pPr>
      <w:r>
        <w:rPr>
          <w:rFonts w:hint="eastAsia"/>
          <w:color w:val="auto"/>
          <w:highlight w:val="none"/>
          <w:lang w:val="en-US" w:eastAsia="zh-CN"/>
        </w:rPr>
        <w:t>由于本项目不新增员工，故生活污水不新增；本项目亦不新增用地面积，故初期雨水预估量不变。综上所述，本项目建成后，生活污水和初期雨水量不变，故本报告不再开展评价分析。</w:t>
      </w:r>
    </w:p>
    <w:p w14:paraId="67DBFE98">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35" w:name="_Toc60653504"/>
      <w:r>
        <w:rPr>
          <w:rFonts w:hint="eastAsia" w:eastAsia="宋体"/>
          <w:color w:val="auto"/>
          <w:sz w:val="28"/>
          <w:szCs w:val="28"/>
          <w:highlight w:val="none"/>
        </w:rPr>
        <w:t>噪声污染源强分析</w:t>
      </w:r>
      <w:bookmarkEnd w:id="235"/>
    </w:p>
    <w:p w14:paraId="31BBFEB0">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本项目主要</w:t>
      </w:r>
      <w:r>
        <w:rPr>
          <w:rFonts w:ascii="Times New Roman" w:hAnsi="Times New Roman" w:cs="Times New Roman"/>
          <w:color w:val="auto"/>
          <w:highlight w:val="none"/>
        </w:rPr>
        <w:t>生产设备主要集中在</w:t>
      </w:r>
      <w:r>
        <w:rPr>
          <w:rFonts w:hint="eastAsia" w:ascii="Times New Roman" w:hAnsi="Times New Roman" w:cs="Times New Roman"/>
          <w:color w:val="auto"/>
          <w:highlight w:val="none"/>
        </w:rPr>
        <w:t>二工场车间内，实验室设备在实验楼</w:t>
      </w:r>
      <w:r>
        <w:rPr>
          <w:rFonts w:ascii="Times New Roman" w:hAnsi="Times New Roman" w:cs="Times New Roman"/>
          <w:color w:val="auto"/>
          <w:highlight w:val="none"/>
        </w:rPr>
        <w:t>内，公辅工程布置在厂区内车间外</w:t>
      </w:r>
      <w:r>
        <w:rPr>
          <w:rFonts w:hint="eastAsia" w:ascii="Times New Roman" w:hAnsi="Times New Roman" w:cs="Times New Roman"/>
          <w:color w:val="auto"/>
          <w:highlight w:val="none"/>
        </w:rPr>
        <w:t>。本项目主要噪声设备为</w:t>
      </w:r>
      <w:r>
        <w:rPr>
          <w:rFonts w:hint="eastAsia" w:ascii="Times New Roman" w:hAnsi="Times New Roman" w:cs="Times New Roman"/>
          <w:color w:val="auto"/>
          <w:highlight w:val="none"/>
          <w:lang w:val="en-US" w:eastAsia="zh-CN"/>
        </w:rPr>
        <w:t>新增</w:t>
      </w:r>
      <w:r>
        <w:rPr>
          <w:rFonts w:hint="eastAsia" w:ascii="Times New Roman" w:hAnsi="Times New Roman" w:cs="Times New Roman"/>
          <w:color w:val="auto"/>
          <w:highlight w:val="none"/>
        </w:rPr>
        <w:t>的二工场</w:t>
      </w:r>
      <w:r>
        <w:rPr>
          <w:rFonts w:hint="eastAsia" w:ascii="Times New Roman" w:hAnsi="Times New Roman" w:cs="Times New Roman"/>
          <w:color w:val="auto"/>
          <w:highlight w:val="none"/>
          <w:lang w:val="en-US" w:eastAsia="zh-CN"/>
        </w:rPr>
        <w:t>洁净室引风风机</w:t>
      </w:r>
      <w:r>
        <w:rPr>
          <w:rFonts w:hint="eastAsia" w:ascii="Times New Roman" w:hAnsi="Times New Roman" w:cs="Times New Roman"/>
          <w:color w:val="auto"/>
          <w:highlight w:val="none"/>
        </w:rPr>
        <w:t>和实验楼DA006废气处理设施及配套风机。</w:t>
      </w:r>
      <w:r>
        <w:rPr>
          <w:rFonts w:ascii="Times New Roman" w:hAnsi="Times New Roman" w:cs="Times New Roman"/>
          <w:color w:val="auto"/>
          <w:highlight w:val="none"/>
        </w:rPr>
        <w:t>具体各噪声源强详见</w:t>
      </w:r>
      <w:r>
        <w:rPr>
          <w:rFonts w:hint="eastAsia" w:ascii="Times New Roman" w:hAnsi="Times New Roman" w:cs="Times New Roman"/>
          <w:color w:val="auto"/>
          <w:highlight w:val="none"/>
        </w:rPr>
        <w:t>下表。</w:t>
      </w:r>
    </w:p>
    <w:p w14:paraId="33F5A323">
      <w:pPr>
        <w:pStyle w:val="15"/>
        <w:ind w:left="-105" w:right="-105" w:firstLine="482"/>
        <w:rPr>
          <w:rFonts w:eastAsia="宋体" w:cs="Times New Roman"/>
          <w:color w:val="auto"/>
          <w:sz w:val="24"/>
          <w:szCs w:val="18"/>
          <w:highlight w:val="none"/>
        </w:rPr>
      </w:pPr>
      <w:bookmarkStart w:id="236" w:name="_Ref61965174"/>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4.6</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8</w:t>
      </w:r>
      <w:r>
        <w:rPr>
          <w:rFonts w:eastAsia="宋体" w:cs="Times New Roman"/>
          <w:color w:val="auto"/>
          <w:sz w:val="24"/>
          <w:szCs w:val="18"/>
          <w:highlight w:val="none"/>
        </w:rPr>
        <w:fldChar w:fldCharType="end"/>
      </w:r>
      <w:bookmarkEnd w:id="236"/>
      <w:r>
        <w:rPr>
          <w:rFonts w:eastAsia="宋体" w:cs="Times New Roman"/>
          <w:color w:val="auto"/>
          <w:sz w:val="24"/>
          <w:szCs w:val="18"/>
          <w:highlight w:val="none"/>
        </w:rPr>
        <w:t>本项目</w:t>
      </w:r>
      <w:r>
        <w:rPr>
          <w:rFonts w:hint="eastAsia" w:eastAsia="宋体" w:cs="Times New Roman"/>
          <w:color w:val="auto"/>
          <w:sz w:val="24"/>
          <w:szCs w:val="18"/>
          <w:highlight w:val="none"/>
        </w:rPr>
        <w:t>噪声源强调查清单（室外声源）</w:t>
      </w:r>
    </w:p>
    <w:tbl>
      <w:tblPr>
        <w:tblStyle w:val="45"/>
        <w:tblW w:w="505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73"/>
        <w:gridCol w:w="2289"/>
        <w:gridCol w:w="468"/>
        <w:gridCol w:w="454"/>
        <w:gridCol w:w="494"/>
        <w:gridCol w:w="576"/>
        <w:gridCol w:w="643"/>
        <w:gridCol w:w="1508"/>
        <w:gridCol w:w="1089"/>
        <w:gridCol w:w="724"/>
      </w:tblGrid>
      <w:tr w14:paraId="415EB8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73" w:type="dxa"/>
            <w:vMerge w:val="restart"/>
            <w:noWrap/>
            <w:vAlign w:val="center"/>
          </w:tcPr>
          <w:p w14:paraId="46EB5B3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2289" w:type="dxa"/>
            <w:vMerge w:val="restart"/>
            <w:noWrap/>
            <w:vAlign w:val="center"/>
          </w:tcPr>
          <w:p w14:paraId="1711646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声源名称</w:t>
            </w:r>
          </w:p>
        </w:tc>
        <w:tc>
          <w:tcPr>
            <w:tcW w:w="468" w:type="dxa"/>
            <w:vMerge w:val="restart"/>
            <w:noWrap/>
            <w:vAlign w:val="center"/>
          </w:tcPr>
          <w:p w14:paraId="338A1BB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数量</w:t>
            </w:r>
          </w:p>
        </w:tc>
        <w:tc>
          <w:tcPr>
            <w:tcW w:w="454" w:type="dxa"/>
            <w:vMerge w:val="restart"/>
            <w:noWrap/>
            <w:vAlign w:val="center"/>
          </w:tcPr>
          <w:p w14:paraId="3E9E4FC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型号</w:t>
            </w:r>
          </w:p>
        </w:tc>
        <w:tc>
          <w:tcPr>
            <w:tcW w:w="1713" w:type="dxa"/>
            <w:gridSpan w:val="3"/>
            <w:noWrap/>
            <w:vAlign w:val="center"/>
          </w:tcPr>
          <w:p w14:paraId="23FF37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空间相对位置/m</w:t>
            </w:r>
          </w:p>
        </w:tc>
        <w:tc>
          <w:tcPr>
            <w:tcW w:w="1508" w:type="dxa"/>
            <w:noWrap/>
            <w:vAlign w:val="center"/>
          </w:tcPr>
          <w:p w14:paraId="64309CC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声源源强</w:t>
            </w:r>
          </w:p>
        </w:tc>
        <w:tc>
          <w:tcPr>
            <w:tcW w:w="1089" w:type="dxa"/>
            <w:vMerge w:val="restart"/>
            <w:noWrap/>
            <w:vAlign w:val="center"/>
          </w:tcPr>
          <w:p w14:paraId="6B9F75E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声源控制措施</w:t>
            </w:r>
          </w:p>
        </w:tc>
        <w:tc>
          <w:tcPr>
            <w:tcW w:w="724" w:type="dxa"/>
            <w:vMerge w:val="restart"/>
            <w:noWrap/>
            <w:vAlign w:val="center"/>
          </w:tcPr>
          <w:p w14:paraId="65390E3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运行时段/h</w:t>
            </w:r>
          </w:p>
        </w:tc>
      </w:tr>
      <w:tr w14:paraId="76EA5E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73" w:type="dxa"/>
            <w:vMerge w:val="continue"/>
            <w:vAlign w:val="center"/>
          </w:tcPr>
          <w:p w14:paraId="31FE52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2289" w:type="dxa"/>
            <w:vMerge w:val="continue"/>
            <w:vAlign w:val="center"/>
          </w:tcPr>
          <w:p w14:paraId="0A98291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468" w:type="dxa"/>
            <w:vMerge w:val="continue"/>
            <w:vAlign w:val="center"/>
          </w:tcPr>
          <w:p w14:paraId="4F3B8CA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454" w:type="dxa"/>
            <w:vMerge w:val="continue"/>
            <w:vAlign w:val="center"/>
          </w:tcPr>
          <w:p w14:paraId="195C77F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494" w:type="dxa"/>
            <w:noWrap/>
            <w:vAlign w:val="center"/>
          </w:tcPr>
          <w:p w14:paraId="58B6424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X</w:t>
            </w:r>
          </w:p>
        </w:tc>
        <w:tc>
          <w:tcPr>
            <w:tcW w:w="576" w:type="dxa"/>
            <w:noWrap/>
            <w:vAlign w:val="center"/>
          </w:tcPr>
          <w:p w14:paraId="77DE510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Y</w:t>
            </w:r>
          </w:p>
        </w:tc>
        <w:tc>
          <w:tcPr>
            <w:tcW w:w="643" w:type="dxa"/>
            <w:noWrap/>
            <w:vAlign w:val="center"/>
          </w:tcPr>
          <w:p w14:paraId="6F4B911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Z</w:t>
            </w:r>
          </w:p>
        </w:tc>
        <w:tc>
          <w:tcPr>
            <w:tcW w:w="1508" w:type="dxa"/>
            <w:noWrap/>
            <w:vAlign w:val="center"/>
          </w:tcPr>
          <w:p w14:paraId="225643D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w:t>
            </w:r>
            <w:r>
              <w:rPr>
                <w:rFonts w:ascii="Times New Roman" w:hAnsi="Times New Roman" w:cs="Times New Roman"/>
                <w:b/>
                <w:bCs/>
                <w:color w:val="auto"/>
                <w:sz w:val="21"/>
                <w:szCs w:val="21"/>
                <w:highlight w:val="none"/>
              </w:rPr>
              <w:t>声压级/距声源距离</w:t>
            </w:r>
            <w:r>
              <w:rPr>
                <w:rFonts w:hint="eastAsia" w:ascii="Times New Roman" w:hAnsi="Times New Roman" w:cs="Times New Roman"/>
                <w:b/>
                <w:bCs/>
                <w:color w:val="auto"/>
                <w:sz w:val="21"/>
                <w:szCs w:val="21"/>
                <w:highlight w:val="none"/>
              </w:rPr>
              <w:t>)</w:t>
            </w:r>
            <w:r>
              <w:rPr>
                <w:rFonts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rPr>
              <w:t>(</w:t>
            </w:r>
            <w:r>
              <w:rPr>
                <w:rFonts w:ascii="Times New Roman" w:hAnsi="Times New Roman" w:cs="Times New Roman"/>
                <w:b/>
                <w:bCs/>
                <w:color w:val="auto"/>
                <w:sz w:val="21"/>
                <w:szCs w:val="21"/>
                <w:highlight w:val="none"/>
              </w:rPr>
              <w:t>dB(A)/m</w:t>
            </w:r>
            <w:r>
              <w:rPr>
                <w:rFonts w:hint="eastAsia" w:ascii="Times New Roman" w:hAnsi="Times New Roman" w:cs="Times New Roman"/>
                <w:b/>
                <w:bCs/>
                <w:color w:val="auto"/>
                <w:sz w:val="21"/>
                <w:szCs w:val="21"/>
                <w:highlight w:val="none"/>
              </w:rPr>
              <w:t>)</w:t>
            </w:r>
          </w:p>
        </w:tc>
        <w:tc>
          <w:tcPr>
            <w:tcW w:w="1089" w:type="dxa"/>
            <w:vMerge w:val="continue"/>
            <w:vAlign w:val="center"/>
          </w:tcPr>
          <w:p w14:paraId="03358B6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724" w:type="dxa"/>
            <w:vMerge w:val="continue"/>
            <w:vAlign w:val="center"/>
          </w:tcPr>
          <w:p w14:paraId="3A46D5F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5A7FB7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73" w:type="dxa"/>
            <w:noWrap/>
            <w:vAlign w:val="center"/>
          </w:tcPr>
          <w:p w14:paraId="099E9F1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289" w:type="dxa"/>
            <w:noWrap/>
            <w:vAlign w:val="center"/>
          </w:tcPr>
          <w:p w14:paraId="596C265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洁净室引风风机</w:t>
            </w:r>
          </w:p>
        </w:tc>
        <w:tc>
          <w:tcPr>
            <w:tcW w:w="468" w:type="dxa"/>
            <w:noWrap/>
            <w:vAlign w:val="center"/>
          </w:tcPr>
          <w:p w14:paraId="06D9656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454" w:type="dxa"/>
            <w:noWrap/>
            <w:vAlign w:val="center"/>
          </w:tcPr>
          <w:p w14:paraId="52B8609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4" w:type="dxa"/>
            <w:noWrap/>
            <w:vAlign w:val="center"/>
          </w:tcPr>
          <w:p w14:paraId="26A7486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75</w:t>
            </w:r>
          </w:p>
        </w:tc>
        <w:tc>
          <w:tcPr>
            <w:tcW w:w="576" w:type="dxa"/>
            <w:noWrap/>
            <w:vAlign w:val="center"/>
          </w:tcPr>
          <w:p w14:paraId="726C081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122</w:t>
            </w:r>
          </w:p>
        </w:tc>
        <w:tc>
          <w:tcPr>
            <w:tcW w:w="643" w:type="dxa"/>
            <w:noWrap/>
            <w:vAlign w:val="center"/>
          </w:tcPr>
          <w:p w14:paraId="408295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12.4</w:t>
            </w:r>
          </w:p>
        </w:tc>
        <w:tc>
          <w:tcPr>
            <w:tcW w:w="1508" w:type="dxa"/>
            <w:noWrap/>
            <w:vAlign w:val="center"/>
          </w:tcPr>
          <w:p w14:paraId="7CF9D4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95/1</w:t>
            </w:r>
          </w:p>
        </w:tc>
        <w:tc>
          <w:tcPr>
            <w:tcW w:w="1089" w:type="dxa"/>
            <w:vMerge w:val="restart"/>
            <w:vAlign w:val="center"/>
          </w:tcPr>
          <w:p w14:paraId="5C8219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安装减振垫</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隔声罩，降噪25dB(A)</w:t>
            </w:r>
          </w:p>
        </w:tc>
        <w:tc>
          <w:tcPr>
            <w:tcW w:w="724" w:type="dxa"/>
            <w:noWrap/>
            <w:vAlign w:val="center"/>
          </w:tcPr>
          <w:p w14:paraId="2F6D6DD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00</w:t>
            </w:r>
          </w:p>
        </w:tc>
      </w:tr>
      <w:tr w14:paraId="321467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73" w:type="dxa"/>
            <w:noWrap/>
            <w:vAlign w:val="center"/>
          </w:tcPr>
          <w:p w14:paraId="799F89A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289" w:type="dxa"/>
            <w:noWrap/>
            <w:vAlign w:val="center"/>
          </w:tcPr>
          <w:p w14:paraId="42394D0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2套二级活性炭吸附</w:t>
            </w:r>
            <w:r>
              <w:rPr>
                <w:rFonts w:ascii="Times New Roman" w:hAnsi="Times New Roman" w:cs="Times New Roman"/>
                <w:color w:val="auto"/>
                <w:sz w:val="21"/>
                <w:szCs w:val="21"/>
                <w:highlight w:val="none"/>
              </w:rPr>
              <w:t>装置及配套风机</w:t>
            </w:r>
            <w:r>
              <w:rPr>
                <w:rFonts w:hint="eastAsia" w:ascii="Times New Roman" w:hAnsi="Times New Roman" w:cs="Times New Roman"/>
                <w:color w:val="auto"/>
                <w:sz w:val="21"/>
                <w:szCs w:val="21"/>
                <w:highlight w:val="none"/>
              </w:rPr>
              <w:t>（DA006）</w:t>
            </w:r>
          </w:p>
        </w:tc>
        <w:tc>
          <w:tcPr>
            <w:tcW w:w="468" w:type="dxa"/>
            <w:noWrap/>
            <w:vAlign w:val="center"/>
          </w:tcPr>
          <w:p w14:paraId="0646D24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54" w:type="dxa"/>
            <w:noWrap/>
            <w:vAlign w:val="center"/>
          </w:tcPr>
          <w:p w14:paraId="34A8FCA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4" w:type="dxa"/>
            <w:noWrap/>
            <w:vAlign w:val="center"/>
          </w:tcPr>
          <w:p w14:paraId="61E2EE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96</w:t>
            </w:r>
          </w:p>
        </w:tc>
        <w:tc>
          <w:tcPr>
            <w:tcW w:w="576" w:type="dxa"/>
            <w:noWrap/>
            <w:vAlign w:val="center"/>
          </w:tcPr>
          <w:p w14:paraId="1D8629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3.5</w:t>
            </w:r>
          </w:p>
        </w:tc>
        <w:tc>
          <w:tcPr>
            <w:tcW w:w="643" w:type="dxa"/>
            <w:noWrap/>
            <w:vAlign w:val="center"/>
          </w:tcPr>
          <w:p w14:paraId="23C9D67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8.7</w:t>
            </w:r>
          </w:p>
        </w:tc>
        <w:tc>
          <w:tcPr>
            <w:tcW w:w="1508" w:type="dxa"/>
            <w:noWrap/>
            <w:vAlign w:val="center"/>
          </w:tcPr>
          <w:p w14:paraId="7912F17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95/1</w:t>
            </w:r>
          </w:p>
        </w:tc>
        <w:tc>
          <w:tcPr>
            <w:tcW w:w="1089" w:type="dxa"/>
            <w:vMerge w:val="continue"/>
            <w:vAlign w:val="center"/>
          </w:tcPr>
          <w:p w14:paraId="567FFE3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724" w:type="dxa"/>
            <w:noWrap/>
            <w:vAlign w:val="center"/>
          </w:tcPr>
          <w:p w14:paraId="0F1D52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r>
              <w:rPr>
                <w:rFonts w:ascii="Times New Roman" w:hAnsi="Times New Roman" w:cs="Times New Roman"/>
                <w:color w:val="auto"/>
                <w:sz w:val="21"/>
                <w:szCs w:val="21"/>
                <w:highlight w:val="none"/>
              </w:rPr>
              <w:t>00</w:t>
            </w:r>
          </w:p>
        </w:tc>
      </w:tr>
    </w:tbl>
    <w:p w14:paraId="7EF34E08">
      <w:pPr>
        <w:spacing w:line="360" w:lineRule="auto"/>
        <w:ind w:left="-105" w:right="-105" w:firstLine="422"/>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注：以厂界西南角为原点（0,0,0）。</w:t>
      </w:r>
    </w:p>
    <w:p w14:paraId="35D96DC6">
      <w:pPr>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根据《环境影响评价技术导则声环境》（HJ2.4-2021），点声源组可以用处在组的中部的等效点声源来描述，特别是声源具有：</w:t>
      </w:r>
    </w:p>
    <w:p w14:paraId="7C44C143">
      <w:pPr>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a）有大致相同的强度和离地面高度；</w:t>
      </w:r>
    </w:p>
    <w:p w14:paraId="0725C668">
      <w:pPr>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b）到接收点有相同的传播条件；</w:t>
      </w:r>
    </w:p>
    <w:p w14:paraId="40E3BE35">
      <w:pPr>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c）从单一等效点声源到接收点间的距离d超过声源的最大尺寸Hmax二倍（d＞2Hmax）。</w:t>
      </w:r>
    </w:p>
    <w:p w14:paraId="08CC84D9">
      <w:pPr>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建设项目室外声源能满足以上条件，根据各室外声源分布情况，以</w:t>
      </w:r>
      <w:r>
        <w:rPr>
          <w:rFonts w:hint="eastAsia" w:ascii="Times New Roman" w:hAnsi="Times New Roman" w:cs="Times New Roman"/>
          <w:bCs/>
          <w:color w:val="auto"/>
          <w:highlight w:val="none"/>
        </w:rPr>
        <w:t>洁净室引风风机</w:t>
      </w:r>
      <w:r>
        <w:rPr>
          <w:rFonts w:hint="eastAsia" w:ascii="Times New Roman" w:hAnsi="Times New Roman" w:cs="Times New Roman"/>
          <w:bCs/>
          <w:color w:val="auto"/>
          <w:highlight w:val="none"/>
        </w:rPr>
        <w:t>和二级活性炭吸附装置及配套风机（DA006）</w:t>
      </w:r>
      <w:r>
        <w:rPr>
          <w:rFonts w:ascii="Times New Roman" w:hAnsi="Times New Roman" w:cs="Times New Roman"/>
          <w:bCs/>
          <w:color w:val="auto"/>
          <w:highlight w:val="none"/>
        </w:rPr>
        <w:t>作为室外等效声源。具体各噪声源与各厂界的距离见</w:t>
      </w:r>
      <w:r>
        <w:rPr>
          <w:rFonts w:hint="eastAsia" w:ascii="Times New Roman" w:hAnsi="Times New Roman" w:cs="Times New Roman"/>
          <w:bCs/>
          <w:color w:val="auto"/>
          <w:highlight w:val="none"/>
        </w:rPr>
        <w:t>下表</w:t>
      </w:r>
      <w:r>
        <w:rPr>
          <w:rFonts w:ascii="Times New Roman" w:hAnsi="Times New Roman" w:cs="Times New Roman"/>
          <w:bCs/>
          <w:color w:val="auto"/>
          <w:highlight w:val="none"/>
        </w:rPr>
        <w:t>。</w:t>
      </w:r>
    </w:p>
    <w:p w14:paraId="6B32F67F">
      <w:pPr>
        <w:pStyle w:val="15"/>
        <w:ind w:left="-105" w:right="-105" w:firstLine="482"/>
        <w:rPr>
          <w:rFonts w:eastAsia="宋体"/>
          <w:b w:val="0"/>
          <w:bCs/>
          <w:color w:val="auto"/>
          <w:sz w:val="24"/>
          <w:szCs w:val="18"/>
          <w:highlight w:val="none"/>
        </w:rPr>
      </w:pPr>
      <w:bookmarkStart w:id="237" w:name="_Ref98335614"/>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9</w:t>
      </w:r>
      <w:r>
        <w:rPr>
          <w:rFonts w:eastAsia="宋体"/>
          <w:color w:val="auto"/>
          <w:sz w:val="24"/>
          <w:szCs w:val="18"/>
          <w:highlight w:val="none"/>
        </w:rPr>
        <w:fldChar w:fldCharType="end"/>
      </w:r>
      <w:bookmarkEnd w:id="237"/>
      <w:r>
        <w:rPr>
          <w:rFonts w:eastAsia="宋体"/>
          <w:bCs/>
          <w:color w:val="auto"/>
          <w:sz w:val="24"/>
          <w:szCs w:val="18"/>
          <w:highlight w:val="none"/>
        </w:rPr>
        <w:t>噪声产生源强汇总表</w:t>
      </w:r>
    </w:p>
    <w:tbl>
      <w:tblPr>
        <w:tblStyle w:val="45"/>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0"/>
        <w:gridCol w:w="1420"/>
        <w:gridCol w:w="830"/>
        <w:gridCol w:w="830"/>
        <w:gridCol w:w="830"/>
        <w:gridCol w:w="831"/>
        <w:gridCol w:w="830"/>
        <w:gridCol w:w="830"/>
        <w:gridCol w:w="830"/>
        <w:gridCol w:w="833"/>
      </w:tblGrid>
      <w:tr w14:paraId="5C178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blHeader/>
        </w:trPr>
        <w:tc>
          <w:tcPr>
            <w:tcW w:w="441" w:type="dxa"/>
            <w:vMerge w:val="restart"/>
            <w:vAlign w:val="center"/>
          </w:tcPr>
          <w:p w14:paraId="3C44D6C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1420" w:type="dxa"/>
            <w:vMerge w:val="restart"/>
            <w:vAlign w:val="center"/>
          </w:tcPr>
          <w:p w14:paraId="70CC590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噪声源名称</w:t>
            </w:r>
          </w:p>
        </w:tc>
        <w:tc>
          <w:tcPr>
            <w:tcW w:w="3321" w:type="dxa"/>
            <w:gridSpan w:val="4"/>
            <w:vAlign w:val="center"/>
          </w:tcPr>
          <w:p w14:paraId="2685BDD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采取措施后等效噪声源强/dB（A）</w:t>
            </w:r>
          </w:p>
        </w:tc>
        <w:tc>
          <w:tcPr>
            <w:tcW w:w="3322" w:type="dxa"/>
            <w:gridSpan w:val="4"/>
            <w:tcBorders>
              <w:left w:val="single" w:color="000000" w:sz="6" w:space="0"/>
            </w:tcBorders>
            <w:vAlign w:val="center"/>
          </w:tcPr>
          <w:p w14:paraId="47049DC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距离厂界最近距离/m</w:t>
            </w:r>
          </w:p>
        </w:tc>
      </w:tr>
      <w:tr w14:paraId="2C804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blHeader/>
        </w:trPr>
        <w:tc>
          <w:tcPr>
            <w:tcW w:w="441" w:type="dxa"/>
            <w:vMerge w:val="continue"/>
            <w:vAlign w:val="center"/>
          </w:tcPr>
          <w:p w14:paraId="6020A43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1420" w:type="dxa"/>
            <w:vMerge w:val="continue"/>
            <w:vAlign w:val="center"/>
          </w:tcPr>
          <w:p w14:paraId="4064FFC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830" w:type="dxa"/>
            <w:vAlign w:val="center"/>
          </w:tcPr>
          <w:p w14:paraId="5A58A5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东</w:t>
            </w:r>
          </w:p>
        </w:tc>
        <w:tc>
          <w:tcPr>
            <w:tcW w:w="830" w:type="dxa"/>
            <w:vAlign w:val="center"/>
          </w:tcPr>
          <w:p w14:paraId="0AF306B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南</w:t>
            </w:r>
          </w:p>
        </w:tc>
        <w:tc>
          <w:tcPr>
            <w:tcW w:w="830" w:type="dxa"/>
            <w:vAlign w:val="center"/>
          </w:tcPr>
          <w:p w14:paraId="262EB29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西</w:t>
            </w:r>
          </w:p>
        </w:tc>
        <w:tc>
          <w:tcPr>
            <w:tcW w:w="830" w:type="dxa"/>
            <w:vAlign w:val="center"/>
          </w:tcPr>
          <w:p w14:paraId="505A874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北</w:t>
            </w:r>
          </w:p>
        </w:tc>
        <w:tc>
          <w:tcPr>
            <w:tcW w:w="830" w:type="dxa"/>
            <w:tcBorders>
              <w:left w:val="single" w:color="000000" w:sz="6" w:space="0"/>
            </w:tcBorders>
            <w:vAlign w:val="center"/>
          </w:tcPr>
          <w:p w14:paraId="40DD1C4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东</w:t>
            </w:r>
          </w:p>
        </w:tc>
        <w:tc>
          <w:tcPr>
            <w:tcW w:w="830" w:type="dxa"/>
            <w:vAlign w:val="center"/>
          </w:tcPr>
          <w:p w14:paraId="4A8D217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南</w:t>
            </w:r>
          </w:p>
        </w:tc>
        <w:tc>
          <w:tcPr>
            <w:tcW w:w="830" w:type="dxa"/>
            <w:vAlign w:val="center"/>
          </w:tcPr>
          <w:p w14:paraId="30579C5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西</w:t>
            </w:r>
          </w:p>
        </w:tc>
        <w:tc>
          <w:tcPr>
            <w:tcW w:w="833" w:type="dxa"/>
            <w:vAlign w:val="center"/>
          </w:tcPr>
          <w:p w14:paraId="1A10A3F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北</w:t>
            </w:r>
          </w:p>
        </w:tc>
      </w:tr>
      <w:tr w14:paraId="4FB04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441" w:type="dxa"/>
            <w:vAlign w:val="center"/>
          </w:tcPr>
          <w:p w14:paraId="38B89953">
            <w:pPr>
              <w:keepNext w:val="0"/>
              <w:keepLines w:val="0"/>
              <w:pageBreakBefore w:val="0"/>
              <w:widowControl/>
              <w:numPr>
                <w:ilvl w:val="0"/>
                <w:numId w:val="16"/>
              </w:numPr>
              <w:kinsoku/>
              <w:wordWrap/>
              <w:overflowPunct/>
              <w:topLinePunct w:val="0"/>
              <w:autoSpaceDE/>
              <w:autoSpaceDN/>
              <w:bidi w:val="0"/>
              <w:adjustRightInd/>
              <w:snapToGrid/>
              <w:ind w:left="0" w:right="0" w:firstLine="0"/>
              <w:jc w:val="center"/>
              <w:textAlignment w:val="auto"/>
              <w:rPr>
                <w:rFonts w:ascii="Times New Roman" w:hAnsi="Times New Roman" w:cs="Times New Roman"/>
                <w:color w:val="auto"/>
                <w:sz w:val="21"/>
                <w:szCs w:val="21"/>
                <w:highlight w:val="none"/>
              </w:rPr>
            </w:pPr>
          </w:p>
        </w:tc>
        <w:tc>
          <w:tcPr>
            <w:tcW w:w="1420" w:type="dxa"/>
            <w:vAlign w:val="center"/>
          </w:tcPr>
          <w:p w14:paraId="78AF7F7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hint="eastAsia" w:ascii="Times New Roman" w:hAnsi="Times New Roman" w:cs="Times New Roman"/>
                <w:color w:val="auto"/>
                <w:sz w:val="21"/>
                <w:szCs w:val="21"/>
                <w:highlight w:val="none"/>
              </w:rPr>
              <w:t>洁净室引风风机</w:t>
            </w:r>
          </w:p>
        </w:tc>
        <w:tc>
          <w:tcPr>
            <w:tcW w:w="830" w:type="dxa"/>
            <w:vAlign w:val="center"/>
          </w:tcPr>
          <w:p w14:paraId="3B1805F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830" w:type="dxa"/>
            <w:vAlign w:val="center"/>
          </w:tcPr>
          <w:p w14:paraId="05C69C6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830" w:type="dxa"/>
            <w:vAlign w:val="center"/>
          </w:tcPr>
          <w:p w14:paraId="4B2F691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830" w:type="dxa"/>
            <w:vAlign w:val="center"/>
          </w:tcPr>
          <w:p w14:paraId="6CFFA30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830" w:type="dxa"/>
            <w:vAlign w:val="center"/>
          </w:tcPr>
          <w:p w14:paraId="11B0BC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100</w:t>
            </w:r>
          </w:p>
        </w:tc>
        <w:tc>
          <w:tcPr>
            <w:tcW w:w="830" w:type="dxa"/>
            <w:vAlign w:val="center"/>
          </w:tcPr>
          <w:p w14:paraId="4E42368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140</w:t>
            </w:r>
          </w:p>
        </w:tc>
        <w:tc>
          <w:tcPr>
            <w:tcW w:w="830" w:type="dxa"/>
            <w:vAlign w:val="center"/>
          </w:tcPr>
          <w:p w14:paraId="3A844D9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29</w:t>
            </w:r>
          </w:p>
        </w:tc>
        <w:tc>
          <w:tcPr>
            <w:tcW w:w="833" w:type="dxa"/>
            <w:vAlign w:val="center"/>
          </w:tcPr>
          <w:p w14:paraId="556653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64</w:t>
            </w:r>
          </w:p>
        </w:tc>
      </w:tr>
      <w:tr w14:paraId="01205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441" w:type="dxa"/>
            <w:vAlign w:val="center"/>
          </w:tcPr>
          <w:p w14:paraId="2D5250AF">
            <w:pPr>
              <w:keepNext w:val="0"/>
              <w:keepLines w:val="0"/>
              <w:pageBreakBefore w:val="0"/>
              <w:widowControl/>
              <w:numPr>
                <w:ilvl w:val="0"/>
                <w:numId w:val="16"/>
              </w:numPr>
              <w:kinsoku/>
              <w:wordWrap/>
              <w:overflowPunct/>
              <w:topLinePunct w:val="0"/>
              <w:autoSpaceDE/>
              <w:autoSpaceDN/>
              <w:bidi w:val="0"/>
              <w:adjustRightInd/>
              <w:snapToGrid/>
              <w:ind w:left="0" w:right="0" w:firstLine="0"/>
              <w:jc w:val="center"/>
              <w:textAlignment w:val="auto"/>
              <w:rPr>
                <w:rFonts w:ascii="Times New Roman" w:hAnsi="Times New Roman" w:cs="Times New Roman"/>
                <w:color w:val="auto"/>
                <w:sz w:val="21"/>
                <w:szCs w:val="21"/>
                <w:highlight w:val="none"/>
              </w:rPr>
            </w:pPr>
          </w:p>
        </w:tc>
        <w:tc>
          <w:tcPr>
            <w:tcW w:w="1420" w:type="dxa"/>
            <w:vAlign w:val="center"/>
          </w:tcPr>
          <w:p w14:paraId="0B365F4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hint="eastAsia" w:ascii="Times New Roman" w:hAnsi="Times New Roman" w:cs="Times New Roman"/>
                <w:color w:val="auto"/>
                <w:sz w:val="21"/>
                <w:szCs w:val="21"/>
                <w:highlight w:val="none"/>
              </w:rPr>
              <w:t>二级活性炭吸附装置及配套风机（DA006）</w:t>
            </w:r>
          </w:p>
        </w:tc>
        <w:tc>
          <w:tcPr>
            <w:tcW w:w="830" w:type="dxa"/>
            <w:vAlign w:val="center"/>
          </w:tcPr>
          <w:p w14:paraId="6D4472E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830" w:type="dxa"/>
            <w:vAlign w:val="center"/>
          </w:tcPr>
          <w:p w14:paraId="61050EB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830" w:type="dxa"/>
            <w:vAlign w:val="center"/>
          </w:tcPr>
          <w:p w14:paraId="0F115EC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830" w:type="dxa"/>
            <w:vAlign w:val="center"/>
          </w:tcPr>
          <w:p w14:paraId="4398EF3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830" w:type="dxa"/>
            <w:vAlign w:val="center"/>
          </w:tcPr>
          <w:p w14:paraId="60672E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w:t>
            </w:r>
          </w:p>
        </w:tc>
        <w:tc>
          <w:tcPr>
            <w:tcW w:w="830" w:type="dxa"/>
            <w:vAlign w:val="center"/>
          </w:tcPr>
          <w:p w14:paraId="27909C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37</w:t>
            </w:r>
          </w:p>
        </w:tc>
        <w:tc>
          <w:tcPr>
            <w:tcW w:w="830" w:type="dxa"/>
            <w:vAlign w:val="center"/>
          </w:tcPr>
          <w:p w14:paraId="5632EED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90</w:t>
            </w:r>
          </w:p>
        </w:tc>
        <w:tc>
          <w:tcPr>
            <w:tcW w:w="833" w:type="dxa"/>
            <w:vAlign w:val="center"/>
          </w:tcPr>
          <w:p w14:paraId="02D404E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118</w:t>
            </w:r>
          </w:p>
        </w:tc>
      </w:tr>
    </w:tbl>
    <w:p w14:paraId="4D707003">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38" w:name="_Toc60653505"/>
      <w:r>
        <w:rPr>
          <w:rFonts w:hint="eastAsia" w:eastAsia="宋体"/>
          <w:color w:val="auto"/>
          <w:sz w:val="28"/>
          <w:szCs w:val="28"/>
          <w:highlight w:val="none"/>
        </w:rPr>
        <w:t>固体废弃物污染源强分析</w:t>
      </w:r>
      <w:bookmarkEnd w:id="238"/>
    </w:p>
    <w:p w14:paraId="45B32CE4">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根据《建设项目危险废物环境影响评价指南》的相关技术要求，结合本项目主辅工程的原辅材料使用情况及生产工艺，全面分析各类固体废物的产生环节、主要成分、理化性质及其产生、利用和处置量。</w:t>
      </w:r>
    </w:p>
    <w:p w14:paraId="30A7D194">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本项目产生的固体废物主要包括</w:t>
      </w:r>
      <w:r>
        <w:rPr>
          <w:rFonts w:hint="eastAsia" w:ascii="Times New Roman" w:hAnsi="Times New Roman" w:cs="Times New Roman"/>
          <w:color w:val="auto"/>
          <w:highlight w:val="none"/>
        </w:rPr>
        <w:t>生产工艺产生的废滤芯，实验分析产生的实验废液、废实验耗材</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实验清洗废水</w:t>
      </w:r>
      <w:r>
        <w:rPr>
          <w:rFonts w:hint="eastAsia" w:ascii="Times New Roman" w:hAnsi="Times New Roman" w:cs="Times New Roman"/>
          <w:color w:val="auto"/>
          <w:highlight w:val="none"/>
        </w:rPr>
        <w:t>，超纯水制备产生的废过滤介质、废活性炭、废RO膜，原料包装产生的废包装桶（瓶）、废包装袋</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废气处理设施产生的废活性炭</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喷淋废液</w:t>
      </w:r>
      <w:r>
        <w:rPr>
          <w:rFonts w:ascii="Times New Roman" w:hAnsi="Times New Roman" w:cs="Times New Roman"/>
          <w:color w:val="auto"/>
          <w:highlight w:val="none"/>
        </w:rPr>
        <w:t>。</w:t>
      </w:r>
    </w:p>
    <w:p w14:paraId="5CF137E6">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废滤芯S</w:t>
      </w:r>
      <w:r>
        <w:rPr>
          <w:rFonts w:hint="eastAsia" w:ascii="Times New Roman" w:hAnsi="Times New Roman" w:cs="Times New Roman"/>
          <w:color w:val="auto"/>
          <w:highlight w:val="none"/>
        </w:rPr>
        <w:t>1-1</w:t>
      </w:r>
    </w:p>
    <w:p w14:paraId="3628A2F3">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生产装置反应釜中的过滤器定期更换，预计产生量为2t/a。</w:t>
      </w:r>
    </w:p>
    <w:p w14:paraId="1702306F">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（2）实验废液S1-2、废实验耗材S1-3</w:t>
      </w:r>
    </w:p>
    <w:p w14:paraId="66F69D31">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实验室分析采样后预计产生少量实验废液和废实验耗材，预计产生量分别为</w:t>
      </w:r>
      <w:r>
        <w:rPr>
          <w:rFonts w:hint="eastAsia" w:ascii="Times New Roman" w:hAnsi="Times New Roman" w:cs="Times New Roman"/>
          <w:color w:val="auto"/>
          <w:highlight w:val="none"/>
        </w:rPr>
        <w:t>0.</w:t>
      </w:r>
      <w:r>
        <w:rPr>
          <w:rFonts w:hint="eastAsia" w:ascii="Times New Roman" w:hAnsi="Times New Roman" w:cs="Times New Roman"/>
          <w:color w:val="auto"/>
          <w:highlight w:val="none"/>
          <w:lang w:val="en-US" w:eastAsia="zh-CN"/>
        </w:rPr>
        <w:t>02</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rPr>
        <w:t>、0.5t/a。</w:t>
      </w:r>
    </w:p>
    <w:p w14:paraId="489C21E7">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（3）废过滤介质S2-1、废活性炭S2-2、废RO膜S2-3</w:t>
      </w:r>
    </w:p>
    <w:p w14:paraId="50B2E8F4">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超</w:t>
      </w:r>
      <w:r>
        <w:rPr>
          <w:rFonts w:ascii="Times New Roman" w:hAnsi="Times New Roman" w:cs="Times New Roman"/>
          <w:color w:val="auto"/>
          <w:highlight w:val="none"/>
        </w:rPr>
        <w:t>纯水制备工艺产生废</w:t>
      </w:r>
      <w:r>
        <w:rPr>
          <w:rFonts w:hint="eastAsia" w:ascii="Times New Roman" w:hAnsi="Times New Roman" w:cs="Times New Roman"/>
          <w:color w:val="auto"/>
          <w:highlight w:val="none"/>
        </w:rPr>
        <w:t>过滤介质</w:t>
      </w:r>
      <w:r>
        <w:rPr>
          <w:rFonts w:ascii="Times New Roman" w:hAnsi="Times New Roman" w:cs="Times New Roman"/>
          <w:color w:val="auto"/>
          <w:highlight w:val="none"/>
        </w:rPr>
        <w:t>、</w:t>
      </w:r>
      <w:r>
        <w:rPr>
          <w:rFonts w:hint="eastAsia" w:ascii="Times New Roman" w:hAnsi="Times New Roman" w:cs="Times New Roman"/>
          <w:color w:val="auto"/>
          <w:highlight w:val="none"/>
        </w:rPr>
        <w:t>废活性炭、废RO膜</w:t>
      </w:r>
      <w:r>
        <w:rPr>
          <w:rFonts w:ascii="Times New Roman" w:hAnsi="Times New Roman" w:cs="Times New Roman"/>
          <w:color w:val="auto"/>
          <w:highlight w:val="none"/>
        </w:rPr>
        <w:t>，</w:t>
      </w:r>
      <w:r>
        <w:rPr>
          <w:rFonts w:hint="eastAsia" w:ascii="Times New Roman" w:hAnsi="Times New Roman" w:cs="Times New Roman"/>
          <w:color w:val="auto"/>
          <w:highlight w:val="none"/>
        </w:rPr>
        <w:t>预计</w:t>
      </w:r>
      <w:r>
        <w:rPr>
          <w:rFonts w:ascii="Times New Roman" w:hAnsi="Times New Roman" w:cs="Times New Roman"/>
          <w:color w:val="auto"/>
          <w:highlight w:val="none"/>
        </w:rPr>
        <w:t>产生量</w:t>
      </w:r>
      <w:r>
        <w:rPr>
          <w:rFonts w:hint="eastAsia" w:ascii="Times New Roman" w:hAnsi="Times New Roman" w:cs="Times New Roman"/>
          <w:color w:val="auto"/>
          <w:highlight w:val="none"/>
        </w:rPr>
        <w:t>分别</w:t>
      </w:r>
      <w:r>
        <w:rPr>
          <w:rFonts w:ascii="Times New Roman" w:hAnsi="Times New Roman" w:cs="Times New Roman"/>
          <w:color w:val="auto"/>
          <w:highlight w:val="none"/>
        </w:rPr>
        <w:t>为</w:t>
      </w:r>
      <w:r>
        <w:rPr>
          <w:rFonts w:hint="eastAsia" w:ascii="Times New Roman" w:hAnsi="Times New Roman" w:cs="Times New Roman"/>
          <w:color w:val="auto"/>
          <w:highlight w:val="none"/>
        </w:rPr>
        <w:t>2</w:t>
      </w:r>
      <w:r>
        <w:rPr>
          <w:rFonts w:ascii="Times New Roman" w:hAnsi="Times New Roman" w:cs="Times New Roman"/>
          <w:color w:val="auto"/>
          <w:highlight w:val="none"/>
        </w:rPr>
        <w:t>t/a、</w:t>
      </w:r>
      <w:r>
        <w:rPr>
          <w:rFonts w:hint="eastAsia" w:ascii="Times New Roman" w:hAnsi="Times New Roman" w:cs="Times New Roman"/>
          <w:color w:val="auto"/>
          <w:highlight w:val="none"/>
        </w:rPr>
        <w:t>1</w:t>
      </w:r>
      <w:r>
        <w:rPr>
          <w:rFonts w:ascii="Times New Roman" w:hAnsi="Times New Roman" w:cs="Times New Roman"/>
          <w:color w:val="auto"/>
          <w:highlight w:val="none"/>
        </w:rPr>
        <w:t>t/a</w:t>
      </w:r>
      <w:r>
        <w:rPr>
          <w:rFonts w:hint="eastAsia" w:ascii="Times New Roman" w:hAnsi="Times New Roman" w:cs="Times New Roman"/>
          <w:color w:val="auto"/>
          <w:highlight w:val="none"/>
        </w:rPr>
        <w:t>、0.5t/a</w:t>
      </w:r>
      <w:r>
        <w:rPr>
          <w:rFonts w:ascii="Times New Roman" w:hAnsi="Times New Roman" w:cs="Times New Roman"/>
          <w:color w:val="auto"/>
          <w:highlight w:val="none"/>
        </w:rPr>
        <w:t>；</w:t>
      </w:r>
    </w:p>
    <w:p w14:paraId="3CA1A12C">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（4）废包装桶（瓶）S3、废包装袋S4</w:t>
      </w:r>
    </w:p>
    <w:p w14:paraId="0FD2E545">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本项目原料、试剂使用过程中产生废包装桶（瓶）和废包装袋，产生量分别为</w:t>
      </w:r>
      <w:r>
        <w:rPr>
          <w:rFonts w:hint="eastAsia" w:ascii="Times New Roman" w:hAnsi="Times New Roman" w:cs="Times New Roman"/>
          <w:color w:val="auto"/>
          <w:highlight w:val="none"/>
        </w:rPr>
        <w:t>7.</w:t>
      </w:r>
      <w:r>
        <w:rPr>
          <w:rFonts w:hint="eastAsia" w:ascii="Times New Roman" w:hAnsi="Times New Roman" w:cs="Times New Roman"/>
          <w:color w:val="auto"/>
          <w:highlight w:val="none"/>
          <w:lang w:val="en-US" w:eastAsia="zh-CN"/>
        </w:rPr>
        <w:t>79</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rPr>
        <w:t>（3</w:t>
      </w:r>
      <w:r>
        <w:rPr>
          <w:rFonts w:hint="eastAsia" w:ascii="Times New Roman" w:hAnsi="Times New Roman" w:cs="Times New Roman"/>
          <w:color w:val="auto"/>
          <w:highlight w:val="none"/>
          <w:lang w:val="en-US" w:eastAsia="zh-CN"/>
        </w:rPr>
        <w:t>895</w:t>
      </w:r>
      <w:r>
        <w:rPr>
          <w:rFonts w:hint="eastAsia" w:ascii="Times New Roman" w:hAnsi="Times New Roman" w:cs="Times New Roman"/>
          <w:color w:val="auto"/>
          <w:highlight w:val="none"/>
        </w:rPr>
        <w:t>个，平均每个</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kg）、0.2t/a。</w:t>
      </w:r>
    </w:p>
    <w:p w14:paraId="79D1C747">
      <w:pPr>
        <w:spacing w:line="360" w:lineRule="auto"/>
        <w:ind w:left="-105" w:right="-105" w:firstLine="480" w:firstLineChars="200"/>
        <w:jc w:val="both"/>
        <w:rPr>
          <w:rFonts w:ascii="Times New Roman" w:hAnsi="Times New Roman" w:cs="Times New Roman"/>
          <w:color w:val="auto"/>
          <w:highlight w:val="none"/>
        </w:rPr>
      </w:pPr>
      <w:r>
        <w:rPr>
          <w:rFonts w:hint="eastAsia" w:ascii="Times New Roman" w:hAnsi="Times New Roman" w:cs="Times New Roman"/>
          <w:color w:val="auto"/>
          <w:highlight w:val="none"/>
        </w:rPr>
        <w:t>（5）废活性炭S5</w:t>
      </w:r>
    </w:p>
    <w:p w14:paraId="01D63253">
      <w:pPr>
        <w:spacing w:line="360" w:lineRule="auto"/>
        <w:ind w:left="-105" w:right="-105" w:firstLine="480" w:firstLineChars="200"/>
        <w:jc w:val="both"/>
        <w:rPr>
          <w:color w:val="auto"/>
          <w:szCs w:val="21"/>
          <w:highlight w:val="none"/>
        </w:rPr>
      </w:pPr>
      <w:r>
        <w:rPr>
          <w:rFonts w:hint="eastAsia" w:ascii="Times New Roman" w:hAnsi="Times New Roman" w:cs="Times New Roman"/>
          <w:color w:val="auto"/>
          <w:highlight w:val="none"/>
        </w:rPr>
        <w:t>本项目工艺废气和实验废气均采用活性炭吸附装置，有组织捕集量</w:t>
      </w:r>
      <w:r>
        <w:rPr>
          <w:rFonts w:hint="eastAsia" w:ascii="Times New Roman" w:hAnsi="Times New Roman" w:cs="Times New Roman"/>
          <w:color w:val="auto"/>
          <w:highlight w:val="none"/>
        </w:rPr>
        <w:t>分别为</w:t>
      </w:r>
      <w:r>
        <w:rPr>
          <w:rFonts w:hint="eastAsia" w:ascii="Times New Roman" w:hAnsi="Times New Roman" w:cs="Times New Roman"/>
          <w:color w:val="auto"/>
          <w:highlight w:val="none"/>
          <w:lang w:val="en-US" w:eastAsia="zh-CN"/>
        </w:rPr>
        <w:t>1.2939</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lang w:val="en-US" w:eastAsia="zh-CN"/>
        </w:rPr>
        <w:t>0.0092</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rPr>
        <w:t>，</w:t>
      </w:r>
      <w:r>
        <w:rPr>
          <w:rFonts w:hint="eastAsia" w:ascii="Times New Roman" w:hAnsi="Times New Roman" w:cs="Times New Roman"/>
          <w:color w:val="auto"/>
          <w:highlight w:val="none"/>
        </w:rPr>
        <w:t>分别</w:t>
      </w:r>
      <w:r>
        <w:rPr>
          <w:rFonts w:ascii="Times New Roman" w:hAnsi="Times New Roman" w:cs="Times New Roman"/>
          <w:color w:val="auto"/>
          <w:highlight w:val="none"/>
        </w:rPr>
        <w:t>采用</w:t>
      </w:r>
      <w:r>
        <w:rPr>
          <w:rFonts w:hint="eastAsia" w:ascii="Times New Roman" w:hAnsi="Times New Roman" w:cs="Times New Roman"/>
          <w:color w:val="auto"/>
          <w:highlight w:val="none"/>
          <w:lang w:val="en-US" w:eastAsia="zh-CN"/>
        </w:rPr>
        <w:t>一套</w:t>
      </w:r>
      <w:r>
        <w:rPr>
          <w:rFonts w:hint="eastAsia" w:ascii="Times New Roman" w:hAnsi="Times New Roman" w:cs="Times New Roman"/>
          <w:color w:val="auto"/>
          <w:highlight w:val="none"/>
        </w:rPr>
        <w:t>3级碱液喷淋+二级活性炭吸附</w:t>
      </w:r>
      <w:r>
        <w:rPr>
          <w:rFonts w:hint="eastAsia" w:ascii="Times New Roman" w:hAnsi="Times New Roman" w:cs="Times New Roman"/>
          <w:color w:val="auto"/>
          <w:highlight w:val="none"/>
          <w:lang w:val="en-US" w:eastAsia="zh-CN"/>
        </w:rPr>
        <w:t>和一套</w:t>
      </w:r>
      <w:r>
        <w:rPr>
          <w:rFonts w:ascii="Times New Roman" w:hAnsi="Times New Roman" w:cs="Times New Roman"/>
          <w:color w:val="auto"/>
          <w:highlight w:val="none"/>
        </w:rPr>
        <w:t>二级活性炭吸附处理，</w:t>
      </w:r>
      <w:r>
        <w:rPr>
          <w:rFonts w:hint="eastAsia" w:ascii="Times New Roman" w:hAnsi="Times New Roman" w:cs="Times New Roman"/>
          <w:color w:val="auto"/>
          <w:highlight w:val="none"/>
          <w:lang w:val="en-US" w:eastAsia="zh-CN"/>
        </w:rPr>
        <w:t>其中工艺废气按40%由</w:t>
      </w:r>
      <w:r>
        <w:rPr>
          <w:rFonts w:hint="eastAsia" w:ascii="Times New Roman" w:hAnsi="Times New Roman" w:cs="Times New Roman"/>
          <w:color w:val="auto"/>
          <w:highlight w:val="none"/>
        </w:rPr>
        <w:t>3级碱液喷淋</w:t>
      </w:r>
      <w:r>
        <w:rPr>
          <w:rFonts w:hint="eastAsia" w:ascii="Times New Roman" w:hAnsi="Times New Roman" w:cs="Times New Roman"/>
          <w:color w:val="auto"/>
          <w:highlight w:val="none"/>
          <w:lang w:val="en-US" w:eastAsia="zh-CN"/>
        </w:rPr>
        <w:t>去除、50%由二级活性炭吸附去除，实验废气</w:t>
      </w:r>
      <w:r>
        <w:rPr>
          <w:rFonts w:ascii="Times New Roman" w:hAnsi="Times New Roman" w:cs="Times New Roman"/>
          <w:color w:val="auto"/>
          <w:highlight w:val="none"/>
        </w:rPr>
        <w:t>处理率按90%计，产生</w:t>
      </w:r>
      <w:r>
        <w:rPr>
          <w:rFonts w:hint="eastAsia" w:ascii="Times New Roman" w:hAnsi="Times New Roman" w:cs="Times New Roman"/>
          <w:color w:val="auto"/>
          <w:highlight w:val="none"/>
          <w:lang w:val="en-US" w:eastAsia="zh-CN"/>
        </w:rPr>
        <w:t>的</w:t>
      </w:r>
      <w:r>
        <w:rPr>
          <w:rFonts w:ascii="Times New Roman" w:hAnsi="Times New Roman" w:cs="Times New Roman"/>
          <w:color w:val="auto"/>
          <w:highlight w:val="none"/>
        </w:rPr>
        <w:t>废活性炭</w:t>
      </w:r>
      <w:r>
        <w:rPr>
          <w:rFonts w:hint="eastAsia"/>
          <w:color w:val="auto"/>
          <w:szCs w:val="21"/>
          <w:highlight w:val="none"/>
        </w:rPr>
        <w:t>根据《省生态环境厅关于将排污单位活性炭使用更换纳入排污许可管理的通知》中活性炭更换周期计算公式</w:t>
      </w:r>
      <w:r>
        <w:rPr>
          <w:rFonts w:hint="eastAsia"/>
          <w:color w:val="auto"/>
          <w:szCs w:val="21"/>
          <w:highlight w:val="none"/>
          <w:lang w:val="en-US" w:eastAsia="zh-CN"/>
        </w:rPr>
        <w:t>计算</w:t>
      </w:r>
      <w:r>
        <w:rPr>
          <w:rFonts w:hint="eastAsia"/>
          <w:color w:val="auto"/>
          <w:szCs w:val="21"/>
          <w:highlight w:val="none"/>
        </w:rPr>
        <w:t>：</w:t>
      </w:r>
    </w:p>
    <w:p w14:paraId="09837342">
      <w:pPr>
        <w:spacing w:line="360" w:lineRule="auto"/>
        <w:ind w:left="-105" w:right="-105" w:firstLine="480" w:firstLineChars="20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T=m×s÷（c×10</w:t>
      </w:r>
      <w:r>
        <w:rPr>
          <w:rFonts w:ascii="Times New Roman" w:hAnsi="Times New Roman" w:cs="Times New Roman"/>
          <w:color w:val="auto"/>
          <w:szCs w:val="21"/>
          <w:highlight w:val="none"/>
          <w:vertAlign w:val="superscript"/>
        </w:rPr>
        <w:t>-6</w:t>
      </w:r>
      <w:r>
        <w:rPr>
          <w:rFonts w:ascii="Times New Roman" w:hAnsi="Times New Roman" w:cs="Times New Roman"/>
          <w:color w:val="auto"/>
          <w:szCs w:val="21"/>
          <w:highlight w:val="none"/>
        </w:rPr>
        <w:t>×Q×t）</w:t>
      </w:r>
    </w:p>
    <w:p w14:paraId="77FE7A3A">
      <w:pPr>
        <w:spacing w:line="360" w:lineRule="auto"/>
        <w:ind w:left="-105" w:right="-105" w:firstLine="48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式中：T—更换周期，天；</w:t>
      </w:r>
    </w:p>
    <w:p w14:paraId="76FA7EF5">
      <w:pPr>
        <w:spacing w:line="360" w:lineRule="auto"/>
        <w:ind w:left="-105" w:right="-105" w:firstLine="1200" w:firstLineChars="500"/>
        <w:rPr>
          <w:rFonts w:ascii="Times New Roman" w:hAnsi="Times New Roman" w:cs="Times New Roman"/>
          <w:color w:val="auto"/>
          <w:szCs w:val="21"/>
          <w:highlight w:val="none"/>
        </w:rPr>
      </w:pPr>
      <w:r>
        <w:rPr>
          <w:rFonts w:ascii="Times New Roman" w:hAnsi="Times New Roman" w:cs="Times New Roman"/>
          <w:color w:val="auto"/>
          <w:szCs w:val="21"/>
          <w:highlight w:val="none"/>
        </w:rPr>
        <w:t>m—活性炭的用量，kg；</w:t>
      </w:r>
    </w:p>
    <w:p w14:paraId="7888196D">
      <w:pPr>
        <w:spacing w:line="360" w:lineRule="auto"/>
        <w:ind w:left="-105" w:right="-105" w:firstLine="1200" w:firstLineChars="500"/>
        <w:rPr>
          <w:rFonts w:ascii="Times New Roman" w:hAnsi="Times New Roman" w:cs="Times New Roman"/>
          <w:color w:val="auto"/>
          <w:szCs w:val="21"/>
          <w:highlight w:val="none"/>
        </w:rPr>
      </w:pPr>
      <w:r>
        <w:rPr>
          <w:rFonts w:ascii="Times New Roman" w:hAnsi="Times New Roman" w:cs="Times New Roman"/>
          <w:color w:val="auto"/>
          <w:szCs w:val="21"/>
          <w:highlight w:val="none"/>
        </w:rPr>
        <w:t>s—动态吸附量，%；（一般取值10%）</w:t>
      </w:r>
    </w:p>
    <w:p w14:paraId="65BADC76">
      <w:pPr>
        <w:spacing w:line="360" w:lineRule="auto"/>
        <w:ind w:left="-105" w:right="-105" w:firstLine="1200" w:firstLineChars="500"/>
        <w:rPr>
          <w:rFonts w:ascii="Times New Roman" w:hAnsi="Times New Roman" w:cs="Times New Roman"/>
          <w:color w:val="auto"/>
          <w:szCs w:val="21"/>
          <w:highlight w:val="none"/>
        </w:rPr>
      </w:pPr>
      <w:r>
        <w:rPr>
          <w:rFonts w:ascii="Times New Roman" w:hAnsi="Times New Roman" w:cs="Times New Roman"/>
          <w:color w:val="auto"/>
          <w:szCs w:val="21"/>
          <w:highlight w:val="none"/>
        </w:rPr>
        <w:t>c—活性炭削减的VOCs浓度，mg/m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w:t>
      </w:r>
    </w:p>
    <w:p w14:paraId="50A09015">
      <w:pPr>
        <w:spacing w:line="360" w:lineRule="auto"/>
        <w:ind w:left="-105" w:right="-105" w:firstLine="1200" w:firstLineChars="500"/>
        <w:rPr>
          <w:rFonts w:ascii="Times New Roman" w:hAnsi="Times New Roman" w:cs="Times New Roman"/>
          <w:color w:val="auto"/>
          <w:szCs w:val="21"/>
          <w:highlight w:val="none"/>
        </w:rPr>
      </w:pPr>
      <w:r>
        <w:rPr>
          <w:rFonts w:ascii="Times New Roman" w:hAnsi="Times New Roman" w:cs="Times New Roman"/>
          <w:color w:val="auto"/>
          <w:szCs w:val="21"/>
          <w:highlight w:val="none"/>
        </w:rPr>
        <w:t>Q—风量，单位m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/h；</w:t>
      </w:r>
    </w:p>
    <w:p w14:paraId="6B4633E7">
      <w:pPr>
        <w:spacing w:line="360" w:lineRule="auto"/>
        <w:ind w:left="-105" w:right="-105" w:firstLine="1200" w:firstLineChars="500"/>
        <w:rPr>
          <w:rFonts w:ascii="Times New Roman" w:hAnsi="Times New Roman" w:cs="Times New Roman"/>
          <w:color w:val="auto"/>
          <w:szCs w:val="21"/>
          <w:highlight w:val="none"/>
        </w:rPr>
      </w:pPr>
      <w:r>
        <w:rPr>
          <w:rFonts w:ascii="Times New Roman" w:hAnsi="Times New Roman" w:cs="Times New Roman"/>
          <w:color w:val="auto"/>
          <w:szCs w:val="21"/>
          <w:highlight w:val="none"/>
        </w:rPr>
        <w:t>t—运行时间，单位h/d；</w:t>
      </w:r>
    </w:p>
    <w:p w14:paraId="34CEE2AB">
      <w:pPr>
        <w:spacing w:line="360" w:lineRule="auto"/>
        <w:ind w:left="-105" w:right="-105" w:firstLine="480" w:firstLineChars="200"/>
        <w:jc w:val="both"/>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rPr>
        <w:t>企业年工作</w:t>
      </w:r>
      <w:r>
        <w:rPr>
          <w:rFonts w:hint="eastAsia" w:ascii="Times New Roman" w:hAnsi="Times New Roman" w:cs="Times New Roman"/>
          <w:color w:val="auto"/>
          <w:highlight w:val="none"/>
          <w:lang w:val="en-US" w:eastAsia="zh-CN"/>
        </w:rPr>
        <w:t>350</w:t>
      </w:r>
      <w:r>
        <w:rPr>
          <w:rFonts w:hint="eastAsia" w:ascii="Times New Roman" w:hAnsi="Times New Roman" w:cs="Times New Roman"/>
          <w:color w:val="auto"/>
          <w:highlight w:val="none"/>
        </w:rPr>
        <w:t>天、实验室年工作200天，则对应更换频次分别为6次和1次，则DA005、DA006的废活性炭产生量为</w:t>
      </w:r>
      <w:r>
        <w:rPr>
          <w:rFonts w:hint="eastAsia" w:ascii="Times New Roman" w:hAnsi="Times New Roman" w:cs="Times New Roman"/>
          <w:color w:val="auto"/>
          <w:highlight w:val="none"/>
          <w:lang w:val="en-US" w:eastAsia="zh-CN"/>
        </w:rPr>
        <w:t>10.3089</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rPr>
        <w:t>（含有机废气</w:t>
      </w:r>
      <w:r>
        <w:rPr>
          <w:rFonts w:hint="eastAsia" w:ascii="Times New Roman" w:hAnsi="Times New Roman" w:cs="Times New Roman"/>
          <w:color w:val="auto"/>
          <w:highlight w:val="none"/>
          <w:lang w:val="en-US" w:eastAsia="zh-CN"/>
        </w:rPr>
        <w:t>1.1589</w:t>
      </w:r>
      <w:r>
        <w:rPr>
          <w:rFonts w:hint="eastAsia" w:ascii="Times New Roman" w:hAnsi="Times New Roman" w:cs="Times New Roman"/>
          <w:color w:val="auto"/>
          <w:highlight w:val="none"/>
        </w:rPr>
        <w:t>t/a</w:t>
      </w:r>
      <w:r>
        <w:rPr>
          <w:rFonts w:hint="eastAsia" w:ascii="Times New Roman" w:hAnsi="Times New Roman" w:cs="Times New Roman"/>
          <w:color w:val="auto"/>
          <w:highlight w:val="none"/>
        </w:rPr>
        <w:t>）</w:t>
      </w:r>
      <w:r>
        <w:rPr>
          <w:rFonts w:ascii="Times New Roman" w:hAnsi="Times New Roman" w:cs="Times New Roman"/>
          <w:color w:val="auto"/>
          <w:highlight w:val="none"/>
        </w:rPr>
        <w:t>。</w:t>
      </w:r>
      <w:r>
        <w:rPr>
          <w:rFonts w:hint="eastAsia"/>
          <w:color w:val="auto"/>
          <w:highlight w:val="none"/>
          <w:lang w:val="en-US" w:eastAsia="zh-CN"/>
        </w:rPr>
        <w:t>由于实验间一预设置了通风橱且单独设置了一套二级活性炭吸附装置，本项目实验间一无实验在该通风橱内进行，但为确保该装置在后续使用时不影响活性炭吸附能力，故该套装置的活性炭目前按一年更换一次的频率更新活性炭，根据填充量产生废活性炭</w:t>
      </w:r>
      <w:r>
        <w:rPr>
          <w:rFonts w:hint="default" w:ascii="Times New Roman" w:hAnsi="Times New Roman" w:cs="Times New Roman"/>
          <w:color w:val="auto"/>
          <w:highlight w:val="none"/>
          <w:lang w:val="en-US" w:eastAsia="zh-CN"/>
        </w:rPr>
        <w:t>0.1t/a</w:t>
      </w:r>
      <w:r>
        <w:rPr>
          <w:rFonts w:hint="eastAsia"/>
          <w:color w:val="auto"/>
          <w:highlight w:val="none"/>
          <w:lang w:val="en-US" w:eastAsia="zh-CN"/>
        </w:rPr>
        <w:t>。综上，本项目共产生废活性炭量</w:t>
      </w:r>
      <w:r>
        <w:rPr>
          <w:rFonts w:hint="default" w:ascii="Times New Roman" w:hAnsi="Times New Roman" w:cs="Times New Roman"/>
          <w:color w:val="auto"/>
          <w:highlight w:val="none"/>
          <w:lang w:val="en-US" w:eastAsia="zh-CN"/>
        </w:rPr>
        <w:t>10.</w:t>
      </w:r>
      <w:r>
        <w:rPr>
          <w:rFonts w:hint="eastAsia" w:ascii="Times New Roman" w:hAnsi="Times New Roman" w:cs="Times New Roman"/>
          <w:color w:val="auto"/>
          <w:highlight w:val="none"/>
          <w:lang w:val="en-US" w:eastAsia="zh-CN"/>
        </w:rPr>
        <w:t>4089</w:t>
      </w:r>
      <w:r>
        <w:rPr>
          <w:rFonts w:hint="default" w:ascii="Times New Roman" w:hAnsi="Times New Roman" w:cs="Times New Roman"/>
          <w:color w:val="auto"/>
          <w:highlight w:val="none"/>
          <w:lang w:val="en-US" w:eastAsia="zh-CN"/>
        </w:rPr>
        <w:t>t/a</w:t>
      </w:r>
      <w:r>
        <w:rPr>
          <w:rFonts w:hint="eastAsia"/>
          <w:color w:val="auto"/>
          <w:highlight w:val="none"/>
          <w:lang w:val="en-US" w:eastAsia="zh-CN"/>
        </w:rPr>
        <w:t>。</w:t>
      </w:r>
    </w:p>
    <w:p w14:paraId="5BBF3463">
      <w:pPr>
        <w:numPr>
          <w:ilvl w:val="0"/>
          <w:numId w:val="17"/>
        </w:numPr>
        <w:spacing w:line="360" w:lineRule="auto"/>
        <w:ind w:left="-105" w:right="-105"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喷淋废液（S6）</w:t>
      </w:r>
    </w:p>
    <w:p w14:paraId="6C9C1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本项目工艺废气依托现有项目</w:t>
      </w:r>
      <w:r>
        <w:rPr>
          <w:rFonts w:hint="eastAsia" w:ascii="Times New Roman" w:hAnsi="Times New Roman" w:cs="Times New Roman"/>
          <w:color w:val="auto"/>
          <w:highlight w:val="none"/>
        </w:rPr>
        <w:t>3级碱液喷淋+二级活性炭吸附</w:t>
      </w:r>
      <w:r>
        <w:rPr>
          <w:rFonts w:hint="eastAsia" w:ascii="Times New Roman" w:hAnsi="Times New Roman" w:cs="Times New Roman"/>
          <w:color w:val="auto"/>
          <w:highlight w:val="none"/>
          <w:lang w:val="en-US" w:eastAsia="zh-CN"/>
        </w:rPr>
        <w:t>装置处理后由DA005排气筒排放，</w:t>
      </w:r>
      <w:r>
        <w:rPr>
          <w:rFonts w:hint="eastAsia" w:ascii="Times New Roman" w:hAnsi="Times New Roman" w:eastAsia="宋体" w:cs="宋体"/>
          <w:color w:val="auto"/>
          <w:highlight w:val="none"/>
          <w:lang w:val="en-US" w:eastAsia="zh-CN"/>
        </w:rPr>
        <w:t>根据企业提供的工程改造方案，不新增现有设施排风量（具体分析见第7.1.2章节），故本项目喷淋废液产生量不新增。</w:t>
      </w:r>
    </w:p>
    <w:p w14:paraId="269AD7E9">
      <w:pPr>
        <w:numPr>
          <w:ilvl w:val="0"/>
          <w:numId w:val="17"/>
        </w:numPr>
        <w:spacing w:line="360" w:lineRule="auto"/>
        <w:ind w:left="-105" w:leftChars="0" w:right="-105"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实验室清洗废水（S7）</w:t>
      </w:r>
    </w:p>
    <w:p w14:paraId="3CE33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根据水平衡分析，本项目实验人员在进入实验室前需使用自来水清洗双手，且有少量实验器皿需要清洗，产生实验室清洗废水约0.1t/a。</w:t>
      </w:r>
    </w:p>
    <w:p w14:paraId="6E6CBEAD">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根据《固体废物鉴别标准通则》（GB34330-2017）判断项目生产过程中产生的副产物是否属于固体废物及结果见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_Ref61965451 \h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 2 \s </w:instrText>
      </w:r>
      <w:r>
        <w:rPr>
          <w:rFonts w:ascii="Times New Roman" w:hAnsi="Times New Roman" w:cs="Times New Roman"/>
          <w:color w:val="auto"/>
          <w:szCs w:val="22"/>
          <w:highlight w:val="none"/>
        </w:rPr>
        <w:fldChar w:fldCharType="separate"/>
      </w:r>
      <w:r>
        <w:rPr>
          <w:rFonts w:ascii="Times New Roman" w:hAnsi="Times New Roman" w:cs="Times New Roman"/>
          <w:color w:val="auto"/>
          <w:szCs w:val="22"/>
          <w:highlight w:val="none"/>
        </w:rPr>
        <w:t>4.6</w:t>
      </w:r>
      <w:r>
        <w:rPr>
          <w:rFonts w:ascii="Times New Roman" w:hAnsi="Times New Roman" w:cs="Times New Roman"/>
          <w:color w:val="auto"/>
          <w:szCs w:val="22"/>
          <w:highlight w:val="none"/>
        </w:rPr>
        <w:fldChar w:fldCharType="end"/>
      </w:r>
      <w:r>
        <w:rPr>
          <w:rFonts w:ascii="Times New Roman" w:hAnsi="Times New Roman" w:cs="Times New Roman"/>
          <w:color w:val="auto"/>
          <w:szCs w:val="22"/>
          <w:highlight w:val="none"/>
        </w:rPr>
        <w:noBreakHyphen/>
      </w:r>
      <w:r>
        <w:rPr>
          <w:rFonts w:ascii="Times New Roman" w:hAnsi="Times New Roman" w:cs="Times New Roman"/>
          <w:color w:val="auto"/>
          <w:szCs w:val="22"/>
          <w:highlight w:val="none"/>
        </w:rPr>
        <w:t>10</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p>
    <w:p w14:paraId="13B89B2A">
      <w:pPr>
        <w:pStyle w:val="15"/>
        <w:ind w:left="-105" w:right="-105" w:firstLine="482"/>
        <w:rPr>
          <w:rFonts w:hint="eastAsia" w:eastAsia="宋体"/>
          <w:color w:val="auto"/>
          <w:sz w:val="24"/>
          <w:szCs w:val="22"/>
          <w:highlight w:val="none"/>
        </w:rPr>
      </w:pPr>
      <w:bookmarkStart w:id="239" w:name="_Ref61965451"/>
      <w:bookmarkStart w:id="240" w:name="_Ref22827"/>
    </w:p>
    <w:p w14:paraId="7B9334CE">
      <w:pPr>
        <w:pStyle w:val="15"/>
        <w:ind w:left="-105" w:right="-105" w:firstLine="482"/>
        <w:rPr>
          <w:rFonts w:hint="eastAsia" w:eastAsia="宋体"/>
          <w:color w:val="auto"/>
          <w:sz w:val="24"/>
          <w:szCs w:val="22"/>
          <w:highlight w:val="none"/>
        </w:rPr>
      </w:pPr>
    </w:p>
    <w:p w14:paraId="4816C47A">
      <w:pPr>
        <w:pStyle w:val="15"/>
        <w:ind w:left="-105" w:right="-105" w:firstLine="482"/>
        <w:rPr>
          <w:rFonts w:hint="eastAsia" w:eastAsia="宋体"/>
          <w:color w:val="auto"/>
          <w:sz w:val="24"/>
          <w:szCs w:val="22"/>
          <w:highlight w:val="none"/>
        </w:rPr>
      </w:pPr>
    </w:p>
    <w:p w14:paraId="3853E544">
      <w:pPr>
        <w:pStyle w:val="15"/>
        <w:ind w:left="-105" w:right="-105" w:firstLine="482"/>
        <w:rPr>
          <w:rFonts w:eastAsia="宋体" w:cs="Times New Roman"/>
          <w:color w:val="auto"/>
          <w:sz w:val="24"/>
          <w:szCs w:val="22"/>
          <w:highlight w:val="none"/>
        </w:rPr>
      </w:pPr>
      <w:r>
        <w:rPr>
          <w:rFonts w:hint="eastAsia" w:eastAsia="宋体"/>
          <w:color w:val="auto"/>
          <w:sz w:val="24"/>
          <w:szCs w:val="22"/>
          <w:highlight w:val="none"/>
        </w:rPr>
        <w:t>表</w:t>
      </w:r>
      <w:r>
        <w:rPr>
          <w:rFonts w:eastAsia="宋体"/>
          <w:color w:val="auto"/>
          <w:sz w:val="24"/>
          <w:szCs w:val="22"/>
          <w:highlight w:val="none"/>
        </w:rPr>
        <w:fldChar w:fldCharType="begin"/>
      </w:r>
      <w:r>
        <w:rPr>
          <w:rFonts w:eastAsia="宋体"/>
          <w:color w:val="auto"/>
          <w:sz w:val="24"/>
          <w:szCs w:val="22"/>
          <w:highlight w:val="none"/>
        </w:rPr>
        <w:instrText xml:space="preserve"> </w:instrText>
      </w:r>
      <w:r>
        <w:rPr>
          <w:rFonts w:hint="eastAsia" w:eastAsia="宋体"/>
          <w:color w:val="auto"/>
          <w:sz w:val="24"/>
          <w:szCs w:val="22"/>
          <w:highlight w:val="none"/>
        </w:rPr>
        <w:instrText xml:space="preserve">STYLEREF 2 \s</w:instrText>
      </w:r>
      <w:r>
        <w:rPr>
          <w:rFonts w:eastAsia="宋体"/>
          <w:color w:val="auto"/>
          <w:sz w:val="24"/>
          <w:szCs w:val="22"/>
          <w:highlight w:val="none"/>
        </w:rPr>
        <w:instrText xml:space="preserve"> </w:instrText>
      </w:r>
      <w:r>
        <w:rPr>
          <w:rFonts w:eastAsia="宋体"/>
          <w:color w:val="auto"/>
          <w:sz w:val="24"/>
          <w:szCs w:val="22"/>
          <w:highlight w:val="none"/>
        </w:rPr>
        <w:fldChar w:fldCharType="separate"/>
      </w:r>
      <w:r>
        <w:rPr>
          <w:rFonts w:hint="eastAsia" w:eastAsia="宋体"/>
          <w:color w:val="auto"/>
          <w:sz w:val="24"/>
          <w:szCs w:val="22"/>
          <w:highlight w:val="none"/>
        </w:rPr>
        <w:t>4.6</w:t>
      </w:r>
      <w:r>
        <w:rPr>
          <w:rFonts w:eastAsia="宋体"/>
          <w:color w:val="auto"/>
          <w:sz w:val="24"/>
          <w:szCs w:val="22"/>
          <w:highlight w:val="none"/>
        </w:rPr>
        <w:fldChar w:fldCharType="end"/>
      </w:r>
      <w:r>
        <w:rPr>
          <w:rFonts w:eastAsia="宋体"/>
          <w:color w:val="auto"/>
          <w:sz w:val="24"/>
          <w:szCs w:val="22"/>
          <w:highlight w:val="none"/>
        </w:rPr>
        <w:noBreakHyphen/>
      </w:r>
      <w:r>
        <w:rPr>
          <w:rFonts w:eastAsia="宋体"/>
          <w:color w:val="auto"/>
          <w:sz w:val="24"/>
          <w:szCs w:val="22"/>
          <w:highlight w:val="none"/>
        </w:rPr>
        <w:fldChar w:fldCharType="begin"/>
      </w:r>
      <w:r>
        <w:rPr>
          <w:rFonts w:eastAsia="宋体"/>
          <w:color w:val="auto"/>
          <w:sz w:val="24"/>
          <w:szCs w:val="22"/>
          <w:highlight w:val="none"/>
        </w:rPr>
        <w:instrText xml:space="preserve"> </w:instrText>
      </w:r>
      <w:r>
        <w:rPr>
          <w:rFonts w:hint="eastAsia" w:eastAsia="宋体"/>
          <w:color w:val="auto"/>
          <w:sz w:val="24"/>
          <w:szCs w:val="22"/>
          <w:highlight w:val="none"/>
        </w:rPr>
        <w:instrText xml:space="preserve">SEQ 表 \* ARABIC \s 2</w:instrText>
      </w:r>
      <w:r>
        <w:rPr>
          <w:rFonts w:eastAsia="宋体"/>
          <w:color w:val="auto"/>
          <w:sz w:val="24"/>
          <w:szCs w:val="22"/>
          <w:highlight w:val="none"/>
        </w:rPr>
        <w:instrText xml:space="preserve"> </w:instrText>
      </w:r>
      <w:r>
        <w:rPr>
          <w:rFonts w:eastAsia="宋体"/>
          <w:color w:val="auto"/>
          <w:sz w:val="24"/>
          <w:szCs w:val="22"/>
          <w:highlight w:val="none"/>
        </w:rPr>
        <w:fldChar w:fldCharType="separate"/>
      </w:r>
      <w:r>
        <w:rPr>
          <w:rFonts w:hint="eastAsia" w:eastAsia="宋体"/>
          <w:color w:val="auto"/>
          <w:sz w:val="24"/>
          <w:szCs w:val="22"/>
          <w:highlight w:val="none"/>
        </w:rPr>
        <w:t>10</w:t>
      </w:r>
      <w:r>
        <w:rPr>
          <w:rFonts w:eastAsia="宋体"/>
          <w:color w:val="auto"/>
          <w:sz w:val="24"/>
          <w:szCs w:val="22"/>
          <w:highlight w:val="none"/>
        </w:rPr>
        <w:fldChar w:fldCharType="end"/>
      </w:r>
      <w:bookmarkEnd w:id="239"/>
      <w:r>
        <w:rPr>
          <w:rFonts w:eastAsia="宋体" w:cs="Times New Roman"/>
          <w:color w:val="auto"/>
          <w:sz w:val="24"/>
          <w:szCs w:val="22"/>
          <w:highlight w:val="none"/>
        </w:rPr>
        <w:t>本项目副产物产生情况汇总表</w:t>
      </w:r>
      <w:bookmarkEnd w:id="240"/>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5"/>
        <w:gridCol w:w="1095"/>
        <w:gridCol w:w="1225"/>
        <w:gridCol w:w="560"/>
        <w:gridCol w:w="1243"/>
        <w:gridCol w:w="1066"/>
        <w:gridCol w:w="927"/>
        <w:gridCol w:w="927"/>
        <w:gridCol w:w="1066"/>
      </w:tblGrid>
      <w:tr w14:paraId="56D1E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vMerge w:val="restart"/>
            <w:tcBorders>
              <w:tl2br w:val="nil"/>
              <w:tr2bl w:val="nil"/>
            </w:tcBorders>
            <w:vAlign w:val="center"/>
          </w:tcPr>
          <w:p w14:paraId="16DA43F1">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643" w:type="pct"/>
            <w:vMerge w:val="restart"/>
            <w:tcBorders>
              <w:tl2br w:val="nil"/>
              <w:tr2bl w:val="nil"/>
            </w:tcBorders>
            <w:vAlign w:val="center"/>
          </w:tcPr>
          <w:p w14:paraId="613CB73D">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副产物名称</w:t>
            </w:r>
          </w:p>
        </w:tc>
        <w:tc>
          <w:tcPr>
            <w:tcW w:w="720" w:type="pct"/>
            <w:vMerge w:val="restart"/>
            <w:tcBorders>
              <w:tl2br w:val="nil"/>
              <w:tr2bl w:val="nil"/>
            </w:tcBorders>
            <w:vAlign w:val="center"/>
          </w:tcPr>
          <w:p w14:paraId="6D3814BA">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产生工序</w:t>
            </w:r>
          </w:p>
        </w:tc>
        <w:tc>
          <w:tcPr>
            <w:tcW w:w="329" w:type="pct"/>
            <w:vMerge w:val="restart"/>
            <w:tcBorders>
              <w:tl2br w:val="nil"/>
              <w:tr2bl w:val="nil"/>
            </w:tcBorders>
            <w:vAlign w:val="center"/>
          </w:tcPr>
          <w:p w14:paraId="3506F543">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形态</w:t>
            </w:r>
          </w:p>
        </w:tc>
        <w:tc>
          <w:tcPr>
            <w:tcW w:w="730" w:type="pct"/>
            <w:vMerge w:val="restart"/>
            <w:tcBorders>
              <w:tl2br w:val="nil"/>
              <w:tr2bl w:val="nil"/>
            </w:tcBorders>
            <w:vAlign w:val="center"/>
          </w:tcPr>
          <w:p w14:paraId="0784263A">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主要成分</w:t>
            </w:r>
          </w:p>
        </w:tc>
        <w:tc>
          <w:tcPr>
            <w:tcW w:w="626" w:type="pct"/>
            <w:vMerge w:val="restart"/>
            <w:tcBorders>
              <w:tl2br w:val="nil"/>
              <w:tr2bl w:val="nil"/>
            </w:tcBorders>
            <w:vAlign w:val="center"/>
          </w:tcPr>
          <w:p w14:paraId="6F98AA6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预测产生量(t/a)</w:t>
            </w:r>
          </w:p>
        </w:tc>
        <w:tc>
          <w:tcPr>
            <w:tcW w:w="1716" w:type="pct"/>
            <w:gridSpan w:val="3"/>
            <w:tcBorders>
              <w:tl2br w:val="nil"/>
              <w:tr2bl w:val="nil"/>
            </w:tcBorders>
            <w:vAlign w:val="center"/>
          </w:tcPr>
          <w:p w14:paraId="42743398">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种类判定</w:t>
            </w:r>
          </w:p>
        </w:tc>
      </w:tr>
      <w:tr w14:paraId="27FC8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vMerge w:val="continue"/>
            <w:tcBorders>
              <w:tl2br w:val="nil"/>
              <w:tr2bl w:val="nil"/>
            </w:tcBorders>
            <w:vAlign w:val="center"/>
          </w:tcPr>
          <w:p w14:paraId="0E39B9AF">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p>
        </w:tc>
        <w:tc>
          <w:tcPr>
            <w:tcW w:w="643" w:type="pct"/>
            <w:vMerge w:val="continue"/>
            <w:tcBorders>
              <w:tl2br w:val="nil"/>
              <w:tr2bl w:val="nil"/>
            </w:tcBorders>
            <w:vAlign w:val="center"/>
          </w:tcPr>
          <w:p w14:paraId="1C4BD2E8">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p>
        </w:tc>
        <w:tc>
          <w:tcPr>
            <w:tcW w:w="720" w:type="pct"/>
            <w:vMerge w:val="continue"/>
            <w:tcBorders>
              <w:tl2br w:val="nil"/>
              <w:tr2bl w:val="nil"/>
            </w:tcBorders>
            <w:vAlign w:val="center"/>
          </w:tcPr>
          <w:p w14:paraId="542CB37E">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329" w:type="pct"/>
            <w:vMerge w:val="continue"/>
            <w:tcBorders>
              <w:tl2br w:val="nil"/>
              <w:tr2bl w:val="nil"/>
            </w:tcBorders>
            <w:vAlign w:val="center"/>
          </w:tcPr>
          <w:p w14:paraId="34334EC8">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p>
        </w:tc>
        <w:tc>
          <w:tcPr>
            <w:tcW w:w="730" w:type="pct"/>
            <w:vMerge w:val="continue"/>
            <w:tcBorders>
              <w:tl2br w:val="nil"/>
              <w:tr2bl w:val="nil"/>
            </w:tcBorders>
            <w:vAlign w:val="center"/>
          </w:tcPr>
          <w:p w14:paraId="0EC098ED">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p>
        </w:tc>
        <w:tc>
          <w:tcPr>
            <w:tcW w:w="626" w:type="pct"/>
            <w:vMerge w:val="continue"/>
            <w:tcBorders>
              <w:tl2br w:val="nil"/>
              <w:tr2bl w:val="nil"/>
            </w:tcBorders>
            <w:vAlign w:val="center"/>
          </w:tcPr>
          <w:p w14:paraId="17477037">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545" w:type="pct"/>
            <w:tcBorders>
              <w:tl2br w:val="nil"/>
              <w:tr2bl w:val="nil"/>
            </w:tcBorders>
            <w:vAlign w:val="center"/>
          </w:tcPr>
          <w:p w14:paraId="47CB6BC0">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固体废物</w:t>
            </w:r>
          </w:p>
        </w:tc>
        <w:tc>
          <w:tcPr>
            <w:tcW w:w="545" w:type="pct"/>
            <w:tcBorders>
              <w:tl2br w:val="nil"/>
              <w:tr2bl w:val="nil"/>
            </w:tcBorders>
            <w:vAlign w:val="center"/>
          </w:tcPr>
          <w:p w14:paraId="5547F170">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副产品</w:t>
            </w:r>
          </w:p>
        </w:tc>
        <w:tc>
          <w:tcPr>
            <w:tcW w:w="626" w:type="pct"/>
            <w:tcBorders>
              <w:tl2br w:val="nil"/>
              <w:tr2bl w:val="nil"/>
            </w:tcBorders>
            <w:vAlign w:val="center"/>
          </w:tcPr>
          <w:p w14:paraId="1FF4DD9A">
            <w:pPr>
              <w:keepNext w:val="0"/>
              <w:keepLines w:val="0"/>
              <w:pageBreakBefore w:val="0"/>
              <w:kinsoku/>
              <w:wordWrap/>
              <w:overflowPunct/>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种类判定</w:t>
            </w:r>
          </w:p>
        </w:tc>
      </w:tr>
      <w:tr w14:paraId="331BA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520DA9C8">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067AEBDC">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ascii="宋体" w:hAnsi="宋体" w:eastAsia="宋体" w:cs="宋体"/>
                <w:color w:val="auto"/>
                <w:sz w:val="21"/>
                <w:szCs w:val="18"/>
                <w:highlight w:val="none"/>
                <w:lang w:val="en-US"/>
              </w:rPr>
              <w:t>废</w:t>
            </w:r>
            <w:r>
              <w:rPr>
                <w:rFonts w:hint="eastAsia"/>
                <w:color w:val="auto"/>
                <w:sz w:val="21"/>
                <w:szCs w:val="18"/>
                <w:highlight w:val="none"/>
                <w:lang w:val="en-US"/>
              </w:rPr>
              <w:t>滤芯</w:t>
            </w:r>
          </w:p>
        </w:tc>
        <w:tc>
          <w:tcPr>
            <w:tcW w:w="720" w:type="pct"/>
            <w:tcBorders>
              <w:tl2br w:val="nil"/>
              <w:tr2bl w:val="nil"/>
            </w:tcBorders>
            <w:vAlign w:val="center"/>
          </w:tcPr>
          <w:p w14:paraId="23BD2C95">
            <w:pPr>
              <w:keepNext w:val="0"/>
              <w:keepLines w:val="0"/>
              <w:pageBreakBefore w:val="0"/>
              <w:kinsoku/>
              <w:wordWrap/>
              <w:overflowPunct/>
              <w:autoSpaceDE/>
              <w:autoSpaceDN/>
              <w:bidi w:val="0"/>
              <w:ind w:left="0" w:right="0"/>
              <w:jc w:val="center"/>
              <w:textAlignment w:val="auto"/>
              <w:rPr>
                <w:color w:val="auto"/>
                <w:sz w:val="21"/>
                <w:szCs w:val="21"/>
                <w:highlight w:val="none"/>
              </w:rPr>
            </w:pPr>
            <w:r>
              <w:rPr>
                <w:rFonts w:hint="eastAsia"/>
                <w:color w:val="auto"/>
                <w:sz w:val="21"/>
                <w:szCs w:val="18"/>
                <w:highlight w:val="none"/>
              </w:rPr>
              <w:t>过滤器</w:t>
            </w:r>
          </w:p>
        </w:tc>
        <w:tc>
          <w:tcPr>
            <w:tcW w:w="329" w:type="pct"/>
            <w:tcBorders>
              <w:tl2br w:val="nil"/>
              <w:tr2bl w:val="nil"/>
            </w:tcBorders>
            <w:vAlign w:val="center"/>
          </w:tcPr>
          <w:p w14:paraId="2FF3010C">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固态</w:t>
            </w:r>
          </w:p>
        </w:tc>
        <w:tc>
          <w:tcPr>
            <w:tcW w:w="730" w:type="pct"/>
            <w:tcBorders>
              <w:tl2br w:val="nil"/>
              <w:tr2bl w:val="nil"/>
            </w:tcBorders>
            <w:vAlign w:val="center"/>
          </w:tcPr>
          <w:p w14:paraId="70E63ACD">
            <w:pPr>
              <w:keepNext w:val="0"/>
              <w:keepLines w:val="0"/>
              <w:pageBreakBefore w:val="0"/>
              <w:kinsoku/>
              <w:wordWrap/>
              <w:overflowPunct/>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树脂、固形物等</w:t>
            </w:r>
          </w:p>
        </w:tc>
        <w:tc>
          <w:tcPr>
            <w:tcW w:w="626" w:type="pct"/>
            <w:tcBorders>
              <w:tl2br w:val="nil"/>
              <w:tr2bl w:val="nil"/>
            </w:tcBorders>
            <w:vAlign w:val="center"/>
          </w:tcPr>
          <w:p w14:paraId="1CAC0D3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545" w:type="pct"/>
            <w:tcBorders>
              <w:tl2br w:val="nil"/>
              <w:tr2bl w:val="nil"/>
            </w:tcBorders>
            <w:vAlign w:val="center"/>
          </w:tcPr>
          <w:p w14:paraId="47AB4A3B">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7A0266AB">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restart"/>
            <w:tcBorders>
              <w:tl2br w:val="nil"/>
              <w:tr2bl w:val="nil"/>
            </w:tcBorders>
            <w:vAlign w:val="center"/>
          </w:tcPr>
          <w:p w14:paraId="31E12B5B">
            <w:pPr>
              <w:keepNext w:val="0"/>
              <w:keepLines w:val="0"/>
              <w:pageBreakBefore w:val="0"/>
              <w:kinsoku/>
              <w:wordWrap/>
              <w:overflowPunct/>
              <w:topLine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《固体废物鉴别标准通则（GB34330-2017）》</w:t>
            </w:r>
          </w:p>
        </w:tc>
      </w:tr>
      <w:tr w14:paraId="5F3E8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632931B5">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64F9AFF8">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实验废液</w:t>
            </w:r>
          </w:p>
        </w:tc>
        <w:tc>
          <w:tcPr>
            <w:tcW w:w="720" w:type="pct"/>
            <w:vMerge w:val="restart"/>
            <w:tcBorders>
              <w:tl2br w:val="nil"/>
              <w:tr2bl w:val="nil"/>
            </w:tcBorders>
            <w:vAlign w:val="center"/>
          </w:tcPr>
          <w:p w14:paraId="5E901AC8">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w:t>
            </w:r>
          </w:p>
        </w:tc>
        <w:tc>
          <w:tcPr>
            <w:tcW w:w="329" w:type="pct"/>
            <w:tcBorders>
              <w:tl2br w:val="nil"/>
              <w:tr2bl w:val="nil"/>
            </w:tcBorders>
            <w:vAlign w:val="center"/>
          </w:tcPr>
          <w:p w14:paraId="3E1A65F0">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液</w:t>
            </w:r>
            <w:r>
              <w:rPr>
                <w:rFonts w:eastAsia="宋体"/>
                <w:color w:val="auto"/>
                <w:sz w:val="21"/>
                <w:szCs w:val="21"/>
                <w:highlight w:val="none"/>
                <w:lang w:val="en-US"/>
              </w:rPr>
              <w:t>态</w:t>
            </w:r>
          </w:p>
        </w:tc>
        <w:tc>
          <w:tcPr>
            <w:tcW w:w="730" w:type="pct"/>
            <w:tcBorders>
              <w:tl2br w:val="nil"/>
              <w:tr2bl w:val="nil"/>
            </w:tcBorders>
            <w:vAlign w:val="center"/>
          </w:tcPr>
          <w:p w14:paraId="1D85E224">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化学试剂等</w:t>
            </w:r>
          </w:p>
        </w:tc>
        <w:tc>
          <w:tcPr>
            <w:tcW w:w="626" w:type="pct"/>
            <w:tcBorders>
              <w:tl2br w:val="nil"/>
              <w:tr2bl w:val="nil"/>
            </w:tcBorders>
            <w:vAlign w:val="center"/>
          </w:tcPr>
          <w:p w14:paraId="74FE7D32">
            <w:pPr>
              <w:keepNext w:val="0"/>
              <w:keepLines w:val="0"/>
              <w:pageBreakBefore w:val="0"/>
              <w:kinsoku/>
              <w:wordWrap/>
              <w:overflowPunct/>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c>
          <w:tcPr>
            <w:tcW w:w="545" w:type="pct"/>
            <w:tcBorders>
              <w:tl2br w:val="nil"/>
              <w:tr2bl w:val="nil"/>
            </w:tcBorders>
            <w:vAlign w:val="center"/>
          </w:tcPr>
          <w:p w14:paraId="3701F9F4">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3F9D7078">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290FA72E">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49D3A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0D8D0CDD">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7D8A5EDF">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废实验耗材</w:t>
            </w:r>
          </w:p>
        </w:tc>
        <w:tc>
          <w:tcPr>
            <w:tcW w:w="720" w:type="pct"/>
            <w:vMerge w:val="continue"/>
            <w:tcBorders>
              <w:tl2br w:val="nil"/>
              <w:tr2bl w:val="nil"/>
            </w:tcBorders>
            <w:vAlign w:val="center"/>
          </w:tcPr>
          <w:p w14:paraId="14796AAC">
            <w:pPr>
              <w:keepNext w:val="0"/>
              <w:keepLines w:val="0"/>
              <w:pageBreakBefore w:val="0"/>
              <w:kinsoku/>
              <w:wordWrap/>
              <w:overflowPunct/>
              <w:autoSpaceDE/>
              <w:autoSpaceDN/>
              <w:bidi w:val="0"/>
              <w:ind w:left="0" w:right="0"/>
              <w:jc w:val="center"/>
              <w:textAlignment w:val="auto"/>
              <w:rPr>
                <w:color w:val="auto"/>
                <w:sz w:val="21"/>
                <w:szCs w:val="21"/>
                <w:highlight w:val="none"/>
              </w:rPr>
            </w:pPr>
          </w:p>
        </w:tc>
        <w:tc>
          <w:tcPr>
            <w:tcW w:w="329" w:type="pct"/>
            <w:tcBorders>
              <w:tl2br w:val="nil"/>
              <w:tr2bl w:val="nil"/>
            </w:tcBorders>
            <w:vAlign w:val="center"/>
          </w:tcPr>
          <w:p w14:paraId="67C4320A">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固态</w:t>
            </w:r>
          </w:p>
        </w:tc>
        <w:tc>
          <w:tcPr>
            <w:tcW w:w="730" w:type="pct"/>
            <w:tcBorders>
              <w:tl2br w:val="nil"/>
              <w:tr2bl w:val="nil"/>
            </w:tcBorders>
            <w:vAlign w:val="center"/>
          </w:tcPr>
          <w:p w14:paraId="606562FC">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玻璃、化学试剂</w:t>
            </w:r>
          </w:p>
        </w:tc>
        <w:tc>
          <w:tcPr>
            <w:tcW w:w="626" w:type="pct"/>
            <w:tcBorders>
              <w:tl2br w:val="nil"/>
              <w:tr2bl w:val="nil"/>
            </w:tcBorders>
            <w:vAlign w:val="center"/>
          </w:tcPr>
          <w:p w14:paraId="2F1B9430">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545" w:type="pct"/>
            <w:tcBorders>
              <w:tl2br w:val="nil"/>
              <w:tr2bl w:val="nil"/>
            </w:tcBorders>
            <w:vAlign w:val="center"/>
          </w:tcPr>
          <w:p w14:paraId="13394DFA">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11D43A40">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346F9C8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209EE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14EA326A">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2C60C5E7">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废过滤介质</w:t>
            </w:r>
          </w:p>
        </w:tc>
        <w:tc>
          <w:tcPr>
            <w:tcW w:w="720" w:type="pct"/>
            <w:vMerge w:val="restart"/>
            <w:tcBorders>
              <w:tl2br w:val="nil"/>
              <w:tr2bl w:val="nil"/>
            </w:tcBorders>
            <w:vAlign w:val="center"/>
          </w:tcPr>
          <w:p w14:paraId="59EA3B55">
            <w:pPr>
              <w:keepNext w:val="0"/>
              <w:keepLines w:val="0"/>
              <w:pageBreakBefore w:val="0"/>
              <w:kinsoku/>
              <w:wordWrap/>
              <w:overflowPunct/>
              <w:autoSpaceDE/>
              <w:autoSpaceDN/>
              <w:bidi w:val="0"/>
              <w:ind w:left="0" w:right="0"/>
              <w:jc w:val="center"/>
              <w:textAlignment w:val="auto"/>
              <w:rPr>
                <w:color w:val="auto"/>
                <w:sz w:val="21"/>
                <w:szCs w:val="18"/>
                <w:highlight w:val="none"/>
              </w:rPr>
            </w:pPr>
            <w:r>
              <w:rPr>
                <w:rFonts w:hint="eastAsia"/>
                <w:color w:val="auto"/>
                <w:sz w:val="21"/>
                <w:szCs w:val="18"/>
                <w:highlight w:val="none"/>
              </w:rPr>
              <w:t>超纯水制备</w:t>
            </w:r>
          </w:p>
        </w:tc>
        <w:tc>
          <w:tcPr>
            <w:tcW w:w="329" w:type="pct"/>
            <w:tcBorders>
              <w:tl2br w:val="nil"/>
              <w:tr2bl w:val="nil"/>
            </w:tcBorders>
            <w:vAlign w:val="center"/>
          </w:tcPr>
          <w:p w14:paraId="0E24D8F4">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eastAsia="宋体"/>
                <w:color w:val="auto"/>
                <w:sz w:val="21"/>
                <w:szCs w:val="21"/>
                <w:highlight w:val="none"/>
                <w:lang w:val="en-US"/>
              </w:rPr>
              <w:t>固态</w:t>
            </w:r>
          </w:p>
        </w:tc>
        <w:tc>
          <w:tcPr>
            <w:tcW w:w="730" w:type="pct"/>
            <w:tcBorders>
              <w:tl2br w:val="nil"/>
              <w:tr2bl w:val="nil"/>
            </w:tcBorders>
            <w:vAlign w:val="center"/>
          </w:tcPr>
          <w:p w14:paraId="1AC306A4">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塑料、砂等</w:t>
            </w:r>
          </w:p>
        </w:tc>
        <w:tc>
          <w:tcPr>
            <w:tcW w:w="626" w:type="pct"/>
            <w:tcBorders>
              <w:tl2br w:val="nil"/>
              <w:tr2bl w:val="nil"/>
            </w:tcBorders>
            <w:vAlign w:val="center"/>
          </w:tcPr>
          <w:p w14:paraId="75C69B92">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545" w:type="pct"/>
            <w:tcBorders>
              <w:tl2br w:val="nil"/>
              <w:tr2bl w:val="nil"/>
            </w:tcBorders>
            <w:vAlign w:val="center"/>
          </w:tcPr>
          <w:p w14:paraId="0A555BDA">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448AF167">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4FF00F63">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60C57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179ECEB1">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5F081E5B">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tc>
        <w:tc>
          <w:tcPr>
            <w:tcW w:w="720" w:type="pct"/>
            <w:vMerge w:val="continue"/>
            <w:tcBorders>
              <w:tl2br w:val="nil"/>
              <w:tr2bl w:val="nil"/>
            </w:tcBorders>
            <w:vAlign w:val="center"/>
          </w:tcPr>
          <w:p w14:paraId="127D49B7">
            <w:pPr>
              <w:keepNext w:val="0"/>
              <w:keepLines w:val="0"/>
              <w:pageBreakBefore w:val="0"/>
              <w:kinsoku/>
              <w:wordWrap/>
              <w:overflowPunct/>
              <w:autoSpaceDE/>
              <w:autoSpaceDN/>
              <w:bidi w:val="0"/>
              <w:ind w:left="0" w:right="0"/>
              <w:jc w:val="center"/>
              <w:textAlignment w:val="auto"/>
              <w:rPr>
                <w:color w:val="auto"/>
                <w:sz w:val="21"/>
                <w:szCs w:val="18"/>
                <w:highlight w:val="none"/>
              </w:rPr>
            </w:pPr>
          </w:p>
        </w:tc>
        <w:tc>
          <w:tcPr>
            <w:tcW w:w="329" w:type="pct"/>
            <w:tcBorders>
              <w:tl2br w:val="nil"/>
              <w:tr2bl w:val="nil"/>
            </w:tcBorders>
            <w:vAlign w:val="center"/>
          </w:tcPr>
          <w:p w14:paraId="4D4D1408">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eastAsia="宋体"/>
                <w:color w:val="auto"/>
                <w:sz w:val="21"/>
                <w:szCs w:val="21"/>
                <w:highlight w:val="none"/>
                <w:lang w:val="en-US"/>
              </w:rPr>
              <w:t>固态</w:t>
            </w:r>
          </w:p>
        </w:tc>
        <w:tc>
          <w:tcPr>
            <w:tcW w:w="730" w:type="pct"/>
            <w:tcBorders>
              <w:tl2br w:val="nil"/>
              <w:tr2bl w:val="nil"/>
            </w:tcBorders>
            <w:vAlign w:val="center"/>
          </w:tcPr>
          <w:p w14:paraId="4519999A">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活性炭</w:t>
            </w:r>
          </w:p>
        </w:tc>
        <w:tc>
          <w:tcPr>
            <w:tcW w:w="626" w:type="pct"/>
            <w:tcBorders>
              <w:tl2br w:val="nil"/>
              <w:tr2bl w:val="nil"/>
            </w:tcBorders>
            <w:vAlign w:val="center"/>
          </w:tcPr>
          <w:p w14:paraId="49FAC2C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545" w:type="pct"/>
            <w:tcBorders>
              <w:tl2br w:val="nil"/>
              <w:tr2bl w:val="nil"/>
            </w:tcBorders>
            <w:vAlign w:val="center"/>
          </w:tcPr>
          <w:p w14:paraId="627AC298">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01ED46BC">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33DCD999">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0C25B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502272DF">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6005F38F">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废RO膜</w:t>
            </w:r>
          </w:p>
        </w:tc>
        <w:tc>
          <w:tcPr>
            <w:tcW w:w="720" w:type="pct"/>
            <w:vMerge w:val="continue"/>
            <w:tcBorders>
              <w:tl2br w:val="nil"/>
              <w:tr2bl w:val="nil"/>
            </w:tcBorders>
            <w:vAlign w:val="center"/>
          </w:tcPr>
          <w:p w14:paraId="3320FB1B">
            <w:pPr>
              <w:keepNext w:val="0"/>
              <w:keepLines w:val="0"/>
              <w:pageBreakBefore w:val="0"/>
              <w:kinsoku/>
              <w:wordWrap/>
              <w:overflowPunct/>
              <w:autoSpaceDE/>
              <w:autoSpaceDN/>
              <w:bidi w:val="0"/>
              <w:ind w:left="0" w:right="0"/>
              <w:jc w:val="center"/>
              <w:textAlignment w:val="auto"/>
              <w:rPr>
                <w:color w:val="auto"/>
                <w:sz w:val="21"/>
                <w:szCs w:val="18"/>
                <w:highlight w:val="none"/>
              </w:rPr>
            </w:pPr>
          </w:p>
        </w:tc>
        <w:tc>
          <w:tcPr>
            <w:tcW w:w="329" w:type="pct"/>
            <w:tcBorders>
              <w:tl2br w:val="nil"/>
              <w:tr2bl w:val="nil"/>
            </w:tcBorders>
            <w:vAlign w:val="center"/>
          </w:tcPr>
          <w:p w14:paraId="3DB3323A">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eastAsia="宋体"/>
                <w:color w:val="auto"/>
                <w:sz w:val="21"/>
                <w:szCs w:val="21"/>
                <w:highlight w:val="none"/>
                <w:lang w:val="en-US"/>
              </w:rPr>
              <w:t>固态</w:t>
            </w:r>
          </w:p>
        </w:tc>
        <w:tc>
          <w:tcPr>
            <w:tcW w:w="730" w:type="pct"/>
            <w:tcBorders>
              <w:tl2br w:val="nil"/>
              <w:tr2bl w:val="nil"/>
            </w:tcBorders>
            <w:vAlign w:val="center"/>
          </w:tcPr>
          <w:p w14:paraId="278B7508">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RO膜</w:t>
            </w:r>
          </w:p>
        </w:tc>
        <w:tc>
          <w:tcPr>
            <w:tcW w:w="626" w:type="pct"/>
            <w:tcBorders>
              <w:tl2br w:val="nil"/>
              <w:tr2bl w:val="nil"/>
            </w:tcBorders>
            <w:vAlign w:val="center"/>
          </w:tcPr>
          <w:p w14:paraId="677EF08C">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545" w:type="pct"/>
            <w:tcBorders>
              <w:tl2br w:val="nil"/>
              <w:tr2bl w:val="nil"/>
            </w:tcBorders>
            <w:vAlign w:val="center"/>
          </w:tcPr>
          <w:p w14:paraId="07D1108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7A1472C6">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32F99A6E">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62D40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5E1B77D9">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6EEA7D62">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18"/>
                <w:highlight w:val="none"/>
              </w:rPr>
              <w:t>废包装桶（瓶）</w:t>
            </w:r>
          </w:p>
        </w:tc>
        <w:tc>
          <w:tcPr>
            <w:tcW w:w="720" w:type="pct"/>
            <w:vMerge w:val="restart"/>
            <w:tcBorders>
              <w:tl2br w:val="nil"/>
              <w:tr2bl w:val="nil"/>
            </w:tcBorders>
            <w:vAlign w:val="center"/>
          </w:tcPr>
          <w:p w14:paraId="196289A1">
            <w:pPr>
              <w:keepNext w:val="0"/>
              <w:keepLines w:val="0"/>
              <w:pageBreakBefore w:val="0"/>
              <w:kinsoku/>
              <w:wordWrap/>
              <w:overflowPunct/>
              <w:autoSpaceDE/>
              <w:autoSpaceDN/>
              <w:bidi w:val="0"/>
              <w:ind w:left="0" w:right="0"/>
              <w:jc w:val="center"/>
              <w:textAlignment w:val="auto"/>
              <w:rPr>
                <w:color w:val="auto"/>
                <w:sz w:val="21"/>
                <w:szCs w:val="21"/>
                <w:highlight w:val="none"/>
              </w:rPr>
            </w:pPr>
            <w:r>
              <w:rPr>
                <w:rFonts w:hint="eastAsia"/>
                <w:color w:val="auto"/>
                <w:sz w:val="21"/>
                <w:szCs w:val="18"/>
                <w:highlight w:val="none"/>
              </w:rPr>
              <w:t>材料包装</w:t>
            </w:r>
          </w:p>
        </w:tc>
        <w:tc>
          <w:tcPr>
            <w:tcW w:w="329" w:type="pct"/>
            <w:tcBorders>
              <w:tl2br w:val="nil"/>
              <w:tr2bl w:val="nil"/>
            </w:tcBorders>
            <w:vAlign w:val="center"/>
          </w:tcPr>
          <w:p w14:paraId="0F6B4FFC">
            <w:pPr>
              <w:keepNext w:val="0"/>
              <w:keepLines w:val="0"/>
              <w:pageBreakBefore w:val="0"/>
              <w:kinsoku/>
              <w:wordWrap/>
              <w:overflowPunct/>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固</w:t>
            </w:r>
            <w:r>
              <w:rPr>
                <w:rFonts w:ascii="Times New Roman" w:hAnsi="Times New Roman" w:cs="Times New Roman"/>
                <w:color w:val="auto"/>
                <w:sz w:val="21"/>
                <w:szCs w:val="21"/>
                <w:highlight w:val="none"/>
              </w:rPr>
              <w:t>态</w:t>
            </w:r>
          </w:p>
        </w:tc>
        <w:tc>
          <w:tcPr>
            <w:tcW w:w="730" w:type="pct"/>
            <w:tcBorders>
              <w:tl2br w:val="nil"/>
              <w:tr2bl w:val="nil"/>
            </w:tcBorders>
            <w:vAlign w:val="center"/>
          </w:tcPr>
          <w:p w14:paraId="1425E643">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塑料桶、有机物</w:t>
            </w:r>
          </w:p>
        </w:tc>
        <w:tc>
          <w:tcPr>
            <w:tcW w:w="626" w:type="pct"/>
            <w:tcBorders>
              <w:tl2br w:val="nil"/>
              <w:tr2bl w:val="nil"/>
            </w:tcBorders>
            <w:vAlign w:val="center"/>
          </w:tcPr>
          <w:p w14:paraId="1293279A">
            <w:pPr>
              <w:keepNext w:val="0"/>
              <w:keepLines w:val="0"/>
              <w:pageBreakBefore w:val="0"/>
              <w:kinsoku/>
              <w:wordWrap/>
              <w:overflowPunct/>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7.79</w:t>
            </w:r>
          </w:p>
        </w:tc>
        <w:tc>
          <w:tcPr>
            <w:tcW w:w="545" w:type="pct"/>
            <w:tcBorders>
              <w:tl2br w:val="nil"/>
              <w:tr2bl w:val="nil"/>
            </w:tcBorders>
            <w:vAlign w:val="center"/>
          </w:tcPr>
          <w:p w14:paraId="21AA35E4">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09C0E0AE">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476F1360">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798FF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0B14DE87">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5CB53BD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18"/>
                <w:highlight w:val="none"/>
              </w:rPr>
            </w:pPr>
            <w:r>
              <w:rPr>
                <w:rFonts w:hint="eastAsia" w:ascii="Times New Roman" w:hAnsi="Times New Roman" w:cs="Times New Roman"/>
                <w:color w:val="auto"/>
                <w:sz w:val="21"/>
                <w:szCs w:val="21"/>
                <w:highlight w:val="none"/>
              </w:rPr>
              <w:t>废包装袋</w:t>
            </w:r>
          </w:p>
        </w:tc>
        <w:tc>
          <w:tcPr>
            <w:tcW w:w="720" w:type="pct"/>
            <w:vMerge w:val="continue"/>
            <w:tcBorders>
              <w:tl2br w:val="nil"/>
              <w:tr2bl w:val="nil"/>
            </w:tcBorders>
            <w:vAlign w:val="center"/>
          </w:tcPr>
          <w:p w14:paraId="6B011080">
            <w:pPr>
              <w:keepNext w:val="0"/>
              <w:keepLines w:val="0"/>
              <w:pageBreakBefore w:val="0"/>
              <w:kinsoku/>
              <w:wordWrap/>
              <w:overflowPunct/>
              <w:autoSpaceDE/>
              <w:autoSpaceDN/>
              <w:bidi w:val="0"/>
              <w:ind w:left="0" w:right="0"/>
              <w:jc w:val="center"/>
              <w:textAlignment w:val="auto"/>
              <w:rPr>
                <w:color w:val="auto"/>
                <w:sz w:val="21"/>
                <w:szCs w:val="18"/>
                <w:highlight w:val="none"/>
              </w:rPr>
            </w:pPr>
          </w:p>
        </w:tc>
        <w:tc>
          <w:tcPr>
            <w:tcW w:w="329" w:type="pct"/>
            <w:tcBorders>
              <w:tl2br w:val="nil"/>
              <w:tr2bl w:val="nil"/>
            </w:tcBorders>
            <w:vAlign w:val="center"/>
          </w:tcPr>
          <w:p w14:paraId="337952B7">
            <w:pPr>
              <w:keepNext w:val="0"/>
              <w:keepLines w:val="0"/>
              <w:pageBreakBefore w:val="0"/>
              <w:kinsoku/>
              <w:wordWrap/>
              <w:overflowPunct/>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color w:val="auto"/>
                <w:sz w:val="21"/>
                <w:szCs w:val="21"/>
                <w:highlight w:val="none"/>
              </w:rPr>
              <w:t>固态</w:t>
            </w:r>
          </w:p>
        </w:tc>
        <w:tc>
          <w:tcPr>
            <w:tcW w:w="730" w:type="pct"/>
            <w:tcBorders>
              <w:tl2br w:val="nil"/>
              <w:tr2bl w:val="nil"/>
            </w:tcBorders>
            <w:vAlign w:val="center"/>
          </w:tcPr>
          <w:p w14:paraId="208B10AB">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塑料、有机物</w:t>
            </w:r>
          </w:p>
        </w:tc>
        <w:tc>
          <w:tcPr>
            <w:tcW w:w="626" w:type="pct"/>
            <w:tcBorders>
              <w:tl2br w:val="nil"/>
              <w:tr2bl w:val="nil"/>
            </w:tcBorders>
            <w:vAlign w:val="center"/>
          </w:tcPr>
          <w:p w14:paraId="34A3E87F">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545" w:type="pct"/>
            <w:tcBorders>
              <w:tl2br w:val="nil"/>
              <w:tr2bl w:val="nil"/>
            </w:tcBorders>
            <w:vAlign w:val="center"/>
          </w:tcPr>
          <w:p w14:paraId="1CFA9A84">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4F23328D">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76722F1D">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35122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4B6F9A3F">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6243E5C1">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w:t>
            </w:r>
          </w:p>
        </w:tc>
        <w:tc>
          <w:tcPr>
            <w:tcW w:w="720" w:type="pct"/>
            <w:tcBorders>
              <w:tl2br w:val="nil"/>
              <w:tr2bl w:val="nil"/>
            </w:tcBorders>
            <w:vAlign w:val="center"/>
          </w:tcPr>
          <w:p w14:paraId="5B541A07">
            <w:pPr>
              <w:keepNext w:val="0"/>
              <w:keepLines w:val="0"/>
              <w:pageBreakBefore w:val="0"/>
              <w:kinsoku/>
              <w:wordWrap/>
              <w:overflowPunct/>
              <w:autoSpaceDE/>
              <w:autoSpaceDN/>
              <w:bidi w:val="0"/>
              <w:ind w:left="0" w:right="0"/>
              <w:jc w:val="center"/>
              <w:textAlignment w:val="auto"/>
              <w:rPr>
                <w:color w:val="auto"/>
                <w:sz w:val="21"/>
                <w:szCs w:val="21"/>
                <w:highlight w:val="none"/>
              </w:rPr>
            </w:pPr>
            <w:r>
              <w:rPr>
                <w:rFonts w:hint="eastAsia"/>
                <w:color w:val="auto"/>
                <w:sz w:val="21"/>
                <w:szCs w:val="18"/>
                <w:highlight w:val="none"/>
              </w:rPr>
              <w:t>废气处理</w:t>
            </w:r>
          </w:p>
        </w:tc>
        <w:tc>
          <w:tcPr>
            <w:tcW w:w="329" w:type="pct"/>
            <w:tcBorders>
              <w:tl2br w:val="nil"/>
              <w:tr2bl w:val="nil"/>
            </w:tcBorders>
            <w:vAlign w:val="center"/>
          </w:tcPr>
          <w:p w14:paraId="75B8940B">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eastAsia="宋体"/>
                <w:color w:val="auto"/>
                <w:sz w:val="21"/>
                <w:szCs w:val="21"/>
                <w:highlight w:val="none"/>
                <w:lang w:val="en-US"/>
              </w:rPr>
              <w:t>固态</w:t>
            </w:r>
          </w:p>
        </w:tc>
        <w:tc>
          <w:tcPr>
            <w:tcW w:w="730" w:type="pct"/>
            <w:tcBorders>
              <w:tl2br w:val="nil"/>
              <w:tr2bl w:val="nil"/>
            </w:tcBorders>
            <w:vAlign w:val="center"/>
          </w:tcPr>
          <w:p w14:paraId="6A045F9D">
            <w:pPr>
              <w:pStyle w:val="98"/>
              <w:keepNext w:val="0"/>
              <w:keepLines w:val="0"/>
              <w:pageBreakBefore w:val="0"/>
              <w:kinsoku/>
              <w:wordWrap/>
              <w:overflowPunct/>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活性炭、有机物</w:t>
            </w:r>
          </w:p>
        </w:tc>
        <w:tc>
          <w:tcPr>
            <w:tcW w:w="626" w:type="pct"/>
            <w:tcBorders>
              <w:tl2br w:val="nil"/>
              <w:tr2bl w:val="nil"/>
            </w:tcBorders>
            <w:vAlign w:val="center"/>
          </w:tcPr>
          <w:p w14:paraId="4F14DE12">
            <w:pPr>
              <w:keepNext w:val="0"/>
              <w:keepLines w:val="0"/>
              <w:pageBreakBefore w:val="0"/>
              <w:kinsoku/>
              <w:wordWrap/>
              <w:overflowPunct/>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10.4089</w:t>
            </w:r>
          </w:p>
        </w:tc>
        <w:tc>
          <w:tcPr>
            <w:tcW w:w="545" w:type="pct"/>
            <w:tcBorders>
              <w:tl2br w:val="nil"/>
              <w:tr2bl w:val="nil"/>
            </w:tcBorders>
            <w:vAlign w:val="center"/>
          </w:tcPr>
          <w:p w14:paraId="3472CC44">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45" w:type="pct"/>
            <w:tcBorders>
              <w:tl2br w:val="nil"/>
              <w:tr2bl w:val="nil"/>
            </w:tcBorders>
            <w:vAlign w:val="center"/>
          </w:tcPr>
          <w:p w14:paraId="60CA4BF3">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4B317203">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r w14:paraId="0977B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2" w:type="pct"/>
            <w:tcBorders>
              <w:tl2br w:val="nil"/>
              <w:tr2bl w:val="nil"/>
            </w:tcBorders>
            <w:vAlign w:val="center"/>
          </w:tcPr>
          <w:p w14:paraId="06A91EFE">
            <w:pPr>
              <w:keepNext w:val="0"/>
              <w:keepLines w:val="0"/>
              <w:pageBreakBefore w:val="0"/>
              <w:widowControl w:val="0"/>
              <w:numPr>
                <w:ilvl w:val="0"/>
                <w:numId w:val="18"/>
              </w:numPr>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c>
          <w:tcPr>
            <w:tcW w:w="643" w:type="pct"/>
            <w:tcBorders>
              <w:tl2br w:val="nil"/>
              <w:tr2bl w:val="nil"/>
            </w:tcBorders>
            <w:vAlign w:val="center"/>
          </w:tcPr>
          <w:p w14:paraId="11157D34">
            <w:pPr>
              <w:keepNext w:val="0"/>
              <w:keepLines w:val="0"/>
              <w:pageBreakBefore w:val="0"/>
              <w:kinsoku/>
              <w:wordWrap/>
              <w:overflowPunct/>
              <w:autoSpaceDE/>
              <w:autoSpaceDN/>
              <w:bidi w:val="0"/>
              <w:ind w:left="0" w:right="0"/>
              <w:jc w:val="center"/>
              <w:textAlignment w:val="auto"/>
              <w:rPr>
                <w:rFonts w:hint="default" w:ascii="Times New Roman" w:hAnsi="Times New Roman" w:eastAsia="宋体" w:cs="Times New Roman"/>
                <w:color w:val="auto"/>
                <w:sz w:val="21"/>
                <w:szCs w:val="18"/>
                <w:highlight w:val="none"/>
                <w:lang w:val="en-US" w:eastAsia="zh-CN"/>
              </w:rPr>
            </w:pPr>
            <w:r>
              <w:rPr>
                <w:rFonts w:hint="eastAsia" w:ascii="Times New Roman" w:hAnsi="Times New Roman" w:cs="Times New Roman"/>
                <w:color w:val="auto"/>
                <w:sz w:val="21"/>
                <w:szCs w:val="18"/>
                <w:highlight w:val="none"/>
                <w:lang w:val="en-US" w:eastAsia="zh-CN"/>
              </w:rPr>
              <w:t>实验室清洗废水</w:t>
            </w:r>
          </w:p>
        </w:tc>
        <w:tc>
          <w:tcPr>
            <w:tcW w:w="720" w:type="pct"/>
            <w:tcBorders>
              <w:tl2br w:val="nil"/>
              <w:tr2bl w:val="nil"/>
            </w:tcBorders>
            <w:vAlign w:val="center"/>
          </w:tcPr>
          <w:p w14:paraId="4FB6B8A8">
            <w:pPr>
              <w:keepNext w:val="0"/>
              <w:keepLines w:val="0"/>
              <w:pageBreakBefore w:val="0"/>
              <w:kinsoku/>
              <w:wordWrap/>
              <w:overflowPunct/>
              <w:autoSpaceDE/>
              <w:autoSpaceDN/>
              <w:bidi w:val="0"/>
              <w:ind w:left="0" w:right="0"/>
              <w:jc w:val="center"/>
              <w:textAlignment w:val="auto"/>
              <w:rPr>
                <w:rFonts w:hint="eastAsia" w:eastAsia="宋体"/>
                <w:color w:val="auto"/>
                <w:sz w:val="21"/>
                <w:szCs w:val="18"/>
                <w:highlight w:val="none"/>
                <w:lang w:val="en-US" w:eastAsia="zh-CN"/>
              </w:rPr>
            </w:pPr>
            <w:r>
              <w:rPr>
                <w:rFonts w:hint="eastAsia"/>
                <w:color w:val="auto"/>
                <w:sz w:val="21"/>
                <w:szCs w:val="18"/>
                <w:highlight w:val="none"/>
                <w:lang w:val="en-US" w:eastAsia="zh-CN"/>
              </w:rPr>
              <w:t>实验</w:t>
            </w:r>
          </w:p>
        </w:tc>
        <w:tc>
          <w:tcPr>
            <w:tcW w:w="329" w:type="pct"/>
            <w:tcBorders>
              <w:tl2br w:val="nil"/>
              <w:tr2bl w:val="nil"/>
            </w:tcBorders>
            <w:vAlign w:val="center"/>
          </w:tcPr>
          <w:p w14:paraId="34A217D6">
            <w:pPr>
              <w:pStyle w:val="98"/>
              <w:keepNext w:val="0"/>
              <w:keepLines w:val="0"/>
              <w:pageBreakBefore w:val="0"/>
              <w:kinsoku/>
              <w:wordWrap/>
              <w:overflowPunct/>
              <w:autoSpaceDE/>
              <w:autoSpaceDN/>
              <w:bidi w:val="0"/>
              <w:adjustRightInd w:val="0"/>
              <w:snapToGrid w:val="0"/>
              <w:ind w:left="0" w:right="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液态</w:t>
            </w:r>
          </w:p>
        </w:tc>
        <w:tc>
          <w:tcPr>
            <w:tcW w:w="730" w:type="pct"/>
            <w:tcBorders>
              <w:tl2br w:val="nil"/>
              <w:tr2bl w:val="nil"/>
            </w:tcBorders>
            <w:vAlign w:val="center"/>
          </w:tcPr>
          <w:p w14:paraId="6751DBC1">
            <w:pPr>
              <w:pStyle w:val="98"/>
              <w:keepNext w:val="0"/>
              <w:keepLines w:val="0"/>
              <w:pageBreakBefore w:val="0"/>
              <w:kinsoku/>
              <w:wordWrap/>
              <w:overflowPunct/>
              <w:autoSpaceDE/>
              <w:autoSpaceDN/>
              <w:bidi w:val="0"/>
              <w:adjustRightInd w:val="0"/>
              <w:snapToGrid w:val="0"/>
              <w:ind w:left="0" w:right="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杂质</w:t>
            </w:r>
          </w:p>
        </w:tc>
        <w:tc>
          <w:tcPr>
            <w:tcW w:w="626" w:type="pct"/>
            <w:tcBorders>
              <w:tl2br w:val="nil"/>
              <w:tr2bl w:val="nil"/>
            </w:tcBorders>
            <w:vAlign w:val="center"/>
          </w:tcPr>
          <w:p w14:paraId="15AC8415">
            <w:pPr>
              <w:keepNext w:val="0"/>
              <w:keepLines w:val="0"/>
              <w:pageBreakBefore w:val="0"/>
              <w:kinsoku/>
              <w:wordWrap/>
              <w:overflowPunct/>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927" w:type="dxa"/>
            <w:tcBorders>
              <w:tl2br w:val="nil"/>
              <w:tr2bl w:val="nil"/>
            </w:tcBorders>
            <w:vAlign w:val="center"/>
          </w:tcPr>
          <w:p w14:paraId="68D9F054">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927" w:type="dxa"/>
            <w:tcBorders>
              <w:tl2br w:val="nil"/>
              <w:tr2bl w:val="nil"/>
            </w:tcBorders>
            <w:vAlign w:val="center"/>
          </w:tcPr>
          <w:p w14:paraId="0CFDAC54">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6" w:type="pct"/>
            <w:vMerge w:val="continue"/>
            <w:tcBorders>
              <w:tl2br w:val="nil"/>
              <w:tr2bl w:val="nil"/>
            </w:tcBorders>
            <w:vAlign w:val="center"/>
          </w:tcPr>
          <w:p w14:paraId="18C5786F">
            <w:pPr>
              <w:keepNext w:val="0"/>
              <w:keepLines w:val="0"/>
              <w:pageBreakBefore w:val="0"/>
              <w:kinsoku/>
              <w:wordWrap/>
              <w:overflowPunct/>
              <w:autoSpaceDE/>
              <w:autoSpaceDN/>
              <w:bidi w:val="0"/>
              <w:ind w:left="0" w:right="0"/>
              <w:jc w:val="center"/>
              <w:textAlignment w:val="auto"/>
              <w:rPr>
                <w:rFonts w:ascii="Times New Roman" w:hAnsi="Times New Roman" w:cs="Times New Roman"/>
                <w:color w:val="auto"/>
                <w:sz w:val="21"/>
                <w:szCs w:val="21"/>
                <w:highlight w:val="none"/>
              </w:rPr>
            </w:pPr>
          </w:p>
        </w:tc>
      </w:tr>
    </w:tbl>
    <w:p w14:paraId="1F2636D1">
      <w:pPr>
        <w:spacing w:before="120" w:beforeLines="50" w:line="360" w:lineRule="auto"/>
        <w:ind w:left="-105" w:right="-105" w:firstLine="480" w:firstLineChars="200"/>
        <w:rPr>
          <w:rFonts w:ascii="Times New Roman" w:hAnsi="Times New Roman" w:cs="Times New Roman"/>
          <w:color w:val="auto"/>
          <w:highlight w:val="none"/>
        </w:rPr>
      </w:pPr>
      <w:r>
        <w:rPr>
          <w:rFonts w:hint="eastAsia"/>
          <w:color w:val="auto"/>
          <w:highlight w:val="none"/>
          <w:lang w:bidi="ar"/>
        </w:rPr>
        <w:t>根据上述分析，本项目营运期固废</w:t>
      </w:r>
      <w:r>
        <w:rPr>
          <w:rFonts w:ascii="Times New Roman" w:hAnsi="Times New Roman" w:cs="Times New Roman"/>
          <w:color w:val="auto"/>
          <w:highlight w:val="none"/>
          <w:lang w:bidi="ar"/>
        </w:rPr>
        <w:t>产生情况见</w:t>
      </w:r>
      <w:r>
        <w:rPr>
          <w:rFonts w:ascii="Times New Roman" w:hAnsi="Times New Roman" w:cs="Times New Roman"/>
          <w:color w:val="auto"/>
          <w:highlight w:val="none"/>
          <w:lang w:bidi="ar"/>
        </w:rPr>
        <w:fldChar w:fldCharType="begin"/>
      </w:r>
      <w:r>
        <w:rPr>
          <w:rFonts w:ascii="Times New Roman" w:hAnsi="Times New Roman" w:cs="Times New Roman"/>
          <w:color w:val="auto"/>
          <w:highlight w:val="none"/>
          <w:lang w:bidi="ar"/>
        </w:rPr>
        <w:instrText xml:space="preserve"> REF _Ref61965508 \h  \* MERGEFORMAT </w:instrText>
      </w:r>
      <w:r>
        <w:rPr>
          <w:rFonts w:ascii="Times New Roman" w:hAnsi="Times New Roman" w:cs="Times New Roman"/>
          <w:color w:val="auto"/>
          <w:highlight w:val="none"/>
          <w:lang w:bidi="ar"/>
        </w:rPr>
        <w:fldChar w:fldCharType="separate"/>
      </w:r>
      <w:r>
        <w:rPr>
          <w:rFonts w:ascii="Times New Roman" w:hAnsi="Times New Roman" w:cs="Times New Roman"/>
          <w:color w:val="auto"/>
          <w:highlight w:val="none"/>
        </w:rPr>
        <w:t>表</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11</w:t>
      </w:r>
      <w:r>
        <w:rPr>
          <w:rFonts w:ascii="Times New Roman" w:hAnsi="Times New Roman" w:cs="Times New Roman"/>
          <w:color w:val="auto"/>
          <w:highlight w:val="none"/>
          <w:lang w:bidi="ar"/>
        </w:rPr>
        <w:fldChar w:fldCharType="end"/>
      </w:r>
      <w:r>
        <w:rPr>
          <w:rFonts w:ascii="Times New Roman" w:hAnsi="Times New Roman" w:cs="Times New Roman"/>
          <w:color w:val="auto"/>
          <w:highlight w:val="none"/>
          <w:lang w:bidi="ar"/>
        </w:rPr>
        <w:t>，处理排放情况见</w:t>
      </w:r>
      <w:r>
        <w:rPr>
          <w:rFonts w:ascii="Times New Roman" w:hAnsi="Times New Roman" w:cs="Times New Roman"/>
          <w:color w:val="auto"/>
          <w:highlight w:val="none"/>
          <w:lang w:bidi="ar"/>
        </w:rPr>
        <w:fldChar w:fldCharType="begin"/>
      </w:r>
      <w:r>
        <w:rPr>
          <w:rFonts w:ascii="Times New Roman" w:hAnsi="Times New Roman" w:cs="Times New Roman"/>
          <w:color w:val="auto"/>
          <w:highlight w:val="none"/>
          <w:lang w:bidi="ar"/>
        </w:rPr>
        <w:instrText xml:space="preserve"> REF _Ref23722 \h </w:instrText>
      </w:r>
      <w:r>
        <w:rPr>
          <w:rFonts w:ascii="Times New Roman" w:hAnsi="Times New Roman" w:cs="Times New Roman"/>
          <w:color w:val="auto"/>
          <w:highlight w:val="none"/>
          <w:lang w:bidi="ar"/>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4.6</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12</w:t>
      </w:r>
      <w:r>
        <w:rPr>
          <w:rFonts w:ascii="Times New Roman" w:hAnsi="Times New Roman" w:cs="Times New Roman"/>
          <w:color w:val="auto"/>
          <w:highlight w:val="none"/>
          <w:lang w:bidi="ar"/>
        </w:rPr>
        <w:fldChar w:fldCharType="end"/>
      </w:r>
      <w:r>
        <w:rPr>
          <w:rFonts w:ascii="Times New Roman" w:hAnsi="Times New Roman" w:cs="Times New Roman"/>
          <w:color w:val="auto"/>
          <w:highlight w:val="none"/>
          <w:lang w:bidi="ar"/>
        </w:rPr>
        <w:t>，危险废物情况见</w:t>
      </w:r>
      <w:r>
        <w:rPr>
          <w:rFonts w:ascii="Times New Roman" w:hAnsi="Times New Roman" w:cs="Times New Roman"/>
          <w:color w:val="auto"/>
          <w:highlight w:val="none"/>
          <w:lang w:bidi="ar"/>
        </w:rPr>
        <w:fldChar w:fldCharType="begin"/>
      </w:r>
      <w:r>
        <w:rPr>
          <w:rFonts w:ascii="Times New Roman" w:hAnsi="Times New Roman" w:cs="Times New Roman"/>
          <w:color w:val="auto"/>
          <w:highlight w:val="none"/>
          <w:lang w:bidi="ar"/>
        </w:rPr>
        <w:instrText xml:space="preserve"> REF _Ref23768 \h </w:instrText>
      </w:r>
      <w:r>
        <w:rPr>
          <w:rFonts w:ascii="Times New Roman" w:hAnsi="Times New Roman" w:cs="Times New Roman"/>
          <w:color w:val="auto"/>
          <w:highlight w:val="none"/>
          <w:lang w:bidi="ar"/>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4.6</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13</w:t>
      </w:r>
      <w:r>
        <w:rPr>
          <w:rFonts w:ascii="Times New Roman" w:hAnsi="Times New Roman" w:cs="Times New Roman"/>
          <w:color w:val="auto"/>
          <w:highlight w:val="none"/>
          <w:lang w:bidi="ar"/>
        </w:rPr>
        <w:fldChar w:fldCharType="end"/>
      </w:r>
      <w:r>
        <w:rPr>
          <w:rFonts w:ascii="Times New Roman" w:hAnsi="Times New Roman" w:cs="Times New Roman"/>
          <w:color w:val="auto"/>
          <w:highlight w:val="none"/>
          <w:lang w:bidi="ar"/>
        </w:rPr>
        <w:t>。</w:t>
      </w:r>
    </w:p>
    <w:p w14:paraId="21EBA920">
      <w:pPr>
        <w:pStyle w:val="15"/>
        <w:spacing w:after="120" w:afterLines="50"/>
        <w:ind w:left="-105" w:right="-105" w:firstLine="482"/>
        <w:rPr>
          <w:rFonts w:eastAsia="宋体" w:cs="Times New Roman"/>
          <w:color w:val="auto"/>
          <w:sz w:val="24"/>
          <w:szCs w:val="24"/>
          <w:highlight w:val="none"/>
        </w:rPr>
      </w:pPr>
      <w:bookmarkStart w:id="241" w:name="_Ref61965508"/>
      <w:bookmarkStart w:id="242" w:name="_Ref23946"/>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11</w:t>
      </w:r>
      <w:r>
        <w:rPr>
          <w:rFonts w:eastAsia="宋体" w:cs="Times New Roman"/>
          <w:color w:val="auto"/>
          <w:sz w:val="24"/>
          <w:szCs w:val="24"/>
          <w:highlight w:val="none"/>
        </w:rPr>
        <w:fldChar w:fldCharType="end"/>
      </w:r>
      <w:bookmarkEnd w:id="241"/>
      <w:r>
        <w:rPr>
          <w:rFonts w:eastAsia="宋体" w:cs="Times New Roman"/>
          <w:color w:val="auto"/>
          <w:sz w:val="24"/>
          <w:szCs w:val="24"/>
          <w:highlight w:val="none"/>
        </w:rPr>
        <w:t>本项目固体废物分析结果汇总表</w:t>
      </w:r>
      <w:bookmarkEnd w:id="242"/>
    </w:p>
    <w:tbl>
      <w:tblPr>
        <w:tblStyle w:val="4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5"/>
        <w:gridCol w:w="845"/>
        <w:gridCol w:w="488"/>
        <w:gridCol w:w="936"/>
        <w:gridCol w:w="533"/>
        <w:gridCol w:w="1368"/>
        <w:gridCol w:w="664"/>
        <w:gridCol w:w="635"/>
        <w:gridCol w:w="1108"/>
        <w:gridCol w:w="781"/>
        <w:gridCol w:w="786"/>
      </w:tblGrid>
      <w:tr w14:paraId="0ED1B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30B2D645">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序号</w:t>
            </w:r>
          </w:p>
        </w:tc>
        <w:tc>
          <w:tcPr>
            <w:tcW w:w="497" w:type="pct"/>
            <w:tcBorders>
              <w:tl2br w:val="nil"/>
              <w:tr2bl w:val="nil"/>
            </w:tcBorders>
            <w:vAlign w:val="center"/>
          </w:tcPr>
          <w:p w14:paraId="19CAE785">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固废名称</w:t>
            </w:r>
          </w:p>
        </w:tc>
        <w:tc>
          <w:tcPr>
            <w:tcW w:w="287" w:type="pct"/>
            <w:tcBorders>
              <w:tl2br w:val="nil"/>
              <w:tr2bl w:val="nil"/>
            </w:tcBorders>
            <w:vAlign w:val="center"/>
          </w:tcPr>
          <w:p w14:paraId="29103023">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属性</w:t>
            </w:r>
          </w:p>
        </w:tc>
        <w:tc>
          <w:tcPr>
            <w:tcW w:w="550" w:type="pct"/>
            <w:tcBorders>
              <w:tl2br w:val="nil"/>
              <w:tr2bl w:val="nil"/>
            </w:tcBorders>
            <w:vAlign w:val="center"/>
          </w:tcPr>
          <w:p w14:paraId="77721ABC">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产生工序</w:t>
            </w:r>
          </w:p>
        </w:tc>
        <w:tc>
          <w:tcPr>
            <w:tcW w:w="313" w:type="pct"/>
            <w:tcBorders>
              <w:tl2br w:val="nil"/>
              <w:tr2bl w:val="nil"/>
            </w:tcBorders>
            <w:vAlign w:val="center"/>
          </w:tcPr>
          <w:p w14:paraId="3AECAC5E">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形态</w:t>
            </w:r>
          </w:p>
        </w:tc>
        <w:tc>
          <w:tcPr>
            <w:tcW w:w="804" w:type="pct"/>
            <w:tcBorders>
              <w:tl2br w:val="nil"/>
              <w:tr2bl w:val="nil"/>
            </w:tcBorders>
            <w:vAlign w:val="center"/>
          </w:tcPr>
          <w:p w14:paraId="2F476D5D">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主要成分</w:t>
            </w:r>
          </w:p>
        </w:tc>
        <w:tc>
          <w:tcPr>
            <w:tcW w:w="390" w:type="pct"/>
            <w:tcBorders>
              <w:tl2br w:val="nil"/>
              <w:tr2bl w:val="nil"/>
            </w:tcBorders>
            <w:vAlign w:val="center"/>
          </w:tcPr>
          <w:p w14:paraId="57BA7951">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危险特性</w:t>
            </w:r>
          </w:p>
        </w:tc>
        <w:tc>
          <w:tcPr>
            <w:tcW w:w="373" w:type="pct"/>
            <w:tcBorders>
              <w:tl2br w:val="nil"/>
              <w:tr2bl w:val="nil"/>
            </w:tcBorders>
            <w:vAlign w:val="center"/>
          </w:tcPr>
          <w:p w14:paraId="7D7CB75A">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废物类别</w:t>
            </w:r>
          </w:p>
        </w:tc>
        <w:tc>
          <w:tcPr>
            <w:tcW w:w="651" w:type="pct"/>
            <w:tcBorders>
              <w:tl2br w:val="nil"/>
              <w:tr2bl w:val="nil"/>
            </w:tcBorders>
            <w:vAlign w:val="center"/>
          </w:tcPr>
          <w:p w14:paraId="310E1CA0">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rPr>
            </w:pPr>
            <w:r>
              <w:rPr>
                <w:rFonts w:eastAsia="宋体"/>
                <w:b/>
                <w:bCs/>
                <w:color w:val="auto"/>
                <w:sz w:val="21"/>
                <w:szCs w:val="21"/>
                <w:highlight w:val="none"/>
              </w:rPr>
              <w:t>废物代码</w:t>
            </w:r>
          </w:p>
        </w:tc>
        <w:tc>
          <w:tcPr>
            <w:tcW w:w="459" w:type="pct"/>
            <w:tcBorders>
              <w:tl2br w:val="nil"/>
              <w:tr2bl w:val="nil"/>
            </w:tcBorders>
            <w:vAlign w:val="center"/>
          </w:tcPr>
          <w:p w14:paraId="29C66E5D">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lang w:val="en-US"/>
              </w:rPr>
            </w:pPr>
            <w:r>
              <w:rPr>
                <w:rFonts w:eastAsia="宋体"/>
                <w:b/>
                <w:bCs/>
                <w:color w:val="auto"/>
                <w:sz w:val="21"/>
                <w:szCs w:val="21"/>
                <w:highlight w:val="none"/>
                <w:lang w:val="en-US"/>
              </w:rPr>
              <w:t>年</w:t>
            </w:r>
            <w:r>
              <w:rPr>
                <w:rFonts w:eastAsia="宋体"/>
                <w:b/>
                <w:bCs/>
                <w:color w:val="auto"/>
                <w:sz w:val="21"/>
                <w:szCs w:val="21"/>
                <w:highlight w:val="none"/>
              </w:rPr>
              <w:t>产量</w:t>
            </w:r>
            <w:r>
              <w:rPr>
                <w:rFonts w:eastAsia="宋体"/>
                <w:b/>
                <w:bCs/>
                <w:color w:val="auto"/>
                <w:sz w:val="21"/>
                <w:szCs w:val="21"/>
                <w:highlight w:val="none"/>
                <w:lang w:val="en-US"/>
              </w:rPr>
              <w:t>（t/a）</w:t>
            </w:r>
          </w:p>
        </w:tc>
        <w:tc>
          <w:tcPr>
            <w:tcW w:w="462" w:type="pct"/>
            <w:tcBorders>
              <w:tl2br w:val="nil"/>
              <w:tr2bl w:val="nil"/>
            </w:tcBorders>
            <w:vAlign w:val="center"/>
          </w:tcPr>
          <w:p w14:paraId="5F58B9DC">
            <w:pPr>
              <w:pStyle w:val="98"/>
              <w:keepNext w:val="0"/>
              <w:keepLines w:val="0"/>
              <w:pageBreakBefore w:val="0"/>
              <w:kinsoku/>
              <w:wordWrap/>
              <w:overflowPunct/>
              <w:topLinePunct w:val="0"/>
              <w:autoSpaceDE/>
              <w:autoSpaceDN/>
              <w:bidi w:val="0"/>
              <w:adjustRightInd w:val="0"/>
              <w:snapToGrid w:val="0"/>
              <w:ind w:left="0" w:right="0"/>
              <w:rPr>
                <w:rFonts w:eastAsia="宋体"/>
                <w:b/>
                <w:bCs/>
                <w:color w:val="auto"/>
                <w:sz w:val="21"/>
                <w:szCs w:val="21"/>
                <w:highlight w:val="none"/>
                <w:lang w:val="en-US"/>
              </w:rPr>
            </w:pPr>
            <w:r>
              <w:rPr>
                <w:rFonts w:eastAsia="宋体"/>
                <w:b/>
                <w:bCs/>
                <w:color w:val="auto"/>
                <w:sz w:val="21"/>
                <w:szCs w:val="21"/>
                <w:highlight w:val="none"/>
                <w:lang w:val="en-US"/>
              </w:rPr>
              <w:t>最大储存量（t）</w:t>
            </w:r>
          </w:p>
        </w:tc>
      </w:tr>
      <w:tr w14:paraId="0077D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0758F802">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p>
        </w:tc>
        <w:tc>
          <w:tcPr>
            <w:tcW w:w="497" w:type="pct"/>
            <w:tcBorders>
              <w:tl2br w:val="nil"/>
              <w:tr2bl w:val="nil"/>
            </w:tcBorders>
            <w:vAlign w:val="center"/>
          </w:tcPr>
          <w:p w14:paraId="0E163737">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hint="eastAsia" w:ascii="宋体" w:hAnsi="宋体" w:eastAsia="宋体" w:cs="宋体"/>
                <w:color w:val="auto"/>
                <w:sz w:val="21"/>
                <w:szCs w:val="18"/>
                <w:highlight w:val="none"/>
                <w:lang w:val="en-US"/>
              </w:rPr>
              <w:t>废</w:t>
            </w:r>
            <w:r>
              <w:rPr>
                <w:rFonts w:hint="eastAsia"/>
                <w:color w:val="auto"/>
                <w:sz w:val="21"/>
                <w:szCs w:val="18"/>
                <w:highlight w:val="none"/>
                <w:lang w:val="en-US"/>
              </w:rPr>
              <w:t>滤芯</w:t>
            </w:r>
          </w:p>
        </w:tc>
        <w:tc>
          <w:tcPr>
            <w:tcW w:w="287" w:type="pct"/>
            <w:vMerge w:val="restart"/>
            <w:tcBorders>
              <w:tl2br w:val="nil"/>
              <w:tr2bl w:val="nil"/>
            </w:tcBorders>
            <w:vAlign w:val="center"/>
          </w:tcPr>
          <w:p w14:paraId="63AD16CC">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w:t>
            </w:r>
          </w:p>
          <w:p w14:paraId="7FEA9CD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w:t>
            </w:r>
          </w:p>
        </w:tc>
        <w:tc>
          <w:tcPr>
            <w:tcW w:w="550" w:type="pct"/>
            <w:tcBorders>
              <w:tl2br w:val="nil"/>
              <w:tr2bl w:val="nil"/>
            </w:tcBorders>
            <w:vAlign w:val="center"/>
          </w:tcPr>
          <w:p w14:paraId="110B47D8">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color w:val="auto"/>
                <w:sz w:val="21"/>
                <w:szCs w:val="18"/>
                <w:highlight w:val="none"/>
              </w:rPr>
              <w:t>过滤器</w:t>
            </w:r>
          </w:p>
        </w:tc>
        <w:tc>
          <w:tcPr>
            <w:tcW w:w="313" w:type="pct"/>
            <w:tcBorders>
              <w:tl2br w:val="nil"/>
              <w:tr2bl w:val="nil"/>
            </w:tcBorders>
            <w:vAlign w:val="center"/>
          </w:tcPr>
          <w:p w14:paraId="6675290E">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固态</w:t>
            </w:r>
          </w:p>
        </w:tc>
        <w:tc>
          <w:tcPr>
            <w:tcW w:w="804" w:type="pct"/>
            <w:tcBorders>
              <w:tl2br w:val="nil"/>
              <w:tr2bl w:val="nil"/>
            </w:tcBorders>
            <w:vAlign w:val="center"/>
          </w:tcPr>
          <w:p w14:paraId="37DDF07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树脂、固形物等</w:t>
            </w:r>
          </w:p>
        </w:tc>
        <w:tc>
          <w:tcPr>
            <w:tcW w:w="390" w:type="pct"/>
            <w:tcBorders>
              <w:tl2br w:val="nil"/>
              <w:tr2bl w:val="nil"/>
            </w:tcBorders>
            <w:vAlign w:val="center"/>
          </w:tcPr>
          <w:p w14:paraId="624C2F06">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T/In</w:t>
            </w:r>
          </w:p>
        </w:tc>
        <w:tc>
          <w:tcPr>
            <w:tcW w:w="373" w:type="pct"/>
            <w:tcBorders>
              <w:tl2br w:val="nil"/>
              <w:tr2bl w:val="nil"/>
            </w:tcBorders>
            <w:vAlign w:val="center"/>
          </w:tcPr>
          <w:p w14:paraId="2AD6E8D6">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HW49</w:t>
            </w:r>
          </w:p>
        </w:tc>
        <w:tc>
          <w:tcPr>
            <w:tcW w:w="651" w:type="pct"/>
            <w:tcBorders>
              <w:tl2br w:val="nil"/>
              <w:tr2bl w:val="nil"/>
            </w:tcBorders>
            <w:vAlign w:val="center"/>
          </w:tcPr>
          <w:p w14:paraId="49DBC5AD">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900-041-49</w:t>
            </w:r>
          </w:p>
        </w:tc>
        <w:tc>
          <w:tcPr>
            <w:tcW w:w="781" w:type="dxa"/>
            <w:tcBorders>
              <w:tl2br w:val="nil"/>
              <w:tr2bl w:val="nil"/>
            </w:tcBorders>
            <w:vAlign w:val="center"/>
          </w:tcPr>
          <w:p w14:paraId="2FCA9D3B">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62" w:type="pct"/>
            <w:tcBorders>
              <w:tl2br w:val="nil"/>
              <w:tr2bl w:val="nil"/>
            </w:tcBorders>
            <w:vAlign w:val="center"/>
          </w:tcPr>
          <w:p w14:paraId="60E3257C">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1.25</w:t>
            </w:r>
          </w:p>
        </w:tc>
      </w:tr>
      <w:tr w14:paraId="3DCDA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3E4C3BA2">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p>
        </w:tc>
        <w:tc>
          <w:tcPr>
            <w:tcW w:w="497" w:type="pct"/>
            <w:tcBorders>
              <w:tl2br w:val="nil"/>
              <w:tr2bl w:val="nil"/>
            </w:tcBorders>
            <w:vAlign w:val="center"/>
          </w:tcPr>
          <w:p w14:paraId="5EAEABE6">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实验废液</w:t>
            </w:r>
          </w:p>
        </w:tc>
        <w:tc>
          <w:tcPr>
            <w:tcW w:w="287" w:type="pct"/>
            <w:vMerge w:val="continue"/>
            <w:tcBorders>
              <w:tl2br w:val="nil"/>
              <w:tr2bl w:val="nil"/>
            </w:tcBorders>
            <w:vAlign w:val="center"/>
          </w:tcPr>
          <w:p w14:paraId="04ABAC3F">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vMerge w:val="restart"/>
            <w:tcBorders>
              <w:tl2br w:val="nil"/>
              <w:tr2bl w:val="nil"/>
            </w:tcBorders>
            <w:vAlign w:val="center"/>
          </w:tcPr>
          <w:p w14:paraId="3EAFDA2F">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实验</w:t>
            </w:r>
          </w:p>
        </w:tc>
        <w:tc>
          <w:tcPr>
            <w:tcW w:w="313" w:type="pct"/>
            <w:tcBorders>
              <w:tl2br w:val="nil"/>
              <w:tr2bl w:val="nil"/>
            </w:tcBorders>
            <w:vAlign w:val="center"/>
          </w:tcPr>
          <w:p w14:paraId="442D9F5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液</w:t>
            </w:r>
            <w:r>
              <w:rPr>
                <w:rFonts w:eastAsia="宋体"/>
                <w:color w:val="auto"/>
                <w:sz w:val="21"/>
                <w:szCs w:val="21"/>
                <w:highlight w:val="none"/>
                <w:lang w:val="en-US"/>
              </w:rPr>
              <w:t>态</w:t>
            </w:r>
          </w:p>
        </w:tc>
        <w:tc>
          <w:tcPr>
            <w:tcW w:w="804" w:type="pct"/>
            <w:tcBorders>
              <w:tl2br w:val="nil"/>
              <w:tr2bl w:val="nil"/>
            </w:tcBorders>
            <w:vAlign w:val="center"/>
          </w:tcPr>
          <w:p w14:paraId="487201F8">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化学试剂等</w:t>
            </w:r>
          </w:p>
        </w:tc>
        <w:tc>
          <w:tcPr>
            <w:tcW w:w="390" w:type="pct"/>
            <w:tcBorders>
              <w:tl2br w:val="nil"/>
              <w:tr2bl w:val="nil"/>
            </w:tcBorders>
            <w:vAlign w:val="center"/>
          </w:tcPr>
          <w:p w14:paraId="41A8A7A1">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373" w:type="pct"/>
            <w:tcBorders>
              <w:tl2br w:val="nil"/>
              <w:tr2bl w:val="nil"/>
            </w:tcBorders>
            <w:vAlign w:val="center"/>
          </w:tcPr>
          <w:p w14:paraId="586011C2">
            <w:pPr>
              <w:pStyle w:val="98"/>
              <w:keepNext w:val="0"/>
              <w:keepLines w:val="0"/>
              <w:pageBreakBefore w:val="0"/>
              <w:kinsoku/>
              <w:wordWrap/>
              <w:overflowPunct/>
              <w:topLinePunct w:val="0"/>
              <w:autoSpaceDE/>
              <w:autoSpaceDN/>
              <w:bidi w:val="0"/>
              <w:adjustRightInd w:val="0"/>
              <w:snapToGrid w:val="0"/>
              <w:ind w:left="0" w:right="0"/>
              <w:rPr>
                <w:rFonts w:eastAsia="宋体"/>
                <w:color w:val="auto"/>
                <w:kern w:val="2"/>
                <w:sz w:val="21"/>
                <w:szCs w:val="21"/>
                <w:highlight w:val="none"/>
                <w:lang w:val="en-US"/>
              </w:rPr>
            </w:pPr>
            <w:r>
              <w:rPr>
                <w:rFonts w:eastAsia="宋体"/>
                <w:color w:val="auto"/>
                <w:sz w:val="21"/>
                <w:szCs w:val="21"/>
                <w:highlight w:val="none"/>
                <w:lang w:val="en-US"/>
              </w:rPr>
              <w:t>HW49</w:t>
            </w:r>
          </w:p>
        </w:tc>
        <w:tc>
          <w:tcPr>
            <w:tcW w:w="651" w:type="pct"/>
            <w:tcBorders>
              <w:tl2br w:val="nil"/>
              <w:tr2bl w:val="nil"/>
            </w:tcBorders>
            <w:vAlign w:val="center"/>
          </w:tcPr>
          <w:p w14:paraId="4D2E0E82">
            <w:pPr>
              <w:pStyle w:val="98"/>
              <w:keepNext w:val="0"/>
              <w:keepLines w:val="0"/>
              <w:pageBreakBefore w:val="0"/>
              <w:kinsoku/>
              <w:wordWrap/>
              <w:overflowPunct/>
              <w:topLinePunct w:val="0"/>
              <w:autoSpaceDE/>
              <w:autoSpaceDN/>
              <w:bidi w:val="0"/>
              <w:adjustRightInd w:val="0"/>
              <w:snapToGrid w:val="0"/>
              <w:ind w:left="0" w:right="0"/>
              <w:rPr>
                <w:rFonts w:eastAsia="宋体"/>
                <w:color w:val="auto"/>
                <w:kern w:val="2"/>
                <w:sz w:val="21"/>
                <w:szCs w:val="21"/>
                <w:highlight w:val="none"/>
                <w:lang w:val="en-US"/>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781" w:type="dxa"/>
            <w:tcBorders>
              <w:tl2br w:val="nil"/>
              <w:tr2bl w:val="nil"/>
            </w:tcBorders>
            <w:vAlign w:val="center"/>
          </w:tcPr>
          <w:p w14:paraId="3ECA03EE">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462" w:type="pct"/>
            <w:tcBorders>
              <w:tl2br w:val="nil"/>
              <w:tr2bl w:val="nil"/>
            </w:tcBorders>
            <w:vAlign w:val="center"/>
          </w:tcPr>
          <w:p w14:paraId="16564F98">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02</w:t>
            </w:r>
          </w:p>
        </w:tc>
      </w:tr>
      <w:tr w14:paraId="0FE34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57F421EA">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181B7FC6">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废实验耗材</w:t>
            </w:r>
          </w:p>
        </w:tc>
        <w:tc>
          <w:tcPr>
            <w:tcW w:w="287" w:type="pct"/>
            <w:vMerge w:val="continue"/>
            <w:tcBorders>
              <w:tl2br w:val="nil"/>
              <w:tr2bl w:val="nil"/>
            </w:tcBorders>
            <w:vAlign w:val="center"/>
          </w:tcPr>
          <w:p w14:paraId="73199DB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vMerge w:val="continue"/>
            <w:tcBorders>
              <w:tl2br w:val="nil"/>
              <w:tr2bl w:val="nil"/>
            </w:tcBorders>
            <w:vAlign w:val="center"/>
          </w:tcPr>
          <w:p w14:paraId="6F784A43">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313" w:type="pct"/>
            <w:tcBorders>
              <w:tl2br w:val="nil"/>
              <w:tr2bl w:val="nil"/>
            </w:tcBorders>
            <w:vAlign w:val="center"/>
          </w:tcPr>
          <w:p w14:paraId="02DA3282">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固态</w:t>
            </w:r>
          </w:p>
        </w:tc>
        <w:tc>
          <w:tcPr>
            <w:tcW w:w="804" w:type="pct"/>
            <w:tcBorders>
              <w:tl2br w:val="nil"/>
              <w:tr2bl w:val="nil"/>
            </w:tcBorders>
            <w:vAlign w:val="center"/>
          </w:tcPr>
          <w:p w14:paraId="1FF26128">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玻璃、化学试剂</w:t>
            </w:r>
          </w:p>
        </w:tc>
        <w:tc>
          <w:tcPr>
            <w:tcW w:w="390" w:type="pct"/>
            <w:tcBorders>
              <w:tl2br w:val="nil"/>
              <w:tr2bl w:val="nil"/>
            </w:tcBorders>
            <w:vAlign w:val="center"/>
          </w:tcPr>
          <w:p w14:paraId="4C5B7E2F">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373" w:type="pct"/>
            <w:tcBorders>
              <w:tl2br w:val="nil"/>
              <w:tr2bl w:val="nil"/>
            </w:tcBorders>
            <w:vAlign w:val="center"/>
          </w:tcPr>
          <w:p w14:paraId="7A7E1712">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HW49</w:t>
            </w:r>
          </w:p>
        </w:tc>
        <w:tc>
          <w:tcPr>
            <w:tcW w:w="651" w:type="pct"/>
            <w:tcBorders>
              <w:tl2br w:val="nil"/>
              <w:tr2bl w:val="nil"/>
            </w:tcBorders>
            <w:vAlign w:val="center"/>
          </w:tcPr>
          <w:p w14:paraId="38C56975">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781" w:type="dxa"/>
            <w:tcBorders>
              <w:tl2br w:val="nil"/>
              <w:tr2bl w:val="nil"/>
            </w:tcBorders>
            <w:vAlign w:val="center"/>
          </w:tcPr>
          <w:p w14:paraId="473CC529">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62" w:type="pct"/>
            <w:tcBorders>
              <w:tl2br w:val="nil"/>
              <w:tr2bl w:val="nil"/>
            </w:tcBorders>
            <w:vAlign w:val="center"/>
          </w:tcPr>
          <w:p w14:paraId="55AE4DB9">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r>
      <w:tr w14:paraId="5B83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34EF3158">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119A556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废过滤介质</w:t>
            </w:r>
          </w:p>
        </w:tc>
        <w:tc>
          <w:tcPr>
            <w:tcW w:w="287" w:type="pct"/>
            <w:vMerge w:val="restart"/>
            <w:tcBorders>
              <w:tl2br w:val="nil"/>
              <w:tr2bl w:val="nil"/>
            </w:tcBorders>
            <w:vAlign w:val="center"/>
          </w:tcPr>
          <w:p w14:paraId="79D8B1AD">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一般固废</w:t>
            </w:r>
          </w:p>
        </w:tc>
        <w:tc>
          <w:tcPr>
            <w:tcW w:w="550" w:type="pct"/>
            <w:vMerge w:val="restart"/>
            <w:tcBorders>
              <w:tl2br w:val="nil"/>
              <w:tr2bl w:val="nil"/>
            </w:tcBorders>
            <w:vAlign w:val="center"/>
          </w:tcPr>
          <w:p w14:paraId="2223399E">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color w:val="auto"/>
                <w:sz w:val="21"/>
                <w:szCs w:val="18"/>
                <w:highlight w:val="none"/>
              </w:rPr>
              <w:t>超纯水制备</w:t>
            </w:r>
          </w:p>
        </w:tc>
        <w:tc>
          <w:tcPr>
            <w:tcW w:w="313" w:type="pct"/>
            <w:tcBorders>
              <w:tl2br w:val="nil"/>
              <w:tr2bl w:val="nil"/>
            </w:tcBorders>
            <w:vAlign w:val="center"/>
          </w:tcPr>
          <w:p w14:paraId="7F028457">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固态</w:t>
            </w:r>
          </w:p>
        </w:tc>
        <w:tc>
          <w:tcPr>
            <w:tcW w:w="804" w:type="pct"/>
            <w:tcBorders>
              <w:tl2br w:val="nil"/>
              <w:tr2bl w:val="nil"/>
            </w:tcBorders>
            <w:vAlign w:val="center"/>
          </w:tcPr>
          <w:p w14:paraId="317D852D">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塑料、砂等</w:t>
            </w:r>
          </w:p>
        </w:tc>
        <w:tc>
          <w:tcPr>
            <w:tcW w:w="390" w:type="pct"/>
            <w:tcBorders>
              <w:tl2br w:val="nil"/>
              <w:tr2bl w:val="nil"/>
            </w:tcBorders>
            <w:vAlign w:val="center"/>
          </w:tcPr>
          <w:p w14:paraId="6056802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73" w:type="pct"/>
            <w:tcBorders>
              <w:tl2br w:val="nil"/>
              <w:tr2bl w:val="nil"/>
            </w:tcBorders>
            <w:vAlign w:val="center"/>
          </w:tcPr>
          <w:p w14:paraId="287E1E6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SW59</w:t>
            </w:r>
          </w:p>
        </w:tc>
        <w:tc>
          <w:tcPr>
            <w:tcW w:w="651" w:type="pct"/>
            <w:tcBorders>
              <w:tl2br w:val="nil"/>
              <w:tr2bl w:val="nil"/>
            </w:tcBorders>
            <w:vAlign w:val="center"/>
          </w:tcPr>
          <w:p w14:paraId="6ED16DBC">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900-009-S59</w:t>
            </w:r>
          </w:p>
        </w:tc>
        <w:tc>
          <w:tcPr>
            <w:tcW w:w="781" w:type="dxa"/>
            <w:tcBorders>
              <w:tl2br w:val="nil"/>
              <w:tr2bl w:val="nil"/>
            </w:tcBorders>
            <w:vAlign w:val="center"/>
          </w:tcPr>
          <w:p w14:paraId="035BC31A">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62" w:type="pct"/>
            <w:tcBorders>
              <w:tl2br w:val="nil"/>
              <w:tr2bl w:val="nil"/>
            </w:tcBorders>
            <w:vAlign w:val="center"/>
          </w:tcPr>
          <w:p w14:paraId="707B5D1B">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r>
      <w:tr w14:paraId="2C5E9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 w:type="pct"/>
            <w:tcBorders>
              <w:tl2br w:val="nil"/>
              <w:tr2bl w:val="nil"/>
            </w:tcBorders>
            <w:vAlign w:val="center"/>
          </w:tcPr>
          <w:p w14:paraId="54D4260B">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5A07E46E">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w:t>
            </w:r>
          </w:p>
        </w:tc>
        <w:tc>
          <w:tcPr>
            <w:tcW w:w="287" w:type="pct"/>
            <w:vMerge w:val="continue"/>
            <w:tcBorders>
              <w:tl2br w:val="nil"/>
              <w:tr2bl w:val="nil"/>
            </w:tcBorders>
            <w:vAlign w:val="center"/>
          </w:tcPr>
          <w:p w14:paraId="5258867F">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vMerge w:val="continue"/>
            <w:tcBorders>
              <w:tl2br w:val="nil"/>
              <w:tr2bl w:val="nil"/>
            </w:tcBorders>
            <w:vAlign w:val="center"/>
          </w:tcPr>
          <w:p w14:paraId="6B89CBB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p>
        </w:tc>
        <w:tc>
          <w:tcPr>
            <w:tcW w:w="313" w:type="pct"/>
            <w:tcBorders>
              <w:tl2br w:val="nil"/>
              <w:tr2bl w:val="nil"/>
            </w:tcBorders>
            <w:vAlign w:val="center"/>
          </w:tcPr>
          <w:p w14:paraId="3D97CBEF">
            <w:pPr>
              <w:pStyle w:val="98"/>
              <w:keepNext w:val="0"/>
              <w:keepLines w:val="0"/>
              <w:pageBreakBefore w:val="0"/>
              <w:kinsoku/>
              <w:wordWrap/>
              <w:overflowPunct/>
              <w:topLinePunct w:val="0"/>
              <w:autoSpaceDE/>
              <w:autoSpaceDN/>
              <w:bidi w:val="0"/>
              <w:adjustRightInd w:val="0"/>
              <w:snapToGrid w:val="0"/>
              <w:ind w:left="0" w:right="0"/>
              <w:rPr>
                <w:color w:val="auto"/>
                <w:sz w:val="21"/>
                <w:szCs w:val="21"/>
                <w:highlight w:val="none"/>
              </w:rPr>
            </w:pPr>
            <w:r>
              <w:rPr>
                <w:rFonts w:eastAsia="宋体"/>
                <w:color w:val="auto"/>
                <w:sz w:val="21"/>
                <w:szCs w:val="21"/>
                <w:highlight w:val="none"/>
                <w:lang w:val="en-US"/>
              </w:rPr>
              <w:t>固态</w:t>
            </w:r>
          </w:p>
        </w:tc>
        <w:tc>
          <w:tcPr>
            <w:tcW w:w="804" w:type="pct"/>
            <w:tcBorders>
              <w:tl2br w:val="nil"/>
              <w:tr2bl w:val="nil"/>
            </w:tcBorders>
            <w:vAlign w:val="center"/>
          </w:tcPr>
          <w:p w14:paraId="78CCB2B3">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活性炭</w:t>
            </w:r>
          </w:p>
        </w:tc>
        <w:tc>
          <w:tcPr>
            <w:tcW w:w="390" w:type="pct"/>
            <w:tcBorders>
              <w:tl2br w:val="nil"/>
              <w:tr2bl w:val="nil"/>
            </w:tcBorders>
            <w:vAlign w:val="center"/>
          </w:tcPr>
          <w:p w14:paraId="4AD6F57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w:t>
            </w:r>
          </w:p>
        </w:tc>
        <w:tc>
          <w:tcPr>
            <w:tcW w:w="373" w:type="pct"/>
            <w:tcBorders>
              <w:tl2br w:val="nil"/>
              <w:tr2bl w:val="nil"/>
            </w:tcBorders>
            <w:vAlign w:val="center"/>
          </w:tcPr>
          <w:p w14:paraId="703FA520">
            <w:pPr>
              <w:keepNext w:val="0"/>
              <w:keepLines w:val="0"/>
              <w:pageBreakBefore w:val="0"/>
              <w:kinsoku/>
              <w:wordWrap/>
              <w:overflowPunct/>
              <w:topLinePunct w:val="0"/>
              <w:autoSpaceDE/>
              <w:autoSpaceDN/>
              <w:bidi w:val="0"/>
              <w:adjustRightInd w:val="0"/>
              <w:snapToGrid w:val="0"/>
              <w:ind w:left="0" w:right="0"/>
              <w:jc w:val="center"/>
              <w:rPr>
                <w:color w:val="auto"/>
                <w:sz w:val="21"/>
                <w:szCs w:val="21"/>
                <w:highlight w:val="none"/>
              </w:rPr>
            </w:pPr>
            <w:r>
              <w:rPr>
                <w:rFonts w:hint="eastAsia" w:ascii="Times New Roman" w:hAnsi="Times New Roman" w:cs="Times New Roman"/>
                <w:color w:val="auto"/>
                <w:sz w:val="21"/>
                <w:szCs w:val="21"/>
                <w:highlight w:val="none"/>
              </w:rPr>
              <w:t>SW59</w:t>
            </w:r>
          </w:p>
        </w:tc>
        <w:tc>
          <w:tcPr>
            <w:tcW w:w="651" w:type="pct"/>
            <w:tcBorders>
              <w:tl2br w:val="nil"/>
              <w:tr2bl w:val="nil"/>
            </w:tcBorders>
            <w:vAlign w:val="center"/>
          </w:tcPr>
          <w:p w14:paraId="3742770F">
            <w:pPr>
              <w:keepNext w:val="0"/>
              <w:keepLines w:val="0"/>
              <w:pageBreakBefore w:val="0"/>
              <w:kinsoku/>
              <w:wordWrap/>
              <w:overflowPunct/>
              <w:topLinePunct w:val="0"/>
              <w:autoSpaceDE/>
              <w:autoSpaceDN/>
              <w:bidi w:val="0"/>
              <w:adjustRightInd w:val="0"/>
              <w:snapToGrid w:val="0"/>
              <w:ind w:left="0" w:right="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900-009-S59</w:t>
            </w:r>
          </w:p>
        </w:tc>
        <w:tc>
          <w:tcPr>
            <w:tcW w:w="781" w:type="dxa"/>
            <w:tcBorders>
              <w:tl2br w:val="nil"/>
              <w:tr2bl w:val="nil"/>
            </w:tcBorders>
            <w:vAlign w:val="center"/>
          </w:tcPr>
          <w:p w14:paraId="4935457D">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462" w:type="pct"/>
            <w:tcBorders>
              <w:tl2br w:val="nil"/>
              <w:tr2bl w:val="nil"/>
            </w:tcBorders>
            <w:vAlign w:val="center"/>
          </w:tcPr>
          <w:p w14:paraId="0597E306">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r>
      <w:tr w14:paraId="05F8D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17666280">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0167F03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废RO膜</w:t>
            </w:r>
          </w:p>
        </w:tc>
        <w:tc>
          <w:tcPr>
            <w:tcW w:w="287" w:type="pct"/>
            <w:vMerge w:val="continue"/>
            <w:tcBorders>
              <w:tl2br w:val="nil"/>
              <w:tr2bl w:val="nil"/>
            </w:tcBorders>
            <w:vAlign w:val="center"/>
          </w:tcPr>
          <w:p w14:paraId="1CD1CF28">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vMerge w:val="continue"/>
            <w:tcBorders>
              <w:tl2br w:val="nil"/>
              <w:tr2bl w:val="nil"/>
            </w:tcBorders>
            <w:vAlign w:val="center"/>
          </w:tcPr>
          <w:p w14:paraId="7F24380A">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p>
        </w:tc>
        <w:tc>
          <w:tcPr>
            <w:tcW w:w="313" w:type="pct"/>
            <w:tcBorders>
              <w:tl2br w:val="nil"/>
              <w:tr2bl w:val="nil"/>
            </w:tcBorders>
            <w:vAlign w:val="center"/>
          </w:tcPr>
          <w:p w14:paraId="759042DC">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固态</w:t>
            </w:r>
          </w:p>
        </w:tc>
        <w:tc>
          <w:tcPr>
            <w:tcW w:w="804" w:type="pct"/>
            <w:tcBorders>
              <w:tl2br w:val="nil"/>
              <w:tr2bl w:val="nil"/>
            </w:tcBorders>
            <w:vAlign w:val="center"/>
          </w:tcPr>
          <w:p w14:paraId="1D28757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hint="eastAsia" w:eastAsia="宋体"/>
                <w:color w:val="auto"/>
                <w:sz w:val="21"/>
                <w:szCs w:val="21"/>
                <w:highlight w:val="none"/>
                <w:lang w:val="en-US"/>
              </w:rPr>
              <w:t>RO膜</w:t>
            </w:r>
          </w:p>
        </w:tc>
        <w:tc>
          <w:tcPr>
            <w:tcW w:w="390" w:type="pct"/>
            <w:tcBorders>
              <w:tl2br w:val="nil"/>
              <w:tr2bl w:val="nil"/>
            </w:tcBorders>
            <w:vAlign w:val="center"/>
          </w:tcPr>
          <w:p w14:paraId="05250B22">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w:t>
            </w:r>
          </w:p>
        </w:tc>
        <w:tc>
          <w:tcPr>
            <w:tcW w:w="373" w:type="pct"/>
            <w:tcBorders>
              <w:tl2br w:val="nil"/>
              <w:tr2bl w:val="nil"/>
            </w:tcBorders>
            <w:vAlign w:val="center"/>
          </w:tcPr>
          <w:p w14:paraId="18B48D2B">
            <w:pPr>
              <w:keepNext w:val="0"/>
              <w:keepLines w:val="0"/>
              <w:pageBreakBefore w:val="0"/>
              <w:kinsoku/>
              <w:wordWrap/>
              <w:overflowPunct/>
              <w:topLinePunct w:val="0"/>
              <w:autoSpaceDE/>
              <w:autoSpaceDN/>
              <w:bidi w:val="0"/>
              <w:adjustRightInd w:val="0"/>
              <w:snapToGrid w:val="0"/>
              <w:ind w:left="0" w:right="0"/>
              <w:jc w:val="center"/>
              <w:rPr>
                <w:color w:val="auto"/>
                <w:sz w:val="21"/>
                <w:szCs w:val="21"/>
                <w:highlight w:val="none"/>
              </w:rPr>
            </w:pPr>
            <w:r>
              <w:rPr>
                <w:rFonts w:hint="eastAsia" w:ascii="Times New Roman" w:hAnsi="Times New Roman" w:cs="Times New Roman"/>
                <w:color w:val="auto"/>
                <w:sz w:val="21"/>
                <w:szCs w:val="21"/>
                <w:highlight w:val="none"/>
              </w:rPr>
              <w:t>SW59</w:t>
            </w:r>
          </w:p>
        </w:tc>
        <w:tc>
          <w:tcPr>
            <w:tcW w:w="651" w:type="pct"/>
            <w:tcBorders>
              <w:tl2br w:val="nil"/>
              <w:tr2bl w:val="nil"/>
            </w:tcBorders>
            <w:vAlign w:val="center"/>
          </w:tcPr>
          <w:p w14:paraId="3ECE2C02">
            <w:pPr>
              <w:keepNext w:val="0"/>
              <w:keepLines w:val="0"/>
              <w:pageBreakBefore w:val="0"/>
              <w:kinsoku/>
              <w:wordWrap/>
              <w:overflowPunct/>
              <w:topLinePunct w:val="0"/>
              <w:autoSpaceDE/>
              <w:autoSpaceDN/>
              <w:bidi w:val="0"/>
              <w:adjustRightInd w:val="0"/>
              <w:snapToGrid w:val="0"/>
              <w:ind w:left="0" w:right="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900-009-S59</w:t>
            </w:r>
          </w:p>
        </w:tc>
        <w:tc>
          <w:tcPr>
            <w:tcW w:w="781" w:type="dxa"/>
            <w:tcBorders>
              <w:tl2br w:val="nil"/>
              <w:tr2bl w:val="nil"/>
            </w:tcBorders>
            <w:vAlign w:val="center"/>
          </w:tcPr>
          <w:p w14:paraId="3D1DB705">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62" w:type="pct"/>
            <w:tcBorders>
              <w:tl2br w:val="nil"/>
              <w:tr2bl w:val="nil"/>
            </w:tcBorders>
            <w:vAlign w:val="center"/>
          </w:tcPr>
          <w:p w14:paraId="1C6BB4CF">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r>
      <w:tr w14:paraId="72DF8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18671458">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66AC0289">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废包装桶（瓶）</w:t>
            </w:r>
          </w:p>
        </w:tc>
        <w:tc>
          <w:tcPr>
            <w:tcW w:w="287" w:type="pct"/>
            <w:vMerge w:val="restart"/>
            <w:tcBorders>
              <w:tl2br w:val="nil"/>
              <w:tr2bl w:val="nil"/>
            </w:tcBorders>
            <w:vAlign w:val="center"/>
          </w:tcPr>
          <w:p w14:paraId="0DABF3A6">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w:t>
            </w:r>
          </w:p>
          <w:p w14:paraId="39BD02AE">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hint="eastAsia" w:ascii="宋体" w:hAnsi="宋体" w:eastAsia="宋体" w:cs="宋体"/>
                <w:color w:val="auto"/>
                <w:sz w:val="21"/>
                <w:szCs w:val="21"/>
                <w:highlight w:val="none"/>
              </w:rPr>
              <w:t>固</w:t>
            </w:r>
            <w:r>
              <w:rPr>
                <w:color w:val="auto"/>
                <w:sz w:val="21"/>
                <w:szCs w:val="21"/>
                <w:highlight w:val="none"/>
              </w:rPr>
              <w:t>废</w:t>
            </w:r>
          </w:p>
        </w:tc>
        <w:tc>
          <w:tcPr>
            <w:tcW w:w="550" w:type="pct"/>
            <w:vMerge w:val="restart"/>
            <w:tcBorders>
              <w:tl2br w:val="nil"/>
              <w:tr2bl w:val="nil"/>
            </w:tcBorders>
            <w:vAlign w:val="center"/>
          </w:tcPr>
          <w:p w14:paraId="6D1172D4">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color w:val="auto"/>
                <w:sz w:val="21"/>
                <w:szCs w:val="18"/>
                <w:highlight w:val="none"/>
              </w:rPr>
              <w:t>材料包装</w:t>
            </w:r>
          </w:p>
        </w:tc>
        <w:tc>
          <w:tcPr>
            <w:tcW w:w="313" w:type="pct"/>
            <w:tcBorders>
              <w:tl2br w:val="nil"/>
              <w:tr2bl w:val="nil"/>
            </w:tcBorders>
            <w:vAlign w:val="center"/>
          </w:tcPr>
          <w:p w14:paraId="46C0A4E6">
            <w:pPr>
              <w:keepNext w:val="0"/>
              <w:keepLines w:val="0"/>
              <w:pageBreakBefore w:val="0"/>
              <w:kinsoku/>
              <w:wordWrap/>
              <w:overflowPunct/>
              <w:topLinePunct w:val="0"/>
              <w:autoSpaceDE/>
              <w:autoSpaceDN/>
              <w:bidi w:val="0"/>
              <w:adjustRightInd w:val="0"/>
              <w:snapToGrid w:val="0"/>
              <w:ind w:left="0" w:right="0"/>
              <w:jc w:val="center"/>
              <w:rPr>
                <w:color w:val="auto"/>
                <w:sz w:val="21"/>
                <w:szCs w:val="21"/>
                <w:highlight w:val="none"/>
              </w:rPr>
            </w:pPr>
            <w:r>
              <w:rPr>
                <w:rFonts w:hint="eastAsia" w:ascii="Times New Roman" w:hAnsi="Times New Roman" w:cs="Times New Roman"/>
                <w:color w:val="auto"/>
                <w:sz w:val="21"/>
                <w:szCs w:val="21"/>
                <w:highlight w:val="none"/>
              </w:rPr>
              <w:t>固</w:t>
            </w:r>
            <w:r>
              <w:rPr>
                <w:rFonts w:ascii="Times New Roman" w:hAnsi="Times New Roman" w:cs="Times New Roman"/>
                <w:color w:val="auto"/>
                <w:sz w:val="21"/>
                <w:szCs w:val="21"/>
                <w:highlight w:val="none"/>
              </w:rPr>
              <w:t>态</w:t>
            </w:r>
          </w:p>
        </w:tc>
        <w:tc>
          <w:tcPr>
            <w:tcW w:w="804" w:type="pct"/>
            <w:tcBorders>
              <w:tl2br w:val="nil"/>
              <w:tr2bl w:val="nil"/>
            </w:tcBorders>
            <w:vAlign w:val="center"/>
          </w:tcPr>
          <w:p w14:paraId="6D719B0F">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塑料桶、有机物</w:t>
            </w:r>
          </w:p>
        </w:tc>
        <w:tc>
          <w:tcPr>
            <w:tcW w:w="390" w:type="pct"/>
            <w:tcBorders>
              <w:tl2br w:val="nil"/>
              <w:tr2bl w:val="nil"/>
            </w:tcBorders>
            <w:vAlign w:val="center"/>
          </w:tcPr>
          <w:p w14:paraId="58BB405F">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T/In</w:t>
            </w:r>
          </w:p>
        </w:tc>
        <w:tc>
          <w:tcPr>
            <w:tcW w:w="373" w:type="pct"/>
            <w:tcBorders>
              <w:tl2br w:val="nil"/>
              <w:tr2bl w:val="nil"/>
            </w:tcBorders>
            <w:vAlign w:val="center"/>
          </w:tcPr>
          <w:p w14:paraId="55242665">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HW49</w:t>
            </w:r>
          </w:p>
        </w:tc>
        <w:tc>
          <w:tcPr>
            <w:tcW w:w="651" w:type="pct"/>
            <w:tcBorders>
              <w:tl2br w:val="nil"/>
              <w:tr2bl w:val="nil"/>
            </w:tcBorders>
            <w:vAlign w:val="center"/>
          </w:tcPr>
          <w:p w14:paraId="650F1DE0">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eastAsia="宋体"/>
                <w:color w:val="auto"/>
                <w:sz w:val="21"/>
                <w:szCs w:val="21"/>
                <w:highlight w:val="none"/>
                <w:lang w:val="en-US"/>
              </w:rPr>
              <w:t>900-041-49</w:t>
            </w:r>
          </w:p>
        </w:tc>
        <w:tc>
          <w:tcPr>
            <w:tcW w:w="781" w:type="dxa"/>
            <w:tcBorders>
              <w:tl2br w:val="nil"/>
              <w:tr2bl w:val="nil"/>
            </w:tcBorders>
            <w:vAlign w:val="center"/>
          </w:tcPr>
          <w:p w14:paraId="75681C4F">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462" w:type="pct"/>
            <w:tcBorders>
              <w:tl2br w:val="nil"/>
              <w:tr2bl w:val="nil"/>
            </w:tcBorders>
            <w:vAlign w:val="center"/>
          </w:tcPr>
          <w:p w14:paraId="626A947A">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15.35</w:t>
            </w:r>
          </w:p>
        </w:tc>
      </w:tr>
      <w:tr w14:paraId="15F01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09B3716E">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43AD4A1C">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废包装袋</w:t>
            </w:r>
          </w:p>
        </w:tc>
        <w:tc>
          <w:tcPr>
            <w:tcW w:w="287" w:type="pct"/>
            <w:vMerge w:val="continue"/>
            <w:tcBorders>
              <w:tl2br w:val="nil"/>
              <w:tr2bl w:val="nil"/>
            </w:tcBorders>
            <w:vAlign w:val="center"/>
          </w:tcPr>
          <w:p w14:paraId="379FEFCA">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vMerge w:val="continue"/>
            <w:tcBorders>
              <w:tl2br w:val="nil"/>
              <w:tr2bl w:val="nil"/>
            </w:tcBorders>
            <w:vAlign w:val="center"/>
          </w:tcPr>
          <w:p w14:paraId="158014F6">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p>
        </w:tc>
        <w:tc>
          <w:tcPr>
            <w:tcW w:w="313" w:type="pct"/>
            <w:tcBorders>
              <w:tl2br w:val="nil"/>
              <w:tr2bl w:val="nil"/>
            </w:tcBorders>
            <w:vAlign w:val="center"/>
          </w:tcPr>
          <w:p w14:paraId="12869C83">
            <w:pPr>
              <w:keepNext w:val="0"/>
              <w:keepLines w:val="0"/>
              <w:pageBreakBefore w:val="0"/>
              <w:kinsoku/>
              <w:wordWrap/>
              <w:overflowPunct/>
              <w:topLinePunct w:val="0"/>
              <w:autoSpaceDE/>
              <w:autoSpaceDN/>
              <w:bidi w:val="0"/>
              <w:adjustRightInd w:val="0"/>
              <w:snapToGrid w:val="0"/>
              <w:ind w:left="0" w:right="0"/>
              <w:jc w:val="center"/>
              <w:rPr>
                <w:color w:val="auto"/>
                <w:sz w:val="21"/>
                <w:szCs w:val="21"/>
                <w:highlight w:val="none"/>
              </w:rPr>
            </w:pPr>
            <w:r>
              <w:rPr>
                <w:color w:val="auto"/>
                <w:sz w:val="21"/>
                <w:szCs w:val="21"/>
                <w:highlight w:val="none"/>
              </w:rPr>
              <w:t>固态</w:t>
            </w:r>
          </w:p>
        </w:tc>
        <w:tc>
          <w:tcPr>
            <w:tcW w:w="804" w:type="pct"/>
            <w:tcBorders>
              <w:tl2br w:val="nil"/>
              <w:tr2bl w:val="nil"/>
            </w:tcBorders>
            <w:vAlign w:val="center"/>
          </w:tcPr>
          <w:p w14:paraId="783EC8E0">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塑料、有机物</w:t>
            </w:r>
          </w:p>
        </w:tc>
        <w:tc>
          <w:tcPr>
            <w:tcW w:w="390" w:type="pct"/>
            <w:tcBorders>
              <w:tl2br w:val="nil"/>
              <w:tr2bl w:val="nil"/>
            </w:tcBorders>
            <w:vAlign w:val="center"/>
          </w:tcPr>
          <w:p w14:paraId="6A181203">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T/In</w:t>
            </w:r>
          </w:p>
        </w:tc>
        <w:tc>
          <w:tcPr>
            <w:tcW w:w="373" w:type="pct"/>
            <w:tcBorders>
              <w:tl2br w:val="nil"/>
              <w:tr2bl w:val="nil"/>
            </w:tcBorders>
            <w:vAlign w:val="center"/>
          </w:tcPr>
          <w:p w14:paraId="5D681484">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HW49</w:t>
            </w:r>
          </w:p>
        </w:tc>
        <w:tc>
          <w:tcPr>
            <w:tcW w:w="651" w:type="pct"/>
            <w:tcBorders>
              <w:tl2br w:val="nil"/>
              <w:tr2bl w:val="nil"/>
            </w:tcBorders>
            <w:vAlign w:val="center"/>
          </w:tcPr>
          <w:p w14:paraId="12326E4B">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900-041-49</w:t>
            </w:r>
          </w:p>
        </w:tc>
        <w:tc>
          <w:tcPr>
            <w:tcW w:w="781" w:type="dxa"/>
            <w:tcBorders>
              <w:tl2br w:val="nil"/>
              <w:tr2bl w:val="nil"/>
            </w:tcBorders>
            <w:vAlign w:val="center"/>
          </w:tcPr>
          <w:p w14:paraId="4919A41A">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462" w:type="pct"/>
            <w:tcBorders>
              <w:tl2br w:val="nil"/>
              <w:tr2bl w:val="nil"/>
            </w:tcBorders>
            <w:vAlign w:val="center"/>
          </w:tcPr>
          <w:p w14:paraId="0828F247">
            <w:pPr>
              <w:keepNext w:val="0"/>
              <w:keepLines w:val="0"/>
              <w:pageBreakBefore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w:t>
            </w:r>
          </w:p>
        </w:tc>
      </w:tr>
      <w:tr w14:paraId="41042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61035120">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p>
        </w:tc>
        <w:tc>
          <w:tcPr>
            <w:tcW w:w="497" w:type="pct"/>
            <w:tcBorders>
              <w:tl2br w:val="nil"/>
              <w:tr2bl w:val="nil"/>
            </w:tcBorders>
            <w:vAlign w:val="center"/>
          </w:tcPr>
          <w:p w14:paraId="333E2470">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w:t>
            </w:r>
          </w:p>
        </w:tc>
        <w:tc>
          <w:tcPr>
            <w:tcW w:w="287" w:type="pct"/>
            <w:vMerge w:val="continue"/>
            <w:tcBorders>
              <w:tl2br w:val="nil"/>
              <w:tr2bl w:val="nil"/>
            </w:tcBorders>
            <w:vAlign w:val="center"/>
          </w:tcPr>
          <w:p w14:paraId="6BD20DE9">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tcBorders>
              <w:tl2br w:val="nil"/>
              <w:tr2bl w:val="nil"/>
            </w:tcBorders>
            <w:vAlign w:val="center"/>
          </w:tcPr>
          <w:p w14:paraId="61E936DD">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color w:val="auto"/>
                <w:sz w:val="21"/>
                <w:szCs w:val="18"/>
                <w:highlight w:val="none"/>
              </w:rPr>
              <w:t>废气处理</w:t>
            </w:r>
          </w:p>
        </w:tc>
        <w:tc>
          <w:tcPr>
            <w:tcW w:w="313" w:type="pct"/>
            <w:tcBorders>
              <w:tl2br w:val="nil"/>
              <w:tr2bl w:val="nil"/>
            </w:tcBorders>
            <w:vAlign w:val="center"/>
          </w:tcPr>
          <w:p w14:paraId="7D36C5F5">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固态</w:t>
            </w:r>
          </w:p>
        </w:tc>
        <w:tc>
          <w:tcPr>
            <w:tcW w:w="804" w:type="pct"/>
            <w:tcBorders>
              <w:tl2br w:val="nil"/>
              <w:tr2bl w:val="nil"/>
            </w:tcBorders>
            <w:vAlign w:val="center"/>
          </w:tcPr>
          <w:p w14:paraId="637109E5">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lang w:val="en-US"/>
              </w:rPr>
            </w:pPr>
            <w:r>
              <w:rPr>
                <w:rFonts w:hint="eastAsia" w:eastAsia="宋体"/>
                <w:color w:val="auto"/>
                <w:sz w:val="21"/>
                <w:szCs w:val="21"/>
                <w:highlight w:val="none"/>
                <w:lang w:val="en-US"/>
              </w:rPr>
              <w:t>活性炭、有机物</w:t>
            </w:r>
          </w:p>
        </w:tc>
        <w:tc>
          <w:tcPr>
            <w:tcW w:w="390" w:type="pct"/>
            <w:tcBorders>
              <w:tl2br w:val="nil"/>
              <w:tr2bl w:val="nil"/>
            </w:tcBorders>
            <w:vAlign w:val="center"/>
          </w:tcPr>
          <w:p w14:paraId="50FDC65D">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T/In</w:t>
            </w:r>
          </w:p>
        </w:tc>
        <w:tc>
          <w:tcPr>
            <w:tcW w:w="373" w:type="pct"/>
            <w:tcBorders>
              <w:tl2br w:val="nil"/>
              <w:tr2bl w:val="nil"/>
            </w:tcBorders>
            <w:vAlign w:val="center"/>
          </w:tcPr>
          <w:p w14:paraId="56BF9AF3">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HW49</w:t>
            </w:r>
          </w:p>
        </w:tc>
        <w:tc>
          <w:tcPr>
            <w:tcW w:w="651" w:type="pct"/>
            <w:tcBorders>
              <w:tl2br w:val="nil"/>
              <w:tr2bl w:val="nil"/>
            </w:tcBorders>
            <w:vAlign w:val="center"/>
          </w:tcPr>
          <w:p w14:paraId="58C38539">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r>
              <w:rPr>
                <w:rFonts w:eastAsia="宋体"/>
                <w:color w:val="auto"/>
                <w:sz w:val="21"/>
                <w:szCs w:val="21"/>
                <w:highlight w:val="none"/>
                <w:lang w:val="en-US"/>
              </w:rPr>
              <w:t>900-0</w:t>
            </w:r>
            <w:r>
              <w:rPr>
                <w:rFonts w:hint="eastAsia" w:eastAsia="宋体"/>
                <w:color w:val="auto"/>
                <w:sz w:val="21"/>
                <w:szCs w:val="21"/>
                <w:highlight w:val="none"/>
                <w:lang w:val="en-US"/>
              </w:rPr>
              <w:t>39</w:t>
            </w:r>
            <w:r>
              <w:rPr>
                <w:rFonts w:eastAsia="宋体"/>
                <w:color w:val="auto"/>
                <w:sz w:val="21"/>
                <w:szCs w:val="21"/>
                <w:highlight w:val="none"/>
                <w:lang w:val="en-US"/>
              </w:rPr>
              <w:t>-49</w:t>
            </w:r>
          </w:p>
        </w:tc>
        <w:tc>
          <w:tcPr>
            <w:tcW w:w="781" w:type="dxa"/>
            <w:tcBorders>
              <w:tl2br w:val="nil"/>
              <w:tr2bl w:val="nil"/>
            </w:tcBorders>
            <w:vAlign w:val="center"/>
          </w:tcPr>
          <w:p w14:paraId="19ACBA97">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462" w:type="pct"/>
            <w:tcBorders>
              <w:tl2br w:val="nil"/>
              <w:tr2bl w:val="nil"/>
            </w:tcBorders>
            <w:vAlign w:val="center"/>
          </w:tcPr>
          <w:p w14:paraId="51778BAC">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18.4089</w:t>
            </w:r>
          </w:p>
        </w:tc>
      </w:tr>
      <w:tr w14:paraId="44ACA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tcBorders>
              <w:tl2br w:val="nil"/>
              <w:tr2bl w:val="nil"/>
            </w:tcBorders>
            <w:vAlign w:val="center"/>
          </w:tcPr>
          <w:p w14:paraId="57FEE9EB">
            <w:pPr>
              <w:keepNext w:val="0"/>
              <w:keepLines w:val="0"/>
              <w:pageBreakBefore w:val="0"/>
              <w:numPr>
                <w:ilvl w:val="0"/>
                <w:numId w:val="19"/>
              </w:numPr>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lang w:bidi="ar"/>
              </w:rPr>
            </w:pPr>
            <w:bookmarkStart w:id="243" w:name="_Ref23722"/>
          </w:p>
        </w:tc>
        <w:tc>
          <w:tcPr>
            <w:tcW w:w="497" w:type="pct"/>
            <w:tcBorders>
              <w:tl2br w:val="nil"/>
              <w:tr2bl w:val="nil"/>
            </w:tcBorders>
            <w:vAlign w:val="center"/>
          </w:tcPr>
          <w:p w14:paraId="4209B74B">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lang w:val="en-US" w:eastAsia="zh-CN"/>
              </w:rPr>
              <w:t>实验室清洗废水</w:t>
            </w:r>
          </w:p>
        </w:tc>
        <w:tc>
          <w:tcPr>
            <w:tcW w:w="287" w:type="pct"/>
            <w:vMerge w:val="continue"/>
            <w:tcBorders>
              <w:tl2br w:val="nil"/>
              <w:tr2bl w:val="nil"/>
            </w:tcBorders>
            <w:vAlign w:val="center"/>
          </w:tcPr>
          <w:p w14:paraId="28D3E335">
            <w:pPr>
              <w:pStyle w:val="98"/>
              <w:keepNext w:val="0"/>
              <w:keepLines w:val="0"/>
              <w:pageBreakBefore w:val="0"/>
              <w:kinsoku/>
              <w:wordWrap/>
              <w:overflowPunct/>
              <w:topLinePunct w:val="0"/>
              <w:autoSpaceDE/>
              <w:autoSpaceDN/>
              <w:bidi w:val="0"/>
              <w:adjustRightInd w:val="0"/>
              <w:snapToGrid w:val="0"/>
              <w:ind w:left="0" w:right="0"/>
              <w:rPr>
                <w:rFonts w:eastAsia="宋体"/>
                <w:color w:val="auto"/>
                <w:sz w:val="21"/>
                <w:szCs w:val="21"/>
                <w:highlight w:val="none"/>
              </w:rPr>
            </w:pPr>
          </w:p>
        </w:tc>
        <w:tc>
          <w:tcPr>
            <w:tcW w:w="550" w:type="pct"/>
            <w:tcBorders>
              <w:tl2br w:val="nil"/>
              <w:tr2bl w:val="nil"/>
            </w:tcBorders>
            <w:vAlign w:val="center"/>
          </w:tcPr>
          <w:p w14:paraId="2D4069B5">
            <w:pPr>
              <w:keepNext w:val="0"/>
              <w:keepLines w:val="0"/>
              <w:pageBreakBefore w:val="0"/>
              <w:kinsoku/>
              <w:wordWrap/>
              <w:overflowPunct/>
              <w:topLinePunct w:val="0"/>
              <w:autoSpaceDE/>
              <w:autoSpaceDN/>
              <w:bidi w:val="0"/>
              <w:ind w:left="0" w:right="0"/>
              <w:jc w:val="center"/>
              <w:rPr>
                <w:rFonts w:hint="default" w:eastAsia="宋体"/>
                <w:color w:val="auto"/>
                <w:sz w:val="21"/>
                <w:szCs w:val="18"/>
                <w:highlight w:val="none"/>
                <w:lang w:val="en-US" w:eastAsia="zh-CN"/>
              </w:rPr>
            </w:pPr>
            <w:r>
              <w:rPr>
                <w:rFonts w:hint="eastAsia"/>
                <w:color w:val="auto"/>
                <w:sz w:val="21"/>
                <w:szCs w:val="18"/>
                <w:highlight w:val="none"/>
                <w:lang w:val="en-US" w:eastAsia="zh-CN"/>
              </w:rPr>
              <w:t>实验</w:t>
            </w:r>
          </w:p>
        </w:tc>
        <w:tc>
          <w:tcPr>
            <w:tcW w:w="313" w:type="pct"/>
            <w:tcBorders>
              <w:tl2br w:val="nil"/>
              <w:tr2bl w:val="nil"/>
            </w:tcBorders>
            <w:vAlign w:val="center"/>
          </w:tcPr>
          <w:p w14:paraId="7E6CE1D9">
            <w:pPr>
              <w:pStyle w:val="98"/>
              <w:keepNext w:val="0"/>
              <w:keepLines w:val="0"/>
              <w:pageBreakBefore w:val="0"/>
              <w:kinsoku/>
              <w:wordWrap/>
              <w:overflowPunct/>
              <w:topLinePunct w:val="0"/>
              <w:autoSpaceDE/>
              <w:autoSpaceDN/>
              <w:bidi w:val="0"/>
              <w:adjustRightInd w:val="0"/>
              <w:snapToGrid w:val="0"/>
              <w:ind w:left="0" w:right="0"/>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液态</w:t>
            </w:r>
          </w:p>
        </w:tc>
        <w:tc>
          <w:tcPr>
            <w:tcW w:w="804" w:type="pct"/>
            <w:tcBorders>
              <w:tl2br w:val="nil"/>
              <w:tr2bl w:val="nil"/>
            </w:tcBorders>
            <w:vAlign w:val="center"/>
          </w:tcPr>
          <w:p w14:paraId="51485A94">
            <w:pPr>
              <w:pStyle w:val="98"/>
              <w:keepNext w:val="0"/>
              <w:keepLines w:val="0"/>
              <w:pageBreakBefore w:val="0"/>
              <w:kinsoku/>
              <w:wordWrap/>
              <w:overflowPunct/>
              <w:topLinePunct w:val="0"/>
              <w:autoSpaceDE/>
              <w:autoSpaceDN/>
              <w:bidi w:val="0"/>
              <w:adjustRightInd w:val="0"/>
              <w:snapToGrid w:val="0"/>
              <w:ind w:left="0" w:right="0"/>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杂质</w:t>
            </w:r>
          </w:p>
        </w:tc>
        <w:tc>
          <w:tcPr>
            <w:tcW w:w="664" w:type="dxa"/>
            <w:tcBorders>
              <w:tl2br w:val="nil"/>
              <w:tr2bl w:val="nil"/>
            </w:tcBorders>
            <w:vAlign w:val="center"/>
          </w:tcPr>
          <w:p w14:paraId="2CC58A8A">
            <w:pPr>
              <w:pStyle w:val="98"/>
              <w:keepNext w:val="0"/>
              <w:keepLines w:val="0"/>
              <w:pageBreakBefore w:val="0"/>
              <w:kinsoku/>
              <w:wordWrap/>
              <w:overflowPunct/>
              <w:topLinePunct w:val="0"/>
              <w:autoSpaceDE/>
              <w:autoSpaceDN/>
              <w:bidi w:val="0"/>
              <w:adjustRightInd w:val="0"/>
              <w:snapToGrid w:val="0"/>
              <w:ind w:left="0" w:leftChars="0" w:right="0" w:rightChars="0"/>
              <w:rPr>
                <w:rFonts w:eastAsia="宋体"/>
                <w:color w:val="auto"/>
                <w:sz w:val="21"/>
                <w:szCs w:val="21"/>
                <w:highlight w:val="none"/>
                <w:lang w:val="en-US"/>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635" w:type="dxa"/>
            <w:tcBorders>
              <w:tl2br w:val="nil"/>
              <w:tr2bl w:val="nil"/>
            </w:tcBorders>
            <w:vAlign w:val="center"/>
          </w:tcPr>
          <w:p w14:paraId="2FF7E5F0">
            <w:pPr>
              <w:pStyle w:val="98"/>
              <w:keepNext w:val="0"/>
              <w:keepLines w:val="0"/>
              <w:pageBreakBefore w:val="0"/>
              <w:kinsoku/>
              <w:wordWrap/>
              <w:overflowPunct/>
              <w:topLinePunct w:val="0"/>
              <w:autoSpaceDE/>
              <w:autoSpaceDN/>
              <w:bidi w:val="0"/>
              <w:adjustRightInd w:val="0"/>
              <w:snapToGrid w:val="0"/>
              <w:ind w:left="0" w:leftChars="0" w:right="0" w:rightChars="0"/>
              <w:rPr>
                <w:rFonts w:eastAsia="宋体"/>
                <w:color w:val="auto"/>
                <w:sz w:val="21"/>
                <w:szCs w:val="21"/>
                <w:highlight w:val="none"/>
                <w:lang w:val="en-US"/>
              </w:rPr>
            </w:pPr>
            <w:r>
              <w:rPr>
                <w:rFonts w:eastAsia="宋体"/>
                <w:color w:val="auto"/>
                <w:sz w:val="21"/>
                <w:szCs w:val="21"/>
                <w:highlight w:val="none"/>
                <w:lang w:val="en-US"/>
              </w:rPr>
              <w:t>HW49</w:t>
            </w:r>
          </w:p>
        </w:tc>
        <w:tc>
          <w:tcPr>
            <w:tcW w:w="1108" w:type="dxa"/>
            <w:tcBorders>
              <w:tl2br w:val="nil"/>
              <w:tr2bl w:val="nil"/>
            </w:tcBorders>
            <w:vAlign w:val="center"/>
          </w:tcPr>
          <w:p w14:paraId="015863C0">
            <w:pPr>
              <w:pStyle w:val="98"/>
              <w:keepNext w:val="0"/>
              <w:keepLines w:val="0"/>
              <w:pageBreakBefore w:val="0"/>
              <w:kinsoku/>
              <w:wordWrap/>
              <w:overflowPunct/>
              <w:topLinePunct w:val="0"/>
              <w:autoSpaceDE/>
              <w:autoSpaceDN/>
              <w:bidi w:val="0"/>
              <w:adjustRightInd w:val="0"/>
              <w:snapToGrid w:val="0"/>
              <w:ind w:left="0" w:leftChars="0" w:right="0" w:rightChars="0"/>
              <w:rPr>
                <w:rFonts w:eastAsia="宋体"/>
                <w:color w:val="auto"/>
                <w:sz w:val="21"/>
                <w:szCs w:val="21"/>
                <w:highlight w:val="none"/>
                <w:lang w:val="en-US"/>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781" w:type="dxa"/>
            <w:tcBorders>
              <w:tl2br w:val="nil"/>
              <w:tr2bl w:val="nil"/>
            </w:tcBorders>
            <w:vAlign w:val="center"/>
          </w:tcPr>
          <w:p w14:paraId="7EA94066">
            <w:pPr>
              <w:keepNext w:val="0"/>
              <w:keepLines w:val="0"/>
              <w:pageBreakBefore w:val="0"/>
              <w:kinsoku/>
              <w:wordWrap/>
              <w:overflowPunct/>
              <w:autoSpaceDE/>
              <w:autoSpaceDN/>
              <w:bidi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462" w:type="pct"/>
            <w:tcBorders>
              <w:tl2br w:val="nil"/>
              <w:tr2bl w:val="nil"/>
            </w:tcBorders>
            <w:vAlign w:val="center"/>
          </w:tcPr>
          <w:p w14:paraId="0A95CF50">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r>
    </w:tbl>
    <w:p w14:paraId="2045F0A9">
      <w:pPr>
        <w:pStyle w:val="15"/>
        <w:spacing w:before="120" w:beforeLines="50" w:after="120" w:afterLines="50"/>
        <w:ind w:left="-105" w:right="-105" w:firstLine="482"/>
        <w:rPr>
          <w:rFonts w:eastAsia="宋体" w:cs="Times New Roman"/>
          <w:color w:val="auto"/>
          <w:sz w:val="24"/>
          <w:szCs w:val="18"/>
          <w:highlight w:val="none"/>
        </w:rPr>
      </w:pPr>
    </w:p>
    <w:p w14:paraId="410F1342">
      <w:pPr>
        <w:pStyle w:val="15"/>
        <w:spacing w:before="120" w:beforeLines="50" w:after="120" w:afterLines="50"/>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4.6</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12</w:t>
      </w:r>
      <w:r>
        <w:rPr>
          <w:rFonts w:eastAsia="宋体" w:cs="Times New Roman"/>
          <w:color w:val="auto"/>
          <w:sz w:val="24"/>
          <w:szCs w:val="18"/>
          <w:highlight w:val="none"/>
        </w:rPr>
        <w:fldChar w:fldCharType="end"/>
      </w:r>
      <w:bookmarkEnd w:id="243"/>
      <w:r>
        <w:rPr>
          <w:rFonts w:eastAsia="宋体" w:cs="Times New Roman"/>
          <w:color w:val="auto"/>
          <w:sz w:val="24"/>
          <w:szCs w:val="18"/>
          <w:highlight w:val="none"/>
        </w:rPr>
        <w:t>本项目固体废物污染源强核算结果及相关参数一览表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411"/>
        <w:gridCol w:w="972"/>
        <w:gridCol w:w="762"/>
        <w:gridCol w:w="1140"/>
        <w:gridCol w:w="755"/>
        <w:gridCol w:w="1205"/>
        <w:gridCol w:w="883"/>
        <w:gridCol w:w="782"/>
        <w:gridCol w:w="805"/>
        <w:gridCol w:w="801"/>
      </w:tblGrid>
      <w:tr w14:paraId="44E38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07" w:hRule="atLeast"/>
          <w:jc w:val="center"/>
        </w:trPr>
        <w:tc>
          <w:tcPr>
            <w:tcW w:w="241" w:type="pct"/>
            <w:vMerge w:val="restart"/>
            <w:tcBorders>
              <w:top w:val="single" w:color="auto" w:sz="12" w:space="0"/>
              <w:left w:val="nil"/>
              <w:right w:val="single" w:color="auto" w:sz="4" w:space="0"/>
            </w:tcBorders>
            <w:vAlign w:val="center"/>
          </w:tcPr>
          <w:p w14:paraId="6485A95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570" w:type="pct"/>
            <w:vMerge w:val="restart"/>
            <w:tcBorders>
              <w:top w:val="single" w:color="auto" w:sz="12" w:space="0"/>
              <w:left w:val="nil"/>
              <w:bottom w:val="single" w:color="auto" w:sz="4" w:space="0"/>
              <w:right w:val="single" w:color="auto" w:sz="4" w:space="0"/>
            </w:tcBorders>
            <w:vAlign w:val="center"/>
          </w:tcPr>
          <w:p w14:paraId="2EAF5FA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工序</w:t>
            </w:r>
          </w:p>
        </w:tc>
        <w:tc>
          <w:tcPr>
            <w:tcW w:w="447" w:type="pct"/>
            <w:vMerge w:val="restart"/>
            <w:tcBorders>
              <w:top w:val="single" w:color="auto" w:sz="12" w:space="0"/>
              <w:left w:val="single" w:color="auto" w:sz="4" w:space="0"/>
              <w:bottom w:val="single" w:color="auto" w:sz="4" w:space="0"/>
              <w:right w:val="single" w:color="auto" w:sz="4" w:space="0"/>
            </w:tcBorders>
            <w:vAlign w:val="center"/>
          </w:tcPr>
          <w:p w14:paraId="1785841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装置</w:t>
            </w:r>
          </w:p>
        </w:tc>
        <w:tc>
          <w:tcPr>
            <w:tcW w:w="669" w:type="pct"/>
            <w:vMerge w:val="restart"/>
            <w:tcBorders>
              <w:top w:val="single" w:color="auto" w:sz="12" w:space="0"/>
              <w:left w:val="single" w:color="auto" w:sz="4" w:space="0"/>
              <w:bottom w:val="single" w:color="auto" w:sz="4" w:space="0"/>
              <w:right w:val="single" w:color="auto" w:sz="4" w:space="0"/>
            </w:tcBorders>
            <w:vAlign w:val="center"/>
          </w:tcPr>
          <w:p w14:paraId="2F8A252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固体废物名称</w:t>
            </w:r>
          </w:p>
        </w:tc>
        <w:tc>
          <w:tcPr>
            <w:tcW w:w="443" w:type="pct"/>
            <w:vMerge w:val="restart"/>
            <w:tcBorders>
              <w:top w:val="single" w:color="auto" w:sz="12" w:space="0"/>
              <w:left w:val="single" w:color="auto" w:sz="4" w:space="0"/>
              <w:bottom w:val="single" w:color="auto" w:sz="4" w:space="0"/>
              <w:right w:val="single" w:color="auto" w:sz="4" w:space="0"/>
            </w:tcBorders>
            <w:vAlign w:val="center"/>
          </w:tcPr>
          <w:p w14:paraId="7D02C9C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固废</w:t>
            </w:r>
          </w:p>
          <w:p w14:paraId="4989E03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属性</w:t>
            </w:r>
          </w:p>
        </w:tc>
        <w:tc>
          <w:tcPr>
            <w:tcW w:w="1225" w:type="pct"/>
            <w:gridSpan w:val="2"/>
            <w:tcBorders>
              <w:top w:val="single" w:color="auto" w:sz="12" w:space="0"/>
              <w:left w:val="single" w:color="auto" w:sz="4" w:space="0"/>
              <w:bottom w:val="single" w:color="auto" w:sz="4" w:space="0"/>
              <w:right w:val="single" w:color="auto" w:sz="4" w:space="0"/>
            </w:tcBorders>
            <w:vAlign w:val="center"/>
          </w:tcPr>
          <w:p w14:paraId="35C375D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产生情况</w:t>
            </w:r>
          </w:p>
        </w:tc>
        <w:tc>
          <w:tcPr>
            <w:tcW w:w="931" w:type="pct"/>
            <w:gridSpan w:val="2"/>
            <w:tcBorders>
              <w:top w:val="single" w:color="auto" w:sz="12" w:space="0"/>
              <w:left w:val="single" w:color="auto" w:sz="4" w:space="0"/>
              <w:bottom w:val="single" w:color="auto" w:sz="4" w:space="0"/>
              <w:right w:val="single" w:color="auto" w:sz="4" w:space="0"/>
            </w:tcBorders>
            <w:vAlign w:val="center"/>
          </w:tcPr>
          <w:p w14:paraId="7941FC0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处置措施</w:t>
            </w:r>
          </w:p>
        </w:tc>
        <w:tc>
          <w:tcPr>
            <w:tcW w:w="470" w:type="pct"/>
            <w:vMerge w:val="restart"/>
            <w:tcBorders>
              <w:top w:val="single" w:color="auto" w:sz="12" w:space="0"/>
              <w:left w:val="single" w:color="auto" w:sz="4" w:space="0"/>
              <w:bottom w:val="single" w:color="auto" w:sz="4" w:space="0"/>
              <w:right w:val="nil"/>
            </w:tcBorders>
            <w:vAlign w:val="center"/>
          </w:tcPr>
          <w:p w14:paraId="5BE7A36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最终</w:t>
            </w:r>
          </w:p>
          <w:p w14:paraId="65C603E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去向</w:t>
            </w:r>
          </w:p>
        </w:tc>
      </w:tr>
      <w:tr w14:paraId="00D7E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07" w:hRule="atLeast"/>
          <w:jc w:val="center"/>
        </w:trPr>
        <w:tc>
          <w:tcPr>
            <w:tcW w:w="241" w:type="pct"/>
            <w:vMerge w:val="continue"/>
            <w:tcBorders>
              <w:left w:val="nil"/>
              <w:bottom w:val="single" w:color="auto" w:sz="4" w:space="0"/>
              <w:right w:val="single" w:color="auto" w:sz="4" w:space="0"/>
            </w:tcBorders>
            <w:vAlign w:val="center"/>
          </w:tcPr>
          <w:p w14:paraId="7B709FE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continue"/>
            <w:tcBorders>
              <w:top w:val="single" w:color="auto" w:sz="4" w:space="0"/>
              <w:left w:val="nil"/>
              <w:bottom w:val="single" w:color="auto" w:sz="4" w:space="0"/>
              <w:right w:val="single" w:color="auto" w:sz="4" w:space="0"/>
            </w:tcBorders>
            <w:vAlign w:val="center"/>
          </w:tcPr>
          <w:p w14:paraId="0EB1396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47" w:type="pct"/>
            <w:vMerge w:val="continue"/>
            <w:tcBorders>
              <w:top w:val="single" w:color="auto" w:sz="4" w:space="0"/>
              <w:left w:val="single" w:color="auto" w:sz="4" w:space="0"/>
              <w:bottom w:val="single" w:color="auto" w:sz="4" w:space="0"/>
              <w:right w:val="single" w:color="auto" w:sz="4" w:space="0"/>
            </w:tcBorders>
            <w:vAlign w:val="center"/>
          </w:tcPr>
          <w:p w14:paraId="53F8BC57">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69" w:type="pct"/>
            <w:vMerge w:val="continue"/>
            <w:tcBorders>
              <w:top w:val="single" w:color="auto" w:sz="4" w:space="0"/>
              <w:left w:val="single" w:color="auto" w:sz="4" w:space="0"/>
              <w:bottom w:val="single" w:color="auto" w:sz="4" w:space="0"/>
              <w:right w:val="single" w:color="auto" w:sz="4" w:space="0"/>
            </w:tcBorders>
            <w:vAlign w:val="center"/>
          </w:tcPr>
          <w:p w14:paraId="41AC6CA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43" w:type="pct"/>
            <w:vMerge w:val="continue"/>
            <w:tcBorders>
              <w:top w:val="single" w:color="auto" w:sz="4" w:space="0"/>
              <w:left w:val="single" w:color="auto" w:sz="4" w:space="0"/>
              <w:bottom w:val="single" w:color="auto" w:sz="4" w:space="0"/>
              <w:right w:val="single" w:color="auto" w:sz="4" w:space="0"/>
            </w:tcBorders>
            <w:vAlign w:val="center"/>
          </w:tcPr>
          <w:p w14:paraId="6D65FBC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tcBorders>
              <w:top w:val="single" w:color="auto" w:sz="4" w:space="0"/>
              <w:left w:val="single" w:color="auto" w:sz="4" w:space="0"/>
              <w:bottom w:val="single" w:color="auto" w:sz="4" w:space="0"/>
              <w:right w:val="single" w:color="auto" w:sz="4" w:space="0"/>
            </w:tcBorders>
            <w:vAlign w:val="center"/>
          </w:tcPr>
          <w:p w14:paraId="6E5034C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核算方法</w:t>
            </w:r>
          </w:p>
        </w:tc>
        <w:tc>
          <w:tcPr>
            <w:tcW w:w="518" w:type="pct"/>
            <w:tcBorders>
              <w:top w:val="single" w:color="auto" w:sz="4" w:space="0"/>
              <w:left w:val="single" w:color="auto" w:sz="4" w:space="0"/>
              <w:bottom w:val="single" w:color="auto" w:sz="4" w:space="0"/>
              <w:right w:val="single" w:color="auto" w:sz="4" w:space="0"/>
            </w:tcBorders>
            <w:vAlign w:val="center"/>
          </w:tcPr>
          <w:p w14:paraId="73BA869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产生量（t/a）</w:t>
            </w:r>
          </w:p>
        </w:tc>
        <w:tc>
          <w:tcPr>
            <w:tcW w:w="459" w:type="pct"/>
            <w:tcBorders>
              <w:top w:val="single" w:color="auto" w:sz="4" w:space="0"/>
              <w:left w:val="single" w:color="auto" w:sz="4" w:space="0"/>
              <w:bottom w:val="single" w:color="auto" w:sz="4" w:space="0"/>
              <w:right w:val="single" w:color="auto" w:sz="4" w:space="0"/>
            </w:tcBorders>
            <w:vAlign w:val="center"/>
          </w:tcPr>
          <w:p w14:paraId="3C266AF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工艺</w:t>
            </w:r>
          </w:p>
        </w:tc>
        <w:tc>
          <w:tcPr>
            <w:tcW w:w="472" w:type="pct"/>
            <w:tcBorders>
              <w:top w:val="single" w:color="auto" w:sz="4" w:space="0"/>
              <w:left w:val="single" w:color="auto" w:sz="4" w:space="0"/>
              <w:bottom w:val="single" w:color="auto" w:sz="4" w:space="0"/>
              <w:right w:val="single" w:color="auto" w:sz="4" w:space="0"/>
            </w:tcBorders>
            <w:vAlign w:val="center"/>
          </w:tcPr>
          <w:p w14:paraId="6A52B18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处置量（t/a）</w:t>
            </w:r>
          </w:p>
        </w:tc>
        <w:tc>
          <w:tcPr>
            <w:tcW w:w="470" w:type="pct"/>
            <w:vMerge w:val="continue"/>
            <w:tcBorders>
              <w:top w:val="single" w:color="auto" w:sz="4" w:space="0"/>
              <w:left w:val="single" w:color="auto" w:sz="4" w:space="0"/>
              <w:bottom w:val="single" w:color="auto" w:sz="4" w:space="0"/>
              <w:right w:val="nil"/>
            </w:tcBorders>
            <w:vAlign w:val="center"/>
          </w:tcPr>
          <w:p w14:paraId="3F5A5AD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p>
        </w:tc>
      </w:tr>
      <w:tr w14:paraId="389A2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241" w:type="pct"/>
            <w:tcBorders>
              <w:top w:val="single" w:color="auto" w:sz="4" w:space="0"/>
              <w:left w:val="nil"/>
              <w:bottom w:val="single" w:color="auto" w:sz="4" w:space="0"/>
              <w:right w:val="single" w:color="auto" w:sz="4" w:space="0"/>
            </w:tcBorders>
            <w:vAlign w:val="center"/>
          </w:tcPr>
          <w:p w14:paraId="31695836">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tcBorders>
              <w:top w:val="single" w:color="auto" w:sz="4" w:space="0"/>
              <w:left w:val="nil"/>
              <w:right w:val="single" w:color="auto" w:sz="4" w:space="0"/>
            </w:tcBorders>
            <w:vAlign w:val="center"/>
          </w:tcPr>
          <w:p w14:paraId="372199C0">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过滤</w:t>
            </w:r>
          </w:p>
        </w:tc>
        <w:tc>
          <w:tcPr>
            <w:tcW w:w="447" w:type="pct"/>
            <w:tcBorders>
              <w:top w:val="single" w:color="auto" w:sz="4" w:space="0"/>
              <w:left w:val="single" w:color="auto" w:sz="4" w:space="0"/>
              <w:right w:val="single" w:color="auto" w:sz="4" w:space="0"/>
            </w:tcBorders>
            <w:vAlign w:val="center"/>
          </w:tcPr>
          <w:p w14:paraId="081EE541">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过滤器</w:t>
            </w:r>
          </w:p>
        </w:tc>
        <w:tc>
          <w:tcPr>
            <w:tcW w:w="669" w:type="pct"/>
            <w:tcBorders>
              <w:top w:val="single" w:color="auto" w:sz="4" w:space="0"/>
              <w:left w:val="single" w:color="auto" w:sz="4" w:space="0"/>
              <w:bottom w:val="single" w:color="auto" w:sz="4" w:space="0"/>
              <w:right w:val="single" w:color="auto" w:sz="4" w:space="0"/>
            </w:tcBorders>
            <w:vAlign w:val="center"/>
          </w:tcPr>
          <w:p w14:paraId="58ED2DB1">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ascii="宋体" w:hAnsi="宋体" w:eastAsia="宋体" w:cs="宋体"/>
                <w:color w:val="auto"/>
                <w:sz w:val="21"/>
                <w:szCs w:val="21"/>
                <w:highlight w:val="none"/>
                <w:lang w:val="en-US"/>
              </w:rPr>
              <w:t>废</w:t>
            </w:r>
            <w:r>
              <w:rPr>
                <w:rFonts w:hint="eastAsia"/>
                <w:color w:val="auto"/>
                <w:sz w:val="21"/>
                <w:szCs w:val="21"/>
                <w:highlight w:val="none"/>
                <w:lang w:val="en-US"/>
              </w:rPr>
              <w:t>滤芯</w:t>
            </w:r>
          </w:p>
        </w:tc>
        <w:tc>
          <w:tcPr>
            <w:tcW w:w="443" w:type="pct"/>
            <w:vMerge w:val="restart"/>
            <w:tcBorders>
              <w:top w:val="single" w:color="auto" w:sz="4" w:space="0"/>
              <w:left w:val="single" w:color="auto" w:sz="4" w:space="0"/>
              <w:right w:val="single" w:color="auto" w:sz="4" w:space="0"/>
            </w:tcBorders>
            <w:vAlign w:val="center"/>
          </w:tcPr>
          <w:p w14:paraId="15E8D455">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危险废物</w:t>
            </w:r>
          </w:p>
        </w:tc>
        <w:tc>
          <w:tcPr>
            <w:tcW w:w="707" w:type="pct"/>
            <w:tcBorders>
              <w:top w:val="single" w:color="auto" w:sz="4" w:space="0"/>
              <w:left w:val="single" w:color="auto" w:sz="4" w:space="0"/>
              <w:bottom w:val="single" w:color="auto" w:sz="4" w:space="0"/>
              <w:right w:val="single" w:color="auto" w:sz="4" w:space="0"/>
            </w:tcBorders>
            <w:vAlign w:val="center"/>
          </w:tcPr>
          <w:p w14:paraId="0E3A5C45">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tcBorders>
              <w:top w:val="single" w:color="auto" w:sz="4" w:space="0"/>
              <w:left w:val="single" w:color="auto" w:sz="4" w:space="0"/>
              <w:bottom w:val="single" w:color="auto" w:sz="4" w:space="0"/>
              <w:right w:val="single" w:color="auto" w:sz="4" w:space="0"/>
            </w:tcBorders>
            <w:vAlign w:val="center"/>
          </w:tcPr>
          <w:p w14:paraId="6CD259B5">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59" w:type="pct"/>
            <w:vMerge w:val="restart"/>
            <w:tcBorders>
              <w:top w:val="single" w:color="auto" w:sz="4" w:space="0"/>
              <w:left w:val="single" w:color="auto" w:sz="4" w:space="0"/>
              <w:right w:val="single" w:color="auto" w:sz="4" w:space="0"/>
            </w:tcBorders>
            <w:vAlign w:val="center"/>
          </w:tcPr>
          <w:p w14:paraId="53D7FD4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委托资质单位处置</w:t>
            </w:r>
          </w:p>
        </w:tc>
        <w:tc>
          <w:tcPr>
            <w:tcW w:w="472" w:type="pct"/>
            <w:tcBorders>
              <w:top w:val="single" w:color="auto" w:sz="4" w:space="0"/>
              <w:left w:val="single" w:color="auto" w:sz="4" w:space="0"/>
              <w:bottom w:val="single" w:color="auto" w:sz="4" w:space="0"/>
              <w:right w:val="single" w:color="auto" w:sz="4" w:space="0"/>
            </w:tcBorders>
            <w:vAlign w:val="center"/>
          </w:tcPr>
          <w:p w14:paraId="792CD00C">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70" w:type="pct"/>
            <w:vMerge w:val="restart"/>
            <w:tcBorders>
              <w:top w:val="single" w:color="auto" w:sz="4" w:space="0"/>
              <w:left w:val="single" w:color="auto" w:sz="4" w:space="0"/>
              <w:right w:val="nil"/>
            </w:tcBorders>
            <w:vAlign w:val="center"/>
          </w:tcPr>
          <w:p w14:paraId="5CBB6A7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委托资质单位处置</w:t>
            </w:r>
          </w:p>
        </w:tc>
      </w:tr>
      <w:tr w14:paraId="3D54C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3B4AE243">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restart"/>
            <w:tcBorders>
              <w:left w:val="nil"/>
              <w:right w:val="single" w:color="auto" w:sz="4" w:space="0"/>
            </w:tcBorders>
            <w:vAlign w:val="center"/>
          </w:tcPr>
          <w:p w14:paraId="4645063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取样分析</w:t>
            </w:r>
          </w:p>
        </w:tc>
        <w:tc>
          <w:tcPr>
            <w:tcW w:w="447" w:type="pct"/>
            <w:vMerge w:val="restart"/>
            <w:tcBorders>
              <w:left w:val="single" w:color="auto" w:sz="4" w:space="0"/>
              <w:right w:val="single" w:color="auto" w:sz="4" w:space="0"/>
            </w:tcBorders>
            <w:vAlign w:val="center"/>
          </w:tcPr>
          <w:p w14:paraId="5834A89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实验室</w:t>
            </w:r>
          </w:p>
        </w:tc>
        <w:tc>
          <w:tcPr>
            <w:tcW w:w="669" w:type="pct"/>
            <w:vAlign w:val="center"/>
          </w:tcPr>
          <w:p w14:paraId="58CFA616">
            <w:pPr>
              <w:keepNext w:val="0"/>
              <w:keepLines w:val="0"/>
              <w:pageBreakBefore w:val="0"/>
              <w:kinsoku/>
              <w:wordWrap/>
              <w:overflowPunct/>
              <w:topLinePunct w:val="0"/>
              <w:autoSpaceDE/>
              <w:autoSpaceDN/>
              <w:bidi w:val="0"/>
              <w:ind w:left="0" w:right="0"/>
              <w:jc w:val="center"/>
              <w:textAlignment w:val="auto"/>
              <w:rPr>
                <w:color w:val="auto"/>
                <w:sz w:val="21"/>
                <w:szCs w:val="21"/>
                <w:highlight w:val="none"/>
              </w:rPr>
            </w:pPr>
            <w:r>
              <w:rPr>
                <w:rFonts w:hint="eastAsia" w:ascii="Times New Roman" w:hAnsi="Times New Roman" w:cs="Times New Roman"/>
                <w:color w:val="auto"/>
                <w:sz w:val="21"/>
                <w:szCs w:val="21"/>
                <w:highlight w:val="none"/>
              </w:rPr>
              <w:t>实验废液</w:t>
            </w:r>
          </w:p>
        </w:tc>
        <w:tc>
          <w:tcPr>
            <w:tcW w:w="443" w:type="pct"/>
            <w:vMerge w:val="continue"/>
            <w:tcBorders>
              <w:left w:val="single" w:color="auto" w:sz="4" w:space="0"/>
              <w:right w:val="single" w:color="auto" w:sz="4" w:space="0"/>
            </w:tcBorders>
            <w:vAlign w:val="center"/>
          </w:tcPr>
          <w:p w14:paraId="258E7E9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6CCA6EE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022FF6E0">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459" w:type="pct"/>
            <w:vMerge w:val="continue"/>
            <w:tcBorders>
              <w:left w:val="single" w:color="auto" w:sz="4" w:space="0"/>
              <w:right w:val="single" w:color="auto" w:sz="4" w:space="0"/>
            </w:tcBorders>
            <w:vAlign w:val="center"/>
          </w:tcPr>
          <w:p w14:paraId="4B44904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33486E36">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470" w:type="pct"/>
            <w:vMerge w:val="continue"/>
            <w:tcBorders>
              <w:left w:val="single" w:color="auto" w:sz="4" w:space="0"/>
              <w:right w:val="nil"/>
            </w:tcBorders>
            <w:vAlign w:val="center"/>
          </w:tcPr>
          <w:p w14:paraId="6E8C6EB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55DE7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36F8E5F7">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continue"/>
            <w:tcBorders>
              <w:left w:val="nil"/>
              <w:right w:val="single" w:color="auto" w:sz="4" w:space="0"/>
            </w:tcBorders>
            <w:vAlign w:val="center"/>
          </w:tcPr>
          <w:p w14:paraId="4100B2A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47" w:type="pct"/>
            <w:vMerge w:val="continue"/>
            <w:tcBorders>
              <w:left w:val="single" w:color="auto" w:sz="4" w:space="0"/>
              <w:right w:val="single" w:color="auto" w:sz="4" w:space="0"/>
            </w:tcBorders>
            <w:vAlign w:val="center"/>
          </w:tcPr>
          <w:p w14:paraId="2356013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69" w:type="pct"/>
            <w:vAlign w:val="center"/>
          </w:tcPr>
          <w:p w14:paraId="66A9204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废实验耗材</w:t>
            </w:r>
          </w:p>
        </w:tc>
        <w:tc>
          <w:tcPr>
            <w:tcW w:w="443" w:type="pct"/>
            <w:vMerge w:val="continue"/>
            <w:tcBorders>
              <w:left w:val="single" w:color="auto" w:sz="4" w:space="0"/>
              <w:right w:val="single" w:color="auto" w:sz="4" w:space="0"/>
            </w:tcBorders>
            <w:vAlign w:val="center"/>
          </w:tcPr>
          <w:p w14:paraId="37C4A1A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01E00DB1">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10665FE1">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59" w:type="pct"/>
            <w:vMerge w:val="continue"/>
            <w:tcBorders>
              <w:left w:val="single" w:color="auto" w:sz="4" w:space="0"/>
              <w:right w:val="single" w:color="auto" w:sz="4" w:space="0"/>
            </w:tcBorders>
            <w:vAlign w:val="center"/>
          </w:tcPr>
          <w:p w14:paraId="5081190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0258EC30">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70" w:type="pct"/>
            <w:vMerge w:val="continue"/>
            <w:tcBorders>
              <w:left w:val="single" w:color="auto" w:sz="4" w:space="0"/>
              <w:right w:val="nil"/>
            </w:tcBorders>
            <w:vAlign w:val="center"/>
          </w:tcPr>
          <w:p w14:paraId="7E1DFC07">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47562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2D89CB31">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restart"/>
            <w:vAlign w:val="center"/>
          </w:tcPr>
          <w:p w14:paraId="3DB48A02">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超纯水制备</w:t>
            </w:r>
          </w:p>
        </w:tc>
        <w:tc>
          <w:tcPr>
            <w:tcW w:w="447" w:type="pct"/>
            <w:vMerge w:val="restart"/>
            <w:vAlign w:val="center"/>
          </w:tcPr>
          <w:p w14:paraId="26463C8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超纯水制备系统</w:t>
            </w:r>
          </w:p>
        </w:tc>
        <w:tc>
          <w:tcPr>
            <w:tcW w:w="669" w:type="pct"/>
            <w:vAlign w:val="center"/>
          </w:tcPr>
          <w:p w14:paraId="0C2BBD3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废过滤介质</w:t>
            </w:r>
          </w:p>
        </w:tc>
        <w:tc>
          <w:tcPr>
            <w:tcW w:w="443" w:type="pct"/>
            <w:vMerge w:val="restart"/>
            <w:tcBorders>
              <w:left w:val="single" w:color="auto" w:sz="4" w:space="0"/>
              <w:right w:val="single" w:color="auto" w:sz="4" w:space="0"/>
            </w:tcBorders>
            <w:vAlign w:val="center"/>
          </w:tcPr>
          <w:p w14:paraId="199CD8D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一般固废</w:t>
            </w:r>
          </w:p>
        </w:tc>
        <w:tc>
          <w:tcPr>
            <w:tcW w:w="707" w:type="pct"/>
            <w:vAlign w:val="center"/>
          </w:tcPr>
          <w:p w14:paraId="1F4DCC9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1D6C0D27">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59" w:type="pct"/>
            <w:vMerge w:val="restart"/>
            <w:tcBorders>
              <w:left w:val="single" w:color="auto" w:sz="4" w:space="0"/>
              <w:right w:val="single" w:color="auto" w:sz="4" w:space="0"/>
            </w:tcBorders>
            <w:vAlign w:val="center"/>
          </w:tcPr>
          <w:p w14:paraId="0AA0980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外卖或回收</w:t>
            </w:r>
          </w:p>
        </w:tc>
        <w:tc>
          <w:tcPr>
            <w:tcW w:w="472" w:type="pct"/>
            <w:vAlign w:val="center"/>
          </w:tcPr>
          <w:p w14:paraId="2DA6AE39">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470" w:type="pct"/>
            <w:vMerge w:val="restart"/>
            <w:tcBorders>
              <w:left w:val="single" w:color="auto" w:sz="4" w:space="0"/>
              <w:right w:val="nil"/>
            </w:tcBorders>
            <w:vAlign w:val="center"/>
          </w:tcPr>
          <w:p w14:paraId="3658399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外卖或回收</w:t>
            </w:r>
          </w:p>
        </w:tc>
      </w:tr>
      <w:tr w14:paraId="6A115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483" w:hRule="atLeast"/>
          <w:jc w:val="center"/>
        </w:trPr>
        <w:tc>
          <w:tcPr>
            <w:tcW w:w="241" w:type="pct"/>
            <w:vAlign w:val="center"/>
          </w:tcPr>
          <w:p w14:paraId="40340ECA">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continue"/>
            <w:vAlign w:val="center"/>
          </w:tcPr>
          <w:p w14:paraId="633B23DE">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p>
        </w:tc>
        <w:tc>
          <w:tcPr>
            <w:tcW w:w="447" w:type="pct"/>
            <w:vMerge w:val="continue"/>
            <w:vAlign w:val="center"/>
          </w:tcPr>
          <w:p w14:paraId="14EB8E8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69" w:type="pct"/>
            <w:vAlign w:val="center"/>
          </w:tcPr>
          <w:p w14:paraId="24E5050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废活性炭</w:t>
            </w:r>
          </w:p>
        </w:tc>
        <w:tc>
          <w:tcPr>
            <w:tcW w:w="443" w:type="pct"/>
            <w:vMerge w:val="continue"/>
            <w:tcBorders>
              <w:left w:val="single" w:color="auto" w:sz="4" w:space="0"/>
              <w:right w:val="single" w:color="auto" w:sz="4" w:space="0"/>
            </w:tcBorders>
            <w:vAlign w:val="center"/>
          </w:tcPr>
          <w:p w14:paraId="0280DF8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128ABC3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6A47D414">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459" w:type="pct"/>
            <w:vMerge w:val="continue"/>
            <w:tcBorders>
              <w:left w:val="single" w:color="auto" w:sz="4" w:space="0"/>
              <w:right w:val="single" w:color="auto" w:sz="4" w:space="0"/>
            </w:tcBorders>
            <w:vAlign w:val="center"/>
          </w:tcPr>
          <w:p w14:paraId="2973746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7FA6FA51">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470" w:type="pct"/>
            <w:vMerge w:val="continue"/>
            <w:tcBorders>
              <w:left w:val="single" w:color="auto" w:sz="4" w:space="0"/>
              <w:right w:val="nil"/>
            </w:tcBorders>
            <w:vAlign w:val="center"/>
          </w:tcPr>
          <w:p w14:paraId="7D4F7FD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1999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247" w:hRule="atLeast"/>
          <w:jc w:val="center"/>
        </w:trPr>
        <w:tc>
          <w:tcPr>
            <w:tcW w:w="241" w:type="pct"/>
            <w:vAlign w:val="center"/>
          </w:tcPr>
          <w:p w14:paraId="43691343">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continue"/>
            <w:vAlign w:val="center"/>
          </w:tcPr>
          <w:p w14:paraId="78130FB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p>
        </w:tc>
        <w:tc>
          <w:tcPr>
            <w:tcW w:w="447" w:type="pct"/>
            <w:vMerge w:val="continue"/>
            <w:vAlign w:val="center"/>
          </w:tcPr>
          <w:p w14:paraId="4FDD079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69" w:type="pct"/>
            <w:vAlign w:val="center"/>
          </w:tcPr>
          <w:p w14:paraId="353A156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废RO膜</w:t>
            </w:r>
          </w:p>
        </w:tc>
        <w:tc>
          <w:tcPr>
            <w:tcW w:w="443" w:type="pct"/>
            <w:vMerge w:val="continue"/>
            <w:tcBorders>
              <w:left w:val="single" w:color="auto" w:sz="4" w:space="0"/>
              <w:right w:val="single" w:color="auto" w:sz="4" w:space="0"/>
            </w:tcBorders>
            <w:vAlign w:val="center"/>
          </w:tcPr>
          <w:p w14:paraId="3C297B48">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4192FB7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376440FE">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59" w:type="pct"/>
            <w:vMerge w:val="continue"/>
            <w:tcBorders>
              <w:left w:val="single" w:color="auto" w:sz="4" w:space="0"/>
              <w:right w:val="single" w:color="auto" w:sz="4" w:space="0"/>
            </w:tcBorders>
            <w:vAlign w:val="center"/>
          </w:tcPr>
          <w:p w14:paraId="672B1AA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11A7F0D3">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470" w:type="pct"/>
            <w:vMerge w:val="continue"/>
            <w:tcBorders>
              <w:left w:val="single" w:color="auto" w:sz="4" w:space="0"/>
              <w:right w:val="nil"/>
            </w:tcBorders>
            <w:vAlign w:val="center"/>
          </w:tcPr>
          <w:p w14:paraId="6F3C38D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4B8AD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16E0A51C">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restart"/>
            <w:vAlign w:val="center"/>
          </w:tcPr>
          <w:p w14:paraId="035471E7">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原辅料</w:t>
            </w:r>
          </w:p>
        </w:tc>
        <w:tc>
          <w:tcPr>
            <w:tcW w:w="447" w:type="pct"/>
            <w:vMerge w:val="restart"/>
            <w:vAlign w:val="center"/>
          </w:tcPr>
          <w:p w14:paraId="528F4F21">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69" w:type="pct"/>
            <w:vAlign w:val="center"/>
          </w:tcPr>
          <w:p w14:paraId="4EAF663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废包装桶（瓶）</w:t>
            </w:r>
          </w:p>
        </w:tc>
        <w:tc>
          <w:tcPr>
            <w:tcW w:w="443" w:type="pct"/>
            <w:vMerge w:val="restart"/>
            <w:tcBorders>
              <w:left w:val="single" w:color="auto" w:sz="4" w:space="0"/>
              <w:right w:val="single" w:color="auto" w:sz="4" w:space="0"/>
            </w:tcBorders>
            <w:vAlign w:val="center"/>
          </w:tcPr>
          <w:p w14:paraId="58265425">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危险废物</w:t>
            </w:r>
          </w:p>
        </w:tc>
        <w:tc>
          <w:tcPr>
            <w:tcW w:w="707" w:type="pct"/>
            <w:vAlign w:val="center"/>
          </w:tcPr>
          <w:p w14:paraId="052C4E4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6A80B381">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459" w:type="pct"/>
            <w:vMerge w:val="restart"/>
            <w:tcBorders>
              <w:left w:val="single" w:color="auto" w:sz="4" w:space="0"/>
              <w:right w:val="single" w:color="auto" w:sz="4" w:space="0"/>
            </w:tcBorders>
            <w:vAlign w:val="center"/>
          </w:tcPr>
          <w:p w14:paraId="6E62F41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委托资质单位处置</w:t>
            </w:r>
          </w:p>
        </w:tc>
        <w:tc>
          <w:tcPr>
            <w:tcW w:w="472" w:type="pct"/>
            <w:vAlign w:val="center"/>
          </w:tcPr>
          <w:p w14:paraId="06AE34E9">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470" w:type="pct"/>
            <w:vMerge w:val="restart"/>
            <w:tcBorders>
              <w:left w:val="single" w:color="auto" w:sz="4" w:space="0"/>
              <w:right w:val="nil"/>
            </w:tcBorders>
            <w:vAlign w:val="center"/>
          </w:tcPr>
          <w:p w14:paraId="6B4428E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委托资质单位处置</w:t>
            </w:r>
          </w:p>
        </w:tc>
      </w:tr>
      <w:tr w14:paraId="46263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5CBABD79">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Merge w:val="continue"/>
            <w:vAlign w:val="center"/>
          </w:tcPr>
          <w:p w14:paraId="60623F0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47" w:type="pct"/>
            <w:vMerge w:val="continue"/>
            <w:vAlign w:val="center"/>
          </w:tcPr>
          <w:p w14:paraId="63DDE64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69" w:type="pct"/>
            <w:vAlign w:val="center"/>
          </w:tcPr>
          <w:p w14:paraId="7C24AA5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废包装袋</w:t>
            </w:r>
          </w:p>
        </w:tc>
        <w:tc>
          <w:tcPr>
            <w:tcW w:w="443" w:type="pct"/>
            <w:vMerge w:val="continue"/>
            <w:tcBorders>
              <w:left w:val="single" w:color="auto" w:sz="4" w:space="0"/>
              <w:right w:val="single" w:color="auto" w:sz="4" w:space="0"/>
            </w:tcBorders>
            <w:vAlign w:val="center"/>
          </w:tcPr>
          <w:p w14:paraId="0A92EE28">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06BC319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3B94CF5F">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459" w:type="pct"/>
            <w:vMerge w:val="continue"/>
            <w:tcBorders>
              <w:left w:val="single" w:color="auto" w:sz="4" w:space="0"/>
              <w:right w:val="single" w:color="auto" w:sz="4" w:space="0"/>
            </w:tcBorders>
            <w:vAlign w:val="center"/>
          </w:tcPr>
          <w:p w14:paraId="62BC52D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4C617AC3">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470" w:type="pct"/>
            <w:vMerge w:val="continue"/>
            <w:tcBorders>
              <w:left w:val="single" w:color="auto" w:sz="4" w:space="0"/>
              <w:right w:val="nil"/>
            </w:tcBorders>
            <w:vAlign w:val="center"/>
          </w:tcPr>
          <w:p w14:paraId="1CDA95C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3B3EB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0F0497CC">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70" w:type="pct"/>
            <w:vAlign w:val="center"/>
          </w:tcPr>
          <w:p w14:paraId="2CA96339">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废气处理</w:t>
            </w:r>
          </w:p>
        </w:tc>
        <w:tc>
          <w:tcPr>
            <w:tcW w:w="447" w:type="pct"/>
            <w:vAlign w:val="center"/>
          </w:tcPr>
          <w:p w14:paraId="20FF3C21">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废气处理设施</w:t>
            </w:r>
          </w:p>
        </w:tc>
        <w:tc>
          <w:tcPr>
            <w:tcW w:w="669" w:type="pct"/>
            <w:vAlign w:val="center"/>
          </w:tcPr>
          <w:p w14:paraId="08AF654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废活性炭</w:t>
            </w:r>
          </w:p>
        </w:tc>
        <w:tc>
          <w:tcPr>
            <w:tcW w:w="443" w:type="pct"/>
            <w:vMerge w:val="continue"/>
            <w:tcBorders>
              <w:left w:val="single" w:color="auto" w:sz="4" w:space="0"/>
              <w:right w:val="single" w:color="auto" w:sz="4" w:space="0"/>
            </w:tcBorders>
            <w:vAlign w:val="center"/>
          </w:tcPr>
          <w:p w14:paraId="5333CF2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28BF3A9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7848A20C">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459" w:type="pct"/>
            <w:vMerge w:val="continue"/>
            <w:tcBorders>
              <w:left w:val="single" w:color="auto" w:sz="4" w:space="0"/>
              <w:right w:val="single" w:color="auto" w:sz="4" w:space="0"/>
            </w:tcBorders>
            <w:vAlign w:val="center"/>
          </w:tcPr>
          <w:p w14:paraId="39C7B94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3899FA61">
            <w:pPr>
              <w:keepNext w:val="0"/>
              <w:keepLines w:val="0"/>
              <w:pageBreakBefore w:val="0"/>
              <w:kinsoku/>
              <w:wordWrap/>
              <w:overflowPunct/>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470" w:type="pct"/>
            <w:vMerge w:val="continue"/>
            <w:tcBorders>
              <w:left w:val="single" w:color="auto" w:sz="4" w:space="0"/>
              <w:right w:val="nil"/>
            </w:tcBorders>
            <w:vAlign w:val="center"/>
          </w:tcPr>
          <w:p w14:paraId="2187F56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056B5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241" w:type="pct"/>
            <w:vAlign w:val="center"/>
          </w:tcPr>
          <w:p w14:paraId="74CAAD67">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bookmarkStart w:id="244" w:name="_Ref23768"/>
          </w:p>
        </w:tc>
        <w:tc>
          <w:tcPr>
            <w:tcW w:w="570" w:type="pct"/>
            <w:vAlign w:val="center"/>
          </w:tcPr>
          <w:p w14:paraId="21C61903">
            <w:pPr>
              <w:pStyle w:val="98"/>
              <w:keepNext w:val="0"/>
              <w:keepLines w:val="0"/>
              <w:pageBreakBefore w:val="0"/>
              <w:kinsoku/>
              <w:wordWrap/>
              <w:overflowPunct/>
              <w:topLinePunct w:val="0"/>
              <w:autoSpaceDE/>
              <w:autoSpaceDN/>
              <w:bidi w:val="0"/>
              <w:adjustRightInd w:val="0"/>
              <w:snapToGrid w:val="0"/>
              <w:ind w:left="0" w:right="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取样分析</w:t>
            </w:r>
          </w:p>
        </w:tc>
        <w:tc>
          <w:tcPr>
            <w:tcW w:w="447" w:type="pct"/>
            <w:vAlign w:val="center"/>
          </w:tcPr>
          <w:p w14:paraId="69328502">
            <w:pPr>
              <w:keepNext w:val="0"/>
              <w:keepLines w:val="0"/>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实验室</w:t>
            </w:r>
          </w:p>
        </w:tc>
        <w:tc>
          <w:tcPr>
            <w:tcW w:w="669" w:type="pct"/>
            <w:vAlign w:val="center"/>
          </w:tcPr>
          <w:p w14:paraId="4D11E5A4">
            <w:pPr>
              <w:keepNext w:val="0"/>
              <w:keepLines w:val="0"/>
              <w:pageBreakBefore w:val="0"/>
              <w:kinsoku/>
              <w:wordWrap/>
              <w:overflowPunct/>
              <w:topLinePunct w:val="0"/>
              <w:autoSpaceDE/>
              <w:autoSpaceDN/>
              <w:bidi w:val="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实验室清洗废水</w:t>
            </w:r>
          </w:p>
        </w:tc>
        <w:tc>
          <w:tcPr>
            <w:tcW w:w="443" w:type="pct"/>
            <w:vMerge w:val="continue"/>
            <w:tcBorders>
              <w:left w:val="single" w:color="auto" w:sz="4" w:space="0"/>
              <w:right w:val="single" w:color="auto" w:sz="4" w:space="0"/>
            </w:tcBorders>
            <w:vAlign w:val="center"/>
          </w:tcPr>
          <w:p w14:paraId="0F1A47F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07" w:type="pct"/>
            <w:vAlign w:val="center"/>
          </w:tcPr>
          <w:p w14:paraId="52485788">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排污系数法</w:t>
            </w:r>
          </w:p>
        </w:tc>
        <w:tc>
          <w:tcPr>
            <w:tcW w:w="518" w:type="pct"/>
            <w:vAlign w:val="center"/>
          </w:tcPr>
          <w:p w14:paraId="54114FB9">
            <w:pPr>
              <w:keepNext w:val="0"/>
              <w:keepLines w:val="0"/>
              <w:pageBreakBefore w:val="0"/>
              <w:kinsoku/>
              <w:wordWrap/>
              <w:overflowPunct/>
              <w:autoSpaceDE/>
              <w:autoSpaceDN/>
              <w:bidi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459" w:type="pct"/>
            <w:vMerge w:val="continue"/>
            <w:tcBorders>
              <w:left w:val="single" w:color="auto" w:sz="4" w:space="0"/>
              <w:right w:val="single" w:color="auto" w:sz="4" w:space="0"/>
            </w:tcBorders>
            <w:vAlign w:val="center"/>
          </w:tcPr>
          <w:p w14:paraId="7F91A0F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72" w:type="pct"/>
            <w:vAlign w:val="center"/>
          </w:tcPr>
          <w:p w14:paraId="4DEB8090">
            <w:pPr>
              <w:keepNext w:val="0"/>
              <w:keepLines w:val="0"/>
              <w:pageBreakBefore w:val="0"/>
              <w:kinsoku/>
              <w:wordWrap/>
              <w:overflowPunct/>
              <w:autoSpaceDE/>
              <w:autoSpaceDN/>
              <w:bidi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470" w:type="pct"/>
            <w:vMerge w:val="continue"/>
            <w:tcBorders>
              <w:left w:val="single" w:color="auto" w:sz="4" w:space="0"/>
              <w:right w:val="nil"/>
            </w:tcBorders>
            <w:vAlign w:val="center"/>
          </w:tcPr>
          <w:p w14:paraId="5BF4470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bl>
    <w:p w14:paraId="591F414E">
      <w:pPr>
        <w:pStyle w:val="15"/>
        <w:spacing w:before="120" w:beforeLines="50" w:after="120" w:afterLines="50"/>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4.6</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13</w:t>
      </w:r>
      <w:r>
        <w:rPr>
          <w:rFonts w:eastAsia="宋体" w:cs="Times New Roman"/>
          <w:color w:val="auto"/>
          <w:sz w:val="24"/>
          <w:szCs w:val="18"/>
          <w:highlight w:val="none"/>
        </w:rPr>
        <w:fldChar w:fldCharType="end"/>
      </w:r>
      <w:bookmarkEnd w:id="244"/>
      <w:r>
        <w:rPr>
          <w:rFonts w:eastAsia="宋体" w:cs="Times New Roman"/>
          <w:color w:val="auto"/>
          <w:sz w:val="24"/>
          <w:szCs w:val="18"/>
          <w:highlight w:val="none"/>
        </w:rPr>
        <w:t>本项目营运期危险废物汇总表</w:t>
      </w:r>
    </w:p>
    <w:tbl>
      <w:tblPr>
        <w:tblStyle w:val="45"/>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22"/>
        <w:gridCol w:w="775"/>
        <w:gridCol w:w="902"/>
        <w:gridCol w:w="793"/>
        <w:gridCol w:w="873"/>
        <w:gridCol w:w="571"/>
        <w:gridCol w:w="805"/>
        <w:gridCol w:w="657"/>
        <w:gridCol w:w="678"/>
        <w:gridCol w:w="518"/>
        <w:gridCol w:w="685"/>
      </w:tblGrid>
      <w:tr w14:paraId="59210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71FC16D5">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586" w:type="pct"/>
            <w:vAlign w:val="center"/>
          </w:tcPr>
          <w:p w14:paraId="3C74E9B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危险废物名称</w:t>
            </w:r>
          </w:p>
        </w:tc>
        <w:tc>
          <w:tcPr>
            <w:tcW w:w="444" w:type="pct"/>
            <w:vAlign w:val="center"/>
          </w:tcPr>
          <w:p w14:paraId="3B067B4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危险废物类别</w:t>
            </w:r>
          </w:p>
        </w:tc>
        <w:tc>
          <w:tcPr>
            <w:tcW w:w="517" w:type="pct"/>
            <w:vAlign w:val="center"/>
          </w:tcPr>
          <w:p w14:paraId="09AE3FF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危险废物代码</w:t>
            </w:r>
          </w:p>
        </w:tc>
        <w:tc>
          <w:tcPr>
            <w:tcW w:w="455" w:type="pct"/>
            <w:vAlign w:val="center"/>
          </w:tcPr>
          <w:p w14:paraId="7F0F05F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产生量（t/a）</w:t>
            </w:r>
          </w:p>
        </w:tc>
        <w:tc>
          <w:tcPr>
            <w:tcW w:w="501" w:type="pct"/>
            <w:vAlign w:val="center"/>
          </w:tcPr>
          <w:p w14:paraId="310086B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产生工序及装置</w:t>
            </w:r>
          </w:p>
        </w:tc>
        <w:tc>
          <w:tcPr>
            <w:tcW w:w="327" w:type="pct"/>
            <w:vAlign w:val="center"/>
          </w:tcPr>
          <w:p w14:paraId="7E683157">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形态</w:t>
            </w:r>
          </w:p>
        </w:tc>
        <w:tc>
          <w:tcPr>
            <w:tcW w:w="462" w:type="pct"/>
            <w:vAlign w:val="center"/>
          </w:tcPr>
          <w:p w14:paraId="1A3FC1D7">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主要成分</w:t>
            </w:r>
          </w:p>
        </w:tc>
        <w:tc>
          <w:tcPr>
            <w:tcW w:w="377" w:type="pct"/>
            <w:vAlign w:val="center"/>
          </w:tcPr>
          <w:p w14:paraId="76CB887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有害成分</w:t>
            </w:r>
          </w:p>
        </w:tc>
        <w:tc>
          <w:tcPr>
            <w:tcW w:w="389" w:type="pct"/>
            <w:vAlign w:val="center"/>
          </w:tcPr>
          <w:p w14:paraId="29CE630A">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产废周期</w:t>
            </w:r>
          </w:p>
        </w:tc>
        <w:tc>
          <w:tcPr>
            <w:tcW w:w="297" w:type="pct"/>
            <w:vAlign w:val="center"/>
          </w:tcPr>
          <w:p w14:paraId="5303584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危险特性</w:t>
            </w:r>
          </w:p>
        </w:tc>
        <w:tc>
          <w:tcPr>
            <w:tcW w:w="393" w:type="pct"/>
            <w:vAlign w:val="center"/>
          </w:tcPr>
          <w:p w14:paraId="7B8DFE5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污染防治措施</w:t>
            </w:r>
          </w:p>
        </w:tc>
      </w:tr>
      <w:tr w14:paraId="15EDF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06326417">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176D9BF7">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ascii="宋体" w:hAnsi="宋体" w:eastAsia="宋体" w:cs="宋体"/>
                <w:color w:val="auto"/>
                <w:sz w:val="21"/>
                <w:szCs w:val="18"/>
                <w:highlight w:val="none"/>
                <w:lang w:val="en-US"/>
              </w:rPr>
              <w:t>废</w:t>
            </w:r>
            <w:r>
              <w:rPr>
                <w:rFonts w:hint="eastAsia"/>
                <w:color w:val="auto"/>
                <w:sz w:val="21"/>
                <w:szCs w:val="18"/>
                <w:highlight w:val="none"/>
                <w:lang w:val="en-US"/>
              </w:rPr>
              <w:t>滤芯</w:t>
            </w:r>
          </w:p>
        </w:tc>
        <w:tc>
          <w:tcPr>
            <w:tcW w:w="444" w:type="pct"/>
            <w:vAlign w:val="center"/>
          </w:tcPr>
          <w:p w14:paraId="49018E1E">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HW49</w:t>
            </w:r>
          </w:p>
        </w:tc>
        <w:tc>
          <w:tcPr>
            <w:tcW w:w="517" w:type="pct"/>
            <w:vAlign w:val="center"/>
          </w:tcPr>
          <w:p w14:paraId="4FB1871C">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900-041-49</w:t>
            </w:r>
          </w:p>
        </w:tc>
        <w:tc>
          <w:tcPr>
            <w:tcW w:w="455" w:type="pct"/>
            <w:vAlign w:val="center"/>
          </w:tcPr>
          <w:p w14:paraId="4D37495E">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501" w:type="pct"/>
            <w:vAlign w:val="center"/>
          </w:tcPr>
          <w:p w14:paraId="2CCF44E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过滤</w:t>
            </w:r>
          </w:p>
        </w:tc>
        <w:tc>
          <w:tcPr>
            <w:tcW w:w="327" w:type="pct"/>
            <w:vAlign w:val="center"/>
          </w:tcPr>
          <w:p w14:paraId="7CF355E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固态</w:t>
            </w:r>
          </w:p>
        </w:tc>
        <w:tc>
          <w:tcPr>
            <w:tcW w:w="462" w:type="pct"/>
            <w:vAlign w:val="center"/>
          </w:tcPr>
          <w:p w14:paraId="700803F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有机物等</w:t>
            </w:r>
          </w:p>
        </w:tc>
        <w:tc>
          <w:tcPr>
            <w:tcW w:w="377" w:type="pct"/>
            <w:vAlign w:val="center"/>
          </w:tcPr>
          <w:p w14:paraId="45942AE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有机物</w:t>
            </w:r>
          </w:p>
        </w:tc>
        <w:tc>
          <w:tcPr>
            <w:tcW w:w="389" w:type="pct"/>
            <w:vAlign w:val="center"/>
          </w:tcPr>
          <w:p w14:paraId="745EB65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1次/季</w:t>
            </w:r>
          </w:p>
        </w:tc>
        <w:tc>
          <w:tcPr>
            <w:tcW w:w="297" w:type="pct"/>
            <w:vAlign w:val="center"/>
          </w:tcPr>
          <w:p w14:paraId="0986AD17">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T/In</w:t>
            </w:r>
          </w:p>
        </w:tc>
        <w:tc>
          <w:tcPr>
            <w:tcW w:w="393" w:type="pct"/>
            <w:vMerge w:val="restart"/>
            <w:vAlign w:val="center"/>
          </w:tcPr>
          <w:p w14:paraId="011798AE">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分类安全存放，委托资质单位处置</w:t>
            </w:r>
          </w:p>
        </w:tc>
      </w:tr>
      <w:tr w14:paraId="3DECF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68CB41F9">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5D7BEFCA">
            <w:pPr>
              <w:keepNext w:val="0"/>
              <w:keepLines w:val="0"/>
              <w:pageBreakBefore w:val="0"/>
              <w:kinsoku/>
              <w:wordWrap/>
              <w:overflowPunct/>
              <w:topLinePunct w:val="0"/>
              <w:autoSpaceDE/>
              <w:autoSpaceDN/>
              <w:bidi w:val="0"/>
              <w:ind w:left="0" w:right="0"/>
              <w:jc w:val="center"/>
              <w:textAlignment w:val="auto"/>
              <w:rPr>
                <w:color w:val="auto"/>
                <w:sz w:val="21"/>
                <w:szCs w:val="21"/>
                <w:highlight w:val="none"/>
              </w:rPr>
            </w:pPr>
            <w:r>
              <w:rPr>
                <w:rFonts w:hint="eastAsia" w:ascii="Times New Roman" w:hAnsi="Times New Roman" w:cs="Times New Roman"/>
                <w:color w:val="auto"/>
                <w:sz w:val="21"/>
                <w:szCs w:val="18"/>
                <w:highlight w:val="none"/>
              </w:rPr>
              <w:t>实验废液</w:t>
            </w:r>
          </w:p>
        </w:tc>
        <w:tc>
          <w:tcPr>
            <w:tcW w:w="444" w:type="pct"/>
            <w:vAlign w:val="center"/>
          </w:tcPr>
          <w:p w14:paraId="004E85B7">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HW49</w:t>
            </w:r>
          </w:p>
        </w:tc>
        <w:tc>
          <w:tcPr>
            <w:tcW w:w="517" w:type="pct"/>
            <w:vAlign w:val="center"/>
          </w:tcPr>
          <w:p w14:paraId="49497DA9">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455" w:type="pct"/>
            <w:vAlign w:val="center"/>
          </w:tcPr>
          <w:p w14:paraId="5FCFE628">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501" w:type="pct"/>
            <w:vMerge w:val="restart"/>
            <w:vAlign w:val="center"/>
          </w:tcPr>
          <w:p w14:paraId="56A36A7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w:t>
            </w:r>
          </w:p>
        </w:tc>
        <w:tc>
          <w:tcPr>
            <w:tcW w:w="327" w:type="pct"/>
            <w:vAlign w:val="center"/>
          </w:tcPr>
          <w:p w14:paraId="1623289D">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液</w:t>
            </w:r>
            <w:r>
              <w:rPr>
                <w:rFonts w:eastAsia="宋体"/>
                <w:color w:val="auto"/>
                <w:sz w:val="21"/>
                <w:szCs w:val="21"/>
                <w:highlight w:val="none"/>
                <w:lang w:val="en-US"/>
              </w:rPr>
              <w:t>态</w:t>
            </w:r>
          </w:p>
        </w:tc>
        <w:tc>
          <w:tcPr>
            <w:tcW w:w="462" w:type="pct"/>
            <w:vAlign w:val="center"/>
          </w:tcPr>
          <w:p w14:paraId="482AEAFD">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化学试剂等</w:t>
            </w:r>
          </w:p>
        </w:tc>
        <w:tc>
          <w:tcPr>
            <w:tcW w:w="377" w:type="pct"/>
            <w:vAlign w:val="center"/>
          </w:tcPr>
          <w:p w14:paraId="535F41B5">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color w:val="auto"/>
                <w:sz w:val="21"/>
                <w:szCs w:val="21"/>
                <w:highlight w:val="none"/>
              </w:rPr>
              <w:t>化学试剂</w:t>
            </w:r>
          </w:p>
        </w:tc>
        <w:tc>
          <w:tcPr>
            <w:tcW w:w="389" w:type="pct"/>
            <w:vAlign w:val="center"/>
          </w:tcPr>
          <w:p w14:paraId="4A90E69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天</w:t>
            </w:r>
          </w:p>
        </w:tc>
        <w:tc>
          <w:tcPr>
            <w:tcW w:w="297" w:type="pct"/>
            <w:vAlign w:val="center"/>
          </w:tcPr>
          <w:p w14:paraId="60DDF4DC">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393" w:type="pct"/>
            <w:vMerge w:val="continue"/>
            <w:vAlign w:val="center"/>
          </w:tcPr>
          <w:p w14:paraId="5558198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39980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358F675F">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58FB0B5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废实验耗材</w:t>
            </w:r>
          </w:p>
        </w:tc>
        <w:tc>
          <w:tcPr>
            <w:tcW w:w="444" w:type="pct"/>
            <w:vAlign w:val="center"/>
          </w:tcPr>
          <w:p w14:paraId="68176A3E">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HW49</w:t>
            </w:r>
          </w:p>
        </w:tc>
        <w:tc>
          <w:tcPr>
            <w:tcW w:w="517" w:type="pct"/>
            <w:vAlign w:val="center"/>
          </w:tcPr>
          <w:p w14:paraId="038B784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455" w:type="pct"/>
            <w:vAlign w:val="center"/>
          </w:tcPr>
          <w:p w14:paraId="0DD45AD6">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501" w:type="pct"/>
            <w:vMerge w:val="continue"/>
            <w:vAlign w:val="center"/>
          </w:tcPr>
          <w:p w14:paraId="283591D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27" w:type="pct"/>
            <w:vAlign w:val="center"/>
          </w:tcPr>
          <w:p w14:paraId="4D9D715D">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固态</w:t>
            </w:r>
          </w:p>
        </w:tc>
        <w:tc>
          <w:tcPr>
            <w:tcW w:w="462" w:type="pct"/>
            <w:vAlign w:val="center"/>
          </w:tcPr>
          <w:p w14:paraId="221602B5">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玻璃、化学试剂</w:t>
            </w:r>
          </w:p>
        </w:tc>
        <w:tc>
          <w:tcPr>
            <w:tcW w:w="377" w:type="pct"/>
            <w:vAlign w:val="center"/>
          </w:tcPr>
          <w:p w14:paraId="488C371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color w:val="auto"/>
                <w:sz w:val="21"/>
                <w:szCs w:val="21"/>
                <w:highlight w:val="none"/>
              </w:rPr>
              <w:t>化学试剂</w:t>
            </w:r>
          </w:p>
        </w:tc>
        <w:tc>
          <w:tcPr>
            <w:tcW w:w="389" w:type="pct"/>
            <w:vAlign w:val="center"/>
          </w:tcPr>
          <w:p w14:paraId="0243766C">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次/</w:t>
            </w:r>
            <w:r>
              <w:rPr>
                <w:rFonts w:hint="eastAsia" w:ascii="Times New Roman" w:hAnsi="Times New Roman" w:cs="Times New Roman"/>
                <w:color w:val="auto"/>
                <w:sz w:val="21"/>
                <w:szCs w:val="21"/>
                <w:highlight w:val="none"/>
              </w:rPr>
              <w:t>天</w:t>
            </w:r>
          </w:p>
        </w:tc>
        <w:tc>
          <w:tcPr>
            <w:tcW w:w="297" w:type="pct"/>
            <w:vAlign w:val="center"/>
          </w:tcPr>
          <w:p w14:paraId="5D0C0D13">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393" w:type="pct"/>
            <w:vMerge w:val="continue"/>
            <w:vAlign w:val="center"/>
          </w:tcPr>
          <w:p w14:paraId="00FC294B">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779C9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08E9E5F2">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3B679CE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废包装桶（瓶）</w:t>
            </w:r>
          </w:p>
        </w:tc>
        <w:tc>
          <w:tcPr>
            <w:tcW w:w="444" w:type="pct"/>
            <w:vAlign w:val="center"/>
          </w:tcPr>
          <w:p w14:paraId="6AF311B3">
            <w:pPr>
              <w:pStyle w:val="98"/>
              <w:keepNext w:val="0"/>
              <w:keepLines w:val="0"/>
              <w:pageBreakBefore w:val="0"/>
              <w:kinsoku/>
              <w:wordWrap/>
              <w:overflowPunct/>
              <w:topLinePunct w:val="0"/>
              <w:autoSpaceDE/>
              <w:autoSpaceDN/>
              <w:bidi w:val="0"/>
              <w:adjustRightInd w:val="0"/>
              <w:snapToGrid w:val="0"/>
              <w:ind w:left="0" w:right="0"/>
              <w:textAlignment w:val="auto"/>
              <w:rPr>
                <w:color w:val="auto"/>
                <w:sz w:val="21"/>
                <w:szCs w:val="21"/>
                <w:highlight w:val="none"/>
              </w:rPr>
            </w:pPr>
            <w:r>
              <w:rPr>
                <w:rFonts w:eastAsia="宋体"/>
                <w:color w:val="auto"/>
                <w:sz w:val="21"/>
                <w:szCs w:val="21"/>
                <w:highlight w:val="none"/>
                <w:lang w:val="en-US"/>
              </w:rPr>
              <w:t>HW49</w:t>
            </w:r>
          </w:p>
        </w:tc>
        <w:tc>
          <w:tcPr>
            <w:tcW w:w="517" w:type="pct"/>
            <w:vAlign w:val="center"/>
          </w:tcPr>
          <w:p w14:paraId="1ABE73D5">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900-041-49</w:t>
            </w:r>
          </w:p>
        </w:tc>
        <w:tc>
          <w:tcPr>
            <w:tcW w:w="455" w:type="pct"/>
            <w:vAlign w:val="center"/>
          </w:tcPr>
          <w:p w14:paraId="0FAB93D6">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501" w:type="pct"/>
            <w:vMerge w:val="restart"/>
            <w:vAlign w:val="center"/>
          </w:tcPr>
          <w:p w14:paraId="1E612043">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原料包装</w:t>
            </w:r>
          </w:p>
        </w:tc>
        <w:tc>
          <w:tcPr>
            <w:tcW w:w="327" w:type="pct"/>
            <w:vAlign w:val="center"/>
          </w:tcPr>
          <w:p w14:paraId="1E0009CB">
            <w:pPr>
              <w:keepNext w:val="0"/>
              <w:keepLines w:val="0"/>
              <w:pageBreakBefore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固态</w:t>
            </w:r>
          </w:p>
        </w:tc>
        <w:tc>
          <w:tcPr>
            <w:tcW w:w="462" w:type="pct"/>
            <w:vAlign w:val="center"/>
          </w:tcPr>
          <w:p w14:paraId="53219FF1">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塑料桶、有机物</w:t>
            </w:r>
          </w:p>
        </w:tc>
        <w:tc>
          <w:tcPr>
            <w:tcW w:w="377" w:type="pct"/>
            <w:vAlign w:val="center"/>
          </w:tcPr>
          <w:p w14:paraId="2BDBE0A2">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有机物</w:t>
            </w:r>
          </w:p>
        </w:tc>
        <w:tc>
          <w:tcPr>
            <w:tcW w:w="389" w:type="pct"/>
            <w:vAlign w:val="center"/>
          </w:tcPr>
          <w:p w14:paraId="4FFFC269">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2次/月</w:t>
            </w:r>
          </w:p>
        </w:tc>
        <w:tc>
          <w:tcPr>
            <w:tcW w:w="297" w:type="pct"/>
            <w:vAlign w:val="center"/>
          </w:tcPr>
          <w:p w14:paraId="40E92B9C">
            <w:pPr>
              <w:pStyle w:val="98"/>
              <w:keepNext w:val="0"/>
              <w:keepLines w:val="0"/>
              <w:pageBreakBefore w:val="0"/>
              <w:kinsoku/>
              <w:wordWrap/>
              <w:overflowPunct/>
              <w:topLinePunct w:val="0"/>
              <w:autoSpaceDE/>
              <w:autoSpaceDN/>
              <w:bidi w:val="0"/>
              <w:adjustRightInd w:val="0"/>
              <w:snapToGrid w:val="0"/>
              <w:ind w:left="0" w:right="0"/>
              <w:textAlignment w:val="auto"/>
              <w:rPr>
                <w:color w:val="auto"/>
                <w:sz w:val="21"/>
                <w:szCs w:val="21"/>
                <w:highlight w:val="none"/>
              </w:rPr>
            </w:pPr>
            <w:r>
              <w:rPr>
                <w:rFonts w:eastAsia="宋体"/>
                <w:color w:val="auto"/>
                <w:sz w:val="21"/>
                <w:szCs w:val="21"/>
                <w:highlight w:val="none"/>
                <w:lang w:val="en-US"/>
              </w:rPr>
              <w:t>T/In</w:t>
            </w:r>
          </w:p>
        </w:tc>
        <w:tc>
          <w:tcPr>
            <w:tcW w:w="393" w:type="pct"/>
            <w:vMerge w:val="continue"/>
            <w:vAlign w:val="center"/>
          </w:tcPr>
          <w:p w14:paraId="64F68CE3">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1D8FE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505723C6">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277B75C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废包装袋</w:t>
            </w:r>
          </w:p>
        </w:tc>
        <w:tc>
          <w:tcPr>
            <w:tcW w:w="444" w:type="pct"/>
            <w:vAlign w:val="center"/>
          </w:tcPr>
          <w:p w14:paraId="2F1DC3FE">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HW49</w:t>
            </w:r>
          </w:p>
        </w:tc>
        <w:tc>
          <w:tcPr>
            <w:tcW w:w="517" w:type="pct"/>
            <w:vAlign w:val="center"/>
          </w:tcPr>
          <w:p w14:paraId="03565993">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900-041-49</w:t>
            </w:r>
          </w:p>
        </w:tc>
        <w:tc>
          <w:tcPr>
            <w:tcW w:w="455" w:type="pct"/>
            <w:vAlign w:val="center"/>
          </w:tcPr>
          <w:p w14:paraId="4FCAB471">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501" w:type="pct"/>
            <w:vMerge w:val="continue"/>
            <w:vAlign w:val="center"/>
          </w:tcPr>
          <w:p w14:paraId="04198631">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p>
        </w:tc>
        <w:tc>
          <w:tcPr>
            <w:tcW w:w="327" w:type="pct"/>
            <w:vAlign w:val="center"/>
          </w:tcPr>
          <w:p w14:paraId="6ED3B0B7">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color w:val="auto"/>
                <w:sz w:val="21"/>
                <w:szCs w:val="21"/>
                <w:highlight w:val="none"/>
              </w:rPr>
              <w:t>固态</w:t>
            </w:r>
          </w:p>
        </w:tc>
        <w:tc>
          <w:tcPr>
            <w:tcW w:w="462" w:type="pct"/>
            <w:vAlign w:val="center"/>
          </w:tcPr>
          <w:p w14:paraId="35C33ECD">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塑料、有机物</w:t>
            </w:r>
          </w:p>
        </w:tc>
        <w:tc>
          <w:tcPr>
            <w:tcW w:w="377" w:type="pct"/>
            <w:vAlign w:val="center"/>
          </w:tcPr>
          <w:p w14:paraId="60D02116">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有机物</w:t>
            </w:r>
          </w:p>
        </w:tc>
        <w:tc>
          <w:tcPr>
            <w:tcW w:w="389" w:type="pct"/>
            <w:vAlign w:val="center"/>
          </w:tcPr>
          <w:p w14:paraId="7C2FE7B1">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1次/月</w:t>
            </w:r>
          </w:p>
        </w:tc>
        <w:tc>
          <w:tcPr>
            <w:tcW w:w="297" w:type="pct"/>
            <w:vAlign w:val="center"/>
          </w:tcPr>
          <w:p w14:paraId="31479BD9">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T/In</w:t>
            </w:r>
          </w:p>
        </w:tc>
        <w:tc>
          <w:tcPr>
            <w:tcW w:w="393" w:type="pct"/>
            <w:vMerge w:val="continue"/>
            <w:vAlign w:val="center"/>
          </w:tcPr>
          <w:p w14:paraId="7B8933D4">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731A7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708BA8D3">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586" w:type="pct"/>
            <w:vAlign w:val="center"/>
          </w:tcPr>
          <w:p w14:paraId="6044D63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废活性炭（废气处理）</w:t>
            </w:r>
          </w:p>
        </w:tc>
        <w:tc>
          <w:tcPr>
            <w:tcW w:w="444" w:type="pct"/>
            <w:vAlign w:val="center"/>
          </w:tcPr>
          <w:p w14:paraId="35B93D48">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HW49</w:t>
            </w:r>
          </w:p>
        </w:tc>
        <w:tc>
          <w:tcPr>
            <w:tcW w:w="517" w:type="pct"/>
            <w:vAlign w:val="center"/>
          </w:tcPr>
          <w:p w14:paraId="2D03B59F">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900-0</w:t>
            </w:r>
            <w:r>
              <w:rPr>
                <w:rFonts w:hint="eastAsia" w:eastAsia="宋体"/>
                <w:color w:val="auto"/>
                <w:sz w:val="21"/>
                <w:szCs w:val="21"/>
                <w:highlight w:val="none"/>
                <w:lang w:val="en-US"/>
              </w:rPr>
              <w:t>39</w:t>
            </w:r>
            <w:r>
              <w:rPr>
                <w:rFonts w:eastAsia="宋体"/>
                <w:color w:val="auto"/>
                <w:sz w:val="21"/>
                <w:szCs w:val="21"/>
                <w:highlight w:val="none"/>
                <w:lang w:val="en-US"/>
              </w:rPr>
              <w:t>-49</w:t>
            </w:r>
          </w:p>
        </w:tc>
        <w:tc>
          <w:tcPr>
            <w:tcW w:w="455" w:type="pct"/>
            <w:vAlign w:val="center"/>
          </w:tcPr>
          <w:p w14:paraId="67BBB186">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501" w:type="pct"/>
            <w:vAlign w:val="center"/>
          </w:tcPr>
          <w:p w14:paraId="21A4C2EF">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废气处理</w:t>
            </w:r>
          </w:p>
        </w:tc>
        <w:tc>
          <w:tcPr>
            <w:tcW w:w="327" w:type="pct"/>
            <w:vAlign w:val="center"/>
          </w:tcPr>
          <w:p w14:paraId="76DFD53E">
            <w:pPr>
              <w:keepNext w:val="0"/>
              <w:keepLines w:val="0"/>
              <w:pageBreakBefore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固态</w:t>
            </w:r>
          </w:p>
        </w:tc>
        <w:tc>
          <w:tcPr>
            <w:tcW w:w="462" w:type="pct"/>
            <w:vAlign w:val="center"/>
          </w:tcPr>
          <w:p w14:paraId="5270F21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hint="eastAsia" w:eastAsia="宋体"/>
                <w:color w:val="auto"/>
                <w:sz w:val="21"/>
                <w:szCs w:val="21"/>
                <w:highlight w:val="none"/>
                <w:lang w:val="en-US"/>
              </w:rPr>
              <w:t>活性炭、有机物</w:t>
            </w:r>
          </w:p>
        </w:tc>
        <w:tc>
          <w:tcPr>
            <w:tcW w:w="377" w:type="pct"/>
            <w:vAlign w:val="center"/>
          </w:tcPr>
          <w:p w14:paraId="3C89812F">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有机物</w:t>
            </w:r>
          </w:p>
        </w:tc>
        <w:tc>
          <w:tcPr>
            <w:tcW w:w="389" w:type="pct"/>
            <w:vAlign w:val="center"/>
          </w:tcPr>
          <w:p w14:paraId="606E0F20">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次/</w:t>
            </w:r>
            <w:r>
              <w:rPr>
                <w:rFonts w:hint="eastAsia" w:ascii="Times New Roman" w:hAnsi="Times New Roman" w:cs="Times New Roman"/>
                <w:color w:val="auto"/>
                <w:sz w:val="21"/>
                <w:szCs w:val="21"/>
                <w:highlight w:val="none"/>
              </w:rPr>
              <w:t>2</w:t>
            </w:r>
            <w:r>
              <w:rPr>
                <w:rFonts w:ascii="Times New Roman" w:hAnsi="Times New Roman" w:cs="Times New Roman"/>
                <w:color w:val="auto"/>
                <w:sz w:val="21"/>
                <w:szCs w:val="21"/>
                <w:highlight w:val="none"/>
              </w:rPr>
              <w:t>月</w:t>
            </w:r>
          </w:p>
        </w:tc>
        <w:tc>
          <w:tcPr>
            <w:tcW w:w="297" w:type="pct"/>
            <w:vAlign w:val="center"/>
          </w:tcPr>
          <w:p w14:paraId="3DC36536">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rPr>
            </w:pPr>
            <w:r>
              <w:rPr>
                <w:rFonts w:eastAsia="宋体"/>
                <w:color w:val="auto"/>
                <w:sz w:val="21"/>
                <w:szCs w:val="21"/>
                <w:highlight w:val="none"/>
                <w:lang w:val="en-US"/>
              </w:rPr>
              <w:t>T/In</w:t>
            </w:r>
          </w:p>
        </w:tc>
        <w:tc>
          <w:tcPr>
            <w:tcW w:w="393" w:type="pct"/>
            <w:vMerge w:val="continue"/>
            <w:vAlign w:val="center"/>
          </w:tcPr>
          <w:p w14:paraId="3593F46E">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r w14:paraId="4355A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247" w:type="pct"/>
            <w:vAlign w:val="center"/>
          </w:tcPr>
          <w:p w14:paraId="3008A849">
            <w:pPr>
              <w:keepNext w:val="0"/>
              <w:keepLines w:val="0"/>
              <w:pageBreakBefore w:val="0"/>
              <w:widowControl w:val="0"/>
              <w:numPr>
                <w:ilvl w:val="0"/>
                <w:numId w:val="21"/>
              </w:numPr>
              <w:tabs>
                <w:tab w:val="left" w:pos="0"/>
                <w:tab w:val="left" w:pos="284"/>
              </w:tabs>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bookmarkStart w:id="245" w:name="_Toc60653506"/>
          </w:p>
        </w:tc>
        <w:tc>
          <w:tcPr>
            <w:tcW w:w="586" w:type="pct"/>
            <w:vAlign w:val="center"/>
          </w:tcPr>
          <w:p w14:paraId="7C7AA4F9">
            <w:pPr>
              <w:keepNext w:val="0"/>
              <w:keepLines w:val="0"/>
              <w:pageBreakBefore w:val="0"/>
              <w:kinsoku/>
              <w:wordWrap/>
              <w:overflowPunct/>
              <w:topLinePunct w:val="0"/>
              <w:autoSpaceDE/>
              <w:autoSpaceDN/>
              <w:bidi w:val="0"/>
              <w:ind w:left="0" w:right="0"/>
              <w:jc w:val="center"/>
              <w:textAlignment w:val="auto"/>
              <w:rPr>
                <w:rFonts w:hint="eastAsia" w:ascii="Times New Roman" w:hAnsi="Times New Roman" w:cs="Times New Roman"/>
                <w:color w:val="auto"/>
                <w:sz w:val="21"/>
                <w:szCs w:val="18"/>
                <w:highlight w:val="none"/>
              </w:rPr>
            </w:pPr>
            <w:r>
              <w:rPr>
                <w:rFonts w:hint="eastAsia" w:ascii="Times New Roman" w:hAnsi="Times New Roman" w:cs="Times New Roman"/>
                <w:color w:val="auto"/>
                <w:sz w:val="21"/>
                <w:szCs w:val="21"/>
                <w:highlight w:val="none"/>
                <w:lang w:val="en-US" w:eastAsia="zh-CN"/>
              </w:rPr>
              <w:t>实验室清洗废水</w:t>
            </w:r>
          </w:p>
        </w:tc>
        <w:tc>
          <w:tcPr>
            <w:tcW w:w="444" w:type="pct"/>
            <w:vAlign w:val="center"/>
          </w:tcPr>
          <w:p w14:paraId="2F8E09FB">
            <w:pPr>
              <w:pStyle w:val="98"/>
              <w:keepNext w:val="0"/>
              <w:keepLines w:val="0"/>
              <w:pageBreakBefore w:val="0"/>
              <w:kinsoku/>
              <w:wordWrap/>
              <w:overflowPunct/>
              <w:topLinePunct w:val="0"/>
              <w:autoSpaceDE/>
              <w:autoSpaceDN/>
              <w:bidi w:val="0"/>
              <w:adjustRightInd w:val="0"/>
              <w:snapToGrid w:val="0"/>
              <w:ind w:left="0" w:leftChars="0" w:right="0" w:rightChars="0"/>
              <w:textAlignment w:val="auto"/>
              <w:rPr>
                <w:rFonts w:eastAsia="宋体"/>
                <w:color w:val="auto"/>
                <w:sz w:val="21"/>
                <w:szCs w:val="21"/>
                <w:highlight w:val="none"/>
                <w:lang w:val="en-US"/>
              </w:rPr>
            </w:pPr>
            <w:r>
              <w:rPr>
                <w:rFonts w:eastAsia="宋体"/>
                <w:color w:val="auto"/>
                <w:sz w:val="21"/>
                <w:szCs w:val="21"/>
                <w:highlight w:val="none"/>
                <w:lang w:val="en-US"/>
              </w:rPr>
              <w:t>HW49</w:t>
            </w:r>
          </w:p>
        </w:tc>
        <w:tc>
          <w:tcPr>
            <w:tcW w:w="517" w:type="pct"/>
            <w:vAlign w:val="center"/>
          </w:tcPr>
          <w:p w14:paraId="12F17B7D">
            <w:pPr>
              <w:pStyle w:val="98"/>
              <w:keepNext w:val="0"/>
              <w:keepLines w:val="0"/>
              <w:pageBreakBefore w:val="0"/>
              <w:kinsoku/>
              <w:wordWrap/>
              <w:overflowPunct/>
              <w:topLinePunct w:val="0"/>
              <w:autoSpaceDE/>
              <w:autoSpaceDN/>
              <w:bidi w:val="0"/>
              <w:adjustRightInd w:val="0"/>
              <w:snapToGrid w:val="0"/>
              <w:ind w:left="0" w:leftChars="0" w:right="0" w:rightChars="0"/>
              <w:textAlignment w:val="auto"/>
              <w:rPr>
                <w:rFonts w:eastAsia="宋体"/>
                <w:color w:val="auto"/>
                <w:sz w:val="21"/>
                <w:szCs w:val="21"/>
                <w:highlight w:val="none"/>
                <w:lang w:val="en-US"/>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455" w:type="pct"/>
            <w:vAlign w:val="center"/>
          </w:tcPr>
          <w:p w14:paraId="2FF526E4">
            <w:pPr>
              <w:keepNext w:val="0"/>
              <w:keepLines w:val="0"/>
              <w:pageBreakBefore w:val="0"/>
              <w:kinsoku/>
              <w:wordWrap/>
              <w:overflowPunct/>
              <w:topLinePunct w:val="0"/>
              <w:autoSpaceDE/>
              <w:autoSpaceDN/>
              <w:bidi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501" w:type="pct"/>
            <w:vAlign w:val="center"/>
          </w:tcPr>
          <w:p w14:paraId="5924424B">
            <w:pPr>
              <w:pStyle w:val="98"/>
              <w:keepNext w:val="0"/>
              <w:keepLines w:val="0"/>
              <w:pageBreakBefore w:val="0"/>
              <w:kinsoku/>
              <w:wordWrap/>
              <w:overflowPunct/>
              <w:topLinePunct w:val="0"/>
              <w:autoSpaceDE/>
              <w:autoSpaceDN/>
              <w:bidi w:val="0"/>
              <w:adjustRightInd w:val="0"/>
              <w:snapToGrid w:val="0"/>
              <w:ind w:left="0" w:right="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实验</w:t>
            </w:r>
          </w:p>
        </w:tc>
        <w:tc>
          <w:tcPr>
            <w:tcW w:w="327" w:type="pct"/>
            <w:vAlign w:val="center"/>
          </w:tcPr>
          <w:p w14:paraId="5202AB8C">
            <w:pPr>
              <w:keepNext w:val="0"/>
              <w:keepLines w:val="0"/>
              <w:pageBreakBefore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rFonts w:hint="eastAsia" w:eastAsia="宋体"/>
                <w:color w:val="auto"/>
                <w:sz w:val="21"/>
                <w:szCs w:val="21"/>
                <w:highlight w:val="none"/>
                <w:lang w:val="en-US"/>
              </w:rPr>
              <w:t>液</w:t>
            </w:r>
            <w:r>
              <w:rPr>
                <w:rFonts w:eastAsia="宋体"/>
                <w:color w:val="auto"/>
                <w:sz w:val="21"/>
                <w:szCs w:val="21"/>
                <w:highlight w:val="none"/>
                <w:lang w:val="en-US"/>
              </w:rPr>
              <w:t>态</w:t>
            </w:r>
          </w:p>
        </w:tc>
        <w:tc>
          <w:tcPr>
            <w:tcW w:w="462" w:type="pct"/>
            <w:vAlign w:val="center"/>
          </w:tcPr>
          <w:p w14:paraId="79C81414">
            <w:pPr>
              <w:pStyle w:val="98"/>
              <w:keepNext w:val="0"/>
              <w:keepLines w:val="0"/>
              <w:pageBreakBefore w:val="0"/>
              <w:kinsoku/>
              <w:wordWrap/>
              <w:overflowPunct/>
              <w:topLinePunct w:val="0"/>
              <w:autoSpaceDE/>
              <w:autoSpaceDN/>
              <w:bidi w:val="0"/>
              <w:adjustRightInd w:val="0"/>
              <w:snapToGrid w:val="0"/>
              <w:ind w:left="0" w:right="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杂质</w:t>
            </w:r>
          </w:p>
        </w:tc>
        <w:tc>
          <w:tcPr>
            <w:tcW w:w="377" w:type="pct"/>
            <w:vAlign w:val="center"/>
          </w:tcPr>
          <w:p w14:paraId="30F098F7">
            <w:pPr>
              <w:keepNext w:val="0"/>
              <w:keepLines w:val="0"/>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杂质</w:t>
            </w:r>
          </w:p>
        </w:tc>
        <w:tc>
          <w:tcPr>
            <w:tcW w:w="389" w:type="pct"/>
            <w:vAlign w:val="center"/>
          </w:tcPr>
          <w:p w14:paraId="61B7F987">
            <w:pPr>
              <w:keepNext w:val="0"/>
              <w:keepLines w:val="0"/>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天</w:t>
            </w:r>
          </w:p>
        </w:tc>
        <w:tc>
          <w:tcPr>
            <w:tcW w:w="297" w:type="pct"/>
            <w:vAlign w:val="center"/>
          </w:tcPr>
          <w:p w14:paraId="2B530E97">
            <w:pPr>
              <w:pStyle w:val="98"/>
              <w:keepNext w:val="0"/>
              <w:keepLines w:val="0"/>
              <w:pageBreakBefore w:val="0"/>
              <w:kinsoku/>
              <w:wordWrap/>
              <w:overflowPunct/>
              <w:topLinePunct w:val="0"/>
              <w:autoSpaceDE/>
              <w:autoSpaceDN/>
              <w:bidi w:val="0"/>
              <w:adjustRightInd w:val="0"/>
              <w:snapToGrid w:val="0"/>
              <w:ind w:left="0" w:right="0"/>
              <w:textAlignment w:val="auto"/>
              <w:rPr>
                <w:rFonts w:eastAsia="宋体"/>
                <w:color w:val="auto"/>
                <w:sz w:val="21"/>
                <w:szCs w:val="21"/>
                <w:highlight w:val="none"/>
                <w:lang w:val="en-US"/>
              </w:rPr>
            </w:pPr>
            <w:r>
              <w:rPr>
                <w:rFonts w:eastAsia="宋体"/>
                <w:color w:val="auto"/>
                <w:sz w:val="21"/>
                <w:szCs w:val="21"/>
                <w:highlight w:val="none"/>
                <w:lang w:val="en-US"/>
              </w:rPr>
              <w:t>T/</w:t>
            </w:r>
            <w:r>
              <w:rPr>
                <w:rFonts w:hint="eastAsia" w:eastAsia="宋体"/>
                <w:color w:val="auto"/>
                <w:sz w:val="21"/>
                <w:szCs w:val="21"/>
                <w:highlight w:val="none"/>
                <w:lang w:val="en-US"/>
              </w:rPr>
              <w:t>C/</w:t>
            </w:r>
            <w:r>
              <w:rPr>
                <w:rFonts w:eastAsia="宋体"/>
                <w:color w:val="auto"/>
                <w:sz w:val="21"/>
                <w:szCs w:val="21"/>
                <w:highlight w:val="none"/>
                <w:lang w:val="en-US"/>
              </w:rPr>
              <w:t>I</w:t>
            </w:r>
            <w:r>
              <w:rPr>
                <w:rFonts w:hint="eastAsia" w:eastAsia="宋体"/>
                <w:color w:val="auto"/>
                <w:sz w:val="21"/>
                <w:szCs w:val="21"/>
                <w:highlight w:val="none"/>
                <w:lang w:val="en-US"/>
              </w:rPr>
              <w:t>/R</w:t>
            </w:r>
          </w:p>
        </w:tc>
        <w:tc>
          <w:tcPr>
            <w:tcW w:w="393" w:type="pct"/>
            <w:vMerge w:val="continue"/>
            <w:vAlign w:val="center"/>
          </w:tcPr>
          <w:p w14:paraId="0666E91D">
            <w:pPr>
              <w:keepNext w:val="0"/>
              <w:keepLines w:val="0"/>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r>
    </w:tbl>
    <w:p w14:paraId="3D3FBCBA">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非正常工况污染源分析</w:t>
      </w:r>
      <w:bookmarkEnd w:id="245"/>
    </w:p>
    <w:p w14:paraId="0BD88A5D">
      <w:pPr>
        <w:spacing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根据对本项目生产和排污环节的分析，考虑本项目非正常排放情况主要是：设备开、停运行检修、设备管道非正常泄漏及突发性故障，其中，企业日常生产和设备检修及区域性计划停电时的停车，企业会事先安排好设备正常的停车。设备管道非正常泄漏的最严重情况会在风险评价中分析，本节重点分析突发性故障造成的废气排放，</w:t>
      </w:r>
      <w:r>
        <w:rPr>
          <w:rFonts w:hint="eastAsia" w:ascii="Times New Roman" w:hAnsi="Times New Roman"/>
          <w:color w:val="auto"/>
          <w:highlight w:val="none"/>
        </w:rPr>
        <w:t>即</w:t>
      </w:r>
      <w:r>
        <w:rPr>
          <w:rFonts w:hint="eastAsia" w:ascii="Times New Roman" w:hAnsi="Times New Roman"/>
          <w:color w:val="auto"/>
          <w:highlight w:val="none"/>
          <w:lang w:val="en-US" w:eastAsia="zh-CN"/>
        </w:rPr>
        <w:t>3级</w:t>
      </w:r>
      <w:r>
        <w:rPr>
          <w:rFonts w:hint="eastAsia" w:ascii="Times New Roman" w:hAnsi="Times New Roman"/>
          <w:color w:val="auto"/>
          <w:highlight w:val="none"/>
        </w:rPr>
        <w:t>碱喷淋+两级活性炭吸附废气处理系统</w:t>
      </w:r>
      <w:r>
        <w:rPr>
          <w:rFonts w:hint="eastAsia" w:ascii="Times New Roman" w:hAnsi="Times New Roman"/>
          <w:color w:val="auto"/>
          <w:highlight w:val="none"/>
          <w:lang w:val="en-US" w:eastAsia="zh-CN"/>
        </w:rPr>
        <w:t>和实验室两级活性炭吸附装置</w:t>
      </w:r>
      <w:r>
        <w:rPr>
          <w:rFonts w:hint="eastAsia" w:ascii="Times New Roman" w:hAnsi="Times New Roman"/>
          <w:color w:val="auto"/>
          <w:highlight w:val="none"/>
        </w:rPr>
        <w:t>故障，</w:t>
      </w:r>
      <w:r>
        <w:rPr>
          <w:rFonts w:hint="eastAsia" w:ascii="Times New Roman" w:hAnsi="Times New Roman"/>
          <w:color w:val="auto"/>
          <w:highlight w:val="none"/>
        </w:rPr>
        <w:t>废气直接排放。大气污染物非正常排放见下表。</w:t>
      </w:r>
    </w:p>
    <w:p w14:paraId="302708CB">
      <w:pPr>
        <w:pStyle w:val="15"/>
        <w:spacing w:line="360" w:lineRule="auto"/>
        <w:ind w:left="-105" w:right="-105" w:firstLine="482"/>
        <w:rPr>
          <w:rFonts w:eastAsia="宋体" w:cs="Times New Roman"/>
          <w:color w:val="auto"/>
          <w:sz w:val="24"/>
          <w:szCs w:val="24"/>
          <w:highlight w:val="none"/>
        </w:rPr>
      </w:pPr>
      <w:bookmarkStart w:id="246" w:name="_Ref38975774"/>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4.6</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14</w:t>
      </w:r>
      <w:r>
        <w:rPr>
          <w:rFonts w:eastAsia="宋体" w:cs="Times New Roman"/>
          <w:color w:val="auto"/>
          <w:sz w:val="24"/>
          <w:szCs w:val="24"/>
          <w:highlight w:val="none"/>
        </w:rPr>
        <w:fldChar w:fldCharType="end"/>
      </w:r>
      <w:bookmarkEnd w:id="246"/>
      <w:r>
        <w:rPr>
          <w:rFonts w:hint="eastAsia" w:eastAsia="宋体" w:cs="Times New Roman"/>
          <w:color w:val="auto"/>
          <w:sz w:val="24"/>
          <w:szCs w:val="24"/>
          <w:highlight w:val="none"/>
        </w:rPr>
        <w:t>本项目</w:t>
      </w:r>
      <w:r>
        <w:rPr>
          <w:rFonts w:eastAsia="宋体"/>
          <w:color w:val="auto"/>
          <w:sz w:val="24"/>
          <w:szCs w:val="24"/>
          <w:highlight w:val="none"/>
        </w:rPr>
        <w:t>污染源非正常排放量核算表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2"/>
        <w:gridCol w:w="1938"/>
        <w:gridCol w:w="915"/>
        <w:gridCol w:w="1155"/>
        <w:gridCol w:w="2083"/>
        <w:gridCol w:w="1487"/>
      </w:tblGrid>
      <w:tr w14:paraId="05872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42" w:type="dxa"/>
            <w:vAlign w:val="center"/>
          </w:tcPr>
          <w:p w14:paraId="44668EB6">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非正常排放源</w:t>
            </w:r>
          </w:p>
        </w:tc>
        <w:tc>
          <w:tcPr>
            <w:tcW w:w="1938" w:type="dxa"/>
            <w:vAlign w:val="center"/>
          </w:tcPr>
          <w:p w14:paraId="14889E62">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非正常排放原因</w:t>
            </w:r>
          </w:p>
        </w:tc>
        <w:tc>
          <w:tcPr>
            <w:tcW w:w="915" w:type="dxa"/>
            <w:vAlign w:val="center"/>
          </w:tcPr>
          <w:p w14:paraId="32899EC3">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年发生频次/次</w:t>
            </w:r>
          </w:p>
        </w:tc>
        <w:tc>
          <w:tcPr>
            <w:tcW w:w="1155" w:type="dxa"/>
            <w:vAlign w:val="center"/>
          </w:tcPr>
          <w:p w14:paraId="36297978">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单次持续时间/h</w:t>
            </w:r>
          </w:p>
        </w:tc>
        <w:tc>
          <w:tcPr>
            <w:tcW w:w="2083" w:type="dxa"/>
            <w:vAlign w:val="center"/>
          </w:tcPr>
          <w:p w14:paraId="26CD36EA">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1487" w:type="dxa"/>
            <w:vAlign w:val="center"/>
          </w:tcPr>
          <w:p w14:paraId="4B5E52B8">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非正常排放量（kg/h)</w:t>
            </w:r>
          </w:p>
        </w:tc>
      </w:tr>
      <w:tr w14:paraId="15E159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2" w:type="dxa"/>
            <w:vAlign w:val="center"/>
          </w:tcPr>
          <w:p w14:paraId="531ED7DF">
            <w:pPr>
              <w:ind w:left="-105" w:right="-105"/>
              <w:jc w:val="center"/>
              <w:rPr>
                <w:rFonts w:ascii="Times New Roman" w:hAnsi="Times New Roman" w:eastAsia="等线" w:cs="Times New Roman"/>
                <w:color w:val="auto"/>
                <w:sz w:val="21"/>
                <w:szCs w:val="21"/>
                <w:highlight w:val="none"/>
              </w:rPr>
            </w:pPr>
            <w:r>
              <w:rPr>
                <w:rFonts w:hint="eastAsia" w:ascii="Times New Roman" w:hAnsi="Times New Roman" w:eastAsia="等线" w:cs="Times New Roman"/>
                <w:color w:val="auto"/>
                <w:sz w:val="21"/>
                <w:szCs w:val="21"/>
                <w:highlight w:val="none"/>
              </w:rPr>
              <w:t>DA005</w:t>
            </w:r>
          </w:p>
        </w:tc>
        <w:tc>
          <w:tcPr>
            <w:tcW w:w="1938" w:type="dxa"/>
            <w:vAlign w:val="center"/>
          </w:tcPr>
          <w:p w14:paraId="102861CA">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活性炭未及时更换</w:t>
            </w:r>
            <w:r>
              <w:rPr>
                <w:rFonts w:hint="eastAsia"/>
                <w:color w:val="auto"/>
                <w:sz w:val="21"/>
                <w:szCs w:val="21"/>
                <w:highlight w:val="none"/>
                <w:lang w:val="en-US" w:eastAsia="zh-CN"/>
              </w:rPr>
              <w:t>或加药系统故障</w:t>
            </w:r>
          </w:p>
        </w:tc>
        <w:tc>
          <w:tcPr>
            <w:tcW w:w="915" w:type="dxa"/>
            <w:vAlign w:val="center"/>
          </w:tcPr>
          <w:p w14:paraId="610D8898">
            <w:pPr>
              <w:ind w:left="-105" w:right="-105"/>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1</w:t>
            </w:r>
          </w:p>
        </w:tc>
        <w:tc>
          <w:tcPr>
            <w:tcW w:w="1155" w:type="dxa"/>
            <w:vAlign w:val="center"/>
          </w:tcPr>
          <w:p w14:paraId="245962A8">
            <w:pPr>
              <w:ind w:left="-105" w:right="-105"/>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1</w:t>
            </w:r>
          </w:p>
        </w:tc>
        <w:tc>
          <w:tcPr>
            <w:tcW w:w="2083" w:type="dxa"/>
            <w:vAlign w:val="center"/>
          </w:tcPr>
          <w:p w14:paraId="3144C25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87" w:type="dxa"/>
            <w:vAlign w:val="center"/>
          </w:tcPr>
          <w:p w14:paraId="1DEF3D50">
            <w:pPr>
              <w:ind w:left="-105" w:right="-105"/>
              <w:jc w:val="center"/>
              <w:rPr>
                <w:rFonts w:hint="default" w:ascii="Times New Roman" w:hAnsi="Times New Roman" w:eastAsia="等线" w:cs="Times New Roman"/>
                <w:color w:val="auto"/>
                <w:sz w:val="21"/>
                <w:szCs w:val="21"/>
                <w:highlight w:val="none"/>
                <w:lang w:val="en-US" w:eastAsia="zh-CN"/>
              </w:rPr>
            </w:pPr>
            <w:r>
              <w:rPr>
                <w:rFonts w:hint="eastAsia" w:ascii="Times New Roman" w:hAnsi="Times New Roman" w:eastAsia="等线" w:cs="Times New Roman"/>
                <w:color w:val="auto"/>
                <w:sz w:val="21"/>
                <w:szCs w:val="21"/>
                <w:highlight w:val="none"/>
                <w:lang w:val="en-US" w:eastAsia="zh-CN"/>
              </w:rPr>
              <w:t>0.5936</w:t>
            </w:r>
          </w:p>
        </w:tc>
      </w:tr>
      <w:tr w14:paraId="44211F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2" w:type="dxa"/>
            <w:vMerge w:val="restart"/>
            <w:vAlign w:val="center"/>
          </w:tcPr>
          <w:p w14:paraId="14E3EBDB">
            <w:pPr>
              <w:ind w:left="-105" w:right="-105"/>
              <w:jc w:val="center"/>
              <w:rPr>
                <w:rFonts w:ascii="Times New Roman" w:hAnsi="Times New Roman" w:eastAsia="等线" w:cs="Times New Roman"/>
                <w:color w:val="auto"/>
                <w:sz w:val="21"/>
                <w:szCs w:val="21"/>
                <w:highlight w:val="none"/>
              </w:rPr>
            </w:pPr>
            <w:r>
              <w:rPr>
                <w:rFonts w:hint="eastAsia" w:ascii="Times New Roman" w:hAnsi="Times New Roman" w:eastAsia="等线" w:cs="Times New Roman"/>
                <w:color w:val="auto"/>
                <w:sz w:val="21"/>
                <w:szCs w:val="21"/>
                <w:highlight w:val="none"/>
              </w:rPr>
              <w:t>DA006</w:t>
            </w:r>
          </w:p>
        </w:tc>
        <w:tc>
          <w:tcPr>
            <w:tcW w:w="1938" w:type="dxa"/>
            <w:vMerge w:val="restart"/>
            <w:vAlign w:val="center"/>
          </w:tcPr>
          <w:p w14:paraId="65ACCC1D">
            <w:pPr>
              <w:ind w:left="-105" w:right="-105"/>
              <w:jc w:val="center"/>
              <w:rPr>
                <w:rFonts w:ascii="Times New Roman" w:hAnsi="Times New Roman" w:cs="Times New Roman"/>
                <w:color w:val="auto"/>
                <w:sz w:val="21"/>
                <w:szCs w:val="21"/>
                <w:highlight w:val="none"/>
              </w:rPr>
            </w:pPr>
            <w:r>
              <w:rPr>
                <w:rFonts w:hint="eastAsia"/>
                <w:color w:val="auto"/>
                <w:sz w:val="21"/>
                <w:szCs w:val="21"/>
                <w:highlight w:val="none"/>
              </w:rPr>
              <w:t>活性炭未及时更换</w:t>
            </w:r>
          </w:p>
        </w:tc>
        <w:tc>
          <w:tcPr>
            <w:tcW w:w="915" w:type="dxa"/>
            <w:vMerge w:val="restart"/>
            <w:vAlign w:val="center"/>
          </w:tcPr>
          <w:p w14:paraId="6F6A88CB">
            <w:pPr>
              <w:ind w:left="-105" w:right="-105"/>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1</w:t>
            </w:r>
          </w:p>
        </w:tc>
        <w:tc>
          <w:tcPr>
            <w:tcW w:w="1155" w:type="dxa"/>
            <w:vMerge w:val="restart"/>
            <w:vAlign w:val="center"/>
          </w:tcPr>
          <w:p w14:paraId="15377648">
            <w:pPr>
              <w:ind w:left="-105" w:right="-105"/>
              <w:jc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rPr>
              <w:t>1</w:t>
            </w:r>
          </w:p>
        </w:tc>
        <w:tc>
          <w:tcPr>
            <w:tcW w:w="2083" w:type="dxa"/>
            <w:vAlign w:val="center"/>
          </w:tcPr>
          <w:p w14:paraId="743F33E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87" w:type="dxa"/>
            <w:vAlign w:val="center"/>
          </w:tcPr>
          <w:p w14:paraId="37F6D921">
            <w:pPr>
              <w:ind w:left="-105" w:right="-105"/>
              <w:jc w:val="center"/>
              <w:rPr>
                <w:rFonts w:hint="default" w:ascii="Times New Roman" w:hAnsi="Times New Roman" w:eastAsia="等线" w:cs="Times New Roman"/>
                <w:color w:val="auto"/>
                <w:sz w:val="21"/>
                <w:szCs w:val="21"/>
                <w:highlight w:val="none"/>
                <w:lang w:val="en-US" w:eastAsia="zh-CN"/>
              </w:rPr>
            </w:pPr>
            <w:r>
              <w:rPr>
                <w:rFonts w:hint="eastAsia" w:ascii="Times New Roman" w:hAnsi="Times New Roman" w:eastAsia="等线" w:cs="Times New Roman"/>
                <w:color w:val="auto"/>
                <w:sz w:val="21"/>
                <w:szCs w:val="21"/>
                <w:highlight w:val="none"/>
                <w:lang w:val="en-US" w:eastAsia="zh-CN"/>
              </w:rPr>
              <w:t>0.0123</w:t>
            </w:r>
          </w:p>
        </w:tc>
      </w:tr>
      <w:tr w14:paraId="67B038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2" w:type="dxa"/>
            <w:vMerge w:val="continue"/>
            <w:vAlign w:val="center"/>
          </w:tcPr>
          <w:p w14:paraId="53B9DCF7">
            <w:pPr>
              <w:ind w:left="-105" w:right="-105"/>
              <w:jc w:val="center"/>
              <w:rPr>
                <w:rFonts w:hint="eastAsia" w:ascii="Times New Roman" w:hAnsi="Times New Roman" w:eastAsia="等线" w:cs="Times New Roman"/>
                <w:color w:val="auto"/>
                <w:sz w:val="21"/>
                <w:szCs w:val="21"/>
                <w:highlight w:val="none"/>
              </w:rPr>
            </w:pPr>
            <w:bookmarkStart w:id="247" w:name="_Toc60653507"/>
          </w:p>
        </w:tc>
        <w:tc>
          <w:tcPr>
            <w:tcW w:w="1938" w:type="dxa"/>
            <w:vMerge w:val="continue"/>
            <w:vAlign w:val="center"/>
          </w:tcPr>
          <w:p w14:paraId="091357BF">
            <w:pPr>
              <w:ind w:left="-105" w:right="-105"/>
              <w:jc w:val="center"/>
              <w:rPr>
                <w:rFonts w:hint="eastAsia"/>
                <w:color w:val="auto"/>
                <w:sz w:val="21"/>
                <w:szCs w:val="21"/>
                <w:highlight w:val="none"/>
              </w:rPr>
            </w:pPr>
          </w:p>
        </w:tc>
        <w:tc>
          <w:tcPr>
            <w:tcW w:w="915" w:type="dxa"/>
            <w:vMerge w:val="continue"/>
            <w:vAlign w:val="center"/>
          </w:tcPr>
          <w:p w14:paraId="527DB4FD">
            <w:pPr>
              <w:ind w:left="-105" w:right="-105"/>
              <w:jc w:val="center"/>
              <w:rPr>
                <w:rFonts w:ascii="Times New Roman" w:hAnsi="Times New Roman" w:eastAsia="等线" w:cs="Times New Roman"/>
                <w:color w:val="auto"/>
                <w:sz w:val="21"/>
                <w:szCs w:val="21"/>
                <w:highlight w:val="none"/>
              </w:rPr>
            </w:pPr>
          </w:p>
        </w:tc>
        <w:tc>
          <w:tcPr>
            <w:tcW w:w="1155" w:type="dxa"/>
            <w:vMerge w:val="continue"/>
            <w:vAlign w:val="center"/>
          </w:tcPr>
          <w:p w14:paraId="36E37EF4">
            <w:pPr>
              <w:ind w:left="-105" w:right="-105"/>
              <w:jc w:val="center"/>
              <w:rPr>
                <w:rFonts w:ascii="Times New Roman" w:hAnsi="Times New Roman" w:eastAsia="等线" w:cs="Times New Roman"/>
                <w:color w:val="auto"/>
                <w:sz w:val="21"/>
                <w:szCs w:val="21"/>
                <w:highlight w:val="none"/>
              </w:rPr>
            </w:pPr>
          </w:p>
        </w:tc>
        <w:tc>
          <w:tcPr>
            <w:tcW w:w="2083" w:type="dxa"/>
            <w:vAlign w:val="center"/>
          </w:tcPr>
          <w:p w14:paraId="63E5BC2D">
            <w:pPr>
              <w:ind w:left="-105" w:right="-10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1487" w:type="dxa"/>
            <w:vAlign w:val="center"/>
          </w:tcPr>
          <w:p w14:paraId="2580E19B">
            <w:pPr>
              <w:ind w:left="-105" w:right="-105"/>
              <w:jc w:val="center"/>
              <w:rPr>
                <w:rFonts w:hint="default" w:ascii="Times New Roman" w:hAnsi="Times New Roman" w:eastAsia="等线" w:cs="Times New Roman"/>
                <w:color w:val="auto"/>
                <w:sz w:val="21"/>
                <w:szCs w:val="21"/>
                <w:highlight w:val="none"/>
                <w:lang w:val="en-US" w:eastAsia="zh-CN"/>
              </w:rPr>
            </w:pPr>
            <w:r>
              <w:rPr>
                <w:rFonts w:hint="eastAsia" w:ascii="Times New Roman" w:hAnsi="Times New Roman" w:eastAsia="等线" w:cs="Times New Roman"/>
                <w:color w:val="auto"/>
                <w:sz w:val="21"/>
                <w:szCs w:val="21"/>
                <w:highlight w:val="none"/>
                <w:lang w:val="en-US" w:eastAsia="zh-CN"/>
              </w:rPr>
              <w:t>0.0059</w:t>
            </w:r>
          </w:p>
        </w:tc>
      </w:tr>
    </w:tbl>
    <w:p w14:paraId="4A33B26D">
      <w:pPr>
        <w:pStyle w:val="4"/>
        <w:numPr>
          <w:ilvl w:val="0"/>
          <w:numId w:val="0"/>
        </w:numPr>
        <w:tabs>
          <w:tab w:val="left" w:pos="426"/>
        </w:tabs>
        <w:spacing w:before="120" w:beforeLines="50" w:after="120" w:afterLines="50" w:line="360" w:lineRule="auto"/>
        <w:ind w:right="-105"/>
        <w:rPr>
          <w:rFonts w:ascii="Times New Roman" w:eastAsia="宋体"/>
          <w:color w:val="auto"/>
          <w:sz w:val="28"/>
          <w:szCs w:val="28"/>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450A2AB1">
      <w:pPr>
        <w:pStyle w:val="4"/>
        <w:numPr>
          <w:ilvl w:val="1"/>
          <w:numId w:val="6"/>
        </w:numPr>
        <w:tabs>
          <w:tab w:val="left" w:pos="426"/>
        </w:tabs>
        <w:spacing w:before="120" w:beforeLines="50" w:line="360" w:lineRule="auto"/>
        <w:ind w:left="-105" w:right="-105" w:firstLine="562"/>
        <w:rPr>
          <w:rFonts w:ascii="Times New Roman" w:eastAsia="宋体"/>
          <w:color w:val="auto"/>
          <w:sz w:val="28"/>
          <w:szCs w:val="28"/>
          <w:highlight w:val="none"/>
        </w:rPr>
      </w:pPr>
      <w:bookmarkStart w:id="248" w:name="_Toc7895"/>
      <w:r>
        <w:rPr>
          <w:rFonts w:ascii="Times New Roman" w:eastAsia="宋体"/>
          <w:color w:val="auto"/>
          <w:sz w:val="28"/>
          <w:szCs w:val="28"/>
          <w:highlight w:val="none"/>
        </w:rPr>
        <w:t>污染物产生及排放情况汇总</w:t>
      </w:r>
      <w:bookmarkEnd w:id="247"/>
      <w:bookmarkEnd w:id="248"/>
    </w:p>
    <w:p w14:paraId="0E881E2E">
      <w:pPr>
        <w:pStyle w:val="15"/>
        <w:adjustRightInd w:val="0"/>
        <w:snapToGrid w:val="0"/>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4.7</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w:t>
      </w:r>
      <w:r>
        <w:rPr>
          <w:rFonts w:eastAsia="宋体" w:cs="Times New Roman"/>
          <w:color w:val="auto"/>
          <w:sz w:val="24"/>
          <w:szCs w:val="24"/>
          <w:highlight w:val="none"/>
        </w:rPr>
        <w:fldChar w:fldCharType="end"/>
      </w:r>
      <w:r>
        <w:rPr>
          <w:rFonts w:hint="eastAsia" w:eastAsia="宋体" w:cs="Times New Roman"/>
          <w:color w:val="auto"/>
          <w:sz w:val="24"/>
          <w:szCs w:val="24"/>
          <w:highlight w:val="none"/>
        </w:rPr>
        <w:t>本项目污染物产生及排放情况汇总</w:t>
      </w:r>
    </w:p>
    <w:tbl>
      <w:tblPr>
        <w:tblStyle w:val="45"/>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601"/>
        <w:gridCol w:w="1127"/>
        <w:gridCol w:w="1965"/>
        <w:gridCol w:w="1361"/>
        <w:gridCol w:w="1256"/>
        <w:gridCol w:w="1470"/>
        <w:gridCol w:w="1253"/>
        <w:gridCol w:w="1399"/>
        <w:gridCol w:w="2799"/>
      </w:tblGrid>
      <w:tr w14:paraId="3115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045" w:type="dxa"/>
            <w:tcBorders>
              <w:top w:val="single" w:color="auto" w:sz="4" w:space="0"/>
              <w:left w:val="single" w:color="auto" w:sz="4" w:space="0"/>
              <w:bottom w:val="single" w:color="auto" w:sz="4" w:space="0"/>
              <w:right w:val="single" w:color="auto" w:sz="4" w:space="0"/>
              <w:tl2br w:val="single" w:color="auto" w:sz="4" w:space="0"/>
            </w:tcBorders>
          </w:tcPr>
          <w:p w14:paraId="35A5C282">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mc:AlternateContent>
                <mc:Choice Requires="wps">
                  <w:drawing>
                    <wp:anchor distT="0" distB="0" distL="114300" distR="114300" simplePos="0" relativeHeight="251668480" behindDoc="0" locked="0" layoutInCell="1" allowOverlap="1">
                      <wp:simplePos x="0" y="0"/>
                      <wp:positionH relativeFrom="margin">
                        <wp:posOffset>82550</wp:posOffset>
                      </wp:positionH>
                      <wp:positionV relativeFrom="paragraph">
                        <wp:posOffset>42545</wp:posOffset>
                      </wp:positionV>
                      <wp:extent cx="575945" cy="492760"/>
                      <wp:effectExtent l="0" t="0" r="0" b="0"/>
                      <wp:wrapNone/>
                      <wp:docPr id="277" name="矩形 1"/>
                      <wp:cNvGraphicFramePr/>
                      <a:graphic xmlns:a="http://schemas.openxmlformats.org/drawingml/2006/main">
                        <a:graphicData uri="http://schemas.microsoft.com/office/word/2010/wordprocessingShape">
                          <wps:wsp>
                            <wps:cNvSpPr>
                              <a:spLocks noChangeArrowheads="1"/>
                            </wps:cNvSpPr>
                            <wps:spPr bwMode="auto">
                              <a:xfrm>
                                <a:off x="0" y="0"/>
                                <a:ext cx="575945" cy="492760"/>
                              </a:xfrm>
                              <a:prstGeom prst="rect">
                                <a:avLst/>
                              </a:prstGeom>
                              <a:noFill/>
                              <a:ln>
                                <a:noFill/>
                              </a:ln>
                            </wps:spPr>
                            <wps:txbx>
                              <w:txbxContent>
                                <w:p w14:paraId="3297E218">
                                  <w:pPr>
                                    <w:spacing w:line="240" w:lineRule="atLeast"/>
                                    <w:ind w:firstLine="422"/>
                                    <w:rPr>
                                      <w:b/>
                                      <w:bCs/>
                                      <w:sz w:val="21"/>
                                      <w:szCs w:val="21"/>
                                    </w:rPr>
                                  </w:pPr>
                                  <w:r>
                                    <w:rPr>
                                      <w:rFonts w:hint="eastAsia"/>
                                      <w:b/>
                                      <w:bCs/>
                                      <w:sz w:val="21"/>
                                      <w:szCs w:val="21"/>
                                    </w:rPr>
                                    <w:t>内容</w:t>
                                  </w:r>
                                </w:p>
                                <w:p w14:paraId="4BA3A192">
                                  <w:pPr>
                                    <w:spacing w:line="240" w:lineRule="atLeast"/>
                                    <w:rPr>
                                      <w:b/>
                                      <w:bCs/>
                                      <w:sz w:val="21"/>
                                      <w:szCs w:val="21"/>
                                    </w:rPr>
                                  </w:pPr>
                                  <w:r>
                                    <w:rPr>
                                      <w:rFonts w:hint="eastAsia"/>
                                      <w:b/>
                                      <w:bCs/>
                                      <w:sz w:val="21"/>
                                      <w:szCs w:val="21"/>
                                    </w:rPr>
                                    <w:t>类型</w:t>
                                  </w:r>
                                </w:p>
                              </w:txbxContent>
                            </wps:txbx>
                            <wps:bodyPr rot="0" vert="horz" wrap="square" lIns="0" tIns="0" rIns="0" bIns="0" anchor="t" anchorCtr="0" upright="1">
                              <a:noAutofit/>
                            </wps:bodyPr>
                          </wps:wsp>
                        </a:graphicData>
                      </a:graphic>
                    </wp:anchor>
                  </w:drawing>
                </mc:Choice>
                <mc:Fallback>
                  <w:pict>
                    <v:rect id="矩形 1" o:spid="_x0000_s1026" o:spt="1" style="position:absolute;left:0pt;margin-left:6.5pt;margin-top:3.35pt;height:38.8pt;width:45.35pt;mso-position-horizontal-relative:margin;z-index:251668480;mso-width-relative:page;mso-height-relative:page;" filled="f" stroked="f" coordsize="21600,21600" o:gfxdata="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o8Jp9cAAAAHAQAADwAAAAAAAAABACAAAAAiAAAAZHJz&#10;L2Rvd25yZXYueG1sUEsBAhQAFAAAAAgAh07iQIxYjcIFAgAA+QMAAA4AAAAAAAAAAQAgAAAAJgEA&#10;AGRycy9lMm9Eb2MueG1sUEsFBgAAAAAGAAYAWQEAAJ0FAAAAAA==&#10;">
                      <v:fill on="f" focussize="0,0"/>
                      <v:stroke on="f"/>
                      <v:imagedata o:title=""/>
                      <o:lock v:ext="edit" aspectratio="f"/>
                      <v:textbox inset="0mm,0mm,0mm,0mm">
                        <w:txbxContent>
                          <w:p w14:paraId="3297E218">
                            <w:pPr>
                              <w:spacing w:line="240" w:lineRule="atLeast"/>
                              <w:ind w:firstLine="422"/>
                              <w:rPr>
                                <w:b/>
                                <w:bCs/>
                                <w:sz w:val="21"/>
                                <w:szCs w:val="21"/>
                              </w:rPr>
                            </w:pPr>
                            <w:r>
                              <w:rPr>
                                <w:rFonts w:hint="eastAsia"/>
                                <w:b/>
                                <w:bCs/>
                                <w:sz w:val="21"/>
                                <w:szCs w:val="21"/>
                              </w:rPr>
                              <w:t>内容</w:t>
                            </w:r>
                          </w:p>
                          <w:p w14:paraId="4BA3A192">
                            <w:pPr>
                              <w:spacing w:line="240" w:lineRule="atLeast"/>
                              <w:rPr>
                                <w:b/>
                                <w:bCs/>
                                <w:sz w:val="21"/>
                                <w:szCs w:val="21"/>
                              </w:rPr>
                            </w:pPr>
                            <w:r>
                              <w:rPr>
                                <w:rFonts w:hint="eastAsia"/>
                                <w:b/>
                                <w:bCs/>
                                <w:sz w:val="21"/>
                                <w:szCs w:val="21"/>
                              </w:rPr>
                              <w:t>类型</w:t>
                            </w:r>
                          </w:p>
                        </w:txbxContent>
                      </v:textbox>
                    </v:rect>
                  </w:pict>
                </mc:Fallback>
              </mc:AlternateContent>
            </w:r>
          </w:p>
        </w:tc>
        <w:tc>
          <w:tcPr>
            <w:tcW w:w="17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5C46A6">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排放源</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14:paraId="427503BA">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污染物</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E12C81A">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产生浓度</w:t>
            </w:r>
            <w:r>
              <w:rPr>
                <w:b/>
                <w:bCs/>
                <w:color w:val="auto"/>
                <w:spacing w:val="-6"/>
                <w:sz w:val="21"/>
                <w:szCs w:val="21"/>
                <w:highlight w:val="none"/>
              </w:rPr>
              <w:t>mg/m</w:t>
            </w:r>
            <w:r>
              <w:rPr>
                <w:b/>
                <w:bCs/>
                <w:color w:val="auto"/>
                <w:spacing w:val="-6"/>
                <w:sz w:val="21"/>
                <w:szCs w:val="21"/>
                <w:highlight w:val="none"/>
                <w:vertAlign w:val="superscript"/>
              </w:rPr>
              <w:t>3</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14:paraId="3D4E9B20">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产生量t/a</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1DEBAF6E">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排放浓度</w:t>
            </w:r>
            <w:r>
              <w:rPr>
                <w:b/>
                <w:bCs/>
                <w:color w:val="auto"/>
                <w:spacing w:val="-6"/>
                <w:sz w:val="21"/>
                <w:szCs w:val="21"/>
                <w:highlight w:val="none"/>
              </w:rPr>
              <w:t>mg/m</w:t>
            </w:r>
            <w:r>
              <w:rPr>
                <w:b/>
                <w:bCs/>
                <w:color w:val="auto"/>
                <w:spacing w:val="-6"/>
                <w:sz w:val="21"/>
                <w:szCs w:val="21"/>
                <w:highlight w:val="none"/>
                <w:vertAlign w:val="superscript"/>
              </w:rPr>
              <w:t>3</w:t>
            </w:r>
          </w:p>
        </w:tc>
        <w:tc>
          <w:tcPr>
            <w:tcW w:w="1253" w:type="dxa"/>
            <w:tcBorders>
              <w:top w:val="single" w:color="auto" w:sz="4" w:space="0"/>
              <w:left w:val="single" w:color="auto" w:sz="4" w:space="0"/>
              <w:bottom w:val="single" w:color="auto" w:sz="4" w:space="0"/>
              <w:right w:val="single" w:color="auto" w:sz="4" w:space="0"/>
            </w:tcBorders>
            <w:shd w:val="clear" w:color="auto" w:fill="auto"/>
            <w:vAlign w:val="center"/>
          </w:tcPr>
          <w:p w14:paraId="4CFCFB4F">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排放速率kg/h</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14:paraId="0524E0B6">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排放量t/a</w:t>
            </w:r>
          </w:p>
        </w:tc>
        <w:tc>
          <w:tcPr>
            <w:tcW w:w="2799" w:type="dxa"/>
            <w:tcBorders>
              <w:top w:val="single" w:color="auto" w:sz="4" w:space="0"/>
              <w:left w:val="single" w:color="auto" w:sz="4" w:space="0"/>
              <w:bottom w:val="single" w:color="auto" w:sz="4" w:space="0"/>
              <w:right w:val="single" w:color="auto" w:sz="4" w:space="0"/>
            </w:tcBorders>
            <w:shd w:val="clear" w:color="auto" w:fill="auto"/>
            <w:vAlign w:val="center"/>
          </w:tcPr>
          <w:p w14:paraId="7F90893C">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排放去向</w:t>
            </w:r>
          </w:p>
        </w:tc>
      </w:tr>
      <w:tr w14:paraId="6654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restart"/>
            <w:tcBorders>
              <w:top w:val="single" w:color="auto" w:sz="4" w:space="0"/>
              <w:left w:val="single" w:color="auto" w:sz="4" w:space="0"/>
              <w:right w:val="single" w:color="auto" w:sz="4" w:space="0"/>
            </w:tcBorders>
            <w:vAlign w:val="center"/>
          </w:tcPr>
          <w:p w14:paraId="7AD0B6E8">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大气污染物</w:t>
            </w:r>
          </w:p>
        </w:tc>
        <w:tc>
          <w:tcPr>
            <w:tcW w:w="601" w:type="dxa"/>
            <w:vMerge w:val="restart"/>
            <w:tcBorders>
              <w:left w:val="single" w:color="auto" w:sz="4" w:space="0"/>
              <w:right w:val="single" w:color="auto" w:sz="4" w:space="0"/>
            </w:tcBorders>
            <w:vAlign w:val="center"/>
          </w:tcPr>
          <w:p w14:paraId="02E7D92B">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有组织</w:t>
            </w:r>
          </w:p>
        </w:tc>
        <w:tc>
          <w:tcPr>
            <w:tcW w:w="1127" w:type="dxa"/>
            <w:tcBorders>
              <w:top w:val="single" w:color="auto" w:sz="4" w:space="0"/>
              <w:left w:val="single" w:color="auto" w:sz="4" w:space="0"/>
              <w:right w:val="single" w:color="auto" w:sz="4" w:space="0"/>
            </w:tcBorders>
            <w:vAlign w:val="center"/>
          </w:tcPr>
          <w:p w14:paraId="0B074AA6">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G1-1、G1-3</w:t>
            </w:r>
          </w:p>
        </w:tc>
        <w:tc>
          <w:tcPr>
            <w:tcW w:w="1965" w:type="dxa"/>
            <w:tcBorders>
              <w:top w:val="single" w:color="auto" w:sz="4" w:space="0"/>
              <w:left w:val="single" w:color="auto" w:sz="4" w:space="0"/>
              <w:bottom w:val="single" w:color="auto" w:sz="4" w:space="0"/>
              <w:right w:val="single" w:color="auto" w:sz="4" w:space="0"/>
            </w:tcBorders>
            <w:vAlign w:val="center"/>
          </w:tcPr>
          <w:p w14:paraId="09A2EEE4">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361" w:type="dxa"/>
            <w:tcBorders>
              <w:top w:val="single" w:color="auto" w:sz="4" w:space="0"/>
              <w:left w:val="single" w:color="auto" w:sz="4" w:space="0"/>
              <w:bottom w:val="single" w:color="auto" w:sz="4" w:space="0"/>
              <w:right w:val="single" w:color="auto" w:sz="4" w:space="0"/>
            </w:tcBorders>
            <w:vAlign w:val="center"/>
          </w:tcPr>
          <w:p w14:paraId="3117A670">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28.8488</w:t>
            </w:r>
          </w:p>
        </w:tc>
        <w:tc>
          <w:tcPr>
            <w:tcW w:w="1256" w:type="dxa"/>
            <w:tcBorders>
              <w:top w:val="single" w:color="auto" w:sz="4" w:space="0"/>
              <w:left w:val="single" w:color="auto" w:sz="4" w:space="0"/>
              <w:bottom w:val="single" w:color="auto" w:sz="4" w:space="0"/>
              <w:right w:val="single" w:color="auto" w:sz="4" w:space="0"/>
            </w:tcBorders>
            <w:vAlign w:val="center"/>
          </w:tcPr>
          <w:p w14:paraId="7D1625B6">
            <w:pPr>
              <w:keepNext w:val="0"/>
              <w:keepLines w:val="0"/>
              <w:pageBreakBefore w:val="0"/>
              <w:kinsoku/>
              <w:wordWrap/>
              <w:overflowPunct/>
              <w:topLinePunct w:val="0"/>
              <w:autoSpaceDE/>
              <w:autoSpaceDN/>
              <w:bidi w:val="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1.1540</w:t>
            </w:r>
          </w:p>
        </w:tc>
        <w:tc>
          <w:tcPr>
            <w:tcW w:w="1470" w:type="dxa"/>
            <w:tcBorders>
              <w:top w:val="single" w:color="auto" w:sz="4" w:space="0"/>
              <w:left w:val="single" w:color="auto" w:sz="4" w:space="0"/>
              <w:bottom w:val="single" w:color="auto" w:sz="4" w:space="0"/>
              <w:right w:val="single" w:color="auto" w:sz="4" w:space="0"/>
            </w:tcBorders>
            <w:vAlign w:val="center"/>
          </w:tcPr>
          <w:p w14:paraId="64B3D969">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2.8849</w:t>
            </w:r>
          </w:p>
        </w:tc>
        <w:tc>
          <w:tcPr>
            <w:tcW w:w="1253" w:type="dxa"/>
            <w:tcBorders>
              <w:top w:val="single" w:color="auto" w:sz="4" w:space="0"/>
              <w:left w:val="single" w:color="auto" w:sz="4" w:space="0"/>
              <w:bottom w:val="single" w:color="auto" w:sz="4" w:space="0"/>
              <w:right w:val="single" w:color="auto" w:sz="4" w:space="0"/>
            </w:tcBorders>
            <w:vAlign w:val="center"/>
          </w:tcPr>
          <w:p w14:paraId="6E4C6D1F">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0.0577</w:t>
            </w:r>
          </w:p>
        </w:tc>
        <w:tc>
          <w:tcPr>
            <w:tcW w:w="1399" w:type="dxa"/>
            <w:tcBorders>
              <w:top w:val="single" w:color="auto" w:sz="4" w:space="0"/>
              <w:left w:val="single" w:color="auto" w:sz="4" w:space="0"/>
              <w:bottom w:val="single" w:color="auto" w:sz="4" w:space="0"/>
              <w:right w:val="single" w:color="auto" w:sz="4" w:space="0"/>
            </w:tcBorders>
            <w:vAlign w:val="center"/>
          </w:tcPr>
          <w:p w14:paraId="73BD77F3">
            <w:pPr>
              <w:keepNext w:val="0"/>
              <w:keepLines w:val="0"/>
              <w:pageBreakBefore w:val="0"/>
              <w:widowControl/>
              <w:suppressLineNumbers w:val="0"/>
              <w:kinsoku/>
              <w:wordWrap/>
              <w:overflowPunct/>
              <w:topLinePunct w:val="0"/>
              <w:autoSpaceDE/>
              <w:autoSpaceDN/>
              <w:bidi w:val="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0.1154</w:t>
            </w:r>
          </w:p>
        </w:tc>
        <w:tc>
          <w:tcPr>
            <w:tcW w:w="2799" w:type="dxa"/>
            <w:tcBorders>
              <w:top w:val="single" w:color="auto" w:sz="4" w:space="0"/>
              <w:left w:val="single" w:color="auto" w:sz="4" w:space="0"/>
              <w:right w:val="single" w:color="auto" w:sz="4" w:space="0"/>
            </w:tcBorders>
            <w:vAlign w:val="center"/>
          </w:tcPr>
          <w:p w14:paraId="451F61AF">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DA005高空排放</w:t>
            </w:r>
          </w:p>
        </w:tc>
      </w:tr>
      <w:tr w14:paraId="607F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0CDCC5B4">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continue"/>
            <w:tcBorders>
              <w:left w:val="single" w:color="auto" w:sz="4" w:space="0"/>
              <w:right w:val="single" w:color="auto" w:sz="4" w:space="0"/>
            </w:tcBorders>
            <w:vAlign w:val="center"/>
          </w:tcPr>
          <w:p w14:paraId="4ABA1848">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127" w:type="dxa"/>
            <w:vMerge w:val="restart"/>
            <w:tcBorders>
              <w:top w:val="single" w:color="auto" w:sz="4" w:space="0"/>
              <w:left w:val="single" w:color="auto" w:sz="4" w:space="0"/>
              <w:right w:val="single" w:color="auto" w:sz="4" w:space="0"/>
            </w:tcBorders>
            <w:vAlign w:val="center"/>
          </w:tcPr>
          <w:p w14:paraId="6182E90A">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G1-2</w:t>
            </w:r>
          </w:p>
        </w:tc>
        <w:tc>
          <w:tcPr>
            <w:tcW w:w="1965" w:type="dxa"/>
            <w:tcBorders>
              <w:top w:val="single" w:color="auto" w:sz="4" w:space="0"/>
              <w:left w:val="single" w:color="auto" w:sz="4" w:space="0"/>
              <w:right w:val="single" w:color="auto" w:sz="4" w:space="0"/>
            </w:tcBorders>
            <w:vAlign w:val="center"/>
          </w:tcPr>
          <w:p w14:paraId="2F2A2247">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361" w:type="dxa"/>
            <w:tcBorders>
              <w:top w:val="single" w:color="auto" w:sz="4" w:space="0"/>
              <w:left w:val="single" w:color="auto" w:sz="4" w:space="0"/>
              <w:bottom w:val="single" w:color="auto" w:sz="4" w:space="0"/>
              <w:right w:val="single" w:color="auto" w:sz="4" w:space="0"/>
            </w:tcBorders>
            <w:vAlign w:val="center"/>
          </w:tcPr>
          <w:p w14:paraId="1B6515F8">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3.0859</w:t>
            </w:r>
          </w:p>
        </w:tc>
        <w:tc>
          <w:tcPr>
            <w:tcW w:w="1256" w:type="dxa"/>
            <w:tcBorders>
              <w:top w:val="single" w:color="auto" w:sz="4" w:space="0"/>
              <w:left w:val="single" w:color="auto" w:sz="4" w:space="0"/>
              <w:bottom w:val="single" w:color="auto" w:sz="4" w:space="0"/>
              <w:right w:val="single" w:color="auto" w:sz="4" w:space="0"/>
            </w:tcBorders>
            <w:vAlign w:val="center"/>
          </w:tcPr>
          <w:p w14:paraId="24E850C3">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0.0062</w:t>
            </w:r>
          </w:p>
        </w:tc>
        <w:tc>
          <w:tcPr>
            <w:tcW w:w="1470" w:type="dxa"/>
            <w:tcBorders>
              <w:top w:val="single" w:color="auto" w:sz="4" w:space="0"/>
              <w:left w:val="single" w:color="auto" w:sz="4" w:space="0"/>
              <w:right w:val="single" w:color="auto" w:sz="4" w:space="0"/>
            </w:tcBorders>
            <w:vAlign w:val="center"/>
          </w:tcPr>
          <w:p w14:paraId="09E2BF6E">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0.3086</w:t>
            </w:r>
          </w:p>
        </w:tc>
        <w:tc>
          <w:tcPr>
            <w:tcW w:w="1253" w:type="dxa"/>
            <w:tcBorders>
              <w:top w:val="single" w:color="auto" w:sz="4" w:space="0"/>
              <w:left w:val="single" w:color="auto" w:sz="4" w:space="0"/>
              <w:right w:val="single" w:color="auto" w:sz="4" w:space="0"/>
            </w:tcBorders>
            <w:vAlign w:val="center"/>
          </w:tcPr>
          <w:p w14:paraId="44D9B830">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0.0012</w:t>
            </w:r>
          </w:p>
        </w:tc>
        <w:tc>
          <w:tcPr>
            <w:tcW w:w="1399" w:type="dxa"/>
            <w:tcBorders>
              <w:top w:val="single" w:color="auto" w:sz="4" w:space="0"/>
              <w:left w:val="single" w:color="auto" w:sz="4" w:space="0"/>
              <w:right w:val="single" w:color="auto" w:sz="4" w:space="0"/>
            </w:tcBorders>
            <w:vAlign w:val="center"/>
          </w:tcPr>
          <w:p w14:paraId="052AE17B">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0.0006</w:t>
            </w:r>
          </w:p>
        </w:tc>
        <w:tc>
          <w:tcPr>
            <w:tcW w:w="2799" w:type="dxa"/>
            <w:vMerge w:val="restart"/>
            <w:tcBorders>
              <w:left w:val="single" w:color="auto" w:sz="4" w:space="0"/>
              <w:right w:val="single" w:color="auto" w:sz="4" w:space="0"/>
            </w:tcBorders>
            <w:vAlign w:val="center"/>
          </w:tcPr>
          <w:p w14:paraId="227BF655">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DA006高空排放</w:t>
            </w:r>
          </w:p>
        </w:tc>
      </w:tr>
      <w:tr w14:paraId="7070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286E66BE">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continue"/>
            <w:tcBorders>
              <w:left w:val="single" w:color="auto" w:sz="4" w:space="0"/>
              <w:right w:val="single" w:color="auto" w:sz="4" w:space="0"/>
            </w:tcBorders>
            <w:vAlign w:val="center"/>
          </w:tcPr>
          <w:p w14:paraId="39BBBFCF">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127" w:type="dxa"/>
            <w:vMerge w:val="continue"/>
            <w:tcBorders>
              <w:left w:val="single" w:color="auto" w:sz="4" w:space="0"/>
              <w:right w:val="single" w:color="auto" w:sz="4" w:space="0"/>
            </w:tcBorders>
            <w:vAlign w:val="center"/>
          </w:tcPr>
          <w:p w14:paraId="15A2D986">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965" w:type="dxa"/>
            <w:tcBorders>
              <w:left w:val="single" w:color="auto" w:sz="4" w:space="0"/>
              <w:bottom w:val="single" w:color="auto" w:sz="4" w:space="0"/>
              <w:right w:val="single" w:color="auto" w:sz="4" w:space="0"/>
            </w:tcBorders>
            <w:vAlign w:val="center"/>
          </w:tcPr>
          <w:p w14:paraId="1541CB28">
            <w:pPr>
              <w:keepNext w:val="0"/>
              <w:keepLines w:val="0"/>
              <w:pageBreakBefore w:val="0"/>
              <w:kinsoku/>
              <w:wordWrap/>
              <w:overflowPunct/>
              <w:topLinePunct w:val="0"/>
              <w:autoSpaceDE/>
              <w:autoSpaceDN/>
              <w:bidi w:val="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1361" w:type="dxa"/>
            <w:tcBorders>
              <w:top w:val="single" w:color="auto" w:sz="4" w:space="0"/>
              <w:left w:val="single" w:color="auto" w:sz="4" w:space="0"/>
              <w:bottom w:val="single" w:color="auto" w:sz="4" w:space="0"/>
              <w:right w:val="single" w:color="auto" w:sz="4" w:space="0"/>
            </w:tcBorders>
            <w:vAlign w:val="center"/>
          </w:tcPr>
          <w:p w14:paraId="2B73020E">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1.4850</w:t>
            </w:r>
          </w:p>
        </w:tc>
        <w:tc>
          <w:tcPr>
            <w:tcW w:w="1256" w:type="dxa"/>
            <w:tcBorders>
              <w:top w:val="single" w:color="auto" w:sz="4" w:space="0"/>
              <w:left w:val="single" w:color="auto" w:sz="4" w:space="0"/>
              <w:bottom w:val="single" w:color="auto" w:sz="4" w:space="0"/>
              <w:right w:val="single" w:color="auto" w:sz="4" w:space="0"/>
            </w:tcBorders>
            <w:vAlign w:val="center"/>
          </w:tcPr>
          <w:p w14:paraId="4BD7136B">
            <w:pPr>
              <w:keepNext w:val="0"/>
              <w:keepLines w:val="0"/>
              <w:pageBreakBefore w:val="0"/>
              <w:kinsoku/>
              <w:wordWrap/>
              <w:overflowPunct/>
              <w:topLinePunct w:val="0"/>
              <w:autoSpaceDE/>
              <w:autoSpaceDN/>
              <w:bidi w:val="0"/>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0.00297</w:t>
            </w:r>
          </w:p>
        </w:tc>
        <w:tc>
          <w:tcPr>
            <w:tcW w:w="1470" w:type="dxa"/>
            <w:tcBorders>
              <w:left w:val="single" w:color="auto" w:sz="4" w:space="0"/>
              <w:bottom w:val="single" w:color="auto" w:sz="4" w:space="0"/>
              <w:right w:val="single" w:color="auto" w:sz="4" w:space="0"/>
            </w:tcBorders>
            <w:vAlign w:val="center"/>
          </w:tcPr>
          <w:p w14:paraId="18AF884D">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0.1485</w:t>
            </w:r>
          </w:p>
        </w:tc>
        <w:tc>
          <w:tcPr>
            <w:tcW w:w="1253" w:type="dxa"/>
            <w:tcBorders>
              <w:left w:val="single" w:color="auto" w:sz="4" w:space="0"/>
              <w:bottom w:val="single" w:color="auto" w:sz="4" w:space="0"/>
              <w:right w:val="single" w:color="auto" w:sz="4" w:space="0"/>
            </w:tcBorders>
            <w:vAlign w:val="center"/>
          </w:tcPr>
          <w:p w14:paraId="4F582A1A">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0.0006</w:t>
            </w:r>
          </w:p>
        </w:tc>
        <w:tc>
          <w:tcPr>
            <w:tcW w:w="1399" w:type="dxa"/>
            <w:tcBorders>
              <w:left w:val="single" w:color="auto" w:sz="4" w:space="0"/>
              <w:bottom w:val="single" w:color="auto" w:sz="4" w:space="0"/>
              <w:right w:val="single" w:color="auto" w:sz="4" w:space="0"/>
            </w:tcBorders>
            <w:vAlign w:val="center"/>
          </w:tcPr>
          <w:p w14:paraId="46C283F2">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default" w:ascii="Times New Roman" w:hAnsi="Times New Roman" w:eastAsia="等线" w:cs="Times New Roman"/>
                <w:i w:val="0"/>
                <w:iCs w:val="0"/>
                <w:color w:val="auto"/>
                <w:kern w:val="0"/>
                <w:sz w:val="21"/>
                <w:szCs w:val="21"/>
                <w:highlight w:val="none"/>
                <w:u w:val="none"/>
                <w:lang w:val="en-US" w:eastAsia="zh-CN" w:bidi="ar"/>
              </w:rPr>
              <w:t>0.0003</w:t>
            </w:r>
          </w:p>
        </w:tc>
        <w:tc>
          <w:tcPr>
            <w:tcW w:w="2799" w:type="dxa"/>
            <w:vMerge w:val="continue"/>
            <w:tcBorders>
              <w:left w:val="single" w:color="auto" w:sz="4" w:space="0"/>
              <w:right w:val="single" w:color="auto" w:sz="4" w:space="0"/>
            </w:tcBorders>
            <w:vAlign w:val="center"/>
          </w:tcPr>
          <w:p w14:paraId="2100F19D">
            <w:pPr>
              <w:pStyle w:val="154"/>
              <w:keepNext w:val="0"/>
              <w:keepLines w:val="0"/>
              <w:pageBreakBefore w:val="0"/>
              <w:kinsoku/>
              <w:wordWrap/>
              <w:overflowPunct/>
              <w:topLinePunct w:val="0"/>
              <w:autoSpaceDE/>
              <w:autoSpaceDN/>
              <w:bidi w:val="0"/>
              <w:ind w:left="0" w:right="0"/>
              <w:rPr>
                <w:color w:val="auto"/>
                <w:sz w:val="21"/>
                <w:szCs w:val="21"/>
                <w:highlight w:val="none"/>
              </w:rPr>
            </w:pPr>
          </w:p>
        </w:tc>
      </w:tr>
      <w:tr w14:paraId="446B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0AB55EA8">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3693" w:type="dxa"/>
            <w:gridSpan w:val="3"/>
            <w:tcBorders>
              <w:top w:val="single" w:color="auto" w:sz="4" w:space="0"/>
              <w:left w:val="single" w:color="auto" w:sz="4" w:space="0"/>
              <w:right w:val="single" w:color="auto" w:sz="4" w:space="0"/>
            </w:tcBorders>
            <w:vAlign w:val="center"/>
          </w:tcPr>
          <w:p w14:paraId="3B30697A">
            <w:pPr>
              <w:keepNext w:val="0"/>
              <w:keepLines w:val="0"/>
              <w:pageBreakBefore w:val="0"/>
              <w:kinsoku/>
              <w:wordWrap/>
              <w:overflowPunct/>
              <w:topLinePunct w:val="0"/>
              <w:autoSpaceDE/>
              <w:autoSpaceDN/>
              <w:bidi w:val="0"/>
              <w:ind w:left="0" w:right="0"/>
              <w:jc w:val="center"/>
              <w:rPr>
                <w:rFonts w:ascii="Times New Roman" w:hAnsi="Times New Roman"/>
                <w:b/>
                <w:bCs/>
                <w:color w:val="auto"/>
                <w:sz w:val="21"/>
                <w:szCs w:val="21"/>
                <w:highlight w:val="none"/>
              </w:rPr>
            </w:pPr>
            <w:r>
              <w:rPr>
                <w:rFonts w:hint="eastAsia" w:ascii="Times New Roman" w:hAnsi="Times New Roman" w:cs="Times New Roman"/>
                <w:b/>
                <w:bCs/>
                <w:color w:val="auto"/>
                <w:sz w:val="21"/>
                <w:szCs w:val="21"/>
                <w:highlight w:val="none"/>
              </w:rPr>
              <w:t>排放源</w:t>
            </w:r>
          </w:p>
        </w:tc>
        <w:tc>
          <w:tcPr>
            <w:tcW w:w="2617" w:type="dxa"/>
            <w:gridSpan w:val="2"/>
            <w:tcBorders>
              <w:top w:val="single" w:color="auto" w:sz="4" w:space="0"/>
              <w:left w:val="single" w:color="auto" w:sz="4" w:space="0"/>
              <w:right w:val="single" w:color="auto" w:sz="4" w:space="0"/>
            </w:tcBorders>
            <w:vAlign w:val="center"/>
          </w:tcPr>
          <w:p w14:paraId="6422918B">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rFonts w:hint="eastAsia"/>
                <w:b/>
                <w:bCs/>
                <w:color w:val="auto"/>
                <w:sz w:val="21"/>
                <w:szCs w:val="21"/>
                <w:highlight w:val="none"/>
              </w:rPr>
              <w:t>产生量t/a</w:t>
            </w:r>
          </w:p>
        </w:tc>
        <w:tc>
          <w:tcPr>
            <w:tcW w:w="4122" w:type="dxa"/>
            <w:gridSpan w:val="3"/>
            <w:tcBorders>
              <w:top w:val="single" w:color="auto" w:sz="4" w:space="0"/>
              <w:left w:val="single" w:color="auto" w:sz="4" w:space="0"/>
              <w:right w:val="single" w:color="auto" w:sz="4" w:space="0"/>
            </w:tcBorders>
            <w:vAlign w:val="center"/>
          </w:tcPr>
          <w:p w14:paraId="22F4D6E4">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rFonts w:hint="eastAsia"/>
                <w:b/>
                <w:bCs/>
                <w:color w:val="auto"/>
                <w:sz w:val="21"/>
                <w:szCs w:val="21"/>
                <w:highlight w:val="none"/>
              </w:rPr>
              <w:t>排放量t/a</w:t>
            </w:r>
          </w:p>
        </w:tc>
        <w:tc>
          <w:tcPr>
            <w:tcW w:w="2799" w:type="dxa"/>
            <w:tcBorders>
              <w:top w:val="single" w:color="auto" w:sz="4" w:space="0"/>
              <w:left w:val="single" w:color="auto" w:sz="4" w:space="0"/>
              <w:right w:val="single" w:color="auto" w:sz="4" w:space="0"/>
            </w:tcBorders>
            <w:vAlign w:val="center"/>
          </w:tcPr>
          <w:p w14:paraId="53222BD6">
            <w:pPr>
              <w:pStyle w:val="154"/>
              <w:keepNext w:val="0"/>
              <w:keepLines w:val="0"/>
              <w:pageBreakBefore w:val="0"/>
              <w:kinsoku/>
              <w:wordWrap/>
              <w:overflowPunct/>
              <w:topLinePunct w:val="0"/>
              <w:autoSpaceDE/>
              <w:autoSpaceDN/>
              <w:bidi w:val="0"/>
              <w:ind w:left="0" w:right="0"/>
              <w:rPr>
                <w:color w:val="auto"/>
                <w:sz w:val="21"/>
                <w:szCs w:val="21"/>
                <w:highlight w:val="none"/>
              </w:rPr>
            </w:pPr>
            <w:r>
              <w:rPr>
                <w:b/>
                <w:bCs/>
                <w:color w:val="auto"/>
                <w:sz w:val="21"/>
                <w:szCs w:val="21"/>
                <w:highlight w:val="none"/>
              </w:rPr>
              <w:t>排放去向</w:t>
            </w:r>
          </w:p>
        </w:tc>
      </w:tr>
      <w:tr w14:paraId="7F35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187625C2">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restart"/>
            <w:tcBorders>
              <w:left w:val="single" w:color="auto" w:sz="4" w:space="0"/>
              <w:right w:val="single" w:color="auto" w:sz="4" w:space="0"/>
            </w:tcBorders>
            <w:vAlign w:val="center"/>
          </w:tcPr>
          <w:p w14:paraId="1810490C">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无组织</w:t>
            </w:r>
          </w:p>
        </w:tc>
        <w:tc>
          <w:tcPr>
            <w:tcW w:w="1127" w:type="dxa"/>
            <w:tcBorders>
              <w:top w:val="single" w:color="auto" w:sz="4" w:space="0"/>
              <w:left w:val="single" w:color="auto" w:sz="4" w:space="0"/>
              <w:right w:val="single" w:color="auto" w:sz="4" w:space="0"/>
            </w:tcBorders>
            <w:vAlign w:val="center"/>
          </w:tcPr>
          <w:p w14:paraId="06B617DA">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G1-1、G1-3</w:t>
            </w:r>
          </w:p>
        </w:tc>
        <w:tc>
          <w:tcPr>
            <w:tcW w:w="1965" w:type="dxa"/>
            <w:tcBorders>
              <w:top w:val="single" w:color="auto" w:sz="4" w:space="0"/>
              <w:left w:val="single" w:color="auto" w:sz="4" w:space="0"/>
              <w:bottom w:val="single" w:color="auto" w:sz="4" w:space="0"/>
              <w:right w:val="single" w:color="auto" w:sz="4" w:space="0"/>
            </w:tcBorders>
            <w:vAlign w:val="center"/>
          </w:tcPr>
          <w:p w14:paraId="26D1859C">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2617" w:type="dxa"/>
            <w:gridSpan w:val="2"/>
            <w:tcBorders>
              <w:top w:val="single" w:color="auto" w:sz="4" w:space="0"/>
              <w:left w:val="single" w:color="auto" w:sz="4" w:space="0"/>
              <w:right w:val="single" w:color="auto" w:sz="4" w:space="0"/>
            </w:tcBorders>
            <w:vAlign w:val="center"/>
          </w:tcPr>
          <w:p w14:paraId="26E703A6">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color w:val="auto"/>
                <w:sz w:val="21"/>
                <w:szCs w:val="20"/>
                <w:highlight w:val="none"/>
              </w:rPr>
            </w:pPr>
            <w:r>
              <w:rPr>
                <w:rFonts w:hint="eastAsia" w:ascii="Times New Roman" w:hAnsi="Times New Roman" w:cs="Times New Roman"/>
                <w:color w:val="auto"/>
                <w:sz w:val="21"/>
                <w:szCs w:val="21"/>
                <w:highlight w:val="none"/>
              </w:rPr>
              <w:t>0.0235</w:t>
            </w:r>
          </w:p>
        </w:tc>
        <w:tc>
          <w:tcPr>
            <w:tcW w:w="4122" w:type="dxa"/>
            <w:gridSpan w:val="3"/>
            <w:tcBorders>
              <w:top w:val="single" w:color="auto" w:sz="4" w:space="0"/>
              <w:left w:val="single" w:color="auto" w:sz="4" w:space="0"/>
              <w:right w:val="single" w:color="auto" w:sz="4" w:space="0"/>
            </w:tcBorders>
            <w:vAlign w:val="center"/>
          </w:tcPr>
          <w:p w14:paraId="162921BE">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color w:val="auto"/>
                <w:sz w:val="21"/>
                <w:szCs w:val="20"/>
                <w:highlight w:val="none"/>
              </w:rPr>
            </w:pPr>
            <w:r>
              <w:rPr>
                <w:rFonts w:hint="eastAsia" w:ascii="Times New Roman" w:hAnsi="Times New Roman" w:cs="Times New Roman"/>
                <w:color w:val="auto"/>
                <w:sz w:val="21"/>
                <w:szCs w:val="21"/>
                <w:highlight w:val="none"/>
              </w:rPr>
              <w:t>0.0235</w:t>
            </w:r>
          </w:p>
        </w:tc>
        <w:tc>
          <w:tcPr>
            <w:tcW w:w="2799" w:type="dxa"/>
            <w:tcBorders>
              <w:left w:val="single" w:color="auto" w:sz="4" w:space="0"/>
              <w:right w:val="single" w:color="auto" w:sz="4" w:space="0"/>
            </w:tcBorders>
            <w:vAlign w:val="center"/>
          </w:tcPr>
          <w:p w14:paraId="61AE3C6C">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车间内无组织排放</w:t>
            </w:r>
          </w:p>
        </w:tc>
      </w:tr>
      <w:tr w14:paraId="3A4D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75F3D49A">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continue"/>
            <w:tcBorders>
              <w:left w:val="single" w:color="auto" w:sz="4" w:space="0"/>
              <w:right w:val="single" w:color="auto" w:sz="4" w:space="0"/>
            </w:tcBorders>
            <w:vAlign w:val="center"/>
          </w:tcPr>
          <w:p w14:paraId="278882FC">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127" w:type="dxa"/>
            <w:vMerge w:val="restart"/>
            <w:tcBorders>
              <w:top w:val="single" w:color="auto" w:sz="4" w:space="0"/>
              <w:left w:val="single" w:color="auto" w:sz="4" w:space="0"/>
              <w:right w:val="single" w:color="auto" w:sz="4" w:space="0"/>
            </w:tcBorders>
            <w:vAlign w:val="center"/>
          </w:tcPr>
          <w:p w14:paraId="1D47E5AF">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G1-2</w:t>
            </w:r>
          </w:p>
        </w:tc>
        <w:tc>
          <w:tcPr>
            <w:tcW w:w="1965" w:type="dxa"/>
            <w:tcBorders>
              <w:top w:val="single" w:color="auto" w:sz="4" w:space="0"/>
              <w:left w:val="single" w:color="auto" w:sz="4" w:space="0"/>
              <w:bottom w:val="single" w:color="auto" w:sz="4" w:space="0"/>
              <w:right w:val="single" w:color="auto" w:sz="4" w:space="0"/>
            </w:tcBorders>
            <w:vAlign w:val="center"/>
          </w:tcPr>
          <w:p w14:paraId="07334797">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r>
              <w:rPr>
                <w:rFonts w:hint="eastAsia" w:ascii="Times New Roman" w:hAnsi="Times New Roman"/>
                <w:color w:val="auto"/>
                <w:sz w:val="21"/>
                <w:szCs w:val="21"/>
                <w:highlight w:val="none"/>
              </w:rPr>
              <w:t>（含甲醇）</w:t>
            </w:r>
          </w:p>
        </w:tc>
        <w:tc>
          <w:tcPr>
            <w:tcW w:w="2617" w:type="dxa"/>
            <w:gridSpan w:val="2"/>
            <w:tcBorders>
              <w:top w:val="single" w:color="auto" w:sz="4" w:space="0"/>
              <w:left w:val="single" w:color="auto" w:sz="4" w:space="0"/>
              <w:right w:val="single" w:color="auto" w:sz="4" w:space="0"/>
            </w:tcBorders>
            <w:vAlign w:val="center"/>
          </w:tcPr>
          <w:p w14:paraId="293A4760">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等线"/>
                <w:color w:val="auto"/>
                <w:sz w:val="21"/>
                <w:szCs w:val="20"/>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rPr>
              <w:t>3</w:t>
            </w:r>
          </w:p>
        </w:tc>
        <w:tc>
          <w:tcPr>
            <w:tcW w:w="4122" w:type="dxa"/>
            <w:gridSpan w:val="3"/>
            <w:tcBorders>
              <w:top w:val="single" w:color="auto" w:sz="4" w:space="0"/>
              <w:left w:val="single" w:color="auto" w:sz="4" w:space="0"/>
              <w:right w:val="single" w:color="auto" w:sz="4" w:space="0"/>
            </w:tcBorders>
            <w:vAlign w:val="center"/>
          </w:tcPr>
          <w:p w14:paraId="20D1A501">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等线"/>
                <w:color w:val="auto"/>
                <w:sz w:val="21"/>
                <w:szCs w:val="20"/>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rPr>
              <w:t>3</w:t>
            </w:r>
          </w:p>
        </w:tc>
        <w:tc>
          <w:tcPr>
            <w:tcW w:w="2799" w:type="dxa"/>
            <w:vMerge w:val="restart"/>
            <w:tcBorders>
              <w:left w:val="single" w:color="auto" w:sz="4" w:space="0"/>
              <w:right w:val="single" w:color="auto" w:sz="4" w:space="0"/>
            </w:tcBorders>
            <w:vAlign w:val="center"/>
          </w:tcPr>
          <w:p w14:paraId="08943A26">
            <w:pPr>
              <w:pStyle w:val="154"/>
              <w:keepNext w:val="0"/>
              <w:keepLines w:val="0"/>
              <w:pageBreakBefore w:val="0"/>
              <w:kinsoku/>
              <w:wordWrap/>
              <w:overflowPunct/>
              <w:topLinePunct w:val="0"/>
              <w:autoSpaceDE/>
              <w:autoSpaceDN/>
              <w:bidi w:val="0"/>
              <w:ind w:left="0" w:right="0"/>
              <w:rPr>
                <w:rFonts w:hint="default" w:eastAsia="宋体"/>
                <w:color w:val="auto"/>
                <w:sz w:val="21"/>
                <w:szCs w:val="21"/>
                <w:highlight w:val="none"/>
                <w:lang w:val="en-US" w:eastAsia="zh-CN"/>
              </w:rPr>
            </w:pPr>
            <w:r>
              <w:rPr>
                <w:rFonts w:hint="eastAsia"/>
                <w:color w:val="auto"/>
                <w:sz w:val="21"/>
                <w:szCs w:val="21"/>
                <w:highlight w:val="none"/>
                <w:lang w:val="en-US" w:eastAsia="zh-CN"/>
              </w:rPr>
              <w:t>实验楼内无组织排放</w:t>
            </w:r>
          </w:p>
        </w:tc>
      </w:tr>
      <w:tr w14:paraId="0CBF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442EC22D">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continue"/>
            <w:tcBorders>
              <w:left w:val="single" w:color="auto" w:sz="4" w:space="0"/>
              <w:right w:val="single" w:color="auto" w:sz="4" w:space="0"/>
            </w:tcBorders>
            <w:vAlign w:val="center"/>
          </w:tcPr>
          <w:p w14:paraId="38776B71">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127" w:type="dxa"/>
            <w:vMerge w:val="continue"/>
            <w:tcBorders>
              <w:left w:val="single" w:color="auto" w:sz="4" w:space="0"/>
              <w:right w:val="single" w:color="auto" w:sz="4" w:space="0"/>
            </w:tcBorders>
            <w:vAlign w:val="center"/>
          </w:tcPr>
          <w:p w14:paraId="377F6EC5">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965" w:type="dxa"/>
            <w:tcBorders>
              <w:top w:val="single" w:color="auto" w:sz="4" w:space="0"/>
              <w:left w:val="single" w:color="auto" w:sz="4" w:space="0"/>
              <w:bottom w:val="single" w:color="auto" w:sz="4" w:space="0"/>
              <w:right w:val="single" w:color="auto" w:sz="4" w:space="0"/>
            </w:tcBorders>
            <w:vAlign w:val="center"/>
          </w:tcPr>
          <w:p w14:paraId="6F60ED0A">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氮氧化物</w:t>
            </w:r>
          </w:p>
        </w:tc>
        <w:tc>
          <w:tcPr>
            <w:tcW w:w="2617" w:type="dxa"/>
            <w:gridSpan w:val="2"/>
            <w:tcBorders>
              <w:top w:val="single" w:color="auto" w:sz="4" w:space="0"/>
              <w:left w:val="single" w:color="auto" w:sz="4" w:space="0"/>
              <w:right w:val="single" w:color="auto" w:sz="4" w:space="0"/>
            </w:tcBorders>
            <w:vAlign w:val="center"/>
          </w:tcPr>
          <w:p w14:paraId="4773AA54">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4122" w:type="dxa"/>
            <w:gridSpan w:val="3"/>
            <w:tcBorders>
              <w:top w:val="single" w:color="auto" w:sz="4" w:space="0"/>
              <w:left w:val="single" w:color="auto" w:sz="4" w:space="0"/>
              <w:right w:val="single" w:color="auto" w:sz="4" w:space="0"/>
            </w:tcBorders>
            <w:vAlign w:val="center"/>
          </w:tcPr>
          <w:p w14:paraId="49C920CD">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2799" w:type="dxa"/>
            <w:vMerge w:val="continue"/>
            <w:tcBorders>
              <w:left w:val="single" w:color="auto" w:sz="4" w:space="0"/>
              <w:right w:val="single" w:color="auto" w:sz="4" w:space="0"/>
            </w:tcBorders>
            <w:vAlign w:val="center"/>
          </w:tcPr>
          <w:p w14:paraId="3F11BFC0">
            <w:pPr>
              <w:pStyle w:val="154"/>
              <w:keepNext w:val="0"/>
              <w:keepLines w:val="0"/>
              <w:pageBreakBefore w:val="0"/>
              <w:kinsoku/>
              <w:wordWrap/>
              <w:overflowPunct/>
              <w:topLinePunct w:val="0"/>
              <w:autoSpaceDE/>
              <w:autoSpaceDN/>
              <w:bidi w:val="0"/>
              <w:ind w:left="0" w:right="0"/>
              <w:rPr>
                <w:color w:val="auto"/>
                <w:sz w:val="21"/>
                <w:szCs w:val="21"/>
                <w:highlight w:val="none"/>
              </w:rPr>
            </w:pPr>
          </w:p>
        </w:tc>
      </w:tr>
      <w:tr w14:paraId="1711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5543E26D">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601" w:type="dxa"/>
            <w:vMerge w:val="continue"/>
            <w:tcBorders>
              <w:left w:val="single" w:color="auto" w:sz="4" w:space="0"/>
              <w:right w:val="single" w:color="auto" w:sz="4" w:space="0"/>
            </w:tcBorders>
            <w:vAlign w:val="center"/>
          </w:tcPr>
          <w:p w14:paraId="6DC9CE7F">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127" w:type="dxa"/>
            <w:vMerge w:val="continue"/>
            <w:tcBorders>
              <w:left w:val="single" w:color="auto" w:sz="4" w:space="0"/>
              <w:right w:val="single" w:color="auto" w:sz="4" w:space="0"/>
            </w:tcBorders>
            <w:vAlign w:val="center"/>
          </w:tcPr>
          <w:p w14:paraId="3C934E86">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965" w:type="dxa"/>
            <w:tcBorders>
              <w:top w:val="single" w:color="auto" w:sz="4" w:space="0"/>
              <w:left w:val="single" w:color="auto" w:sz="4" w:space="0"/>
              <w:bottom w:val="single" w:color="auto" w:sz="4" w:space="0"/>
              <w:right w:val="single" w:color="auto" w:sz="4" w:space="0"/>
            </w:tcBorders>
            <w:vAlign w:val="center"/>
          </w:tcPr>
          <w:p w14:paraId="5D2D7C1C">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olor w:val="auto"/>
                <w:sz w:val="21"/>
                <w:szCs w:val="21"/>
                <w:highlight w:val="none"/>
              </w:rPr>
              <w:t>甲醇</w:t>
            </w:r>
          </w:p>
        </w:tc>
        <w:tc>
          <w:tcPr>
            <w:tcW w:w="2617" w:type="dxa"/>
            <w:gridSpan w:val="2"/>
            <w:tcBorders>
              <w:top w:val="single" w:color="auto" w:sz="4" w:space="0"/>
              <w:left w:val="single" w:color="auto" w:sz="4" w:space="0"/>
              <w:right w:val="single" w:color="auto" w:sz="4" w:space="0"/>
            </w:tcBorders>
            <w:vAlign w:val="center"/>
          </w:tcPr>
          <w:p w14:paraId="153F1EF6">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4122" w:type="dxa"/>
            <w:gridSpan w:val="3"/>
            <w:tcBorders>
              <w:top w:val="single" w:color="auto" w:sz="4" w:space="0"/>
              <w:left w:val="single" w:color="auto" w:sz="4" w:space="0"/>
              <w:right w:val="single" w:color="auto" w:sz="4" w:space="0"/>
            </w:tcBorders>
            <w:vAlign w:val="center"/>
          </w:tcPr>
          <w:p w14:paraId="1D5717BF">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2799" w:type="dxa"/>
            <w:vMerge w:val="continue"/>
            <w:tcBorders>
              <w:left w:val="single" w:color="auto" w:sz="4" w:space="0"/>
              <w:right w:val="single" w:color="auto" w:sz="4" w:space="0"/>
            </w:tcBorders>
            <w:vAlign w:val="center"/>
          </w:tcPr>
          <w:p w14:paraId="4FF2AF60">
            <w:pPr>
              <w:pStyle w:val="154"/>
              <w:keepNext w:val="0"/>
              <w:keepLines w:val="0"/>
              <w:pageBreakBefore w:val="0"/>
              <w:kinsoku/>
              <w:wordWrap/>
              <w:overflowPunct/>
              <w:topLinePunct w:val="0"/>
              <w:autoSpaceDE/>
              <w:autoSpaceDN/>
              <w:bidi w:val="0"/>
              <w:ind w:left="0" w:right="0"/>
              <w:rPr>
                <w:color w:val="auto"/>
                <w:sz w:val="21"/>
                <w:szCs w:val="21"/>
                <w:highlight w:val="none"/>
              </w:rPr>
            </w:pPr>
          </w:p>
        </w:tc>
      </w:tr>
      <w:tr w14:paraId="06AA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restart"/>
            <w:tcBorders>
              <w:top w:val="single" w:color="auto" w:sz="4" w:space="0"/>
              <w:left w:val="single" w:color="auto" w:sz="4" w:space="0"/>
              <w:right w:val="single" w:color="auto" w:sz="4" w:space="0"/>
            </w:tcBorders>
            <w:vAlign w:val="center"/>
          </w:tcPr>
          <w:p w14:paraId="6D92140A">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水污染物</w:t>
            </w:r>
          </w:p>
        </w:tc>
        <w:tc>
          <w:tcPr>
            <w:tcW w:w="17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635ABA">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排放源</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14:paraId="02F5E1DD">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污染物</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3C0416C">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废水量</w:t>
            </w:r>
          </w:p>
          <w:p w14:paraId="080FB37B">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t/a</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14:paraId="640492F7">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产生浓度mg/L</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2AE81152">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产生量t/a</w:t>
            </w:r>
          </w:p>
        </w:tc>
        <w:tc>
          <w:tcPr>
            <w:tcW w:w="1253" w:type="dxa"/>
            <w:tcBorders>
              <w:top w:val="single" w:color="auto" w:sz="4" w:space="0"/>
              <w:left w:val="single" w:color="auto" w:sz="4" w:space="0"/>
              <w:bottom w:val="single" w:color="auto" w:sz="4" w:space="0"/>
              <w:right w:val="single" w:color="auto" w:sz="4" w:space="0"/>
            </w:tcBorders>
            <w:shd w:val="clear" w:color="auto" w:fill="auto"/>
            <w:vAlign w:val="center"/>
          </w:tcPr>
          <w:p w14:paraId="4D1004F1">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排放浓度mg/L</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14:paraId="7DEE9D04">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排放量</w:t>
            </w:r>
            <w:r>
              <w:rPr>
                <w:b/>
                <w:bCs/>
                <w:color w:val="auto"/>
                <w:sz w:val="21"/>
                <w:szCs w:val="21"/>
                <w:highlight w:val="none"/>
                <w:vertAlign w:val="superscript"/>
              </w:rPr>
              <w:t>*</w:t>
            </w:r>
            <w:r>
              <w:rPr>
                <w:b/>
                <w:bCs/>
                <w:color w:val="auto"/>
                <w:sz w:val="21"/>
                <w:szCs w:val="21"/>
                <w:highlight w:val="none"/>
              </w:rPr>
              <w:t>t/a</w:t>
            </w:r>
          </w:p>
        </w:tc>
        <w:tc>
          <w:tcPr>
            <w:tcW w:w="2799" w:type="dxa"/>
            <w:tcBorders>
              <w:top w:val="single" w:color="auto" w:sz="4" w:space="0"/>
              <w:left w:val="single" w:color="auto" w:sz="4" w:space="0"/>
              <w:bottom w:val="single" w:color="auto" w:sz="4" w:space="0"/>
              <w:right w:val="single" w:color="auto" w:sz="4" w:space="0"/>
            </w:tcBorders>
            <w:shd w:val="clear" w:color="auto" w:fill="auto"/>
            <w:vAlign w:val="center"/>
          </w:tcPr>
          <w:p w14:paraId="7B932FA8">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排放去向</w:t>
            </w:r>
          </w:p>
        </w:tc>
      </w:tr>
      <w:tr w14:paraId="17CA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79EA9DEC">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right w:val="single" w:color="auto" w:sz="4" w:space="0"/>
            </w:tcBorders>
            <w:vAlign w:val="center"/>
          </w:tcPr>
          <w:p w14:paraId="4CAA5C69">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965" w:type="dxa"/>
            <w:tcBorders>
              <w:top w:val="single" w:color="auto" w:sz="4" w:space="0"/>
              <w:left w:val="single" w:color="auto" w:sz="4" w:space="0"/>
              <w:bottom w:val="single" w:color="auto" w:sz="4" w:space="0"/>
              <w:right w:val="single" w:color="auto" w:sz="4" w:space="0"/>
            </w:tcBorders>
            <w:vAlign w:val="center"/>
          </w:tcPr>
          <w:p w14:paraId="267BD64A">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361" w:type="dxa"/>
            <w:tcBorders>
              <w:top w:val="single" w:color="auto" w:sz="4" w:space="0"/>
              <w:left w:val="single" w:color="auto" w:sz="4" w:space="0"/>
              <w:right w:val="single" w:color="auto" w:sz="4" w:space="0"/>
            </w:tcBorders>
            <w:vAlign w:val="center"/>
          </w:tcPr>
          <w:p w14:paraId="054EE10F">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256" w:type="dxa"/>
            <w:tcBorders>
              <w:top w:val="single" w:color="auto" w:sz="4" w:space="0"/>
              <w:left w:val="single" w:color="auto" w:sz="4" w:space="0"/>
              <w:bottom w:val="single" w:color="auto" w:sz="4" w:space="0"/>
              <w:right w:val="single" w:color="auto" w:sz="4" w:space="0"/>
            </w:tcBorders>
            <w:vAlign w:val="center"/>
          </w:tcPr>
          <w:p w14:paraId="61ED262D">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470" w:type="dxa"/>
            <w:tcBorders>
              <w:top w:val="single" w:color="auto" w:sz="4" w:space="0"/>
              <w:left w:val="single" w:color="auto" w:sz="4" w:space="0"/>
              <w:bottom w:val="single" w:color="auto" w:sz="4" w:space="0"/>
              <w:right w:val="single" w:color="auto" w:sz="4" w:space="0"/>
            </w:tcBorders>
            <w:vAlign w:val="center"/>
          </w:tcPr>
          <w:p w14:paraId="69D6DFE9">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253" w:type="dxa"/>
            <w:tcBorders>
              <w:top w:val="single" w:color="auto" w:sz="4" w:space="0"/>
              <w:left w:val="single" w:color="auto" w:sz="4" w:space="0"/>
              <w:bottom w:val="single" w:color="auto" w:sz="4" w:space="0"/>
              <w:right w:val="single" w:color="auto" w:sz="4" w:space="0"/>
            </w:tcBorders>
            <w:vAlign w:val="center"/>
          </w:tcPr>
          <w:p w14:paraId="58764305">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1399" w:type="dxa"/>
            <w:tcBorders>
              <w:top w:val="single" w:color="auto" w:sz="4" w:space="0"/>
              <w:left w:val="single" w:color="auto" w:sz="4" w:space="0"/>
              <w:bottom w:val="single" w:color="auto" w:sz="4" w:space="0"/>
              <w:right w:val="single" w:color="auto" w:sz="4" w:space="0"/>
            </w:tcBorders>
            <w:vAlign w:val="center"/>
          </w:tcPr>
          <w:p w14:paraId="0D62CF45">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c>
          <w:tcPr>
            <w:tcW w:w="2799" w:type="dxa"/>
            <w:tcBorders>
              <w:left w:val="single" w:color="auto" w:sz="4" w:space="0"/>
              <w:right w:val="single" w:color="auto" w:sz="4" w:space="0"/>
            </w:tcBorders>
            <w:vAlign w:val="center"/>
          </w:tcPr>
          <w:p w14:paraId="07D27036">
            <w:pPr>
              <w:pStyle w:val="154"/>
              <w:keepNext w:val="0"/>
              <w:keepLines w:val="0"/>
              <w:pageBreakBefore w:val="0"/>
              <w:kinsoku/>
              <w:wordWrap/>
              <w:overflowPunct/>
              <w:topLinePunct w:val="0"/>
              <w:autoSpaceDE/>
              <w:autoSpaceDN/>
              <w:bidi w:val="0"/>
              <w:ind w:left="0" w:right="0"/>
              <w:rPr>
                <w:color w:val="auto"/>
                <w:sz w:val="21"/>
                <w:szCs w:val="21"/>
                <w:highlight w:val="none"/>
              </w:rPr>
            </w:pPr>
            <w:r>
              <w:rPr>
                <w:rFonts w:hint="eastAsia"/>
                <w:color w:val="auto"/>
                <w:sz w:val="21"/>
                <w:szCs w:val="21"/>
                <w:highlight w:val="none"/>
              </w:rPr>
              <w:t>/</w:t>
            </w:r>
          </w:p>
        </w:tc>
      </w:tr>
      <w:tr w14:paraId="7888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restart"/>
            <w:tcBorders>
              <w:top w:val="single" w:color="auto" w:sz="4" w:space="0"/>
              <w:left w:val="single" w:color="auto" w:sz="4" w:space="0"/>
              <w:right w:val="single" w:color="auto" w:sz="4" w:space="0"/>
            </w:tcBorders>
            <w:vAlign w:val="center"/>
          </w:tcPr>
          <w:p w14:paraId="43F75471">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固体</w:t>
            </w:r>
          </w:p>
          <w:p w14:paraId="1F29770B">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废物</w:t>
            </w:r>
          </w:p>
        </w:tc>
        <w:tc>
          <w:tcPr>
            <w:tcW w:w="17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60CFD8">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类别</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14:paraId="5C1EBBE7">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产生量t/a</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C236C8">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处理处置t/a</w:t>
            </w:r>
          </w:p>
        </w:tc>
        <w:tc>
          <w:tcPr>
            <w:tcW w:w="2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14F671">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综合利用量t/a</w:t>
            </w:r>
          </w:p>
        </w:tc>
        <w:tc>
          <w:tcPr>
            <w:tcW w:w="41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DE191F">
            <w:pPr>
              <w:pStyle w:val="154"/>
              <w:keepNext w:val="0"/>
              <w:keepLines w:val="0"/>
              <w:pageBreakBefore w:val="0"/>
              <w:kinsoku/>
              <w:wordWrap/>
              <w:overflowPunct/>
              <w:topLinePunct w:val="0"/>
              <w:autoSpaceDE/>
              <w:autoSpaceDN/>
              <w:bidi w:val="0"/>
              <w:ind w:left="0" w:right="0"/>
              <w:rPr>
                <w:b/>
                <w:bCs/>
                <w:color w:val="auto"/>
                <w:sz w:val="21"/>
                <w:szCs w:val="21"/>
                <w:highlight w:val="none"/>
              </w:rPr>
            </w:pPr>
            <w:r>
              <w:rPr>
                <w:b/>
                <w:bCs/>
                <w:color w:val="auto"/>
                <w:sz w:val="21"/>
                <w:szCs w:val="21"/>
                <w:highlight w:val="none"/>
              </w:rPr>
              <w:t>外排量t/a</w:t>
            </w:r>
          </w:p>
        </w:tc>
      </w:tr>
      <w:tr w14:paraId="1A04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5D73A981">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28FF2046">
            <w:pPr>
              <w:pStyle w:val="98"/>
              <w:keepNext w:val="0"/>
              <w:keepLines w:val="0"/>
              <w:pageBreakBefore w:val="0"/>
              <w:kinsoku/>
              <w:wordWrap/>
              <w:overflowPunct/>
              <w:topLinePunct w:val="0"/>
              <w:autoSpaceDE/>
              <w:autoSpaceDN/>
              <w:bidi w:val="0"/>
              <w:adjustRightInd w:val="0"/>
              <w:snapToGrid w:val="0"/>
              <w:ind w:left="0" w:right="0"/>
              <w:rPr>
                <w:color w:val="auto"/>
                <w:sz w:val="21"/>
                <w:szCs w:val="21"/>
                <w:highlight w:val="none"/>
              </w:rPr>
            </w:pPr>
            <w:r>
              <w:rPr>
                <w:rFonts w:hint="eastAsia" w:ascii="宋体" w:hAnsi="宋体" w:eastAsia="宋体" w:cs="宋体"/>
                <w:color w:val="auto"/>
                <w:sz w:val="21"/>
                <w:szCs w:val="18"/>
                <w:highlight w:val="none"/>
                <w:lang w:val="en-US"/>
              </w:rPr>
              <w:t>废</w:t>
            </w:r>
            <w:r>
              <w:rPr>
                <w:rFonts w:hint="eastAsia"/>
                <w:color w:val="auto"/>
                <w:sz w:val="21"/>
                <w:szCs w:val="18"/>
                <w:highlight w:val="none"/>
                <w:lang w:val="en-US"/>
              </w:rPr>
              <w:t>滤芯</w:t>
            </w:r>
          </w:p>
        </w:tc>
        <w:tc>
          <w:tcPr>
            <w:tcW w:w="1965" w:type="dxa"/>
            <w:tcBorders>
              <w:top w:val="single" w:color="auto" w:sz="4" w:space="0"/>
              <w:left w:val="single" w:color="auto" w:sz="4" w:space="0"/>
              <w:bottom w:val="single" w:color="auto" w:sz="4" w:space="0"/>
              <w:right w:val="single" w:color="auto" w:sz="4" w:space="0"/>
            </w:tcBorders>
            <w:vAlign w:val="center"/>
          </w:tcPr>
          <w:p w14:paraId="0D2AFE47">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2</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0AB04958">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2</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48383928">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1C320B1D">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5F76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7D9D4CE9">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72B7248F">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实验废液</w:t>
            </w:r>
          </w:p>
        </w:tc>
        <w:tc>
          <w:tcPr>
            <w:tcW w:w="1965" w:type="dxa"/>
            <w:tcBorders>
              <w:top w:val="single" w:color="auto" w:sz="4" w:space="0"/>
              <w:left w:val="single" w:color="auto" w:sz="4" w:space="0"/>
              <w:bottom w:val="single" w:color="auto" w:sz="4" w:space="0"/>
              <w:right w:val="single" w:color="auto" w:sz="4" w:space="0"/>
            </w:tcBorders>
            <w:vAlign w:val="center"/>
          </w:tcPr>
          <w:p w14:paraId="487D9F18">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152C04CA">
            <w:pPr>
              <w:keepNext w:val="0"/>
              <w:keepLines w:val="0"/>
              <w:pageBreakBefore w:val="0"/>
              <w:kinsoku/>
              <w:wordWrap/>
              <w:overflowPunct/>
              <w:topLinePunct w:val="0"/>
              <w:autoSpaceDE/>
              <w:autoSpaceDN/>
              <w:bidi w:val="0"/>
              <w:ind w:left="0" w:right="0"/>
              <w:jc w:val="center"/>
              <w:rPr>
                <w:rFonts w:hint="default"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6208BB5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3B71CCAD">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303B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08A60CE9">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746AA74C">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废实验耗材</w:t>
            </w:r>
          </w:p>
        </w:tc>
        <w:tc>
          <w:tcPr>
            <w:tcW w:w="1965" w:type="dxa"/>
            <w:tcBorders>
              <w:top w:val="single" w:color="auto" w:sz="4" w:space="0"/>
              <w:left w:val="single" w:color="auto" w:sz="4" w:space="0"/>
              <w:bottom w:val="single" w:color="auto" w:sz="4" w:space="0"/>
              <w:right w:val="single" w:color="auto" w:sz="4" w:space="0"/>
            </w:tcBorders>
            <w:vAlign w:val="center"/>
          </w:tcPr>
          <w:p w14:paraId="4A72CBDF">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0.5</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74A9FC28">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0.5</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536D0681">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4A4899AA">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0CB4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317F3CF6">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798E0200">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废过滤介质</w:t>
            </w:r>
          </w:p>
        </w:tc>
        <w:tc>
          <w:tcPr>
            <w:tcW w:w="1965" w:type="dxa"/>
            <w:tcBorders>
              <w:top w:val="single" w:color="auto" w:sz="4" w:space="0"/>
              <w:left w:val="single" w:color="auto" w:sz="4" w:space="0"/>
              <w:bottom w:val="single" w:color="auto" w:sz="4" w:space="0"/>
              <w:right w:val="single" w:color="auto" w:sz="4" w:space="0"/>
            </w:tcBorders>
            <w:vAlign w:val="center"/>
          </w:tcPr>
          <w:p w14:paraId="3CCECCB2">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2</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1391C163">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2D9F1EE1">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2</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03D6BC9A">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08F2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14AC02BE">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18337518">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p w14:paraId="5CE40D69">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（纯水制备）</w:t>
            </w:r>
          </w:p>
        </w:tc>
        <w:tc>
          <w:tcPr>
            <w:tcW w:w="1965" w:type="dxa"/>
            <w:tcBorders>
              <w:top w:val="single" w:color="auto" w:sz="4" w:space="0"/>
              <w:left w:val="single" w:color="auto" w:sz="4" w:space="0"/>
              <w:bottom w:val="single" w:color="auto" w:sz="4" w:space="0"/>
              <w:right w:val="single" w:color="auto" w:sz="4" w:space="0"/>
            </w:tcBorders>
            <w:vAlign w:val="center"/>
          </w:tcPr>
          <w:p w14:paraId="0FCE2FB2">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1</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43A889E9">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28542AB9">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1</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649474DB">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2795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1027B3C8">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65152C7E">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废RO膜</w:t>
            </w:r>
          </w:p>
        </w:tc>
        <w:tc>
          <w:tcPr>
            <w:tcW w:w="1965" w:type="dxa"/>
            <w:tcBorders>
              <w:top w:val="single" w:color="auto" w:sz="4" w:space="0"/>
              <w:left w:val="single" w:color="auto" w:sz="4" w:space="0"/>
              <w:bottom w:val="single" w:color="auto" w:sz="4" w:space="0"/>
              <w:right w:val="single" w:color="auto" w:sz="4" w:space="0"/>
            </w:tcBorders>
            <w:vAlign w:val="center"/>
          </w:tcPr>
          <w:p w14:paraId="1E231422">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0.5</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154894A0">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55D20D3F">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0.5</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7697CA7F">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0BBE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78C34056">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55ED88C0">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废包装桶（瓶）</w:t>
            </w:r>
          </w:p>
        </w:tc>
        <w:tc>
          <w:tcPr>
            <w:tcW w:w="1965" w:type="dxa"/>
            <w:tcBorders>
              <w:top w:val="single" w:color="auto" w:sz="4" w:space="0"/>
              <w:left w:val="single" w:color="auto" w:sz="4" w:space="0"/>
              <w:bottom w:val="single" w:color="auto" w:sz="4" w:space="0"/>
              <w:right w:val="single" w:color="auto" w:sz="4" w:space="0"/>
            </w:tcBorders>
            <w:vAlign w:val="center"/>
          </w:tcPr>
          <w:p w14:paraId="5542C694">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1EA36973">
            <w:pPr>
              <w:keepNext w:val="0"/>
              <w:keepLines w:val="0"/>
              <w:pageBreakBefore w:val="0"/>
              <w:kinsoku/>
              <w:wordWrap/>
              <w:overflowPunct/>
              <w:topLinePunct w:val="0"/>
              <w:autoSpaceDE/>
              <w:autoSpaceDN/>
              <w:bidi w:val="0"/>
              <w:ind w:left="0" w:right="0"/>
              <w:jc w:val="center"/>
              <w:rPr>
                <w:rFonts w:hint="default"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7.79</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12371645">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6DE99AA6">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42D3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1C74BD5F">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4BFAA3AA">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废包装袋</w:t>
            </w:r>
          </w:p>
        </w:tc>
        <w:tc>
          <w:tcPr>
            <w:tcW w:w="1965" w:type="dxa"/>
            <w:tcBorders>
              <w:top w:val="single" w:color="auto" w:sz="4" w:space="0"/>
              <w:left w:val="single" w:color="auto" w:sz="4" w:space="0"/>
              <w:bottom w:val="single" w:color="auto" w:sz="4" w:space="0"/>
              <w:right w:val="single" w:color="auto" w:sz="4" w:space="0"/>
            </w:tcBorders>
            <w:vAlign w:val="center"/>
          </w:tcPr>
          <w:p w14:paraId="2FF80EC1">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rPr>
              <w:t>0.2</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71062B5B">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21"/>
                <w:highlight w:val="none"/>
              </w:rPr>
              <w:t>0.2</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11F62422">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667309EC">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25C3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41671F3E">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3010EB8E">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p w14:paraId="6B394EC9">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sz w:val="21"/>
                <w:szCs w:val="18"/>
                <w:highlight w:val="none"/>
              </w:rPr>
              <w:t>（废气处理）</w:t>
            </w:r>
          </w:p>
        </w:tc>
        <w:tc>
          <w:tcPr>
            <w:tcW w:w="1965" w:type="dxa"/>
            <w:tcBorders>
              <w:top w:val="single" w:color="auto" w:sz="4" w:space="0"/>
              <w:left w:val="single" w:color="auto" w:sz="4" w:space="0"/>
              <w:bottom w:val="single" w:color="auto" w:sz="4" w:space="0"/>
              <w:right w:val="single" w:color="auto" w:sz="4" w:space="0"/>
            </w:tcBorders>
            <w:vAlign w:val="center"/>
          </w:tcPr>
          <w:p w14:paraId="31719AF9">
            <w:pPr>
              <w:keepNext w:val="0"/>
              <w:keepLines w:val="0"/>
              <w:pageBreakBefore w:val="0"/>
              <w:kinsoku/>
              <w:wordWrap/>
              <w:overflowPunct/>
              <w:autoSpaceDE/>
              <w:autoSpaceDN/>
              <w:bidi w:val="0"/>
              <w:ind w:left="0" w:leftChars="0" w:right="0" w:rightChars="0"/>
              <w:jc w:val="center"/>
              <w:textAlignment w:val="auto"/>
              <w:rPr>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51C723CB">
            <w:pPr>
              <w:keepNext w:val="0"/>
              <w:keepLines w:val="0"/>
              <w:pageBreakBefore w:val="0"/>
              <w:kinsoku/>
              <w:wordWrap/>
              <w:overflowPunct/>
              <w:topLinePunct w:val="0"/>
              <w:autoSpaceDE/>
              <w:autoSpaceDN/>
              <w:bidi w:val="0"/>
              <w:ind w:left="0" w:right="0"/>
              <w:jc w:val="center"/>
              <w:rPr>
                <w:rFonts w:hint="default"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10.4089</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48E23DC0">
            <w:pPr>
              <w:keepNext w:val="0"/>
              <w:keepLines w:val="0"/>
              <w:pageBreakBefore w:val="0"/>
              <w:kinsoku/>
              <w:wordWrap/>
              <w:overflowPunct/>
              <w:topLinePunct w:val="0"/>
              <w:autoSpaceDE/>
              <w:autoSpaceDN/>
              <w:bidi w:val="0"/>
              <w:ind w:left="0" w:right="0"/>
              <w:jc w:val="center"/>
              <w:rPr>
                <w:color w:val="auto"/>
                <w:sz w:val="21"/>
                <w:szCs w:val="21"/>
                <w:highlight w:val="none"/>
              </w:rPr>
            </w:pPr>
            <w:r>
              <w:rPr>
                <w:rFonts w:hint="eastAsia" w:ascii="Times New Roman" w:hAnsi="Times New Roman" w:cs="Times New Roman"/>
                <w:color w:val="auto"/>
                <w:kern w:val="2"/>
                <w:sz w:val="21"/>
                <w:szCs w:val="21"/>
                <w:highlight w:val="none"/>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4E277F20">
            <w:pPr>
              <w:pStyle w:val="154"/>
              <w:keepNext w:val="0"/>
              <w:keepLines w:val="0"/>
              <w:pageBreakBefore w:val="0"/>
              <w:kinsoku/>
              <w:wordWrap/>
              <w:overflowPunct/>
              <w:topLinePunct w:val="0"/>
              <w:autoSpaceDE/>
              <w:autoSpaceDN/>
              <w:bidi w:val="0"/>
              <w:ind w:left="0" w:right="0"/>
              <w:rPr>
                <w:color w:val="auto"/>
                <w:sz w:val="21"/>
                <w:szCs w:val="21"/>
                <w:highlight w:val="none"/>
              </w:rPr>
            </w:pPr>
            <w:r>
              <w:rPr>
                <w:color w:val="auto"/>
                <w:sz w:val="21"/>
                <w:szCs w:val="21"/>
                <w:highlight w:val="none"/>
              </w:rPr>
              <w:t>0</w:t>
            </w:r>
          </w:p>
        </w:tc>
      </w:tr>
      <w:tr w14:paraId="19BA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45" w:type="dxa"/>
            <w:vMerge w:val="continue"/>
            <w:tcBorders>
              <w:left w:val="single" w:color="auto" w:sz="4" w:space="0"/>
              <w:right w:val="single" w:color="auto" w:sz="4" w:space="0"/>
            </w:tcBorders>
            <w:vAlign w:val="center"/>
          </w:tcPr>
          <w:p w14:paraId="19129D41">
            <w:pPr>
              <w:pStyle w:val="154"/>
              <w:keepNext w:val="0"/>
              <w:keepLines w:val="0"/>
              <w:pageBreakBefore w:val="0"/>
              <w:kinsoku/>
              <w:wordWrap/>
              <w:overflowPunct/>
              <w:topLinePunct w:val="0"/>
              <w:autoSpaceDE/>
              <w:autoSpaceDN/>
              <w:bidi w:val="0"/>
              <w:ind w:left="0" w:right="0"/>
              <w:rPr>
                <w:color w:val="auto"/>
                <w:sz w:val="21"/>
                <w:szCs w:val="21"/>
                <w:highlight w:val="none"/>
              </w:rPr>
            </w:pPr>
          </w:p>
        </w:tc>
        <w:tc>
          <w:tcPr>
            <w:tcW w:w="1728" w:type="dxa"/>
            <w:gridSpan w:val="2"/>
            <w:tcBorders>
              <w:top w:val="single" w:color="auto" w:sz="4" w:space="0"/>
              <w:left w:val="single" w:color="auto" w:sz="4" w:space="0"/>
              <w:bottom w:val="single" w:color="auto" w:sz="4" w:space="0"/>
              <w:right w:val="single" w:color="auto" w:sz="4" w:space="0"/>
            </w:tcBorders>
            <w:vAlign w:val="center"/>
          </w:tcPr>
          <w:p w14:paraId="1E759935">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lang w:val="en-US" w:eastAsia="zh-CN"/>
              </w:rPr>
              <w:t>实验室清洗废水</w:t>
            </w:r>
          </w:p>
        </w:tc>
        <w:tc>
          <w:tcPr>
            <w:tcW w:w="1965" w:type="dxa"/>
            <w:tcBorders>
              <w:top w:val="single" w:color="auto" w:sz="4" w:space="0"/>
              <w:left w:val="single" w:color="auto" w:sz="4" w:space="0"/>
              <w:bottom w:val="single" w:color="auto" w:sz="4" w:space="0"/>
              <w:right w:val="single" w:color="auto" w:sz="4" w:space="0"/>
            </w:tcBorders>
            <w:vAlign w:val="center"/>
          </w:tcPr>
          <w:p w14:paraId="579A4B65">
            <w:pPr>
              <w:keepNext w:val="0"/>
              <w:keepLines w:val="0"/>
              <w:pageBreakBefore w:val="0"/>
              <w:kinsoku/>
              <w:wordWrap/>
              <w:overflowPunct/>
              <w:autoSpaceDE/>
              <w:autoSpaceDN/>
              <w:bidi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2617" w:type="dxa"/>
            <w:gridSpan w:val="2"/>
            <w:tcBorders>
              <w:top w:val="single" w:color="auto" w:sz="4" w:space="0"/>
              <w:left w:val="single" w:color="auto" w:sz="4" w:space="0"/>
              <w:bottom w:val="single" w:color="auto" w:sz="4" w:space="0"/>
              <w:right w:val="single" w:color="auto" w:sz="4" w:space="0"/>
            </w:tcBorders>
            <w:vAlign w:val="center"/>
          </w:tcPr>
          <w:p w14:paraId="35C74606">
            <w:pPr>
              <w:keepNext w:val="0"/>
              <w:keepLines w:val="0"/>
              <w:pageBreakBefore w:val="0"/>
              <w:kinsoku/>
              <w:wordWrap/>
              <w:overflowPunct/>
              <w:topLinePunct w:val="0"/>
              <w:autoSpaceDE/>
              <w:autoSpaceDN/>
              <w:bidi w:val="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2723" w:type="dxa"/>
            <w:gridSpan w:val="2"/>
            <w:tcBorders>
              <w:top w:val="single" w:color="auto" w:sz="4" w:space="0"/>
              <w:left w:val="single" w:color="auto" w:sz="4" w:space="0"/>
              <w:bottom w:val="single" w:color="auto" w:sz="4" w:space="0"/>
              <w:right w:val="single" w:color="auto" w:sz="4" w:space="0"/>
            </w:tcBorders>
            <w:vAlign w:val="center"/>
          </w:tcPr>
          <w:p w14:paraId="30FA759D">
            <w:pPr>
              <w:keepNext w:val="0"/>
              <w:keepLines w:val="0"/>
              <w:pageBreakBefore w:val="0"/>
              <w:kinsoku/>
              <w:wordWrap/>
              <w:overflowPunct/>
              <w:topLinePunct w:val="0"/>
              <w:autoSpaceDE/>
              <w:autoSpaceDN/>
              <w:bidi w:val="0"/>
              <w:ind w:left="0" w:right="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4198" w:type="dxa"/>
            <w:gridSpan w:val="2"/>
            <w:tcBorders>
              <w:top w:val="single" w:color="auto" w:sz="4" w:space="0"/>
              <w:left w:val="single" w:color="auto" w:sz="4" w:space="0"/>
              <w:bottom w:val="single" w:color="auto" w:sz="4" w:space="0"/>
              <w:right w:val="single" w:color="auto" w:sz="4" w:space="0"/>
            </w:tcBorders>
            <w:vAlign w:val="center"/>
          </w:tcPr>
          <w:p w14:paraId="69BCDB11">
            <w:pPr>
              <w:pStyle w:val="154"/>
              <w:keepNext w:val="0"/>
              <w:keepLines w:val="0"/>
              <w:pageBreakBefore w:val="0"/>
              <w:kinsoku/>
              <w:wordWrap/>
              <w:overflowPunct/>
              <w:topLinePunct w:val="0"/>
              <w:autoSpaceDE/>
              <w:autoSpaceDN/>
              <w:bidi w:val="0"/>
              <w:ind w:left="0" w:right="0"/>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r>
    </w:tbl>
    <w:p w14:paraId="57BC43BA">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4.7</w:t>
      </w:r>
      <w:r>
        <w:rPr>
          <w:rFonts w:eastAsia="宋体" w:cs="Times New Roman"/>
          <w:color w:val="auto"/>
          <w:sz w:val="24"/>
          <w:szCs w:val="24"/>
          <w:highlight w:val="none"/>
        </w:rPr>
        <w:fldChar w:fldCharType="end"/>
      </w:r>
      <w:r>
        <w:rPr>
          <w:rFonts w:eastAsia="宋体" w:cs="Times New Roman"/>
          <w:color w:val="auto"/>
          <w:sz w:val="24"/>
          <w:szCs w:val="24"/>
          <w:highlight w:val="none"/>
        </w:rPr>
        <w:noBreakHyphen/>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2</w:t>
      </w:r>
      <w:r>
        <w:rPr>
          <w:rFonts w:eastAsia="宋体" w:cs="Times New Roman"/>
          <w:color w:val="auto"/>
          <w:sz w:val="24"/>
          <w:szCs w:val="24"/>
          <w:highlight w:val="none"/>
        </w:rPr>
        <w:fldChar w:fldCharType="end"/>
      </w:r>
      <w:r>
        <w:rPr>
          <w:rFonts w:hint="eastAsia" w:eastAsia="宋体" w:cs="Times New Roman"/>
          <w:color w:val="auto"/>
          <w:sz w:val="24"/>
          <w:szCs w:val="24"/>
          <w:highlight w:val="none"/>
        </w:rPr>
        <w:t>本项目建成后，全厂污染物排放“三本账”一览表单位：t/a</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012"/>
        <w:gridCol w:w="2025"/>
        <w:gridCol w:w="2025"/>
        <w:gridCol w:w="2025"/>
        <w:gridCol w:w="2025"/>
        <w:gridCol w:w="2025"/>
        <w:gridCol w:w="2025"/>
      </w:tblGrid>
      <w:tr w14:paraId="61292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tcBorders>
              <w:tl2br w:val="nil"/>
              <w:tr2bl w:val="nil"/>
            </w:tcBorders>
            <w:vAlign w:val="center"/>
          </w:tcPr>
          <w:p w14:paraId="3254648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污染物类别</w:t>
            </w:r>
          </w:p>
        </w:tc>
        <w:tc>
          <w:tcPr>
            <w:tcW w:w="2025" w:type="dxa"/>
            <w:tcBorders>
              <w:tl2br w:val="nil"/>
              <w:tr2bl w:val="nil"/>
            </w:tcBorders>
            <w:vAlign w:val="center"/>
          </w:tcPr>
          <w:p w14:paraId="1935E98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污染物名称</w:t>
            </w:r>
          </w:p>
        </w:tc>
        <w:tc>
          <w:tcPr>
            <w:tcW w:w="2025" w:type="dxa"/>
            <w:tcBorders>
              <w:tl2br w:val="nil"/>
              <w:tr2bl w:val="nil"/>
            </w:tcBorders>
            <w:vAlign w:val="center"/>
          </w:tcPr>
          <w:p w14:paraId="09FC4F0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现有项目排放量*</w:t>
            </w:r>
          </w:p>
        </w:tc>
        <w:tc>
          <w:tcPr>
            <w:tcW w:w="2025" w:type="dxa"/>
            <w:tcBorders>
              <w:tl2br w:val="nil"/>
              <w:tr2bl w:val="nil"/>
            </w:tcBorders>
            <w:vAlign w:val="center"/>
          </w:tcPr>
          <w:p w14:paraId="75FB80B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以新带老削减量</w:t>
            </w:r>
          </w:p>
        </w:tc>
        <w:tc>
          <w:tcPr>
            <w:tcW w:w="2025" w:type="dxa"/>
            <w:tcBorders>
              <w:tl2br w:val="nil"/>
              <w:tr2bl w:val="nil"/>
            </w:tcBorders>
            <w:vAlign w:val="center"/>
          </w:tcPr>
          <w:p w14:paraId="03F9A3C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本项目排放量</w:t>
            </w:r>
          </w:p>
        </w:tc>
        <w:tc>
          <w:tcPr>
            <w:tcW w:w="2025" w:type="dxa"/>
            <w:tcBorders>
              <w:tl2br w:val="nil"/>
              <w:tr2bl w:val="nil"/>
            </w:tcBorders>
            <w:vAlign w:val="center"/>
          </w:tcPr>
          <w:p w14:paraId="726DF70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全厂排放量</w:t>
            </w:r>
          </w:p>
        </w:tc>
        <w:tc>
          <w:tcPr>
            <w:tcW w:w="2025" w:type="dxa"/>
            <w:tcBorders>
              <w:tl2br w:val="nil"/>
              <w:tr2bl w:val="nil"/>
            </w:tcBorders>
            <w:vAlign w:val="center"/>
          </w:tcPr>
          <w:p w14:paraId="77EFACF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增减量</w:t>
            </w:r>
          </w:p>
        </w:tc>
      </w:tr>
      <w:tr w14:paraId="3A6CB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2" w:type="dxa"/>
            <w:vMerge w:val="restart"/>
            <w:tcBorders>
              <w:tl2br w:val="nil"/>
              <w:tr2bl w:val="nil"/>
            </w:tcBorders>
            <w:vAlign w:val="center"/>
          </w:tcPr>
          <w:p w14:paraId="057CFB2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废气</w:t>
            </w:r>
          </w:p>
        </w:tc>
        <w:tc>
          <w:tcPr>
            <w:tcW w:w="1012" w:type="dxa"/>
            <w:vMerge w:val="restart"/>
            <w:tcBorders>
              <w:tl2br w:val="nil"/>
              <w:tr2bl w:val="nil"/>
            </w:tcBorders>
            <w:vAlign w:val="center"/>
          </w:tcPr>
          <w:p w14:paraId="3CA3E35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有组织</w:t>
            </w:r>
          </w:p>
        </w:tc>
        <w:tc>
          <w:tcPr>
            <w:tcW w:w="2025" w:type="dxa"/>
            <w:tcBorders>
              <w:tl2br w:val="nil"/>
              <w:tr2bl w:val="nil"/>
            </w:tcBorders>
            <w:vAlign w:val="center"/>
          </w:tcPr>
          <w:p w14:paraId="26EFD1B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s="Times New Roman"/>
                <w:color w:val="auto"/>
                <w:sz w:val="21"/>
                <w:szCs w:val="15"/>
                <w:highlight w:val="none"/>
              </w:rPr>
              <w:t>非甲烷总烃（含</w:t>
            </w:r>
            <w:r>
              <w:rPr>
                <w:rFonts w:ascii="Times New Roman" w:hAnsi="Times New Roman" w:cs="Times New Roman"/>
                <w:color w:val="auto"/>
                <w:sz w:val="21"/>
                <w:szCs w:val="15"/>
                <w:highlight w:val="none"/>
              </w:rPr>
              <w:t>2-</w:t>
            </w:r>
            <w:r>
              <w:rPr>
                <w:rFonts w:hint="eastAsia" w:cs="Times New Roman"/>
                <w:color w:val="auto"/>
                <w:sz w:val="21"/>
                <w:szCs w:val="15"/>
                <w:highlight w:val="none"/>
              </w:rPr>
              <w:t>乙二醇单乙醚醋酸酯、丁酮、异氰酸酯、丙烯酸）</w:t>
            </w:r>
          </w:p>
        </w:tc>
        <w:tc>
          <w:tcPr>
            <w:tcW w:w="2025" w:type="dxa"/>
            <w:tcBorders>
              <w:tl2br w:val="nil"/>
              <w:tr2bl w:val="nil"/>
            </w:tcBorders>
            <w:vAlign w:val="center"/>
          </w:tcPr>
          <w:p w14:paraId="2D8D842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1.9924</w:t>
            </w:r>
          </w:p>
        </w:tc>
        <w:tc>
          <w:tcPr>
            <w:tcW w:w="2025" w:type="dxa"/>
            <w:tcBorders>
              <w:tl2br w:val="nil"/>
              <w:tr2bl w:val="nil"/>
            </w:tcBorders>
            <w:vAlign w:val="center"/>
          </w:tcPr>
          <w:p w14:paraId="02AA86E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0.19924</w:t>
            </w:r>
          </w:p>
        </w:tc>
        <w:tc>
          <w:tcPr>
            <w:tcW w:w="2025" w:type="dxa"/>
            <w:tcBorders>
              <w:tl2br w:val="nil"/>
              <w:tr2bl w:val="nil"/>
            </w:tcBorders>
            <w:vAlign w:val="center"/>
          </w:tcPr>
          <w:p w14:paraId="45AA8AA3">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0.1160</w:t>
            </w:r>
          </w:p>
        </w:tc>
        <w:tc>
          <w:tcPr>
            <w:tcW w:w="2025" w:type="dxa"/>
            <w:tcBorders>
              <w:tl2br w:val="nil"/>
              <w:tr2bl w:val="nil"/>
            </w:tcBorders>
            <w:vAlign w:val="center"/>
          </w:tcPr>
          <w:p w14:paraId="35F7568F">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1.90916</w:t>
            </w:r>
          </w:p>
        </w:tc>
        <w:tc>
          <w:tcPr>
            <w:tcW w:w="2025" w:type="dxa"/>
            <w:tcBorders>
              <w:tl2br w:val="nil"/>
              <w:tr2bl w:val="nil"/>
            </w:tcBorders>
            <w:vAlign w:val="center"/>
          </w:tcPr>
          <w:p w14:paraId="55FA27E5">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-0.08324</w:t>
            </w:r>
          </w:p>
        </w:tc>
      </w:tr>
      <w:tr w14:paraId="00289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2" w:type="dxa"/>
            <w:vMerge w:val="continue"/>
            <w:tcBorders>
              <w:tl2br w:val="nil"/>
              <w:tr2bl w:val="nil"/>
            </w:tcBorders>
            <w:vAlign w:val="center"/>
          </w:tcPr>
          <w:p w14:paraId="6095FCB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1012" w:type="dxa"/>
            <w:vMerge w:val="continue"/>
            <w:tcBorders>
              <w:tl2br w:val="nil"/>
              <w:tr2bl w:val="nil"/>
            </w:tcBorders>
            <w:vAlign w:val="center"/>
          </w:tcPr>
          <w:p w14:paraId="0A5FA8E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2025" w:type="dxa"/>
            <w:tcBorders>
              <w:tl2br w:val="nil"/>
              <w:tr2bl w:val="nil"/>
            </w:tcBorders>
            <w:vAlign w:val="center"/>
          </w:tcPr>
          <w:p w14:paraId="63BAC01B">
            <w:pPr>
              <w:keepNext w:val="0"/>
              <w:keepLines w:val="0"/>
              <w:pageBreakBefore w:val="0"/>
              <w:widowControl/>
              <w:kinsoku/>
              <w:wordWrap/>
              <w:overflowPunct/>
              <w:topLinePunct w:val="0"/>
              <w:autoSpaceDE/>
              <w:autoSpaceDN/>
              <w:bidi w:val="0"/>
              <w:adjustRightInd/>
              <w:snapToGrid/>
              <w:ind w:left="0" w:right="0"/>
              <w:jc w:val="center"/>
              <w:rPr>
                <w:rFonts w:hint="eastAsia" w:eastAsia="宋体" w:cs="Times New Roman"/>
                <w:color w:val="auto"/>
                <w:sz w:val="21"/>
                <w:szCs w:val="15"/>
                <w:highlight w:val="none"/>
                <w:lang w:val="en-US" w:eastAsia="zh-CN"/>
              </w:rPr>
            </w:pPr>
            <w:r>
              <w:rPr>
                <w:rFonts w:hint="eastAsia" w:cs="Times New Roman"/>
                <w:color w:val="auto"/>
                <w:sz w:val="21"/>
                <w:szCs w:val="15"/>
                <w:highlight w:val="none"/>
                <w:lang w:val="en-US" w:eastAsia="zh-CN"/>
              </w:rPr>
              <w:t>氮氧化物</w:t>
            </w:r>
          </w:p>
        </w:tc>
        <w:tc>
          <w:tcPr>
            <w:tcW w:w="2025" w:type="dxa"/>
            <w:tcBorders>
              <w:tl2br w:val="nil"/>
              <w:tr2bl w:val="nil"/>
            </w:tcBorders>
            <w:vAlign w:val="center"/>
          </w:tcPr>
          <w:p w14:paraId="44BFAEA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15"/>
                <w:highlight w:val="none"/>
                <w:lang w:val="en-US" w:eastAsia="zh-CN"/>
              </w:rPr>
            </w:pPr>
            <w:r>
              <w:rPr>
                <w:rFonts w:hint="eastAsia" w:ascii="Times New Roman" w:hAnsi="Times New Roman" w:cs="Times New Roman"/>
                <w:color w:val="auto"/>
                <w:sz w:val="21"/>
                <w:szCs w:val="15"/>
                <w:highlight w:val="none"/>
                <w:lang w:val="en-US" w:eastAsia="zh-CN"/>
              </w:rPr>
              <w:t>0</w:t>
            </w:r>
          </w:p>
        </w:tc>
        <w:tc>
          <w:tcPr>
            <w:tcW w:w="2025" w:type="dxa"/>
            <w:tcBorders>
              <w:tl2br w:val="nil"/>
              <w:tr2bl w:val="nil"/>
            </w:tcBorders>
            <w:vAlign w:val="center"/>
          </w:tcPr>
          <w:p w14:paraId="75737A1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23323078">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0.0003</w:t>
            </w:r>
          </w:p>
        </w:tc>
        <w:tc>
          <w:tcPr>
            <w:tcW w:w="2025" w:type="dxa"/>
            <w:tcBorders>
              <w:tl2br w:val="nil"/>
              <w:tr2bl w:val="nil"/>
            </w:tcBorders>
            <w:vAlign w:val="center"/>
          </w:tcPr>
          <w:p w14:paraId="2F3938B8">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0.0003</w:t>
            </w:r>
          </w:p>
        </w:tc>
        <w:tc>
          <w:tcPr>
            <w:tcW w:w="2025" w:type="dxa"/>
            <w:tcBorders>
              <w:tl2br w:val="nil"/>
              <w:tr2bl w:val="nil"/>
            </w:tcBorders>
            <w:vAlign w:val="center"/>
          </w:tcPr>
          <w:p w14:paraId="31B86564">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+0.0003</w:t>
            </w:r>
          </w:p>
        </w:tc>
      </w:tr>
      <w:tr w14:paraId="4B4CD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2" w:type="dxa"/>
            <w:vMerge w:val="continue"/>
            <w:tcBorders>
              <w:tl2br w:val="nil"/>
              <w:tr2bl w:val="nil"/>
            </w:tcBorders>
            <w:vAlign w:val="center"/>
          </w:tcPr>
          <w:p w14:paraId="771701E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1012" w:type="dxa"/>
            <w:vMerge w:val="restart"/>
            <w:tcBorders>
              <w:tl2br w:val="nil"/>
              <w:tr2bl w:val="nil"/>
            </w:tcBorders>
            <w:vAlign w:val="center"/>
          </w:tcPr>
          <w:p w14:paraId="6E19026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025" w:type="dxa"/>
            <w:tcBorders>
              <w:tl2br w:val="nil"/>
              <w:tr2bl w:val="nil"/>
            </w:tcBorders>
            <w:vAlign w:val="center"/>
          </w:tcPr>
          <w:p w14:paraId="1F343CB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s="Times New Roman"/>
                <w:color w:val="auto"/>
                <w:sz w:val="21"/>
                <w:szCs w:val="15"/>
                <w:highlight w:val="none"/>
              </w:rPr>
              <w:t>非甲烷总烃（含</w:t>
            </w:r>
            <w:r>
              <w:rPr>
                <w:rFonts w:ascii="Times New Roman" w:hAnsi="Times New Roman" w:cs="Times New Roman"/>
                <w:color w:val="auto"/>
                <w:sz w:val="21"/>
                <w:szCs w:val="15"/>
                <w:highlight w:val="none"/>
              </w:rPr>
              <w:t>2-</w:t>
            </w:r>
            <w:r>
              <w:rPr>
                <w:rFonts w:hint="eastAsia" w:cs="Times New Roman"/>
                <w:color w:val="auto"/>
                <w:sz w:val="21"/>
                <w:szCs w:val="15"/>
                <w:highlight w:val="none"/>
              </w:rPr>
              <w:t>乙二醇单乙醚醋酸酯、丁酮、异氰酸酯、丙烯酸、甲醇）</w:t>
            </w:r>
          </w:p>
        </w:tc>
        <w:tc>
          <w:tcPr>
            <w:tcW w:w="2025" w:type="dxa"/>
            <w:tcBorders>
              <w:tl2br w:val="nil"/>
              <w:tr2bl w:val="nil"/>
            </w:tcBorders>
            <w:vAlign w:val="center"/>
          </w:tcPr>
          <w:p w14:paraId="2964A0B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w:t>
            </w:r>
            <w:r>
              <w:rPr>
                <w:rFonts w:hint="eastAsia" w:ascii="Times New Roman" w:hAnsi="Times New Roman" w:cs="Times New Roman"/>
                <w:color w:val="auto"/>
                <w:sz w:val="21"/>
                <w:szCs w:val="15"/>
                <w:highlight w:val="none"/>
                <w:lang w:val="en-US" w:eastAsia="zh-CN"/>
              </w:rPr>
              <w:t>0</w:t>
            </w:r>
            <w:r>
              <w:rPr>
                <w:rFonts w:hint="eastAsia" w:ascii="Times New Roman" w:hAnsi="Times New Roman" w:cs="Times New Roman"/>
                <w:color w:val="auto"/>
                <w:sz w:val="21"/>
                <w:szCs w:val="15"/>
                <w:highlight w:val="none"/>
              </w:rPr>
              <w:t>275</w:t>
            </w:r>
          </w:p>
        </w:tc>
        <w:tc>
          <w:tcPr>
            <w:tcW w:w="2025" w:type="dxa"/>
            <w:tcBorders>
              <w:tl2br w:val="nil"/>
              <w:tr2bl w:val="nil"/>
            </w:tcBorders>
            <w:vAlign w:val="center"/>
          </w:tcPr>
          <w:p w14:paraId="7FE2901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0.00275</w:t>
            </w:r>
          </w:p>
        </w:tc>
        <w:tc>
          <w:tcPr>
            <w:tcW w:w="2025" w:type="dxa"/>
            <w:tcBorders>
              <w:tl2br w:val="nil"/>
              <w:tr2bl w:val="nil"/>
            </w:tcBorders>
            <w:vAlign w:val="center"/>
          </w:tcPr>
          <w:p w14:paraId="2F14FE9F">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0.0248</w:t>
            </w:r>
          </w:p>
        </w:tc>
        <w:tc>
          <w:tcPr>
            <w:tcW w:w="2025" w:type="dxa"/>
            <w:tcBorders>
              <w:tl2br w:val="nil"/>
              <w:tr2bl w:val="nil"/>
            </w:tcBorders>
            <w:vAlign w:val="center"/>
          </w:tcPr>
          <w:p w14:paraId="4455868B">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0.04955</w:t>
            </w:r>
          </w:p>
        </w:tc>
        <w:tc>
          <w:tcPr>
            <w:tcW w:w="2025" w:type="dxa"/>
            <w:tcBorders>
              <w:tl2br w:val="nil"/>
              <w:tr2bl w:val="nil"/>
            </w:tcBorders>
            <w:vAlign w:val="center"/>
          </w:tcPr>
          <w:p w14:paraId="16634996">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+0.02205</w:t>
            </w:r>
          </w:p>
        </w:tc>
      </w:tr>
      <w:tr w14:paraId="46F05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2" w:type="dxa"/>
            <w:vMerge w:val="continue"/>
            <w:tcBorders>
              <w:tl2br w:val="nil"/>
              <w:tr2bl w:val="nil"/>
            </w:tcBorders>
            <w:vAlign w:val="center"/>
          </w:tcPr>
          <w:p w14:paraId="31B5037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1012" w:type="dxa"/>
            <w:vMerge w:val="continue"/>
            <w:tcBorders>
              <w:tl2br w:val="nil"/>
              <w:tr2bl w:val="nil"/>
            </w:tcBorders>
            <w:vAlign w:val="center"/>
          </w:tcPr>
          <w:p w14:paraId="069004B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2025" w:type="dxa"/>
            <w:tcBorders>
              <w:tl2br w:val="nil"/>
              <w:tr2bl w:val="nil"/>
            </w:tcBorders>
            <w:vAlign w:val="center"/>
          </w:tcPr>
          <w:p w14:paraId="05D8EAEE">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15"/>
                <w:highlight w:val="none"/>
              </w:rPr>
            </w:pPr>
            <w:r>
              <w:rPr>
                <w:rFonts w:hint="eastAsia" w:ascii="Times New Roman" w:hAnsi="Times New Roman" w:cs="Times New Roman"/>
                <w:color w:val="auto"/>
                <w:sz w:val="21"/>
                <w:szCs w:val="21"/>
                <w:highlight w:val="none"/>
                <w:lang w:val="en-US" w:eastAsia="zh-CN"/>
              </w:rPr>
              <w:t>氮氧化物</w:t>
            </w:r>
          </w:p>
        </w:tc>
        <w:tc>
          <w:tcPr>
            <w:tcW w:w="2025" w:type="dxa"/>
            <w:tcBorders>
              <w:tl2br w:val="nil"/>
              <w:tr2bl w:val="nil"/>
            </w:tcBorders>
            <w:vAlign w:val="center"/>
          </w:tcPr>
          <w:p w14:paraId="2F74B45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15"/>
                <w:highlight w:val="none"/>
                <w:lang w:val="en-US" w:eastAsia="zh-CN"/>
              </w:rPr>
            </w:pPr>
            <w:r>
              <w:rPr>
                <w:rFonts w:hint="eastAsia" w:ascii="Times New Roman" w:hAnsi="Times New Roman" w:cs="Times New Roman"/>
                <w:color w:val="auto"/>
                <w:sz w:val="21"/>
                <w:szCs w:val="15"/>
                <w:highlight w:val="none"/>
                <w:lang w:val="en-US" w:eastAsia="zh-CN"/>
              </w:rPr>
              <w:t>0</w:t>
            </w:r>
          </w:p>
        </w:tc>
        <w:tc>
          <w:tcPr>
            <w:tcW w:w="2025" w:type="dxa"/>
            <w:tcBorders>
              <w:tl2br w:val="nil"/>
              <w:tr2bl w:val="nil"/>
            </w:tcBorders>
            <w:vAlign w:val="center"/>
          </w:tcPr>
          <w:p w14:paraId="487F774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2A9DC78F">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0.00003</w:t>
            </w:r>
          </w:p>
        </w:tc>
        <w:tc>
          <w:tcPr>
            <w:tcW w:w="2025" w:type="dxa"/>
            <w:tcBorders>
              <w:tl2br w:val="nil"/>
              <w:tr2bl w:val="nil"/>
            </w:tcBorders>
            <w:vAlign w:val="center"/>
          </w:tcPr>
          <w:p w14:paraId="4FC390CA">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0.00003</w:t>
            </w:r>
          </w:p>
        </w:tc>
        <w:tc>
          <w:tcPr>
            <w:tcW w:w="2025" w:type="dxa"/>
            <w:tcBorders>
              <w:tl2br w:val="nil"/>
              <w:tr2bl w:val="nil"/>
            </w:tcBorders>
            <w:vAlign w:val="center"/>
          </w:tcPr>
          <w:p w14:paraId="3ED5CBE8">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+0.00003</w:t>
            </w:r>
          </w:p>
        </w:tc>
      </w:tr>
      <w:tr w14:paraId="6C9FE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2" w:type="dxa"/>
            <w:vMerge w:val="continue"/>
            <w:tcBorders>
              <w:tl2br w:val="nil"/>
              <w:tr2bl w:val="nil"/>
            </w:tcBorders>
            <w:vAlign w:val="center"/>
          </w:tcPr>
          <w:p w14:paraId="2E4F537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1012" w:type="dxa"/>
            <w:vMerge w:val="continue"/>
            <w:tcBorders>
              <w:tl2br w:val="nil"/>
              <w:tr2bl w:val="nil"/>
            </w:tcBorders>
            <w:vAlign w:val="center"/>
          </w:tcPr>
          <w:p w14:paraId="5FA916C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s="Times New Roman"/>
                <w:color w:val="auto"/>
                <w:sz w:val="21"/>
                <w:szCs w:val="21"/>
                <w:highlight w:val="none"/>
              </w:rPr>
            </w:pPr>
          </w:p>
        </w:tc>
        <w:tc>
          <w:tcPr>
            <w:tcW w:w="2025" w:type="dxa"/>
            <w:tcBorders>
              <w:tl2br w:val="nil"/>
              <w:tr2bl w:val="nil"/>
            </w:tcBorders>
            <w:vAlign w:val="center"/>
          </w:tcPr>
          <w:p w14:paraId="49ABF9C8">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15"/>
                <w:highlight w:val="none"/>
              </w:rPr>
            </w:pPr>
            <w:r>
              <w:rPr>
                <w:rFonts w:hint="eastAsia" w:ascii="Times New Roman" w:hAnsi="Times New Roman"/>
                <w:color w:val="auto"/>
                <w:sz w:val="21"/>
                <w:szCs w:val="21"/>
                <w:highlight w:val="none"/>
              </w:rPr>
              <w:t>甲醇</w:t>
            </w:r>
          </w:p>
        </w:tc>
        <w:tc>
          <w:tcPr>
            <w:tcW w:w="2025" w:type="dxa"/>
            <w:tcBorders>
              <w:tl2br w:val="nil"/>
              <w:tr2bl w:val="nil"/>
            </w:tcBorders>
            <w:vAlign w:val="center"/>
          </w:tcPr>
          <w:p w14:paraId="44A554A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15"/>
                <w:highlight w:val="none"/>
                <w:lang w:val="en-US" w:eastAsia="zh-CN"/>
              </w:rPr>
            </w:pPr>
            <w:r>
              <w:rPr>
                <w:rFonts w:hint="eastAsia" w:ascii="Times New Roman" w:hAnsi="Times New Roman" w:cs="Times New Roman"/>
                <w:color w:val="auto"/>
                <w:sz w:val="21"/>
                <w:szCs w:val="15"/>
                <w:highlight w:val="none"/>
                <w:lang w:val="en-US" w:eastAsia="zh-CN"/>
              </w:rPr>
              <w:t>0</w:t>
            </w:r>
          </w:p>
        </w:tc>
        <w:tc>
          <w:tcPr>
            <w:tcW w:w="2025" w:type="dxa"/>
            <w:tcBorders>
              <w:tl2br w:val="nil"/>
              <w:tr2bl w:val="nil"/>
            </w:tcBorders>
            <w:vAlign w:val="center"/>
          </w:tcPr>
          <w:p w14:paraId="1D24DB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41400D51">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0.0008</w:t>
            </w:r>
          </w:p>
        </w:tc>
        <w:tc>
          <w:tcPr>
            <w:tcW w:w="2025" w:type="dxa"/>
            <w:tcBorders>
              <w:tl2br w:val="nil"/>
              <w:tr2bl w:val="nil"/>
            </w:tcBorders>
            <w:vAlign w:val="center"/>
          </w:tcPr>
          <w:p w14:paraId="59A9E9F6">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0.0008</w:t>
            </w:r>
          </w:p>
        </w:tc>
        <w:tc>
          <w:tcPr>
            <w:tcW w:w="2025" w:type="dxa"/>
            <w:tcBorders>
              <w:tl2br w:val="nil"/>
              <w:tr2bl w:val="nil"/>
            </w:tcBorders>
            <w:vAlign w:val="center"/>
          </w:tcPr>
          <w:p w14:paraId="4FDDCD14">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+0.0008</w:t>
            </w:r>
          </w:p>
        </w:tc>
      </w:tr>
      <w:tr w14:paraId="5D276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restart"/>
            <w:tcBorders>
              <w:tl2br w:val="nil"/>
              <w:tr2bl w:val="nil"/>
            </w:tcBorders>
            <w:vAlign w:val="center"/>
          </w:tcPr>
          <w:p w14:paraId="2689AC5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废水</w:t>
            </w:r>
          </w:p>
        </w:tc>
        <w:tc>
          <w:tcPr>
            <w:tcW w:w="2025" w:type="dxa"/>
            <w:tcBorders>
              <w:tl2br w:val="nil"/>
              <w:tr2bl w:val="nil"/>
            </w:tcBorders>
            <w:vAlign w:val="center"/>
          </w:tcPr>
          <w:p w14:paraId="2D1ACB7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cs="Times New Roman"/>
                <w:color w:val="auto"/>
                <w:sz w:val="21"/>
                <w:szCs w:val="15"/>
                <w:highlight w:val="none"/>
              </w:rPr>
              <w:t>水量</w:t>
            </w:r>
          </w:p>
        </w:tc>
        <w:tc>
          <w:tcPr>
            <w:tcW w:w="2025" w:type="dxa"/>
            <w:tcBorders>
              <w:tl2br w:val="nil"/>
              <w:tr2bl w:val="nil"/>
            </w:tcBorders>
            <w:vAlign w:val="center"/>
          </w:tcPr>
          <w:p w14:paraId="0855287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3800</w:t>
            </w:r>
          </w:p>
        </w:tc>
        <w:tc>
          <w:tcPr>
            <w:tcW w:w="2025" w:type="dxa"/>
            <w:tcBorders>
              <w:tl2br w:val="nil"/>
              <w:tr2bl w:val="nil"/>
            </w:tcBorders>
            <w:vAlign w:val="center"/>
          </w:tcPr>
          <w:p w14:paraId="2174218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79DE473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24DEC87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3800</w:t>
            </w:r>
          </w:p>
        </w:tc>
        <w:tc>
          <w:tcPr>
            <w:tcW w:w="2025" w:type="dxa"/>
            <w:tcBorders>
              <w:tl2br w:val="nil"/>
              <w:tr2bl w:val="nil"/>
            </w:tcBorders>
            <w:vAlign w:val="center"/>
          </w:tcPr>
          <w:p w14:paraId="1941275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0D4D2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388549E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4CEF6D8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15"/>
                <w:highlight w:val="none"/>
              </w:rPr>
              <w:t>COD</w:t>
            </w:r>
          </w:p>
        </w:tc>
        <w:tc>
          <w:tcPr>
            <w:tcW w:w="2025" w:type="dxa"/>
            <w:tcBorders>
              <w:tl2br w:val="nil"/>
              <w:tr2bl w:val="nil"/>
            </w:tcBorders>
            <w:vAlign w:val="center"/>
          </w:tcPr>
          <w:p w14:paraId="71842F8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0.5</w:t>
            </w:r>
          </w:p>
        </w:tc>
        <w:tc>
          <w:tcPr>
            <w:tcW w:w="2025" w:type="dxa"/>
            <w:tcBorders>
              <w:tl2br w:val="nil"/>
              <w:tr2bl w:val="nil"/>
            </w:tcBorders>
            <w:vAlign w:val="center"/>
          </w:tcPr>
          <w:p w14:paraId="62C6897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7B18011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7240275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0.5</w:t>
            </w:r>
          </w:p>
        </w:tc>
        <w:tc>
          <w:tcPr>
            <w:tcW w:w="2025" w:type="dxa"/>
            <w:tcBorders>
              <w:tl2br w:val="nil"/>
              <w:tr2bl w:val="nil"/>
            </w:tcBorders>
            <w:vAlign w:val="center"/>
          </w:tcPr>
          <w:p w14:paraId="47A6ACF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2B802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2DBCBE4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3860422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15"/>
                <w:highlight w:val="none"/>
              </w:rPr>
              <w:t>SS</w:t>
            </w:r>
          </w:p>
        </w:tc>
        <w:tc>
          <w:tcPr>
            <w:tcW w:w="2025" w:type="dxa"/>
            <w:tcBorders>
              <w:tl2br w:val="nil"/>
              <w:tr2bl w:val="nil"/>
            </w:tcBorders>
            <w:vAlign w:val="center"/>
          </w:tcPr>
          <w:p w14:paraId="67738F6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0.248</w:t>
            </w:r>
          </w:p>
        </w:tc>
        <w:tc>
          <w:tcPr>
            <w:tcW w:w="2025" w:type="dxa"/>
            <w:tcBorders>
              <w:tl2br w:val="nil"/>
              <w:tr2bl w:val="nil"/>
            </w:tcBorders>
            <w:vAlign w:val="center"/>
          </w:tcPr>
          <w:p w14:paraId="301EC73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0E8E134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4DDAE41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0.248</w:t>
            </w:r>
          </w:p>
        </w:tc>
        <w:tc>
          <w:tcPr>
            <w:tcW w:w="2025" w:type="dxa"/>
            <w:tcBorders>
              <w:tl2br w:val="nil"/>
              <w:tr2bl w:val="nil"/>
            </w:tcBorders>
            <w:vAlign w:val="center"/>
          </w:tcPr>
          <w:p w14:paraId="704FF4F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7A58F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4581876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4D67B67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15"/>
                <w:highlight w:val="none"/>
              </w:rPr>
              <w:t>NH</w:t>
            </w:r>
            <w:r>
              <w:rPr>
                <w:rFonts w:ascii="Times New Roman" w:hAnsi="Times New Roman" w:cs="Times New Roman"/>
                <w:color w:val="auto"/>
                <w:sz w:val="21"/>
                <w:szCs w:val="15"/>
                <w:highlight w:val="none"/>
                <w:vertAlign w:val="subscript"/>
              </w:rPr>
              <w:t>3</w:t>
            </w:r>
            <w:r>
              <w:rPr>
                <w:rFonts w:ascii="Times New Roman" w:hAnsi="Times New Roman" w:cs="Times New Roman"/>
                <w:color w:val="auto"/>
                <w:sz w:val="21"/>
                <w:szCs w:val="15"/>
                <w:highlight w:val="none"/>
              </w:rPr>
              <w:t>-N</w:t>
            </w:r>
          </w:p>
        </w:tc>
        <w:tc>
          <w:tcPr>
            <w:tcW w:w="2025" w:type="dxa"/>
            <w:tcBorders>
              <w:tl2br w:val="nil"/>
              <w:tr2bl w:val="nil"/>
            </w:tcBorders>
            <w:vAlign w:val="center"/>
          </w:tcPr>
          <w:p w14:paraId="1E54F04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0.06</w:t>
            </w:r>
          </w:p>
        </w:tc>
        <w:tc>
          <w:tcPr>
            <w:tcW w:w="2025" w:type="dxa"/>
            <w:tcBorders>
              <w:tl2br w:val="nil"/>
              <w:tr2bl w:val="nil"/>
            </w:tcBorders>
            <w:vAlign w:val="center"/>
          </w:tcPr>
          <w:p w14:paraId="7D62BA5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2642821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3D7459F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0.06</w:t>
            </w:r>
          </w:p>
        </w:tc>
        <w:tc>
          <w:tcPr>
            <w:tcW w:w="2025" w:type="dxa"/>
            <w:tcBorders>
              <w:tl2br w:val="nil"/>
              <w:tr2bl w:val="nil"/>
            </w:tcBorders>
            <w:vAlign w:val="center"/>
          </w:tcPr>
          <w:p w14:paraId="129D438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3B708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7AF1E1C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761BD50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15"/>
                <w:highlight w:val="none"/>
              </w:rPr>
              <w:t>TP</w:t>
            </w:r>
          </w:p>
        </w:tc>
        <w:tc>
          <w:tcPr>
            <w:tcW w:w="2025" w:type="dxa"/>
            <w:tcBorders>
              <w:tl2br w:val="nil"/>
              <w:tr2bl w:val="nil"/>
            </w:tcBorders>
            <w:vAlign w:val="center"/>
          </w:tcPr>
          <w:p w14:paraId="2F362E4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0.004</w:t>
            </w:r>
          </w:p>
        </w:tc>
        <w:tc>
          <w:tcPr>
            <w:tcW w:w="2025" w:type="dxa"/>
            <w:tcBorders>
              <w:tl2br w:val="nil"/>
              <w:tr2bl w:val="nil"/>
            </w:tcBorders>
            <w:vAlign w:val="center"/>
          </w:tcPr>
          <w:p w14:paraId="75107F3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5423EB6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07FE514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0.004</w:t>
            </w:r>
          </w:p>
        </w:tc>
        <w:tc>
          <w:tcPr>
            <w:tcW w:w="2025" w:type="dxa"/>
            <w:tcBorders>
              <w:tl2br w:val="nil"/>
              <w:tr2bl w:val="nil"/>
            </w:tcBorders>
            <w:vAlign w:val="center"/>
          </w:tcPr>
          <w:p w14:paraId="19E8938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0F191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051656C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576BEA4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15"/>
                <w:highlight w:val="none"/>
              </w:rPr>
              <w:t>TN</w:t>
            </w:r>
          </w:p>
        </w:tc>
        <w:tc>
          <w:tcPr>
            <w:tcW w:w="2025" w:type="dxa"/>
            <w:tcBorders>
              <w:tl2br w:val="nil"/>
              <w:tr2bl w:val="nil"/>
            </w:tcBorders>
            <w:vAlign w:val="center"/>
          </w:tcPr>
          <w:p w14:paraId="12739D3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5"/>
                <w:highlight w:val="none"/>
              </w:rPr>
              <w:t>0.1188</w:t>
            </w:r>
          </w:p>
        </w:tc>
        <w:tc>
          <w:tcPr>
            <w:tcW w:w="2025" w:type="dxa"/>
            <w:tcBorders>
              <w:tl2br w:val="nil"/>
              <w:tr2bl w:val="nil"/>
            </w:tcBorders>
            <w:vAlign w:val="center"/>
          </w:tcPr>
          <w:p w14:paraId="463D6AA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576CD3D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2CED4DC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0.1188</w:t>
            </w:r>
          </w:p>
        </w:tc>
        <w:tc>
          <w:tcPr>
            <w:tcW w:w="2025" w:type="dxa"/>
            <w:tcBorders>
              <w:tl2br w:val="nil"/>
              <w:tr2bl w:val="nil"/>
            </w:tcBorders>
            <w:vAlign w:val="center"/>
          </w:tcPr>
          <w:p w14:paraId="5E3BD4E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01A41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restart"/>
            <w:tcBorders>
              <w:tl2br w:val="nil"/>
              <w:tr2bl w:val="nil"/>
            </w:tcBorders>
            <w:vAlign w:val="center"/>
          </w:tcPr>
          <w:p w14:paraId="71C8FB0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固体废物</w:t>
            </w:r>
          </w:p>
        </w:tc>
        <w:tc>
          <w:tcPr>
            <w:tcW w:w="2025" w:type="dxa"/>
            <w:tcBorders>
              <w:tl2br w:val="nil"/>
              <w:tr2bl w:val="nil"/>
            </w:tcBorders>
            <w:vAlign w:val="center"/>
          </w:tcPr>
          <w:p w14:paraId="23AEC7D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过滤残渣、浸润废料</w:t>
            </w:r>
          </w:p>
        </w:tc>
        <w:tc>
          <w:tcPr>
            <w:tcW w:w="2025" w:type="dxa"/>
            <w:tcBorders>
              <w:tl2br w:val="nil"/>
              <w:tr2bl w:val="nil"/>
            </w:tcBorders>
            <w:vAlign w:val="center"/>
          </w:tcPr>
          <w:p w14:paraId="2408885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40</w:t>
            </w:r>
          </w:p>
        </w:tc>
        <w:tc>
          <w:tcPr>
            <w:tcW w:w="2025" w:type="dxa"/>
            <w:tcBorders>
              <w:tl2br w:val="nil"/>
              <w:tr2bl w:val="nil"/>
            </w:tcBorders>
            <w:vAlign w:val="center"/>
          </w:tcPr>
          <w:p w14:paraId="5D1693D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2025" w:type="dxa"/>
            <w:tcBorders>
              <w:tl2br w:val="nil"/>
              <w:tr2bl w:val="nil"/>
            </w:tcBorders>
            <w:vAlign w:val="center"/>
          </w:tcPr>
          <w:p w14:paraId="214F741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41D3B49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36</w:t>
            </w:r>
          </w:p>
        </w:tc>
        <w:tc>
          <w:tcPr>
            <w:tcW w:w="2025" w:type="dxa"/>
            <w:tcBorders>
              <w:tl2br w:val="nil"/>
              <w:tr2bl w:val="nil"/>
            </w:tcBorders>
            <w:vAlign w:val="center"/>
          </w:tcPr>
          <w:p w14:paraId="45A4160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-4</w:t>
            </w:r>
          </w:p>
        </w:tc>
      </w:tr>
      <w:tr w14:paraId="695E2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1F21281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7D99FF4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废滤芯</w:t>
            </w:r>
          </w:p>
        </w:tc>
        <w:tc>
          <w:tcPr>
            <w:tcW w:w="2025" w:type="dxa"/>
            <w:tcBorders>
              <w:tl2br w:val="nil"/>
              <w:tr2bl w:val="nil"/>
            </w:tcBorders>
            <w:vAlign w:val="center"/>
          </w:tcPr>
          <w:p w14:paraId="286829E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2025" w:type="dxa"/>
            <w:tcBorders>
              <w:tl2br w:val="nil"/>
              <w:tr2bl w:val="nil"/>
            </w:tcBorders>
            <w:vAlign w:val="center"/>
          </w:tcPr>
          <w:p w14:paraId="26E90EF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7B62C9D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2025" w:type="dxa"/>
            <w:tcBorders>
              <w:tl2br w:val="nil"/>
              <w:tr2bl w:val="nil"/>
            </w:tcBorders>
            <w:vAlign w:val="center"/>
          </w:tcPr>
          <w:p w14:paraId="34E1EE7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7</w:t>
            </w:r>
          </w:p>
        </w:tc>
        <w:tc>
          <w:tcPr>
            <w:tcW w:w="2025" w:type="dxa"/>
            <w:tcBorders>
              <w:tl2br w:val="nil"/>
              <w:tr2bl w:val="nil"/>
            </w:tcBorders>
            <w:vAlign w:val="center"/>
          </w:tcPr>
          <w:p w14:paraId="74DA4F4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w:t>
            </w:r>
            <w:r>
              <w:rPr>
                <w:rFonts w:ascii="Times New Roman" w:hAnsi="Times New Roman" w:eastAsia="等线" w:cs="Times New Roman"/>
                <w:color w:val="auto"/>
                <w:sz w:val="21"/>
                <w:szCs w:val="21"/>
                <w:highlight w:val="none"/>
                <w:lang w:bidi="ar"/>
              </w:rPr>
              <w:t>2</w:t>
            </w:r>
          </w:p>
        </w:tc>
      </w:tr>
      <w:tr w14:paraId="19A9B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640D5B5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56405F8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废丁酮（含废树脂）</w:t>
            </w:r>
          </w:p>
        </w:tc>
        <w:tc>
          <w:tcPr>
            <w:tcW w:w="2025" w:type="dxa"/>
            <w:tcBorders>
              <w:tl2br w:val="nil"/>
              <w:tr2bl w:val="nil"/>
            </w:tcBorders>
            <w:vAlign w:val="center"/>
          </w:tcPr>
          <w:p w14:paraId="47FE5AC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153.75</w:t>
            </w:r>
          </w:p>
        </w:tc>
        <w:tc>
          <w:tcPr>
            <w:tcW w:w="2025" w:type="dxa"/>
            <w:tcBorders>
              <w:tl2br w:val="nil"/>
              <w:tr2bl w:val="nil"/>
            </w:tcBorders>
            <w:vAlign w:val="center"/>
          </w:tcPr>
          <w:p w14:paraId="40BD366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15.375</w:t>
            </w:r>
          </w:p>
        </w:tc>
        <w:tc>
          <w:tcPr>
            <w:tcW w:w="2025" w:type="dxa"/>
            <w:tcBorders>
              <w:tl2br w:val="nil"/>
              <w:tr2bl w:val="nil"/>
            </w:tcBorders>
            <w:vAlign w:val="center"/>
          </w:tcPr>
          <w:p w14:paraId="0F4193E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68E94E5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138.375</w:t>
            </w:r>
          </w:p>
        </w:tc>
        <w:tc>
          <w:tcPr>
            <w:tcW w:w="2025" w:type="dxa"/>
            <w:tcBorders>
              <w:tl2br w:val="nil"/>
              <w:tr2bl w:val="nil"/>
            </w:tcBorders>
            <w:vAlign w:val="center"/>
          </w:tcPr>
          <w:p w14:paraId="70C3F29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-15.375</w:t>
            </w:r>
          </w:p>
        </w:tc>
      </w:tr>
      <w:tr w14:paraId="54C76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7EF9911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54EB1B8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p w14:paraId="0730C4D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（废气处理）</w:t>
            </w:r>
          </w:p>
        </w:tc>
        <w:tc>
          <w:tcPr>
            <w:tcW w:w="2025" w:type="dxa"/>
            <w:tcBorders>
              <w:tl2br w:val="nil"/>
              <w:tr2bl w:val="nil"/>
            </w:tcBorders>
            <w:vAlign w:val="center"/>
          </w:tcPr>
          <w:p w14:paraId="7CAC719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9.612</w:t>
            </w:r>
          </w:p>
        </w:tc>
        <w:tc>
          <w:tcPr>
            <w:tcW w:w="2025" w:type="dxa"/>
            <w:tcBorders>
              <w:tl2br w:val="nil"/>
              <w:tr2bl w:val="nil"/>
            </w:tcBorders>
            <w:vAlign w:val="center"/>
          </w:tcPr>
          <w:p w14:paraId="5F9E6A9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bidi="ar"/>
              </w:rPr>
              <w:t>1.612</w:t>
            </w:r>
          </w:p>
        </w:tc>
        <w:tc>
          <w:tcPr>
            <w:tcW w:w="2025" w:type="dxa"/>
            <w:tcBorders>
              <w:tl2br w:val="nil"/>
              <w:tr2bl w:val="nil"/>
            </w:tcBorders>
            <w:vAlign w:val="center"/>
          </w:tcPr>
          <w:p w14:paraId="2872D5B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10.4089</w:t>
            </w:r>
          </w:p>
        </w:tc>
        <w:tc>
          <w:tcPr>
            <w:tcW w:w="2025" w:type="dxa"/>
            <w:tcBorders>
              <w:tl2br w:val="nil"/>
              <w:tr2bl w:val="nil"/>
            </w:tcBorders>
            <w:vAlign w:val="center"/>
          </w:tcPr>
          <w:p w14:paraId="6861FB83">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18.4089</w:t>
            </w:r>
          </w:p>
        </w:tc>
        <w:tc>
          <w:tcPr>
            <w:tcW w:w="2025" w:type="dxa"/>
            <w:tcBorders>
              <w:tl2br w:val="nil"/>
              <w:tr2bl w:val="nil"/>
            </w:tcBorders>
            <w:vAlign w:val="center"/>
          </w:tcPr>
          <w:p w14:paraId="22CDB82C">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+8.7969</w:t>
            </w:r>
          </w:p>
        </w:tc>
      </w:tr>
      <w:tr w14:paraId="54C71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6430CD2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2C31B85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废包装桶（瓶）</w:t>
            </w:r>
          </w:p>
        </w:tc>
        <w:tc>
          <w:tcPr>
            <w:tcW w:w="2025" w:type="dxa"/>
            <w:tcBorders>
              <w:tl2br w:val="nil"/>
              <w:tr2bl w:val="nil"/>
            </w:tcBorders>
            <w:vAlign w:val="center"/>
          </w:tcPr>
          <w:p w14:paraId="0332A56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184.135</w:t>
            </w:r>
          </w:p>
        </w:tc>
        <w:tc>
          <w:tcPr>
            <w:tcW w:w="2025" w:type="dxa"/>
            <w:tcBorders>
              <w:tl2br w:val="nil"/>
              <w:tr2bl w:val="nil"/>
            </w:tcBorders>
            <w:vAlign w:val="center"/>
          </w:tcPr>
          <w:p w14:paraId="7F134F2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18.4135</w:t>
            </w:r>
          </w:p>
        </w:tc>
        <w:tc>
          <w:tcPr>
            <w:tcW w:w="2025" w:type="dxa"/>
            <w:tcBorders>
              <w:tl2br w:val="nil"/>
              <w:tr2bl w:val="nil"/>
            </w:tcBorders>
            <w:vAlign w:val="center"/>
          </w:tcPr>
          <w:p w14:paraId="4FCAE7E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2025" w:type="dxa"/>
            <w:tcBorders>
              <w:tl2br w:val="nil"/>
              <w:tr2bl w:val="nil"/>
            </w:tcBorders>
            <w:vAlign w:val="center"/>
          </w:tcPr>
          <w:p w14:paraId="2A6CFD54">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173.5115</w:t>
            </w:r>
          </w:p>
        </w:tc>
        <w:tc>
          <w:tcPr>
            <w:tcW w:w="2025" w:type="dxa"/>
            <w:tcBorders>
              <w:tl2br w:val="nil"/>
              <w:tr2bl w:val="nil"/>
            </w:tcBorders>
            <w:vAlign w:val="center"/>
          </w:tcPr>
          <w:p w14:paraId="223B2E75">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-10.6235</w:t>
            </w:r>
          </w:p>
        </w:tc>
      </w:tr>
      <w:tr w14:paraId="0A907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25649A1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6FD5B8F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喷淋废液</w:t>
            </w:r>
          </w:p>
        </w:tc>
        <w:tc>
          <w:tcPr>
            <w:tcW w:w="2025" w:type="dxa"/>
            <w:tcBorders>
              <w:tl2br w:val="nil"/>
              <w:tr2bl w:val="nil"/>
            </w:tcBorders>
            <w:vAlign w:val="center"/>
          </w:tcPr>
          <w:p w14:paraId="1600E00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600</w:t>
            </w:r>
          </w:p>
        </w:tc>
        <w:tc>
          <w:tcPr>
            <w:tcW w:w="2025" w:type="dxa"/>
            <w:tcBorders>
              <w:tl2br w:val="nil"/>
              <w:tr2bl w:val="nil"/>
            </w:tcBorders>
            <w:vAlign w:val="center"/>
          </w:tcPr>
          <w:p w14:paraId="3868452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152762F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025" w:type="dxa"/>
            <w:tcBorders>
              <w:tl2br w:val="nil"/>
              <w:tr2bl w:val="nil"/>
            </w:tcBorders>
            <w:vAlign w:val="center"/>
          </w:tcPr>
          <w:p w14:paraId="0ADE05D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600</w:t>
            </w:r>
          </w:p>
        </w:tc>
        <w:tc>
          <w:tcPr>
            <w:tcW w:w="2025" w:type="dxa"/>
            <w:tcBorders>
              <w:tl2br w:val="nil"/>
              <w:tr2bl w:val="nil"/>
            </w:tcBorders>
            <w:vAlign w:val="center"/>
          </w:tcPr>
          <w:p w14:paraId="27729C0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w:t>
            </w:r>
          </w:p>
        </w:tc>
      </w:tr>
      <w:tr w14:paraId="75E3A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7BBEA63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37D3EE2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实验废液</w:t>
            </w:r>
          </w:p>
        </w:tc>
        <w:tc>
          <w:tcPr>
            <w:tcW w:w="2025" w:type="dxa"/>
            <w:tcBorders>
              <w:tl2br w:val="nil"/>
              <w:tr2bl w:val="nil"/>
            </w:tcBorders>
            <w:vAlign w:val="center"/>
          </w:tcPr>
          <w:p w14:paraId="230E1B6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445E4A7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516999D9">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c>
          <w:tcPr>
            <w:tcW w:w="2025" w:type="dxa"/>
            <w:tcBorders>
              <w:tl2br w:val="nil"/>
              <w:tr2bl w:val="nil"/>
            </w:tcBorders>
            <w:vAlign w:val="center"/>
          </w:tcPr>
          <w:p w14:paraId="193725B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0.02</w:t>
            </w:r>
          </w:p>
        </w:tc>
        <w:tc>
          <w:tcPr>
            <w:tcW w:w="2025" w:type="dxa"/>
            <w:tcBorders>
              <w:tl2br w:val="nil"/>
              <w:tr2bl w:val="nil"/>
            </w:tcBorders>
            <w:vAlign w:val="center"/>
          </w:tcPr>
          <w:p w14:paraId="0DE5F03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hint="eastAsia" w:ascii="Times New Roman" w:hAnsi="Times New Roman" w:cs="Times New Roman"/>
                <w:color w:val="auto"/>
                <w:sz w:val="21"/>
                <w:szCs w:val="21"/>
                <w:highlight w:val="none"/>
                <w:lang w:val="en-US" w:eastAsia="zh-CN"/>
              </w:rPr>
              <w:t>0.02</w:t>
            </w:r>
          </w:p>
        </w:tc>
      </w:tr>
      <w:tr w14:paraId="0FED5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4336CFE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25C3636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废实验耗材</w:t>
            </w:r>
          </w:p>
        </w:tc>
        <w:tc>
          <w:tcPr>
            <w:tcW w:w="2025" w:type="dxa"/>
            <w:tcBorders>
              <w:tl2br w:val="nil"/>
              <w:tr2bl w:val="nil"/>
            </w:tcBorders>
            <w:vAlign w:val="center"/>
          </w:tcPr>
          <w:p w14:paraId="2186FF3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6C7B93E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3014FEE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2025" w:type="dxa"/>
            <w:tcBorders>
              <w:tl2br w:val="nil"/>
              <w:tr2bl w:val="nil"/>
            </w:tcBorders>
            <w:vAlign w:val="center"/>
          </w:tcPr>
          <w:p w14:paraId="19AB624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0.5</w:t>
            </w:r>
          </w:p>
        </w:tc>
        <w:tc>
          <w:tcPr>
            <w:tcW w:w="2025" w:type="dxa"/>
            <w:tcBorders>
              <w:tl2br w:val="nil"/>
              <w:tr2bl w:val="nil"/>
            </w:tcBorders>
            <w:vAlign w:val="center"/>
          </w:tcPr>
          <w:p w14:paraId="7C65F88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ascii="Times New Roman" w:hAnsi="Times New Roman" w:eastAsia="等线" w:cs="Times New Roman"/>
                <w:color w:val="auto"/>
                <w:sz w:val="21"/>
                <w:szCs w:val="21"/>
                <w:highlight w:val="none"/>
                <w:lang w:bidi="ar"/>
              </w:rPr>
              <w:t>0.5</w:t>
            </w:r>
          </w:p>
        </w:tc>
      </w:tr>
      <w:tr w14:paraId="28567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7A8C38E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638C8AC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废过滤介质</w:t>
            </w:r>
          </w:p>
        </w:tc>
        <w:tc>
          <w:tcPr>
            <w:tcW w:w="2025" w:type="dxa"/>
            <w:tcBorders>
              <w:tl2br w:val="nil"/>
              <w:tr2bl w:val="nil"/>
            </w:tcBorders>
            <w:vAlign w:val="center"/>
          </w:tcPr>
          <w:p w14:paraId="16DCC87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3EA7C12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34454E2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2025" w:type="dxa"/>
            <w:tcBorders>
              <w:tl2br w:val="nil"/>
              <w:tr2bl w:val="nil"/>
            </w:tcBorders>
            <w:vAlign w:val="center"/>
          </w:tcPr>
          <w:p w14:paraId="5F19D95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2</w:t>
            </w:r>
          </w:p>
        </w:tc>
        <w:tc>
          <w:tcPr>
            <w:tcW w:w="2025" w:type="dxa"/>
            <w:tcBorders>
              <w:tl2br w:val="nil"/>
              <w:tr2bl w:val="nil"/>
            </w:tcBorders>
            <w:vAlign w:val="center"/>
          </w:tcPr>
          <w:p w14:paraId="69E0F47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ascii="Times New Roman" w:hAnsi="Times New Roman" w:eastAsia="等线" w:cs="Times New Roman"/>
                <w:color w:val="auto"/>
                <w:sz w:val="21"/>
                <w:szCs w:val="21"/>
                <w:highlight w:val="none"/>
                <w:lang w:bidi="ar"/>
              </w:rPr>
              <w:t>2</w:t>
            </w:r>
          </w:p>
        </w:tc>
      </w:tr>
      <w:tr w14:paraId="59F7C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3EF361C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3BDD304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18"/>
                <w:highlight w:val="none"/>
              </w:rPr>
            </w:pPr>
            <w:r>
              <w:rPr>
                <w:rFonts w:hint="eastAsia" w:ascii="Times New Roman" w:hAnsi="Times New Roman" w:cs="Times New Roman"/>
                <w:color w:val="auto"/>
                <w:sz w:val="21"/>
                <w:szCs w:val="18"/>
                <w:highlight w:val="none"/>
              </w:rPr>
              <w:t>废活性炭</w:t>
            </w:r>
          </w:p>
          <w:p w14:paraId="2FEF05B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（纯水制备）</w:t>
            </w:r>
          </w:p>
        </w:tc>
        <w:tc>
          <w:tcPr>
            <w:tcW w:w="2025" w:type="dxa"/>
            <w:tcBorders>
              <w:tl2br w:val="nil"/>
              <w:tr2bl w:val="nil"/>
            </w:tcBorders>
            <w:vAlign w:val="center"/>
          </w:tcPr>
          <w:p w14:paraId="0BEBA43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4422025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578254C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2025" w:type="dxa"/>
            <w:tcBorders>
              <w:tl2br w:val="nil"/>
              <w:tr2bl w:val="nil"/>
            </w:tcBorders>
            <w:vAlign w:val="center"/>
          </w:tcPr>
          <w:p w14:paraId="2F9B09B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w:t>
            </w:r>
          </w:p>
        </w:tc>
        <w:tc>
          <w:tcPr>
            <w:tcW w:w="2025" w:type="dxa"/>
            <w:tcBorders>
              <w:tl2br w:val="nil"/>
              <w:tr2bl w:val="nil"/>
            </w:tcBorders>
            <w:vAlign w:val="center"/>
          </w:tcPr>
          <w:p w14:paraId="6A8FD99E">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ascii="Times New Roman" w:hAnsi="Times New Roman" w:eastAsia="等线" w:cs="Times New Roman"/>
                <w:color w:val="auto"/>
                <w:sz w:val="21"/>
                <w:szCs w:val="21"/>
                <w:highlight w:val="none"/>
                <w:lang w:bidi="ar"/>
              </w:rPr>
              <w:t>1</w:t>
            </w:r>
          </w:p>
        </w:tc>
      </w:tr>
      <w:tr w14:paraId="2C424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591F3D3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2D1AA63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废RO膜</w:t>
            </w:r>
          </w:p>
        </w:tc>
        <w:tc>
          <w:tcPr>
            <w:tcW w:w="2025" w:type="dxa"/>
            <w:tcBorders>
              <w:tl2br w:val="nil"/>
              <w:tr2bl w:val="nil"/>
            </w:tcBorders>
            <w:vAlign w:val="center"/>
          </w:tcPr>
          <w:p w14:paraId="7140E3A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05A18B5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66A09D6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2025" w:type="dxa"/>
            <w:tcBorders>
              <w:tl2br w:val="nil"/>
              <w:tr2bl w:val="nil"/>
            </w:tcBorders>
            <w:vAlign w:val="center"/>
          </w:tcPr>
          <w:p w14:paraId="2B12672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0.5</w:t>
            </w:r>
          </w:p>
        </w:tc>
        <w:tc>
          <w:tcPr>
            <w:tcW w:w="2025" w:type="dxa"/>
            <w:tcBorders>
              <w:tl2br w:val="nil"/>
              <w:tr2bl w:val="nil"/>
            </w:tcBorders>
            <w:vAlign w:val="center"/>
          </w:tcPr>
          <w:p w14:paraId="6E26155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ascii="Times New Roman" w:hAnsi="Times New Roman" w:eastAsia="等线" w:cs="Times New Roman"/>
                <w:color w:val="auto"/>
                <w:sz w:val="21"/>
                <w:szCs w:val="21"/>
                <w:highlight w:val="none"/>
                <w:lang w:bidi="ar"/>
              </w:rPr>
              <w:t>0.5</w:t>
            </w:r>
          </w:p>
        </w:tc>
      </w:tr>
      <w:tr w14:paraId="56C4F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1F12697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330C2D9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废包装袋</w:t>
            </w:r>
          </w:p>
        </w:tc>
        <w:tc>
          <w:tcPr>
            <w:tcW w:w="2025" w:type="dxa"/>
            <w:tcBorders>
              <w:tl2br w:val="nil"/>
              <w:tr2bl w:val="nil"/>
            </w:tcBorders>
            <w:vAlign w:val="center"/>
          </w:tcPr>
          <w:p w14:paraId="51477FC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641A2F7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2025" w:type="dxa"/>
            <w:tcBorders>
              <w:tl2br w:val="nil"/>
              <w:tr2bl w:val="nil"/>
            </w:tcBorders>
            <w:vAlign w:val="center"/>
          </w:tcPr>
          <w:p w14:paraId="4B84DA6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2025" w:type="dxa"/>
            <w:tcBorders>
              <w:tl2br w:val="nil"/>
              <w:tr2bl w:val="nil"/>
            </w:tcBorders>
            <w:vAlign w:val="center"/>
          </w:tcPr>
          <w:p w14:paraId="464CE50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0.2</w:t>
            </w:r>
          </w:p>
        </w:tc>
        <w:tc>
          <w:tcPr>
            <w:tcW w:w="2025" w:type="dxa"/>
            <w:tcBorders>
              <w:tl2br w:val="nil"/>
              <w:tr2bl w:val="nil"/>
            </w:tcBorders>
            <w:vAlign w:val="center"/>
          </w:tcPr>
          <w:p w14:paraId="47D6124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bidi="ar"/>
              </w:rPr>
              <w:t>+</w:t>
            </w:r>
            <w:r>
              <w:rPr>
                <w:rFonts w:ascii="Times New Roman" w:hAnsi="Times New Roman" w:eastAsia="等线" w:cs="Times New Roman"/>
                <w:color w:val="auto"/>
                <w:sz w:val="21"/>
                <w:szCs w:val="21"/>
                <w:highlight w:val="none"/>
                <w:lang w:bidi="ar"/>
              </w:rPr>
              <w:t>0.2</w:t>
            </w:r>
          </w:p>
        </w:tc>
      </w:tr>
      <w:tr w14:paraId="4A7B6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51E277E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67039B0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实验清洗废水</w:t>
            </w:r>
          </w:p>
        </w:tc>
        <w:tc>
          <w:tcPr>
            <w:tcW w:w="2025" w:type="dxa"/>
            <w:tcBorders>
              <w:tl2br w:val="nil"/>
              <w:tr2bl w:val="nil"/>
            </w:tcBorders>
            <w:vAlign w:val="center"/>
          </w:tcPr>
          <w:p w14:paraId="291BF1A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0F1481A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7FB9A049">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2025" w:type="dxa"/>
            <w:tcBorders>
              <w:tl2br w:val="nil"/>
              <w:tr2bl w:val="nil"/>
            </w:tcBorders>
            <w:vAlign w:val="center"/>
          </w:tcPr>
          <w:p w14:paraId="2B2B74E2">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0.1</w:t>
            </w:r>
          </w:p>
        </w:tc>
        <w:tc>
          <w:tcPr>
            <w:tcW w:w="2025" w:type="dxa"/>
            <w:tcBorders>
              <w:tl2br w:val="nil"/>
              <w:tr2bl w:val="nil"/>
            </w:tcBorders>
            <w:vAlign w:val="center"/>
          </w:tcPr>
          <w:p w14:paraId="7AF12ECC">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+0.1</w:t>
            </w:r>
          </w:p>
        </w:tc>
      </w:tr>
      <w:tr w14:paraId="03C56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4" w:type="dxa"/>
            <w:gridSpan w:val="2"/>
            <w:vMerge w:val="continue"/>
            <w:tcBorders>
              <w:tl2br w:val="nil"/>
              <w:tr2bl w:val="nil"/>
            </w:tcBorders>
            <w:vAlign w:val="center"/>
          </w:tcPr>
          <w:p w14:paraId="4903756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p>
        </w:tc>
        <w:tc>
          <w:tcPr>
            <w:tcW w:w="2025" w:type="dxa"/>
            <w:tcBorders>
              <w:tl2br w:val="nil"/>
              <w:tr2bl w:val="nil"/>
            </w:tcBorders>
            <w:vAlign w:val="center"/>
          </w:tcPr>
          <w:p w14:paraId="173A23F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生活垃圾</w:t>
            </w:r>
          </w:p>
        </w:tc>
        <w:tc>
          <w:tcPr>
            <w:tcW w:w="2025" w:type="dxa"/>
            <w:tcBorders>
              <w:tl2br w:val="nil"/>
              <w:tr2bl w:val="nil"/>
            </w:tcBorders>
            <w:vAlign w:val="center"/>
          </w:tcPr>
          <w:p w14:paraId="56DBA1EE">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3</w:t>
            </w:r>
          </w:p>
        </w:tc>
        <w:tc>
          <w:tcPr>
            <w:tcW w:w="2025" w:type="dxa"/>
            <w:tcBorders>
              <w:tl2br w:val="nil"/>
              <w:tr2bl w:val="nil"/>
            </w:tcBorders>
            <w:vAlign w:val="center"/>
          </w:tcPr>
          <w:p w14:paraId="0918125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w:t>
            </w:r>
          </w:p>
        </w:tc>
        <w:tc>
          <w:tcPr>
            <w:tcW w:w="2025" w:type="dxa"/>
            <w:tcBorders>
              <w:tl2br w:val="nil"/>
              <w:tr2bl w:val="nil"/>
            </w:tcBorders>
            <w:vAlign w:val="center"/>
          </w:tcPr>
          <w:p w14:paraId="57C2271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2025" w:type="dxa"/>
            <w:tcBorders>
              <w:tl2br w:val="nil"/>
              <w:tr2bl w:val="nil"/>
            </w:tcBorders>
            <w:vAlign w:val="center"/>
          </w:tcPr>
          <w:p w14:paraId="1D5F7B18">
            <w:pPr>
              <w:keepNext w:val="0"/>
              <w:keepLines w:val="0"/>
              <w:pageBreakBefore w:val="0"/>
              <w:widowControl/>
              <w:kinsoku/>
              <w:wordWrap/>
              <w:overflowPunct/>
              <w:topLinePunct w:val="0"/>
              <w:autoSpaceDE/>
              <w:autoSpaceDN/>
              <w:bidi w:val="0"/>
              <w:adjustRightInd/>
              <w:snapToGrid/>
              <w:ind w:left="0" w:right="0"/>
              <w:jc w:val="center"/>
              <w:textAlignment w:val="center"/>
              <w:rPr>
                <w:rFonts w:hint="eastAsia"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3</w:t>
            </w:r>
          </w:p>
        </w:tc>
        <w:tc>
          <w:tcPr>
            <w:tcW w:w="2025" w:type="dxa"/>
            <w:tcBorders>
              <w:tl2br w:val="nil"/>
              <w:tr2bl w:val="nil"/>
            </w:tcBorders>
            <w:vAlign w:val="center"/>
          </w:tcPr>
          <w:p w14:paraId="04056C91">
            <w:pPr>
              <w:keepNext w:val="0"/>
              <w:keepLines w:val="0"/>
              <w:pageBreakBefore w:val="0"/>
              <w:widowControl/>
              <w:kinsoku/>
              <w:wordWrap/>
              <w:overflowPunct/>
              <w:topLinePunct w:val="0"/>
              <w:autoSpaceDE/>
              <w:autoSpaceDN/>
              <w:bidi w:val="0"/>
              <w:adjustRightInd/>
              <w:snapToGrid/>
              <w:ind w:left="0" w:right="0"/>
              <w:jc w:val="center"/>
              <w:textAlignment w:val="center"/>
              <w:rPr>
                <w:rFonts w:hint="eastAsia"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0</w:t>
            </w:r>
          </w:p>
        </w:tc>
      </w:tr>
    </w:tbl>
    <w:p w14:paraId="45CEEEF7">
      <w:pPr>
        <w:spacing w:line="360" w:lineRule="auto"/>
        <w:ind w:left="-105" w:right="-105" w:firstLine="422" w:firstLineChars="200"/>
        <w:rPr>
          <w:rFonts w:ascii="Times New Roman" w:hAnsi="Times New Roman"/>
          <w:color w:val="auto"/>
          <w:szCs w:val="22"/>
          <w:highlight w:val="none"/>
        </w:rPr>
      </w:pPr>
      <w:r>
        <w:rPr>
          <w:rFonts w:ascii="Times New Roman" w:hAnsi="Times New Roman" w:cs="Times New Roman"/>
          <w:b/>
          <w:bCs/>
          <w:color w:val="auto"/>
          <w:sz w:val="21"/>
          <w:szCs w:val="21"/>
          <w:highlight w:val="none"/>
        </w:rPr>
        <w:t>注：*数据来源</w:t>
      </w:r>
      <w:r>
        <w:rPr>
          <w:rFonts w:hint="eastAsia" w:ascii="Times New Roman" w:hAnsi="Times New Roman" w:cs="Times New Roman"/>
          <w:b/>
          <w:bCs/>
          <w:color w:val="auto"/>
          <w:sz w:val="21"/>
          <w:szCs w:val="21"/>
          <w:highlight w:val="none"/>
        </w:rPr>
        <w:t>《化药化工（无锡）有限公司年产聚氨酯丙烯酸酯5000t、丙烯酸酯组成物10000t和环氧丙烯酸树脂1200t生产线技改扩建项目一般变动环境影响分析报告》</w:t>
      </w:r>
      <w:r>
        <w:rPr>
          <w:rFonts w:hint="eastAsia" w:ascii="Times New Roman" w:hAnsi="Times New Roman" w:cs="Times New Roman"/>
          <w:b/>
          <w:bCs/>
          <w:color w:val="auto"/>
          <w:sz w:val="21"/>
          <w:szCs w:val="21"/>
          <w:highlight w:val="none"/>
          <w:lang w:val="en-US" w:eastAsia="zh-CN"/>
        </w:rPr>
        <w:t>总量变动情况</w:t>
      </w:r>
      <w:r>
        <w:rPr>
          <w:rFonts w:ascii="Times New Roman" w:hAnsi="Times New Roman" w:cs="Times New Roman"/>
          <w:b/>
          <w:bCs/>
          <w:color w:val="auto"/>
          <w:sz w:val="21"/>
          <w:szCs w:val="21"/>
          <w:highlight w:val="none"/>
        </w:rPr>
        <w:t>。</w:t>
      </w:r>
    </w:p>
    <w:p w14:paraId="7F94485F">
      <w:pPr>
        <w:spacing w:line="360" w:lineRule="auto"/>
        <w:ind w:left="-105" w:right="-105" w:firstLine="422"/>
        <w:rPr>
          <w:rFonts w:ascii="Times New Roman" w:hAnsi="Times New Roman" w:cs="Times New Roman"/>
          <w:b/>
          <w:bCs/>
          <w:color w:val="auto"/>
          <w:sz w:val="21"/>
          <w:szCs w:val="21"/>
          <w:highlight w:val="none"/>
        </w:rPr>
      </w:pPr>
    </w:p>
    <w:p w14:paraId="6039E1EC">
      <w:pPr>
        <w:spacing w:line="360" w:lineRule="auto"/>
        <w:ind w:left="-105" w:right="-105"/>
        <w:rPr>
          <w:rFonts w:ascii="Times New Roman" w:hAnsi="Times New Roman"/>
          <w:color w:val="auto"/>
          <w:highlight w:val="none"/>
        </w:rPr>
      </w:pPr>
    </w:p>
    <w:p w14:paraId="58FA6071">
      <w:pPr>
        <w:spacing w:line="360" w:lineRule="auto"/>
        <w:ind w:left="-105" w:right="-105"/>
        <w:rPr>
          <w:rFonts w:ascii="Times New Roman" w:hAnsi="Times New Roman"/>
          <w:color w:val="auto"/>
          <w:highlight w:val="none"/>
        </w:rPr>
      </w:pPr>
    </w:p>
    <w:p w14:paraId="0A721465">
      <w:pPr>
        <w:spacing w:line="360" w:lineRule="auto"/>
        <w:ind w:left="-105" w:right="-105" w:firstLine="480" w:firstLineChars="200"/>
        <w:rPr>
          <w:rFonts w:ascii="Times New Roman" w:hAnsi="Times New Roman"/>
          <w:color w:val="auto"/>
          <w:highlight w:val="none"/>
        </w:rPr>
        <w:sectPr>
          <w:pgSz w:w="16838" w:h="11906" w:orient="landscape"/>
          <w:pgMar w:top="1701" w:right="1440" w:bottom="1701" w:left="1440" w:header="851" w:footer="851" w:gutter="0"/>
          <w:pgBorders>
            <w:top w:val="none" w:sz="0" w:space="0"/>
            <w:left w:val="none" w:sz="0" w:space="0"/>
            <w:bottom w:val="none" w:sz="0" w:space="0"/>
            <w:right w:val="none" w:sz="0" w:space="0"/>
          </w:pgBorders>
          <w:cols w:space="720" w:num="1"/>
          <w:docGrid w:linePitch="498" w:charSpace="-2336"/>
        </w:sectPr>
      </w:pPr>
    </w:p>
    <w:p w14:paraId="1327EA76">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49" w:name="_Toc21161"/>
      <w:bookmarkStart w:id="250" w:name="_Toc60653508"/>
      <w:r>
        <w:rPr>
          <w:rFonts w:ascii="Times New Roman" w:eastAsia="宋体"/>
          <w:color w:val="auto"/>
          <w:sz w:val="28"/>
          <w:szCs w:val="28"/>
          <w:highlight w:val="none"/>
        </w:rPr>
        <w:t>环境风险识别</w:t>
      </w:r>
      <w:bookmarkEnd w:id="249"/>
      <w:bookmarkEnd w:id="250"/>
    </w:p>
    <w:p w14:paraId="784C7C01">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风险识别内容</w:t>
      </w:r>
    </w:p>
    <w:p w14:paraId="593F662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风险识别内容主要包括物质危险性识别，生产系统危险性识别，危险物质向环境转移的途径识别。</w:t>
      </w:r>
    </w:p>
    <w:p w14:paraId="62D8E130">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物质危险性识别包括主要原辅材料、燃料、中间产品、副产品、最终产品、污染物、火灾和爆炸半生/次生物等。</w:t>
      </w:r>
    </w:p>
    <w:p w14:paraId="28106B88">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生产系统危险性识别包括主要生产装置、储运设施、公用工程和辅助生产设施，以及环境保护设施等。</w:t>
      </w:r>
    </w:p>
    <w:p w14:paraId="52A4B4BA">
      <w:pPr>
        <w:spacing w:line="360" w:lineRule="auto"/>
        <w:ind w:left="-105" w:right="-105" w:firstLine="480" w:firstLineChars="200"/>
        <w:rPr>
          <w:rFonts w:ascii="Times New Roman" w:hAnsi="Times New Roman"/>
          <w:color w:val="auto"/>
          <w:highlight w:val="none"/>
        </w:rPr>
      </w:pPr>
      <w:r>
        <w:rPr>
          <w:rFonts w:ascii="Times New Roman" w:hAnsi="Times New Roman" w:cs="Times New Roman"/>
          <w:color w:val="auto"/>
          <w:highlight w:val="none"/>
        </w:rPr>
        <w:t>危险物质向环境转移的途径识别包括分析危险物质特性及可能的环境风险类型，识别危险物质影响环境的途径，分析可能影响的环境敏感目标。</w:t>
      </w:r>
    </w:p>
    <w:p w14:paraId="3044D808">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风险识别范围</w:t>
      </w:r>
    </w:p>
    <w:p w14:paraId="5B5FC77B">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风险识别范围包括全厂生产设施识别和可能涉及的物质风险识别。本次风险评价重点对全厂进行风险识别、后果评估，提出防范、应急与减缓措施。</w:t>
      </w:r>
    </w:p>
    <w:p w14:paraId="32F02B13">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（1）生产设施识别范围包括：主要产生系统、贮运系统、公用工程系统、工程环保设施及辅助生产设施等；</w:t>
      </w:r>
    </w:p>
    <w:p w14:paraId="38558273">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（2）物质风险识别范围包括：根据项目特点、项目所涉及的原料、燃料、产品、辅助料、三废等理化性质，确定本项目可能涉及的风险物质，以及发生火灾、爆炸产生的次生、伴生污染物。</w:t>
      </w:r>
    </w:p>
    <w:p w14:paraId="5AB50BB8">
      <w:pPr>
        <w:autoSpaceDE w:val="0"/>
        <w:autoSpaceDN w:val="0"/>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根据《建设项目环境风险评价技术导则》（HJ169-2018）中附录B对项目运营过程中涉及的物质进行风险识别，</w:t>
      </w:r>
      <w:r>
        <w:rPr>
          <w:rFonts w:ascii="Times New Roman" w:hAnsi="Times New Roman" w:cs="Times New Roman"/>
          <w:bCs/>
          <w:color w:val="auto"/>
          <w:highlight w:val="none"/>
        </w:rPr>
        <w:t>本项目涉及的环境风险物质为</w:t>
      </w:r>
      <w:r>
        <w:rPr>
          <w:rFonts w:hint="eastAsia" w:ascii="Times New Roman" w:hAnsi="Times New Roman" w:cs="Times New Roman"/>
          <w:bCs/>
          <w:color w:val="auto"/>
          <w:highlight w:val="none"/>
        </w:rPr>
        <w:t>二甲基亚砜、N-甲基吡咯烷酮、四甲基氢氧化铵</w:t>
      </w:r>
      <w:r>
        <w:rPr>
          <w:rFonts w:ascii="Times New Roman" w:hAnsi="Times New Roman" w:cs="Times New Roman"/>
          <w:bCs/>
          <w:color w:val="auto"/>
          <w:highlight w:val="none"/>
        </w:rPr>
        <w:t>等。</w:t>
      </w:r>
      <w:r>
        <w:rPr>
          <w:rFonts w:ascii="Times New Roman" w:hAnsi="Times New Roman" w:cs="Times New Roman"/>
          <w:color w:val="auto"/>
          <w:highlight w:val="none"/>
        </w:rPr>
        <w:t>项目各风险物品的理化性质见</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REF _Ref30527 \h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4.3</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2</w:t>
      </w:r>
      <w:r>
        <w:rPr>
          <w:rFonts w:ascii="Times New Roman" w:hAnsi="Times New Roman" w:cs="Times New Roman"/>
          <w:color w:val="auto"/>
          <w:szCs w:val="18"/>
          <w:highlight w:val="none"/>
        </w:rPr>
        <w:fldChar w:fldCharType="end"/>
      </w:r>
      <w:r>
        <w:rPr>
          <w:rFonts w:ascii="Times New Roman" w:hAnsi="Times New Roman" w:cs="Times New Roman"/>
          <w:color w:val="auto"/>
          <w:highlight w:val="none"/>
        </w:rPr>
        <w:t>。</w:t>
      </w:r>
    </w:p>
    <w:p w14:paraId="11677BF0">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（3）风险类型</w:t>
      </w:r>
    </w:p>
    <w:p w14:paraId="2508685F">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根据有毒有害物质发生起因，分为火灾、爆炸和泄漏三种类型。</w:t>
      </w:r>
    </w:p>
    <w:p w14:paraId="7EE0EA3A">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全厂风险类型主要为生产过程中出现的物料泄漏、火灾、爆炸及因此而造成的事故排放，不考虑自然灾害如地震、洪水、台风等引起的事故风险。具体如下：</w:t>
      </w:r>
    </w:p>
    <w:p w14:paraId="7563CA5C">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危险化学品储存</w:t>
      </w:r>
      <w:r>
        <w:rPr>
          <w:rFonts w:hint="eastAsia" w:ascii="Times New Roman" w:hAnsi="Times New Roman" w:cs="Times New Roman"/>
          <w:color w:val="auto"/>
          <w:highlight w:val="none"/>
        </w:rPr>
        <w:t>、使用</w:t>
      </w:r>
      <w:r>
        <w:rPr>
          <w:rFonts w:ascii="Times New Roman" w:hAnsi="Times New Roman" w:cs="Times New Roman"/>
          <w:color w:val="auto"/>
          <w:highlight w:val="none"/>
        </w:rPr>
        <w:t>过程发生泄漏，引发火灾、爆炸及次生/伴生环境事故。</w:t>
      </w:r>
    </w:p>
    <w:p w14:paraId="7990E94C">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废气收集系统失效、废气处理装置发生故障，造成废气的事故性排放，对周围大气环境会产生一定的影响。</w:t>
      </w:r>
    </w:p>
    <w:p w14:paraId="443BF500">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废</w:t>
      </w:r>
      <w:r>
        <w:rPr>
          <w:rFonts w:hint="eastAsia" w:ascii="Times New Roman" w:hAnsi="Times New Roman" w:cs="Times New Roman"/>
          <w:color w:val="auto"/>
          <w:highlight w:val="none"/>
        </w:rPr>
        <w:t>液</w:t>
      </w:r>
      <w:r>
        <w:rPr>
          <w:rFonts w:ascii="Times New Roman" w:hAnsi="Times New Roman" w:cs="Times New Roman"/>
          <w:color w:val="auto"/>
          <w:highlight w:val="none"/>
        </w:rPr>
        <w:t>收集池破损造成</w:t>
      </w:r>
      <w:r>
        <w:rPr>
          <w:rFonts w:hint="eastAsia" w:ascii="Times New Roman" w:hAnsi="Times New Roman" w:cs="Times New Roman"/>
          <w:color w:val="auto"/>
          <w:highlight w:val="none"/>
          <w:lang w:val="en-US" w:eastAsia="zh-CN"/>
        </w:rPr>
        <w:t>实验清洗</w:t>
      </w:r>
      <w:r>
        <w:rPr>
          <w:rFonts w:ascii="Times New Roman" w:hAnsi="Times New Roman" w:cs="Times New Roman"/>
          <w:color w:val="auto"/>
          <w:highlight w:val="none"/>
        </w:rPr>
        <w:t>废水</w:t>
      </w:r>
      <w:r>
        <w:rPr>
          <w:rFonts w:ascii="Times New Roman" w:hAnsi="Times New Roman" w:cs="Times New Roman"/>
          <w:color w:val="auto"/>
          <w:highlight w:val="none"/>
        </w:rPr>
        <w:t>的泄漏，对周边地表水、地下水、土壤环境产生一定的影响。</w:t>
      </w:r>
    </w:p>
    <w:p w14:paraId="7BB51C95">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④</w:t>
      </w:r>
      <w:r>
        <w:rPr>
          <w:rFonts w:ascii="Times New Roman" w:hAnsi="Times New Roman" w:cs="Times New Roman"/>
          <w:color w:val="auto"/>
          <w:highlight w:val="none"/>
        </w:rPr>
        <w:t>危废仓库内危废包装物破损造成危废物料泄漏，对周边大气、地表水、地下水、土壤环境产生一定的影响。</w:t>
      </w:r>
    </w:p>
    <w:p w14:paraId="4F03C3AB">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251" w:name="_Toc60653512"/>
      <w:r>
        <w:rPr>
          <w:rFonts w:eastAsia="宋体"/>
          <w:color w:val="auto"/>
          <w:sz w:val="28"/>
          <w:szCs w:val="28"/>
          <w:highlight w:val="none"/>
        </w:rPr>
        <w:t>物质危险性识别</w:t>
      </w:r>
      <w:bookmarkEnd w:id="251"/>
    </w:p>
    <w:p w14:paraId="1B0609AD">
      <w:pPr>
        <w:pStyle w:val="97"/>
        <w:spacing w:line="360" w:lineRule="auto"/>
        <w:ind w:left="-105" w:right="-105" w:firstLine="480"/>
        <w:jc w:val="left"/>
        <w:rPr>
          <w:rFonts w:eastAsia="宋体"/>
          <w:color w:val="auto"/>
          <w:sz w:val="24"/>
          <w:highlight w:val="none"/>
        </w:rPr>
      </w:pPr>
      <w:r>
        <w:rPr>
          <w:rFonts w:eastAsia="宋体"/>
          <w:color w:val="auto"/>
          <w:kern w:val="0"/>
          <w:sz w:val="24"/>
          <w:highlight w:val="none"/>
        </w:rPr>
        <w:t>根据《建设项目环境风险评价技术导则》（HJ169-2018）中附录B对项目运营过程中涉及的物质进行风险识别</w:t>
      </w:r>
      <w:r>
        <w:rPr>
          <w:rFonts w:eastAsia="宋体"/>
          <w:color w:val="auto"/>
          <w:sz w:val="24"/>
          <w:highlight w:val="none"/>
        </w:rPr>
        <w:t>。</w:t>
      </w:r>
      <w:r>
        <w:rPr>
          <w:rFonts w:hint="eastAsia" w:eastAsia="宋体"/>
          <w:color w:val="auto"/>
          <w:sz w:val="24"/>
          <w:highlight w:val="none"/>
          <w:lang w:val="en-US" w:eastAsia="zh-CN"/>
        </w:rPr>
        <w:t>企业生产过程中</w:t>
      </w:r>
      <w:r>
        <w:rPr>
          <w:rFonts w:eastAsia="宋体"/>
          <w:color w:val="auto"/>
          <w:sz w:val="24"/>
          <w:highlight w:val="none"/>
        </w:rPr>
        <w:t>无中间产品、副产品，最终产品属于危险物质，</w:t>
      </w:r>
      <w:r>
        <w:rPr>
          <w:rFonts w:eastAsia="宋体"/>
          <w:color w:val="auto"/>
          <w:sz w:val="24"/>
          <w:highlight w:val="none"/>
        </w:rPr>
        <w:t>物质危险性识别结果见下表。</w:t>
      </w:r>
    </w:p>
    <w:p w14:paraId="009A5851">
      <w:pPr>
        <w:pStyle w:val="97"/>
        <w:spacing w:line="360" w:lineRule="auto"/>
        <w:ind w:left="-105" w:right="-105" w:firstLine="0" w:firstLineChars="0"/>
        <w:jc w:val="center"/>
        <w:rPr>
          <w:rFonts w:eastAsia="宋体"/>
          <w:b/>
          <w:color w:val="auto"/>
          <w:sz w:val="24"/>
          <w:szCs w:val="18"/>
          <w:highlight w:val="none"/>
        </w:rPr>
      </w:pPr>
      <w:r>
        <w:rPr>
          <w:rFonts w:eastAsia="宋体"/>
          <w:b/>
          <w:bCs/>
          <w:color w:val="auto"/>
          <w:sz w:val="24"/>
          <w:szCs w:val="18"/>
          <w:highlight w:val="none"/>
        </w:rPr>
        <w:t>表</w:t>
      </w:r>
      <w:r>
        <w:rPr>
          <w:rFonts w:eastAsia="宋体"/>
          <w:b/>
          <w:bCs/>
          <w:color w:val="auto"/>
          <w:sz w:val="24"/>
          <w:szCs w:val="18"/>
          <w:highlight w:val="none"/>
        </w:rPr>
        <w:fldChar w:fldCharType="begin"/>
      </w:r>
      <w:r>
        <w:rPr>
          <w:rFonts w:eastAsia="宋体"/>
          <w:b/>
          <w:bCs/>
          <w:color w:val="auto"/>
          <w:sz w:val="24"/>
          <w:szCs w:val="18"/>
          <w:highlight w:val="none"/>
        </w:rPr>
        <w:instrText xml:space="preserve"> STYLEREF 2 \s </w:instrText>
      </w:r>
      <w:r>
        <w:rPr>
          <w:rFonts w:eastAsia="宋体"/>
          <w:b/>
          <w:bCs/>
          <w:color w:val="auto"/>
          <w:sz w:val="24"/>
          <w:szCs w:val="18"/>
          <w:highlight w:val="none"/>
        </w:rPr>
        <w:fldChar w:fldCharType="separate"/>
      </w:r>
      <w:r>
        <w:rPr>
          <w:rFonts w:eastAsia="宋体"/>
          <w:b/>
          <w:bCs/>
          <w:color w:val="auto"/>
          <w:sz w:val="24"/>
          <w:szCs w:val="18"/>
          <w:highlight w:val="none"/>
        </w:rPr>
        <w:t>4.8</w:t>
      </w:r>
      <w:r>
        <w:rPr>
          <w:rFonts w:eastAsia="宋体"/>
          <w:b/>
          <w:bCs/>
          <w:color w:val="auto"/>
          <w:sz w:val="24"/>
          <w:szCs w:val="18"/>
          <w:highlight w:val="none"/>
        </w:rPr>
        <w:fldChar w:fldCharType="end"/>
      </w:r>
      <w:r>
        <w:rPr>
          <w:rFonts w:eastAsia="宋体"/>
          <w:b/>
          <w:bCs/>
          <w:color w:val="auto"/>
          <w:sz w:val="24"/>
          <w:szCs w:val="18"/>
          <w:highlight w:val="none"/>
        </w:rPr>
        <w:noBreakHyphen/>
      </w:r>
      <w:r>
        <w:rPr>
          <w:rFonts w:eastAsia="宋体"/>
          <w:b/>
          <w:bCs/>
          <w:color w:val="auto"/>
          <w:sz w:val="24"/>
          <w:szCs w:val="18"/>
          <w:highlight w:val="none"/>
        </w:rPr>
        <w:fldChar w:fldCharType="begin"/>
      </w:r>
      <w:r>
        <w:rPr>
          <w:rFonts w:eastAsia="宋体"/>
          <w:b/>
          <w:bCs/>
          <w:color w:val="auto"/>
          <w:sz w:val="24"/>
          <w:szCs w:val="18"/>
          <w:highlight w:val="none"/>
        </w:rPr>
        <w:instrText xml:space="preserve"> SEQ 表 \* ARABIC \s 2 </w:instrText>
      </w:r>
      <w:r>
        <w:rPr>
          <w:rFonts w:eastAsia="宋体"/>
          <w:b/>
          <w:bCs/>
          <w:color w:val="auto"/>
          <w:sz w:val="24"/>
          <w:szCs w:val="18"/>
          <w:highlight w:val="none"/>
        </w:rPr>
        <w:fldChar w:fldCharType="separate"/>
      </w:r>
      <w:r>
        <w:rPr>
          <w:rFonts w:eastAsia="宋体"/>
          <w:b/>
          <w:bCs/>
          <w:color w:val="auto"/>
          <w:sz w:val="24"/>
          <w:szCs w:val="18"/>
          <w:highlight w:val="none"/>
        </w:rPr>
        <w:t>1</w:t>
      </w:r>
      <w:r>
        <w:rPr>
          <w:rFonts w:eastAsia="宋体"/>
          <w:b/>
          <w:bCs/>
          <w:color w:val="auto"/>
          <w:sz w:val="24"/>
          <w:szCs w:val="18"/>
          <w:highlight w:val="none"/>
        </w:rPr>
        <w:fldChar w:fldCharType="end"/>
      </w:r>
      <w:r>
        <w:rPr>
          <w:rFonts w:eastAsia="宋体"/>
          <w:b/>
          <w:color w:val="auto"/>
          <w:sz w:val="24"/>
          <w:szCs w:val="18"/>
          <w:highlight w:val="none"/>
        </w:rPr>
        <w:t>物质危险性识别表</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9"/>
        <w:gridCol w:w="1093"/>
        <w:gridCol w:w="1467"/>
        <w:gridCol w:w="912"/>
        <w:gridCol w:w="3084"/>
        <w:gridCol w:w="1275"/>
      </w:tblGrid>
      <w:tr w14:paraId="3A525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89" w:type="dxa"/>
            <w:vAlign w:val="center"/>
          </w:tcPr>
          <w:p w14:paraId="0700097B">
            <w:pPr>
              <w:pStyle w:val="97"/>
              <w:ind w:left="-105" w:right="-105" w:firstLine="0" w:firstLineChars="0"/>
              <w:jc w:val="center"/>
              <w:rPr>
                <w:rFonts w:eastAsia="宋体"/>
                <w:b/>
                <w:color w:val="auto"/>
                <w:sz w:val="21"/>
                <w:szCs w:val="21"/>
                <w:highlight w:val="none"/>
              </w:rPr>
            </w:pPr>
            <w:r>
              <w:rPr>
                <w:rFonts w:eastAsia="宋体"/>
                <w:b/>
                <w:color w:val="auto"/>
                <w:sz w:val="21"/>
                <w:szCs w:val="21"/>
                <w:highlight w:val="none"/>
              </w:rPr>
              <w:t>序号</w:t>
            </w:r>
          </w:p>
        </w:tc>
        <w:tc>
          <w:tcPr>
            <w:tcW w:w="1093" w:type="dxa"/>
            <w:vAlign w:val="center"/>
          </w:tcPr>
          <w:p w14:paraId="26EF38FD">
            <w:pPr>
              <w:pStyle w:val="97"/>
              <w:ind w:left="-105" w:right="-105" w:firstLine="0" w:firstLineChars="0"/>
              <w:jc w:val="center"/>
              <w:rPr>
                <w:rFonts w:eastAsia="宋体"/>
                <w:b/>
                <w:color w:val="auto"/>
                <w:sz w:val="21"/>
                <w:szCs w:val="21"/>
                <w:highlight w:val="none"/>
              </w:rPr>
            </w:pPr>
            <w:r>
              <w:rPr>
                <w:rFonts w:eastAsia="宋体"/>
                <w:b/>
                <w:color w:val="auto"/>
                <w:sz w:val="21"/>
                <w:szCs w:val="21"/>
                <w:highlight w:val="none"/>
              </w:rPr>
              <w:t>类别</w:t>
            </w:r>
          </w:p>
        </w:tc>
        <w:tc>
          <w:tcPr>
            <w:tcW w:w="1467" w:type="dxa"/>
            <w:vAlign w:val="center"/>
          </w:tcPr>
          <w:p w14:paraId="3A3935B7">
            <w:pPr>
              <w:pStyle w:val="97"/>
              <w:ind w:left="-105" w:right="-105" w:firstLine="0" w:firstLineChars="0"/>
              <w:jc w:val="center"/>
              <w:rPr>
                <w:rFonts w:eastAsia="宋体"/>
                <w:b/>
                <w:color w:val="auto"/>
                <w:sz w:val="21"/>
                <w:szCs w:val="21"/>
                <w:highlight w:val="none"/>
              </w:rPr>
            </w:pPr>
            <w:r>
              <w:rPr>
                <w:rFonts w:eastAsia="宋体"/>
                <w:b/>
                <w:color w:val="auto"/>
                <w:sz w:val="21"/>
                <w:szCs w:val="21"/>
                <w:highlight w:val="none"/>
              </w:rPr>
              <w:t>物质名称</w:t>
            </w:r>
          </w:p>
        </w:tc>
        <w:tc>
          <w:tcPr>
            <w:tcW w:w="912" w:type="dxa"/>
            <w:vAlign w:val="center"/>
          </w:tcPr>
          <w:p w14:paraId="2B62C784">
            <w:pPr>
              <w:pStyle w:val="97"/>
              <w:ind w:left="-105" w:right="-105" w:firstLine="0" w:firstLineChars="0"/>
              <w:jc w:val="center"/>
              <w:rPr>
                <w:rFonts w:eastAsia="宋体"/>
                <w:b/>
                <w:color w:val="auto"/>
                <w:sz w:val="21"/>
                <w:szCs w:val="21"/>
                <w:highlight w:val="none"/>
              </w:rPr>
            </w:pPr>
            <w:r>
              <w:rPr>
                <w:rFonts w:eastAsia="宋体"/>
                <w:b/>
                <w:color w:val="auto"/>
                <w:kern w:val="0"/>
                <w:sz w:val="21"/>
                <w:szCs w:val="21"/>
                <w:highlight w:val="none"/>
              </w:rPr>
              <w:t>燃烧爆炸性</w:t>
            </w:r>
          </w:p>
        </w:tc>
        <w:tc>
          <w:tcPr>
            <w:tcW w:w="3084" w:type="dxa"/>
            <w:vAlign w:val="center"/>
          </w:tcPr>
          <w:p w14:paraId="24C2A2B7">
            <w:pPr>
              <w:pStyle w:val="97"/>
              <w:ind w:left="-105" w:right="-105" w:firstLine="0" w:firstLineChars="0"/>
              <w:jc w:val="center"/>
              <w:rPr>
                <w:rFonts w:eastAsia="宋体"/>
                <w:b/>
                <w:color w:val="auto"/>
                <w:sz w:val="21"/>
                <w:szCs w:val="21"/>
                <w:highlight w:val="none"/>
              </w:rPr>
            </w:pPr>
            <w:r>
              <w:rPr>
                <w:rFonts w:eastAsia="宋体"/>
                <w:b/>
                <w:color w:val="auto"/>
                <w:sz w:val="21"/>
                <w:szCs w:val="21"/>
                <w:highlight w:val="none"/>
              </w:rPr>
              <w:t>毒理性质</w:t>
            </w:r>
          </w:p>
        </w:tc>
        <w:tc>
          <w:tcPr>
            <w:tcW w:w="1275" w:type="dxa"/>
            <w:vAlign w:val="center"/>
          </w:tcPr>
          <w:p w14:paraId="482CB452">
            <w:pPr>
              <w:pStyle w:val="97"/>
              <w:ind w:left="-105" w:right="-105" w:firstLine="0" w:firstLineChars="0"/>
              <w:jc w:val="center"/>
              <w:rPr>
                <w:rFonts w:eastAsia="宋体"/>
                <w:b/>
                <w:color w:val="auto"/>
                <w:sz w:val="21"/>
                <w:szCs w:val="21"/>
                <w:highlight w:val="none"/>
              </w:rPr>
            </w:pPr>
            <w:r>
              <w:rPr>
                <w:rFonts w:eastAsia="宋体"/>
                <w:b/>
                <w:color w:val="auto"/>
                <w:sz w:val="21"/>
                <w:szCs w:val="21"/>
                <w:highlight w:val="none"/>
              </w:rPr>
              <w:t>分布位置</w:t>
            </w:r>
          </w:p>
        </w:tc>
      </w:tr>
      <w:tr w14:paraId="0644B3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FCD108E">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restart"/>
            <w:vAlign w:val="center"/>
          </w:tcPr>
          <w:p w14:paraId="1A3CDAB3">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原辅材料</w:t>
            </w:r>
          </w:p>
        </w:tc>
        <w:tc>
          <w:tcPr>
            <w:tcW w:w="1467" w:type="dxa"/>
            <w:vAlign w:val="center"/>
          </w:tcPr>
          <w:p w14:paraId="4A2B07E0">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eastAsia="zh-CN"/>
              </w:rPr>
              <w:t>丙烯酸酯树脂</w:t>
            </w:r>
          </w:p>
        </w:tc>
        <w:tc>
          <w:tcPr>
            <w:tcW w:w="912" w:type="dxa"/>
            <w:vAlign w:val="center"/>
          </w:tcPr>
          <w:p w14:paraId="0E43C411">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73D9D273">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：＜870mg/kg（大鼠，吞食）</w:t>
            </w:r>
          </w:p>
          <w:p w14:paraId="44E5B2EC">
            <w:pPr>
              <w:wordWrap w:val="0"/>
              <w:adjustRightInd w:val="0"/>
              <w:snapToGrid w:val="0"/>
              <w:ind w:left="-105" w:right="-105"/>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:6000ppm/6h（大鼠，吸入）</w:t>
            </w:r>
          </w:p>
        </w:tc>
        <w:tc>
          <w:tcPr>
            <w:tcW w:w="1275" w:type="dxa"/>
            <w:vAlign w:val="center"/>
          </w:tcPr>
          <w:p w14:paraId="53BA1C9E">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3283ED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93C0355">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9AEBE2F">
            <w:pPr>
              <w:pStyle w:val="97"/>
              <w:ind w:left="-105" w:right="-105" w:firstLine="0" w:firstLineChars="0"/>
              <w:jc w:val="center"/>
              <w:rPr>
                <w:rFonts w:eastAsia="宋体"/>
                <w:bCs/>
                <w:color w:val="auto"/>
                <w:sz w:val="21"/>
                <w:szCs w:val="21"/>
                <w:highlight w:val="none"/>
              </w:rPr>
            </w:pPr>
          </w:p>
        </w:tc>
        <w:tc>
          <w:tcPr>
            <w:tcW w:w="1467" w:type="dxa"/>
            <w:vAlign w:val="center"/>
          </w:tcPr>
          <w:p w14:paraId="429F1FD1">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8"/>
                <w:sz w:val="21"/>
                <w:szCs w:val="21"/>
                <w:highlight w:val="none"/>
                <w:lang w:eastAsia="zh-CN"/>
              </w:rPr>
              <w:t>异氰酸酯（六亚</w:t>
            </w:r>
            <w:r>
              <w:rPr>
                <w:rFonts w:ascii="Times New Roman" w:hAnsi="Times New Roman" w:eastAsia="宋体" w:cs="Times New Roman"/>
                <w:color w:val="auto"/>
                <w:spacing w:val="3"/>
                <w:sz w:val="21"/>
                <w:szCs w:val="21"/>
                <w:highlight w:val="none"/>
                <w:lang w:eastAsia="zh-CN"/>
              </w:rPr>
              <w:t>甲基-1,6-二异氰酸</w:t>
            </w:r>
            <w:r>
              <w:rPr>
                <w:rFonts w:ascii="Times New Roman" w:hAnsi="Times New Roman" w:eastAsia="宋体" w:cs="Times New Roman"/>
                <w:color w:val="auto"/>
                <w:spacing w:val="-1"/>
                <w:sz w:val="21"/>
                <w:szCs w:val="21"/>
                <w:highlight w:val="none"/>
                <w:lang w:eastAsia="zh-CN"/>
              </w:rPr>
              <w:t>酯）</w:t>
            </w:r>
          </w:p>
        </w:tc>
        <w:tc>
          <w:tcPr>
            <w:tcW w:w="912" w:type="dxa"/>
            <w:vAlign w:val="center"/>
          </w:tcPr>
          <w:p w14:paraId="4638112B">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064227C6">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：890mg/kg（小鼠经口）</w:t>
            </w:r>
          </w:p>
          <w:p w14:paraId="41467479">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:710~910mg/kg（大鼠经口）</w:t>
            </w:r>
          </w:p>
          <w:p w14:paraId="35174023">
            <w:pPr>
              <w:wordWrap w:val="0"/>
              <w:adjustRightInd w:val="0"/>
              <w:snapToGrid w:val="0"/>
              <w:ind w:left="-105" w:leftChars="0" w:right="-105" w:rightChars="0"/>
              <w:jc w:val="center"/>
              <w:textAlignment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280mg/m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（1h，大鼠吸入）</w:t>
            </w:r>
          </w:p>
        </w:tc>
        <w:tc>
          <w:tcPr>
            <w:tcW w:w="1275" w:type="dxa"/>
            <w:vAlign w:val="center"/>
          </w:tcPr>
          <w:p w14:paraId="7A11F60A">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6CF562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7CE8EEE">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0556771">
            <w:pPr>
              <w:pStyle w:val="97"/>
              <w:ind w:left="-105" w:right="-105" w:firstLine="0" w:firstLineChars="0"/>
              <w:jc w:val="center"/>
              <w:rPr>
                <w:rFonts w:eastAsia="宋体"/>
                <w:bCs/>
                <w:color w:val="auto"/>
                <w:sz w:val="21"/>
                <w:szCs w:val="21"/>
                <w:highlight w:val="none"/>
              </w:rPr>
            </w:pPr>
          </w:p>
        </w:tc>
        <w:tc>
          <w:tcPr>
            <w:tcW w:w="1467" w:type="dxa"/>
            <w:vAlign w:val="center"/>
          </w:tcPr>
          <w:p w14:paraId="04DAB7DF">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7"/>
                <w:sz w:val="21"/>
                <w:szCs w:val="21"/>
                <w:highlight w:val="none"/>
              </w:rPr>
              <w:t>聚氨酯丙烯酸酯</w:t>
            </w:r>
          </w:p>
        </w:tc>
        <w:tc>
          <w:tcPr>
            <w:tcW w:w="912" w:type="dxa"/>
            <w:vAlign w:val="center"/>
          </w:tcPr>
          <w:p w14:paraId="3256A8ED">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1B7A9426">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：4300mg/kg（大鼠吞食）</w:t>
            </w:r>
          </w:p>
          <w:p w14:paraId="449B77F0">
            <w:pPr>
              <w:wordWrap w:val="0"/>
              <w:adjustRightInd w:val="0"/>
              <w:snapToGrid w:val="0"/>
              <w:ind w:left="-105" w:leftChars="0" w:right="-105" w:rightChars="0"/>
              <w:jc w:val="center"/>
              <w:textAlignment w:val="center"/>
              <w:rPr>
                <w:rFonts w:hint="eastAsia" w:ascii="Times New Roman" w:hAnsi="Times New Roman" w:eastAsia="宋体" w:cs="Times New Roman"/>
                <w:bCs/>
                <w:color w:val="auto"/>
                <w:sz w:val="21"/>
                <w:szCs w:val="21"/>
                <w:highlight w:val="none"/>
                <w:vertAlign w:val="baseline"/>
                <w:lang w:val="en-US" w:eastAsia="zh-CN" w:bidi="ar-SA"/>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5000ppm/4h（大鼠吸入）</w:t>
            </w:r>
          </w:p>
        </w:tc>
        <w:tc>
          <w:tcPr>
            <w:tcW w:w="1275" w:type="dxa"/>
            <w:vAlign w:val="center"/>
          </w:tcPr>
          <w:p w14:paraId="3F05B964">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28CC52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0D1DCB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828E46E">
            <w:pPr>
              <w:pStyle w:val="97"/>
              <w:ind w:left="-105" w:right="-105" w:firstLine="0" w:firstLineChars="0"/>
              <w:jc w:val="center"/>
              <w:rPr>
                <w:rFonts w:eastAsia="宋体"/>
                <w:bCs/>
                <w:color w:val="auto"/>
                <w:sz w:val="21"/>
                <w:szCs w:val="21"/>
                <w:highlight w:val="none"/>
              </w:rPr>
            </w:pPr>
          </w:p>
        </w:tc>
        <w:tc>
          <w:tcPr>
            <w:tcW w:w="1467" w:type="dxa"/>
            <w:vAlign w:val="center"/>
          </w:tcPr>
          <w:p w14:paraId="44159018">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环氧丙烯酸树脂</w:t>
            </w:r>
          </w:p>
        </w:tc>
        <w:tc>
          <w:tcPr>
            <w:tcW w:w="912" w:type="dxa"/>
            <w:vAlign w:val="center"/>
          </w:tcPr>
          <w:p w14:paraId="15A2DE8D">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344264FF">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6F780D1A">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6B96D6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9896EB7">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2EE427B0">
            <w:pPr>
              <w:pStyle w:val="97"/>
              <w:ind w:left="-105" w:right="-105" w:firstLine="0" w:firstLineChars="0"/>
              <w:jc w:val="center"/>
              <w:rPr>
                <w:rFonts w:eastAsia="宋体"/>
                <w:bCs/>
                <w:color w:val="auto"/>
                <w:sz w:val="21"/>
                <w:szCs w:val="21"/>
                <w:highlight w:val="none"/>
              </w:rPr>
            </w:pPr>
          </w:p>
        </w:tc>
        <w:tc>
          <w:tcPr>
            <w:tcW w:w="1467" w:type="dxa"/>
            <w:vAlign w:val="center"/>
          </w:tcPr>
          <w:p w14:paraId="131B9851">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hint="eastAsia" w:ascii="Times New Roman" w:hAnsi="Times New Roman" w:eastAsia="宋体" w:cs="Times New Roman"/>
                <w:color w:val="auto"/>
                <w:spacing w:val="8"/>
                <w:sz w:val="21"/>
                <w:szCs w:val="21"/>
                <w:highlight w:val="none"/>
                <w:lang w:eastAsia="zh-CN"/>
              </w:rPr>
              <w:t>单体（二缩三丙二醇二丙烯酸酯）</w:t>
            </w:r>
          </w:p>
        </w:tc>
        <w:tc>
          <w:tcPr>
            <w:tcW w:w="912" w:type="dxa"/>
            <w:vAlign w:val="center"/>
          </w:tcPr>
          <w:p w14:paraId="0E4DD926">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14CC1C5A">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LD50</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经口</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大鼠</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6,800mg/kg</w:t>
            </w:r>
          </w:p>
          <w:p w14:paraId="6F99555F">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LD50</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经皮</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兔子</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&gt;2000mg/kg</w:t>
            </w:r>
          </w:p>
          <w:p w14:paraId="2029A01F">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LD50</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腹膜</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大鼠</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345mg/kg</w:t>
            </w:r>
          </w:p>
        </w:tc>
        <w:tc>
          <w:tcPr>
            <w:tcW w:w="1275" w:type="dxa"/>
            <w:vAlign w:val="center"/>
          </w:tcPr>
          <w:p w14:paraId="05D357BF">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0E3BEB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4A83DDF">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3E6169E">
            <w:pPr>
              <w:pStyle w:val="97"/>
              <w:ind w:left="-105" w:right="-105" w:firstLine="0" w:firstLineChars="0"/>
              <w:jc w:val="center"/>
              <w:rPr>
                <w:rFonts w:eastAsia="宋体"/>
                <w:bCs/>
                <w:color w:val="auto"/>
                <w:sz w:val="21"/>
                <w:szCs w:val="21"/>
                <w:highlight w:val="none"/>
              </w:rPr>
            </w:pPr>
          </w:p>
        </w:tc>
        <w:tc>
          <w:tcPr>
            <w:tcW w:w="1467" w:type="dxa"/>
            <w:vAlign w:val="center"/>
          </w:tcPr>
          <w:p w14:paraId="3EBA7CC2">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hint="eastAsia" w:ascii="Times New Roman" w:hAnsi="Times New Roman" w:eastAsia="宋体" w:cs="Times New Roman"/>
                <w:color w:val="auto"/>
                <w:spacing w:val="8"/>
                <w:sz w:val="21"/>
                <w:szCs w:val="21"/>
                <w:highlight w:val="none"/>
                <w:lang w:eastAsia="zh-CN"/>
              </w:rPr>
              <w:t>光敏剂（1-羟环己基苯酮）</w:t>
            </w:r>
          </w:p>
        </w:tc>
        <w:tc>
          <w:tcPr>
            <w:tcW w:w="912" w:type="dxa"/>
            <w:vAlign w:val="center"/>
          </w:tcPr>
          <w:p w14:paraId="583A7D2E">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0E106EFF">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03516303">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175F44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E0D0D84">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7639E4EA">
            <w:pPr>
              <w:pStyle w:val="97"/>
              <w:ind w:left="-105" w:right="-105" w:firstLine="0" w:firstLineChars="0"/>
              <w:jc w:val="center"/>
              <w:rPr>
                <w:rFonts w:eastAsia="宋体"/>
                <w:bCs/>
                <w:color w:val="auto"/>
                <w:sz w:val="21"/>
                <w:szCs w:val="21"/>
                <w:highlight w:val="none"/>
              </w:rPr>
            </w:pPr>
          </w:p>
        </w:tc>
        <w:tc>
          <w:tcPr>
            <w:tcW w:w="1467" w:type="dxa"/>
            <w:vAlign w:val="center"/>
          </w:tcPr>
          <w:p w14:paraId="189ADA18">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酚醛环氧树脂</w:t>
            </w:r>
          </w:p>
        </w:tc>
        <w:tc>
          <w:tcPr>
            <w:tcW w:w="912" w:type="dxa"/>
            <w:vAlign w:val="center"/>
          </w:tcPr>
          <w:p w14:paraId="5047FDC4">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719ADC3E">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1C519C74">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203E6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8769043">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0D40AA80">
            <w:pPr>
              <w:pStyle w:val="97"/>
              <w:ind w:left="-105" w:right="-105" w:firstLine="0" w:firstLineChars="0"/>
              <w:jc w:val="center"/>
              <w:rPr>
                <w:rFonts w:eastAsia="宋体"/>
                <w:bCs/>
                <w:color w:val="auto"/>
                <w:sz w:val="21"/>
                <w:szCs w:val="21"/>
                <w:highlight w:val="none"/>
              </w:rPr>
            </w:pPr>
          </w:p>
        </w:tc>
        <w:tc>
          <w:tcPr>
            <w:tcW w:w="1467" w:type="dxa"/>
            <w:vAlign w:val="center"/>
          </w:tcPr>
          <w:p w14:paraId="5027A565">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5"/>
                <w:sz w:val="21"/>
                <w:szCs w:val="21"/>
                <w:highlight w:val="none"/>
              </w:rPr>
              <w:t>丙烯酸</w:t>
            </w:r>
          </w:p>
        </w:tc>
        <w:tc>
          <w:tcPr>
            <w:tcW w:w="912" w:type="dxa"/>
            <w:vAlign w:val="center"/>
          </w:tcPr>
          <w:p w14:paraId="2BA2B26C">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63721D3A">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：2520mg/kg（大鼠经口）</w:t>
            </w:r>
          </w:p>
          <w:p w14:paraId="540911D7">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：950mg/kg（兔经皮）</w:t>
            </w:r>
          </w:p>
          <w:p w14:paraId="5C01C36C">
            <w:pPr>
              <w:wordWrap w:val="0"/>
              <w:adjustRightInd w:val="0"/>
              <w:snapToGrid w:val="0"/>
              <w:ind w:left="-105" w:leftChars="0" w:right="-105" w:rightChars="0"/>
              <w:jc w:val="center"/>
              <w:textAlignment w:val="center"/>
              <w:rPr>
                <w:rFonts w:hint="eastAsia" w:ascii="Times New Roman" w:hAnsi="Times New Roman" w:eastAsia="宋体" w:cs="Times New Roman"/>
                <w:bCs/>
                <w:color w:val="auto"/>
                <w:sz w:val="21"/>
                <w:szCs w:val="21"/>
                <w:highlight w:val="none"/>
                <w:vertAlign w:val="baseline"/>
                <w:lang w:val="en-US" w:eastAsia="zh-CN" w:bidi="ar-SA"/>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：5300mg/m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（小鼠吸入）</w:t>
            </w:r>
          </w:p>
        </w:tc>
        <w:tc>
          <w:tcPr>
            <w:tcW w:w="1275" w:type="dxa"/>
            <w:vAlign w:val="center"/>
          </w:tcPr>
          <w:p w14:paraId="15C317DA">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595A0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B94D18E">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A50250E">
            <w:pPr>
              <w:pStyle w:val="97"/>
              <w:ind w:left="-105" w:right="-105" w:firstLine="0" w:firstLineChars="0"/>
              <w:jc w:val="center"/>
              <w:rPr>
                <w:rFonts w:eastAsia="宋体"/>
                <w:bCs/>
                <w:color w:val="auto"/>
                <w:sz w:val="21"/>
                <w:szCs w:val="21"/>
                <w:highlight w:val="none"/>
              </w:rPr>
            </w:pPr>
          </w:p>
        </w:tc>
        <w:tc>
          <w:tcPr>
            <w:tcW w:w="1467" w:type="dxa"/>
            <w:vAlign w:val="center"/>
          </w:tcPr>
          <w:p w14:paraId="337AB232">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z w:val="21"/>
                <w:szCs w:val="21"/>
                <w:highlight w:val="none"/>
                <w:lang w:eastAsia="zh-CN"/>
              </w:rPr>
              <w:t>2-乙二醇单乙醚醋酸酯（溶剂）</w:t>
            </w:r>
          </w:p>
        </w:tc>
        <w:tc>
          <w:tcPr>
            <w:tcW w:w="912" w:type="dxa"/>
            <w:vAlign w:val="center"/>
          </w:tcPr>
          <w:p w14:paraId="1D816B8D">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14330E9D">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:11000mg/kg（大鼠经口）</w:t>
            </w:r>
          </w:p>
        </w:tc>
        <w:tc>
          <w:tcPr>
            <w:tcW w:w="1275" w:type="dxa"/>
            <w:vAlign w:val="center"/>
          </w:tcPr>
          <w:p w14:paraId="0A5F4201">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79D9F6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E4E744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0C5CE405">
            <w:pPr>
              <w:pStyle w:val="97"/>
              <w:ind w:left="-105" w:right="-105" w:firstLine="0" w:firstLineChars="0"/>
              <w:jc w:val="center"/>
              <w:rPr>
                <w:rFonts w:eastAsia="宋体"/>
                <w:bCs/>
                <w:color w:val="auto"/>
                <w:sz w:val="21"/>
                <w:szCs w:val="21"/>
                <w:highlight w:val="none"/>
              </w:rPr>
            </w:pPr>
          </w:p>
        </w:tc>
        <w:tc>
          <w:tcPr>
            <w:tcW w:w="1467" w:type="dxa"/>
            <w:vAlign w:val="center"/>
          </w:tcPr>
          <w:p w14:paraId="1EFF9F2F">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7"/>
                <w:sz w:val="21"/>
                <w:szCs w:val="21"/>
                <w:highlight w:val="none"/>
              </w:rPr>
              <w:t>重溶剂油（溶剂）</w:t>
            </w:r>
          </w:p>
        </w:tc>
        <w:tc>
          <w:tcPr>
            <w:tcW w:w="912" w:type="dxa"/>
            <w:vAlign w:val="center"/>
          </w:tcPr>
          <w:p w14:paraId="48762B23">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6ED6F666">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:500~5000mg/kg（哺乳动物吸入）</w:t>
            </w:r>
          </w:p>
        </w:tc>
        <w:tc>
          <w:tcPr>
            <w:tcW w:w="1275" w:type="dxa"/>
            <w:vAlign w:val="center"/>
          </w:tcPr>
          <w:p w14:paraId="7F747C2A">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5C099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D422276">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030540D6">
            <w:pPr>
              <w:pStyle w:val="97"/>
              <w:ind w:left="-105" w:right="-105" w:firstLine="0" w:firstLineChars="0"/>
              <w:jc w:val="center"/>
              <w:rPr>
                <w:rFonts w:eastAsia="宋体"/>
                <w:bCs/>
                <w:color w:val="auto"/>
                <w:sz w:val="21"/>
                <w:szCs w:val="21"/>
                <w:highlight w:val="none"/>
              </w:rPr>
            </w:pPr>
          </w:p>
        </w:tc>
        <w:tc>
          <w:tcPr>
            <w:tcW w:w="1467" w:type="dxa"/>
            <w:vAlign w:val="center"/>
          </w:tcPr>
          <w:p w14:paraId="4C85CF7A">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7"/>
                <w:sz w:val="21"/>
                <w:szCs w:val="21"/>
                <w:highlight w:val="none"/>
                <w:lang w:eastAsia="zh-CN"/>
              </w:rPr>
              <w:t>2-甲基对苯二酚</w:t>
            </w:r>
            <w:r>
              <w:rPr>
                <w:rFonts w:ascii="Times New Roman" w:hAnsi="Times New Roman" w:eastAsia="宋体" w:cs="Times New Roman"/>
                <w:color w:val="auto"/>
                <w:spacing w:val="4"/>
                <w:sz w:val="21"/>
                <w:szCs w:val="21"/>
                <w:highlight w:val="none"/>
                <w:lang w:eastAsia="zh-CN"/>
              </w:rPr>
              <w:t>（聚合阻止剂）</w:t>
            </w:r>
          </w:p>
        </w:tc>
        <w:tc>
          <w:tcPr>
            <w:tcW w:w="912" w:type="dxa"/>
            <w:vAlign w:val="center"/>
          </w:tcPr>
          <w:p w14:paraId="0BC49936">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53329BAD">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1B23DB41">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467A2C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7D4D44B">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42CD7B8">
            <w:pPr>
              <w:pStyle w:val="97"/>
              <w:ind w:left="-105" w:right="-105" w:firstLine="0" w:firstLineChars="0"/>
              <w:jc w:val="center"/>
              <w:rPr>
                <w:rFonts w:eastAsia="宋体"/>
                <w:bCs/>
                <w:color w:val="auto"/>
                <w:sz w:val="21"/>
                <w:szCs w:val="21"/>
                <w:highlight w:val="none"/>
              </w:rPr>
            </w:pPr>
          </w:p>
        </w:tc>
        <w:tc>
          <w:tcPr>
            <w:tcW w:w="1467" w:type="dxa"/>
            <w:vAlign w:val="center"/>
          </w:tcPr>
          <w:p w14:paraId="225EC18D">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三苯基膦（催化</w:t>
            </w:r>
            <w:r>
              <w:rPr>
                <w:rFonts w:ascii="Times New Roman" w:hAnsi="Times New Roman" w:eastAsia="宋体" w:cs="Times New Roman"/>
                <w:color w:val="auto"/>
                <w:sz w:val="21"/>
                <w:szCs w:val="21"/>
                <w:highlight w:val="none"/>
              </w:rPr>
              <w:t>剂）</w:t>
            </w:r>
          </w:p>
        </w:tc>
        <w:tc>
          <w:tcPr>
            <w:tcW w:w="912" w:type="dxa"/>
            <w:vAlign w:val="center"/>
          </w:tcPr>
          <w:p w14:paraId="7A92D391">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3FAF8E66">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:700mg/kg（大鼠经口）</w:t>
            </w:r>
          </w:p>
          <w:p w14:paraId="4955C016">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:12167mg/m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,4小时（大鼠吸入）</w:t>
            </w:r>
          </w:p>
        </w:tc>
        <w:tc>
          <w:tcPr>
            <w:tcW w:w="1275" w:type="dxa"/>
            <w:vAlign w:val="center"/>
          </w:tcPr>
          <w:p w14:paraId="57B6360D">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07EE4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748DFB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23CA322F">
            <w:pPr>
              <w:pStyle w:val="97"/>
              <w:ind w:left="-105" w:right="-105" w:firstLine="0" w:firstLineChars="0"/>
              <w:jc w:val="center"/>
              <w:rPr>
                <w:rFonts w:eastAsia="宋体"/>
                <w:bCs/>
                <w:color w:val="auto"/>
                <w:sz w:val="21"/>
                <w:szCs w:val="21"/>
                <w:highlight w:val="none"/>
              </w:rPr>
            </w:pPr>
          </w:p>
        </w:tc>
        <w:tc>
          <w:tcPr>
            <w:tcW w:w="1467" w:type="dxa"/>
            <w:vAlign w:val="center"/>
          </w:tcPr>
          <w:p w14:paraId="546C25C5">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z w:val="21"/>
                <w:szCs w:val="21"/>
                <w:highlight w:val="none"/>
                <w:lang w:eastAsia="zh-CN"/>
              </w:rPr>
              <w:t>2、6-二叔丁基对甲</w:t>
            </w:r>
            <w:r>
              <w:rPr>
                <w:rFonts w:ascii="Times New Roman" w:hAnsi="Times New Roman" w:eastAsia="宋体" w:cs="Times New Roman"/>
                <w:color w:val="auto"/>
                <w:spacing w:val="8"/>
                <w:sz w:val="21"/>
                <w:szCs w:val="21"/>
                <w:highlight w:val="none"/>
                <w:lang w:eastAsia="zh-CN"/>
              </w:rPr>
              <w:t>基苯酚（聚合阻止</w:t>
            </w:r>
            <w:r>
              <w:rPr>
                <w:rFonts w:ascii="Times New Roman" w:hAnsi="Times New Roman" w:eastAsia="宋体" w:cs="Times New Roman"/>
                <w:color w:val="auto"/>
                <w:sz w:val="21"/>
                <w:szCs w:val="21"/>
                <w:highlight w:val="none"/>
                <w:lang w:eastAsia="zh-CN"/>
              </w:rPr>
              <w:t>剂）</w:t>
            </w:r>
          </w:p>
        </w:tc>
        <w:tc>
          <w:tcPr>
            <w:tcW w:w="912" w:type="dxa"/>
            <w:vAlign w:val="center"/>
          </w:tcPr>
          <w:p w14:paraId="4C651596">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52FD28A2">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:890mg/kg（大鼠经口）</w:t>
            </w:r>
          </w:p>
        </w:tc>
        <w:tc>
          <w:tcPr>
            <w:tcW w:w="1275" w:type="dxa"/>
            <w:vAlign w:val="center"/>
          </w:tcPr>
          <w:p w14:paraId="2939D826">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6F0BE1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5398315">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201FD081">
            <w:pPr>
              <w:pStyle w:val="97"/>
              <w:ind w:left="-105" w:right="-105" w:firstLine="0" w:firstLineChars="0"/>
              <w:jc w:val="center"/>
              <w:rPr>
                <w:rFonts w:eastAsia="宋体"/>
                <w:bCs/>
                <w:color w:val="auto"/>
                <w:sz w:val="21"/>
                <w:szCs w:val="21"/>
                <w:highlight w:val="none"/>
              </w:rPr>
            </w:pPr>
          </w:p>
        </w:tc>
        <w:tc>
          <w:tcPr>
            <w:tcW w:w="1467" w:type="dxa"/>
            <w:vAlign w:val="center"/>
          </w:tcPr>
          <w:p w14:paraId="6A48D1B2">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lang w:bidi="ar"/>
              </w:rPr>
            </w:pPr>
            <w:r>
              <w:rPr>
                <w:rFonts w:ascii="Times New Roman" w:hAnsi="Times New Roman" w:eastAsia="宋体" w:cs="Times New Roman"/>
                <w:color w:val="auto"/>
                <w:spacing w:val="5"/>
                <w:sz w:val="21"/>
                <w:szCs w:val="21"/>
                <w:highlight w:val="none"/>
              </w:rPr>
              <w:t>四氢化邻苯二甲</w:t>
            </w:r>
            <w:r>
              <w:rPr>
                <w:rFonts w:ascii="Times New Roman" w:hAnsi="Times New Roman" w:eastAsia="宋体" w:cs="Times New Roman"/>
                <w:color w:val="auto"/>
                <w:spacing w:val="4"/>
                <w:sz w:val="21"/>
                <w:szCs w:val="21"/>
                <w:highlight w:val="none"/>
              </w:rPr>
              <w:t>酸酐</w:t>
            </w:r>
          </w:p>
        </w:tc>
        <w:tc>
          <w:tcPr>
            <w:tcW w:w="912" w:type="dxa"/>
            <w:vAlign w:val="center"/>
          </w:tcPr>
          <w:p w14:paraId="025C34F3">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22DE4B71">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大鼠吸入LC：&gt;294mg/kg；</w:t>
            </w:r>
          </w:p>
          <w:p w14:paraId="671AFCCE">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大鼠LD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：3mg/kg；</w:t>
            </w:r>
          </w:p>
          <w:p w14:paraId="28D30A5E">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小鼠吸入LC：&gt;294mg/kg；</w:t>
            </w:r>
          </w:p>
          <w:p w14:paraId="68A835E4">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小鼠腹腔LD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：500mg/kg；</w:t>
            </w:r>
          </w:p>
          <w:p w14:paraId="2CC11932">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小鼠LD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：3300mg/kg</w:t>
            </w:r>
          </w:p>
        </w:tc>
        <w:tc>
          <w:tcPr>
            <w:tcW w:w="1275" w:type="dxa"/>
            <w:vAlign w:val="center"/>
          </w:tcPr>
          <w:p w14:paraId="52E6B29D">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2FE51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18D5A3D">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97595A6">
            <w:pPr>
              <w:pStyle w:val="97"/>
              <w:ind w:left="-105" w:right="-105" w:firstLine="0" w:firstLineChars="0"/>
              <w:jc w:val="center"/>
              <w:rPr>
                <w:rFonts w:eastAsia="宋体"/>
                <w:bCs/>
                <w:color w:val="auto"/>
                <w:sz w:val="21"/>
                <w:szCs w:val="21"/>
                <w:highlight w:val="none"/>
              </w:rPr>
            </w:pPr>
          </w:p>
        </w:tc>
        <w:tc>
          <w:tcPr>
            <w:tcW w:w="1467" w:type="dxa"/>
            <w:vAlign w:val="center"/>
          </w:tcPr>
          <w:p w14:paraId="7C643321">
            <w:pPr>
              <w:ind w:left="-105" w:right="-105"/>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丁酮</w:t>
            </w:r>
          </w:p>
        </w:tc>
        <w:tc>
          <w:tcPr>
            <w:tcW w:w="912" w:type="dxa"/>
            <w:vAlign w:val="center"/>
          </w:tcPr>
          <w:p w14:paraId="1ADF0080">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67866778">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:3400mg/kg（大鼠经口）；6480mg/kg（兔经皮）</w:t>
            </w:r>
          </w:p>
          <w:p w14:paraId="017A11E2">
            <w:pPr>
              <w:wordWrap w:val="0"/>
              <w:adjustRightInd w:val="0"/>
              <w:snapToGrid w:val="0"/>
              <w:ind w:left="-105" w:right="-105"/>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:8000ppm8小时（大鼠吸入）</w:t>
            </w:r>
          </w:p>
        </w:tc>
        <w:tc>
          <w:tcPr>
            <w:tcW w:w="1275" w:type="dxa"/>
            <w:vAlign w:val="center"/>
          </w:tcPr>
          <w:p w14:paraId="0359C143">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现场不贮存</w:t>
            </w:r>
          </w:p>
        </w:tc>
      </w:tr>
      <w:tr w14:paraId="39B4D5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920C57D">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7F39263">
            <w:pPr>
              <w:pStyle w:val="97"/>
              <w:ind w:left="-105" w:right="-105" w:firstLine="0" w:firstLineChars="0"/>
              <w:jc w:val="center"/>
              <w:rPr>
                <w:rFonts w:eastAsia="宋体"/>
                <w:bCs/>
                <w:color w:val="auto"/>
                <w:sz w:val="21"/>
                <w:szCs w:val="21"/>
                <w:highlight w:val="none"/>
              </w:rPr>
            </w:pPr>
          </w:p>
        </w:tc>
        <w:tc>
          <w:tcPr>
            <w:tcW w:w="1467" w:type="dxa"/>
            <w:vAlign w:val="center"/>
          </w:tcPr>
          <w:p w14:paraId="2639E0B3">
            <w:pPr>
              <w:ind w:left="-105" w:right="-105"/>
              <w:jc w:val="center"/>
              <w:textAlignment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柴油</w:t>
            </w:r>
          </w:p>
        </w:tc>
        <w:tc>
          <w:tcPr>
            <w:tcW w:w="912" w:type="dxa"/>
            <w:vAlign w:val="center"/>
          </w:tcPr>
          <w:p w14:paraId="29655987">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5EBB8576">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7A11D157">
            <w:pPr>
              <w:ind w:left="-105" w:right="-10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地埋式储罐</w:t>
            </w:r>
          </w:p>
        </w:tc>
      </w:tr>
      <w:tr w14:paraId="0DD77D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CCB42A9">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49DDEF9">
            <w:pPr>
              <w:pStyle w:val="97"/>
              <w:ind w:left="-105" w:right="-105" w:firstLine="0" w:firstLineChars="0"/>
              <w:jc w:val="center"/>
              <w:rPr>
                <w:rFonts w:eastAsia="宋体"/>
                <w:bCs/>
                <w:color w:val="auto"/>
                <w:sz w:val="21"/>
                <w:szCs w:val="21"/>
                <w:highlight w:val="none"/>
              </w:rPr>
            </w:pPr>
          </w:p>
        </w:tc>
        <w:tc>
          <w:tcPr>
            <w:tcW w:w="1467" w:type="dxa"/>
            <w:vAlign w:val="center"/>
          </w:tcPr>
          <w:p w14:paraId="23A076B4">
            <w:pPr>
              <w:ind w:left="-105" w:right="-105"/>
              <w:jc w:val="center"/>
              <w:textAlignment w:val="center"/>
              <w:rPr>
                <w:bCs/>
                <w:color w:val="auto"/>
                <w:sz w:val="21"/>
                <w:szCs w:val="21"/>
                <w:highlight w:val="none"/>
              </w:rPr>
            </w:pPr>
            <w:r>
              <w:rPr>
                <w:rFonts w:ascii="Times New Roman" w:hAnsi="Times New Roman" w:cs="Times New Roman"/>
                <w:color w:val="auto"/>
                <w:sz w:val="21"/>
                <w:szCs w:val="21"/>
                <w:highlight w:val="none"/>
                <w:lang w:bidi="ar"/>
              </w:rPr>
              <w:t>二甲基亚砜</w:t>
            </w:r>
          </w:p>
        </w:tc>
        <w:tc>
          <w:tcPr>
            <w:tcW w:w="912" w:type="dxa"/>
            <w:vAlign w:val="center"/>
          </w:tcPr>
          <w:p w14:paraId="22E52870">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293E2913">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：13400~28300mg/kg（鼠，经口）；LD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：40000mg/kg（鼠，经皮）</w:t>
            </w:r>
          </w:p>
        </w:tc>
        <w:tc>
          <w:tcPr>
            <w:tcW w:w="1275" w:type="dxa"/>
            <w:vAlign w:val="center"/>
          </w:tcPr>
          <w:p w14:paraId="595E862A">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00946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3F904AB">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E9DBB2D">
            <w:pPr>
              <w:pStyle w:val="97"/>
              <w:ind w:left="-105" w:right="-105" w:firstLine="0" w:firstLineChars="0"/>
              <w:jc w:val="center"/>
              <w:rPr>
                <w:rFonts w:eastAsia="宋体"/>
                <w:bCs/>
                <w:color w:val="auto"/>
                <w:sz w:val="21"/>
                <w:szCs w:val="21"/>
                <w:highlight w:val="none"/>
              </w:rPr>
            </w:pPr>
          </w:p>
        </w:tc>
        <w:tc>
          <w:tcPr>
            <w:tcW w:w="1467" w:type="dxa"/>
            <w:vAlign w:val="center"/>
          </w:tcPr>
          <w:p w14:paraId="4A3D8397">
            <w:pPr>
              <w:ind w:left="-105" w:right="-105"/>
              <w:jc w:val="center"/>
              <w:textAlignment w:val="center"/>
              <w:rPr>
                <w:bCs/>
                <w:color w:val="auto"/>
                <w:sz w:val="21"/>
                <w:szCs w:val="21"/>
                <w:highlight w:val="none"/>
              </w:rPr>
            </w:pPr>
            <w:r>
              <w:rPr>
                <w:rFonts w:ascii="Times New Roman" w:hAnsi="Times New Roman" w:cs="Times New Roman"/>
                <w:color w:val="auto"/>
                <w:sz w:val="21"/>
                <w:szCs w:val="21"/>
                <w:highlight w:val="none"/>
                <w:lang w:bidi="ar"/>
              </w:rPr>
              <w:t>N-甲基吡咯烷酮</w:t>
            </w:r>
          </w:p>
        </w:tc>
        <w:tc>
          <w:tcPr>
            <w:tcW w:w="912" w:type="dxa"/>
            <w:vAlign w:val="center"/>
          </w:tcPr>
          <w:p w14:paraId="410BDBB3">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5FD78FC7">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：3914mg/kg（鼠，经口）；LD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：＞5000mg/kg（鼠，经皮）</w:t>
            </w:r>
          </w:p>
        </w:tc>
        <w:tc>
          <w:tcPr>
            <w:tcW w:w="1275" w:type="dxa"/>
            <w:vAlign w:val="center"/>
          </w:tcPr>
          <w:p w14:paraId="34F6EF66">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13CA15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A5E5D3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2DF682EE">
            <w:pPr>
              <w:pStyle w:val="97"/>
              <w:ind w:left="-105" w:right="-105" w:firstLine="0" w:firstLineChars="0"/>
              <w:jc w:val="center"/>
              <w:rPr>
                <w:rFonts w:eastAsia="宋体"/>
                <w:bCs/>
                <w:color w:val="auto"/>
                <w:sz w:val="21"/>
                <w:szCs w:val="21"/>
                <w:highlight w:val="none"/>
              </w:rPr>
            </w:pPr>
          </w:p>
        </w:tc>
        <w:tc>
          <w:tcPr>
            <w:tcW w:w="1467" w:type="dxa"/>
            <w:vAlign w:val="center"/>
          </w:tcPr>
          <w:p w14:paraId="41661239">
            <w:pPr>
              <w:ind w:left="-105" w:right="-105"/>
              <w:jc w:val="center"/>
              <w:textAlignment w:val="center"/>
              <w:rPr>
                <w:bCs/>
                <w:color w:val="auto"/>
                <w:sz w:val="21"/>
                <w:szCs w:val="21"/>
                <w:highlight w:val="none"/>
              </w:rPr>
            </w:pPr>
            <w:r>
              <w:rPr>
                <w:rFonts w:ascii="Times New Roman" w:hAnsi="Times New Roman" w:cs="Times New Roman"/>
                <w:color w:val="auto"/>
                <w:sz w:val="21"/>
                <w:szCs w:val="21"/>
                <w:highlight w:val="none"/>
                <w:lang w:bidi="ar"/>
              </w:rPr>
              <w:t>四甲基氢氧化铵</w:t>
            </w:r>
          </w:p>
        </w:tc>
        <w:tc>
          <w:tcPr>
            <w:tcW w:w="912" w:type="dxa"/>
            <w:vAlign w:val="center"/>
          </w:tcPr>
          <w:p w14:paraId="72D9DFFB">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不燃</w:t>
            </w:r>
          </w:p>
        </w:tc>
        <w:tc>
          <w:tcPr>
            <w:tcW w:w="3084" w:type="dxa"/>
            <w:vAlign w:val="center"/>
          </w:tcPr>
          <w:p w14:paraId="326AA634">
            <w:pPr>
              <w:wordWrap w:val="0"/>
              <w:adjustRightInd w:val="0"/>
              <w:snapToGrid w:val="0"/>
              <w:ind w:left="-105" w:right="-105"/>
              <w:jc w:val="center"/>
              <w:textAlignment w:val="center"/>
              <w:rPr>
                <w:bCs/>
                <w:color w:val="auto"/>
                <w:sz w:val="21"/>
                <w:szCs w:val="21"/>
                <w:highlight w:val="none"/>
              </w:rPr>
            </w:pPr>
            <w:r>
              <w:rPr>
                <w:rFonts w:ascii="Times New Roman" w:hAnsi="Times New Roman" w:cs="Times New Roman"/>
                <w:color w:val="auto"/>
                <w:sz w:val="21"/>
                <w:szCs w:val="21"/>
                <w:highlight w:val="none"/>
                <w:lang w:bidi="ar"/>
              </w:rPr>
              <w:t>四甲基氢氧化铵</w:t>
            </w:r>
            <w:r>
              <w:rPr>
                <w:rFonts w:hint="eastAsia" w:ascii="Times New Roman" w:hAnsi="Times New Roman" w:cs="Times New Roman"/>
                <w:color w:val="auto"/>
                <w:sz w:val="21"/>
                <w:szCs w:val="21"/>
                <w:highlight w:val="none"/>
                <w:lang w:bidi="ar"/>
              </w:rPr>
              <w:t>：</w:t>
            </w: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：50-300mg/kg（鼠，经口）；LD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：50-200mg/kg（鼠，经皮）</w:t>
            </w:r>
          </w:p>
        </w:tc>
        <w:tc>
          <w:tcPr>
            <w:tcW w:w="1275" w:type="dxa"/>
            <w:vAlign w:val="center"/>
          </w:tcPr>
          <w:p w14:paraId="35966E5E">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5E85C8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032FF47">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9B1E44D">
            <w:pPr>
              <w:pStyle w:val="97"/>
              <w:ind w:left="-105" w:right="-105" w:firstLine="0" w:firstLineChars="0"/>
              <w:jc w:val="center"/>
              <w:rPr>
                <w:rFonts w:eastAsia="宋体"/>
                <w:bCs/>
                <w:color w:val="auto"/>
                <w:sz w:val="21"/>
                <w:szCs w:val="21"/>
                <w:highlight w:val="none"/>
              </w:rPr>
            </w:pPr>
          </w:p>
        </w:tc>
        <w:tc>
          <w:tcPr>
            <w:tcW w:w="1467" w:type="dxa"/>
            <w:vAlign w:val="center"/>
          </w:tcPr>
          <w:p w14:paraId="1856972B">
            <w:pPr>
              <w:ind w:left="-105" w:right="-105"/>
              <w:jc w:val="center"/>
              <w:textAlignment w:val="center"/>
              <w:rPr>
                <w:bCs/>
                <w:color w:val="auto"/>
                <w:sz w:val="21"/>
                <w:szCs w:val="21"/>
                <w:highlight w:val="none"/>
              </w:rPr>
            </w:pPr>
            <w:r>
              <w:rPr>
                <w:rFonts w:ascii="Times New Roman" w:hAnsi="Times New Roman" w:cs="Times New Roman"/>
                <w:color w:val="auto"/>
                <w:sz w:val="21"/>
                <w:szCs w:val="21"/>
                <w:highlight w:val="none"/>
                <w:lang w:bidi="ar"/>
              </w:rPr>
              <w:t>2-甲氨基乙醇</w:t>
            </w:r>
          </w:p>
        </w:tc>
        <w:tc>
          <w:tcPr>
            <w:tcW w:w="912" w:type="dxa"/>
            <w:vAlign w:val="center"/>
          </w:tcPr>
          <w:p w14:paraId="5A3C2D48">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30757744">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：1391mg/kg（鼠，经口）</w:t>
            </w:r>
          </w:p>
        </w:tc>
        <w:tc>
          <w:tcPr>
            <w:tcW w:w="1275" w:type="dxa"/>
            <w:vAlign w:val="center"/>
          </w:tcPr>
          <w:p w14:paraId="0EEEA85D">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37D32C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E721FA4">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59BEFC5A">
            <w:pPr>
              <w:pStyle w:val="97"/>
              <w:ind w:left="-105" w:right="-105" w:firstLine="0" w:firstLineChars="0"/>
              <w:jc w:val="center"/>
              <w:rPr>
                <w:rFonts w:eastAsia="宋体"/>
                <w:bCs/>
                <w:color w:val="auto"/>
                <w:sz w:val="21"/>
                <w:szCs w:val="21"/>
                <w:highlight w:val="none"/>
              </w:rPr>
            </w:pPr>
          </w:p>
        </w:tc>
        <w:tc>
          <w:tcPr>
            <w:tcW w:w="1467" w:type="dxa"/>
            <w:vAlign w:val="center"/>
          </w:tcPr>
          <w:p w14:paraId="767EEF86">
            <w:pPr>
              <w:ind w:left="-105" w:right="-105"/>
              <w:jc w:val="center"/>
              <w:rPr>
                <w:bCs/>
                <w:color w:val="auto"/>
                <w:sz w:val="21"/>
                <w:szCs w:val="21"/>
                <w:highlight w:val="none"/>
              </w:rPr>
            </w:pPr>
            <w:r>
              <w:rPr>
                <w:rFonts w:ascii="Times New Roman" w:hAnsi="Times New Roman" w:cs="Times New Roman"/>
                <w:color w:val="auto"/>
                <w:sz w:val="21"/>
                <w:szCs w:val="21"/>
                <w:highlight w:val="none"/>
              </w:rPr>
              <w:t>邻苯二酚</w:t>
            </w:r>
          </w:p>
        </w:tc>
        <w:tc>
          <w:tcPr>
            <w:tcW w:w="912" w:type="dxa"/>
            <w:vAlign w:val="center"/>
          </w:tcPr>
          <w:p w14:paraId="56275DBC">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不燃</w:t>
            </w:r>
          </w:p>
        </w:tc>
        <w:tc>
          <w:tcPr>
            <w:tcW w:w="3084" w:type="dxa"/>
            <w:vAlign w:val="center"/>
          </w:tcPr>
          <w:p w14:paraId="67423929">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：260mg/kg（鼠，经口）</w:t>
            </w:r>
          </w:p>
        </w:tc>
        <w:tc>
          <w:tcPr>
            <w:tcW w:w="1275" w:type="dxa"/>
            <w:vAlign w:val="center"/>
          </w:tcPr>
          <w:p w14:paraId="5B7EBA6A">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67BCAD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2EB0077">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700F8596">
            <w:pPr>
              <w:pStyle w:val="97"/>
              <w:ind w:left="-105" w:right="-105" w:firstLine="0" w:firstLineChars="0"/>
              <w:jc w:val="center"/>
              <w:rPr>
                <w:rFonts w:eastAsia="宋体"/>
                <w:bCs/>
                <w:color w:val="auto"/>
                <w:sz w:val="21"/>
                <w:szCs w:val="21"/>
                <w:highlight w:val="none"/>
              </w:rPr>
            </w:pPr>
          </w:p>
        </w:tc>
        <w:tc>
          <w:tcPr>
            <w:tcW w:w="1467" w:type="dxa"/>
            <w:vAlign w:val="center"/>
          </w:tcPr>
          <w:p w14:paraId="43E98A51">
            <w:pPr>
              <w:ind w:left="-105" w:right="-105"/>
              <w:jc w:val="center"/>
              <w:rPr>
                <w:bCs/>
                <w:color w:val="auto"/>
                <w:sz w:val="21"/>
                <w:szCs w:val="21"/>
                <w:highlight w:val="none"/>
              </w:rPr>
            </w:pPr>
            <w:r>
              <w:rPr>
                <w:rFonts w:ascii="Times New Roman" w:hAnsi="Times New Roman" w:cs="Times New Roman"/>
                <w:color w:val="auto"/>
                <w:sz w:val="21"/>
                <w:szCs w:val="21"/>
                <w:highlight w:val="none"/>
              </w:rPr>
              <w:t>乙醇胺</w:t>
            </w:r>
          </w:p>
        </w:tc>
        <w:tc>
          <w:tcPr>
            <w:tcW w:w="912" w:type="dxa"/>
            <w:vAlign w:val="center"/>
          </w:tcPr>
          <w:p w14:paraId="3B48D520">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61242A95">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：1515mg/kg（鼠，经口）</w:t>
            </w:r>
          </w:p>
        </w:tc>
        <w:tc>
          <w:tcPr>
            <w:tcW w:w="1275" w:type="dxa"/>
            <w:vAlign w:val="center"/>
          </w:tcPr>
          <w:p w14:paraId="19A8836C">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427CE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12812D3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15571C3">
            <w:pPr>
              <w:pStyle w:val="97"/>
              <w:ind w:left="-105" w:right="-105" w:firstLine="0" w:firstLineChars="0"/>
              <w:jc w:val="center"/>
              <w:rPr>
                <w:rFonts w:eastAsia="宋体"/>
                <w:bCs/>
                <w:color w:val="auto"/>
                <w:sz w:val="21"/>
                <w:szCs w:val="21"/>
                <w:highlight w:val="none"/>
              </w:rPr>
            </w:pPr>
          </w:p>
        </w:tc>
        <w:tc>
          <w:tcPr>
            <w:tcW w:w="1467" w:type="dxa"/>
            <w:vAlign w:val="center"/>
          </w:tcPr>
          <w:p w14:paraId="21BCF587">
            <w:pPr>
              <w:ind w:left="-105" w:right="-105"/>
              <w:jc w:val="center"/>
              <w:rPr>
                <w:bCs/>
                <w:color w:val="auto"/>
                <w:sz w:val="21"/>
                <w:szCs w:val="21"/>
                <w:highlight w:val="none"/>
              </w:rPr>
            </w:pPr>
            <w:r>
              <w:rPr>
                <w:rFonts w:ascii="Times New Roman" w:hAnsi="Times New Roman" w:cs="Times New Roman"/>
                <w:color w:val="auto"/>
                <w:sz w:val="21"/>
                <w:szCs w:val="21"/>
                <w:highlight w:val="none"/>
              </w:rPr>
              <w:t>甲醇</w:t>
            </w:r>
          </w:p>
        </w:tc>
        <w:tc>
          <w:tcPr>
            <w:tcW w:w="912" w:type="dxa"/>
            <w:vAlign w:val="center"/>
          </w:tcPr>
          <w:p w14:paraId="6FE8694F">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易燃</w:t>
            </w:r>
          </w:p>
        </w:tc>
        <w:tc>
          <w:tcPr>
            <w:tcW w:w="3084" w:type="dxa"/>
            <w:vAlign w:val="center"/>
          </w:tcPr>
          <w:p w14:paraId="224A32DA">
            <w:pPr>
              <w:wordWrap w:val="0"/>
              <w:adjustRightInd w:val="0"/>
              <w:snapToGrid w:val="0"/>
              <w:ind w:left="-105" w:right="-105"/>
              <w:jc w:val="center"/>
              <w:textAlignment w:val="center"/>
              <w:rPr>
                <w:bCs/>
                <w:color w:val="auto"/>
                <w:sz w:val="21"/>
                <w:szCs w:val="21"/>
                <w:highlight w:val="none"/>
              </w:rPr>
            </w:pPr>
            <w:r>
              <w:rPr>
                <w:rFonts w:hint="eastAsia"/>
                <w:bCs/>
                <w:color w:val="auto"/>
                <w:sz w:val="21"/>
                <w:szCs w:val="21"/>
                <w:highlight w:val="none"/>
              </w:rPr>
              <w:t>无资料</w:t>
            </w:r>
          </w:p>
        </w:tc>
        <w:tc>
          <w:tcPr>
            <w:tcW w:w="1275" w:type="dxa"/>
            <w:vAlign w:val="center"/>
          </w:tcPr>
          <w:p w14:paraId="3172703D">
            <w:pPr>
              <w:ind w:left="-105" w:right="-105"/>
              <w:jc w:val="center"/>
              <w:rPr>
                <w:bCs/>
                <w:color w:val="auto"/>
                <w:sz w:val="21"/>
                <w:szCs w:val="21"/>
                <w:highlight w:val="none"/>
              </w:rPr>
            </w:pPr>
            <w:r>
              <w:rPr>
                <w:rFonts w:hint="eastAsia" w:ascii="Times New Roman" w:hAnsi="Times New Roman" w:cs="Times New Roman"/>
                <w:color w:val="auto"/>
                <w:sz w:val="21"/>
                <w:szCs w:val="21"/>
                <w:highlight w:val="none"/>
              </w:rPr>
              <w:t>化学试剂柜</w:t>
            </w:r>
          </w:p>
        </w:tc>
      </w:tr>
      <w:tr w14:paraId="5113DB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83B8767">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20112FC6">
            <w:pPr>
              <w:pStyle w:val="97"/>
              <w:ind w:left="-105" w:right="-105" w:firstLine="0" w:firstLineChars="0"/>
              <w:jc w:val="center"/>
              <w:rPr>
                <w:rFonts w:eastAsia="宋体"/>
                <w:bCs/>
                <w:color w:val="auto"/>
                <w:sz w:val="21"/>
                <w:szCs w:val="21"/>
                <w:highlight w:val="none"/>
              </w:rPr>
            </w:pPr>
          </w:p>
        </w:tc>
        <w:tc>
          <w:tcPr>
            <w:tcW w:w="1467" w:type="dxa"/>
            <w:vAlign w:val="center"/>
          </w:tcPr>
          <w:p w14:paraId="6D5D00F2">
            <w:pPr>
              <w:ind w:left="-105" w:right="-105"/>
              <w:jc w:val="center"/>
              <w:rPr>
                <w:bCs/>
                <w:color w:val="auto"/>
                <w:sz w:val="21"/>
                <w:szCs w:val="21"/>
                <w:highlight w:val="none"/>
              </w:rPr>
            </w:pPr>
            <w:r>
              <w:rPr>
                <w:rFonts w:ascii="Times New Roman" w:hAnsi="Times New Roman" w:cs="Times New Roman"/>
                <w:color w:val="auto"/>
                <w:sz w:val="21"/>
                <w:szCs w:val="21"/>
                <w:highlight w:val="none"/>
              </w:rPr>
              <w:t>硝酸</w:t>
            </w:r>
            <w:r>
              <w:rPr>
                <w:rFonts w:hint="eastAsia" w:ascii="Times New Roman" w:hAnsi="Times New Roman" w:cs="Times New Roman"/>
                <w:color w:val="auto"/>
                <w:sz w:val="21"/>
                <w:szCs w:val="21"/>
                <w:highlight w:val="none"/>
              </w:rPr>
              <w:t>（55%）</w:t>
            </w:r>
          </w:p>
        </w:tc>
        <w:tc>
          <w:tcPr>
            <w:tcW w:w="912" w:type="dxa"/>
            <w:vAlign w:val="center"/>
          </w:tcPr>
          <w:p w14:paraId="17DB3359">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469BD63E">
            <w:pPr>
              <w:wordWrap w:val="0"/>
              <w:adjustRightInd w:val="0"/>
              <w:snapToGrid w:val="0"/>
              <w:ind w:left="-105" w:right="-105"/>
              <w:jc w:val="center"/>
              <w:textAlignment w:val="center"/>
              <w:rPr>
                <w:bCs/>
                <w:color w:val="auto"/>
                <w:sz w:val="21"/>
                <w:szCs w:val="21"/>
                <w:highlight w:val="none"/>
              </w:rPr>
            </w:pPr>
            <w:r>
              <w:rPr>
                <w:rFonts w:hint="eastAsia"/>
                <w:bCs/>
                <w:color w:val="auto"/>
                <w:sz w:val="21"/>
                <w:szCs w:val="21"/>
                <w:highlight w:val="none"/>
              </w:rPr>
              <w:t>无资料</w:t>
            </w:r>
          </w:p>
        </w:tc>
        <w:tc>
          <w:tcPr>
            <w:tcW w:w="1275" w:type="dxa"/>
            <w:vAlign w:val="center"/>
          </w:tcPr>
          <w:p w14:paraId="3406F911">
            <w:pPr>
              <w:ind w:left="-105" w:right="-105"/>
              <w:jc w:val="center"/>
              <w:rPr>
                <w:rFonts w:hint="eastAsia" w:eastAsia="宋体"/>
                <w:bCs/>
                <w:color w:val="auto"/>
                <w:sz w:val="21"/>
                <w:szCs w:val="21"/>
                <w:highlight w:val="none"/>
                <w:lang w:eastAsia="zh-CN"/>
              </w:rPr>
            </w:pPr>
            <w:r>
              <w:rPr>
                <w:rFonts w:hint="eastAsia" w:ascii="Times New Roman" w:hAnsi="Times New Roman" w:cs="Times New Roman"/>
                <w:color w:val="auto"/>
                <w:sz w:val="21"/>
                <w:szCs w:val="21"/>
                <w:highlight w:val="none"/>
                <w:lang w:eastAsia="zh-CN"/>
              </w:rPr>
              <w:t>防爆间</w:t>
            </w:r>
          </w:p>
        </w:tc>
      </w:tr>
      <w:tr w14:paraId="5C226D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20E9278">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6FA0F50">
            <w:pPr>
              <w:pStyle w:val="97"/>
              <w:ind w:left="-105" w:right="-105" w:firstLine="0" w:firstLineChars="0"/>
              <w:jc w:val="center"/>
              <w:rPr>
                <w:rFonts w:eastAsia="宋体"/>
                <w:bCs/>
                <w:color w:val="auto"/>
                <w:sz w:val="21"/>
                <w:szCs w:val="21"/>
                <w:highlight w:val="none"/>
              </w:rPr>
            </w:pPr>
          </w:p>
        </w:tc>
        <w:tc>
          <w:tcPr>
            <w:tcW w:w="1467" w:type="dxa"/>
            <w:vAlign w:val="center"/>
          </w:tcPr>
          <w:p w14:paraId="2509F12B">
            <w:pPr>
              <w:ind w:left="-105" w:right="-105"/>
              <w:jc w:val="center"/>
              <w:rPr>
                <w:bCs/>
                <w:color w:val="auto"/>
                <w:sz w:val="21"/>
                <w:szCs w:val="21"/>
                <w:highlight w:val="none"/>
              </w:rPr>
            </w:pPr>
            <w:r>
              <w:rPr>
                <w:rFonts w:ascii="Times New Roman" w:hAnsi="Times New Roman" w:cs="Times New Roman"/>
                <w:color w:val="auto"/>
                <w:sz w:val="21"/>
                <w:szCs w:val="21"/>
                <w:highlight w:val="none"/>
              </w:rPr>
              <w:t>卡尔费休试剂</w:t>
            </w:r>
          </w:p>
        </w:tc>
        <w:tc>
          <w:tcPr>
            <w:tcW w:w="912" w:type="dxa"/>
            <w:vAlign w:val="center"/>
          </w:tcPr>
          <w:p w14:paraId="1ED4CAD9">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可燃</w:t>
            </w:r>
          </w:p>
        </w:tc>
        <w:tc>
          <w:tcPr>
            <w:tcW w:w="3084" w:type="dxa"/>
            <w:vAlign w:val="center"/>
          </w:tcPr>
          <w:p w14:paraId="43E414EE">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：100mg/kg(兔经皮)</w:t>
            </w:r>
          </w:p>
        </w:tc>
        <w:tc>
          <w:tcPr>
            <w:tcW w:w="1275" w:type="dxa"/>
            <w:vAlign w:val="center"/>
          </w:tcPr>
          <w:p w14:paraId="38C274D8">
            <w:pPr>
              <w:ind w:left="-105" w:right="-105"/>
              <w:jc w:val="center"/>
              <w:rPr>
                <w:bCs/>
                <w:color w:val="auto"/>
                <w:sz w:val="21"/>
                <w:szCs w:val="21"/>
                <w:highlight w:val="none"/>
              </w:rPr>
            </w:pPr>
            <w:r>
              <w:rPr>
                <w:rFonts w:hint="eastAsia" w:ascii="Times New Roman" w:hAnsi="Times New Roman" w:cs="Times New Roman"/>
                <w:color w:val="auto"/>
                <w:sz w:val="21"/>
                <w:szCs w:val="21"/>
                <w:highlight w:val="none"/>
              </w:rPr>
              <w:t>化学试剂柜</w:t>
            </w:r>
          </w:p>
        </w:tc>
      </w:tr>
      <w:tr w14:paraId="6FA16C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6AA4D9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8041237">
            <w:pPr>
              <w:pStyle w:val="97"/>
              <w:ind w:left="-105" w:right="-105" w:firstLine="0" w:firstLineChars="0"/>
              <w:jc w:val="center"/>
              <w:rPr>
                <w:rFonts w:eastAsia="宋体"/>
                <w:bCs/>
                <w:color w:val="auto"/>
                <w:sz w:val="21"/>
                <w:szCs w:val="21"/>
                <w:highlight w:val="none"/>
              </w:rPr>
            </w:pPr>
          </w:p>
        </w:tc>
        <w:tc>
          <w:tcPr>
            <w:tcW w:w="1467" w:type="dxa"/>
            <w:vAlign w:val="center"/>
          </w:tcPr>
          <w:p w14:paraId="5CCAF2A3">
            <w:pPr>
              <w:ind w:left="-105" w:right="-105"/>
              <w:jc w:val="center"/>
              <w:rPr>
                <w:bCs/>
                <w:color w:val="auto"/>
                <w:sz w:val="21"/>
                <w:szCs w:val="21"/>
                <w:highlight w:val="none"/>
              </w:rPr>
            </w:pPr>
            <w:r>
              <w:rPr>
                <w:rFonts w:ascii="Times New Roman" w:hAnsi="Times New Roman" w:cs="Times New Roman"/>
                <w:color w:val="auto"/>
                <w:sz w:val="21"/>
                <w:szCs w:val="21"/>
                <w:highlight w:val="none"/>
              </w:rPr>
              <w:t>异丙醇</w:t>
            </w:r>
          </w:p>
        </w:tc>
        <w:tc>
          <w:tcPr>
            <w:tcW w:w="912" w:type="dxa"/>
            <w:vAlign w:val="center"/>
          </w:tcPr>
          <w:p w14:paraId="52EFDDA1">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易燃</w:t>
            </w:r>
          </w:p>
        </w:tc>
        <w:tc>
          <w:tcPr>
            <w:tcW w:w="3084" w:type="dxa"/>
            <w:vAlign w:val="center"/>
          </w:tcPr>
          <w:p w14:paraId="42EBE83E">
            <w:pPr>
              <w:wordWrap w:val="0"/>
              <w:adjustRightInd w:val="0"/>
              <w:snapToGrid w:val="0"/>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：5045mg/kg（鼠，经口）；</w:t>
            </w:r>
          </w:p>
          <w:p w14:paraId="467C128A">
            <w:pPr>
              <w:wordWrap w:val="0"/>
              <w:adjustRightInd w:val="0"/>
              <w:snapToGrid w:val="0"/>
              <w:ind w:left="-105" w:right="-105"/>
              <w:jc w:val="center"/>
              <w:textAlignment w:val="center"/>
              <w:rPr>
                <w:bCs/>
                <w:color w:val="auto"/>
                <w:sz w:val="21"/>
                <w:szCs w:val="21"/>
                <w:highlight w:val="none"/>
              </w:rPr>
            </w:pPr>
            <w:r>
              <w:rPr>
                <w:rFonts w:hint="eastAsia" w:ascii="Times New Roman" w:hAnsi="Times New Roman" w:cs="Times New Roman"/>
                <w:bCs/>
                <w:color w:val="auto"/>
                <w:sz w:val="21"/>
                <w:szCs w:val="21"/>
                <w:highlight w:val="none"/>
              </w:rPr>
              <w:t>LD</w:t>
            </w:r>
            <w:r>
              <w:rPr>
                <w:rFonts w:hint="eastAsia" w:ascii="Times New Roman" w:hAnsi="Times New Roman" w:cs="Times New Roman"/>
                <w:bCs/>
                <w:color w:val="auto"/>
                <w:sz w:val="21"/>
                <w:szCs w:val="21"/>
                <w:highlight w:val="none"/>
                <w:vertAlign w:val="subscript"/>
              </w:rPr>
              <w:t>50</w:t>
            </w:r>
            <w:r>
              <w:rPr>
                <w:rFonts w:hint="eastAsia" w:ascii="Times New Roman" w:hAnsi="Times New Roman" w:cs="Times New Roman"/>
                <w:bCs/>
                <w:color w:val="auto"/>
                <w:sz w:val="21"/>
                <w:szCs w:val="21"/>
                <w:highlight w:val="none"/>
              </w:rPr>
              <w:t>：12800mg/kg(兔经皮)</w:t>
            </w:r>
          </w:p>
        </w:tc>
        <w:tc>
          <w:tcPr>
            <w:tcW w:w="1275" w:type="dxa"/>
            <w:vAlign w:val="center"/>
          </w:tcPr>
          <w:p w14:paraId="3A960B5E">
            <w:pPr>
              <w:ind w:left="-105" w:right="-105"/>
              <w:jc w:val="center"/>
              <w:rPr>
                <w:bCs/>
                <w:color w:val="auto"/>
                <w:sz w:val="21"/>
                <w:szCs w:val="21"/>
                <w:highlight w:val="none"/>
              </w:rPr>
            </w:pPr>
            <w:r>
              <w:rPr>
                <w:rFonts w:hint="eastAsia" w:ascii="Times New Roman" w:hAnsi="Times New Roman" w:cs="Times New Roman"/>
                <w:color w:val="auto"/>
                <w:sz w:val="21"/>
                <w:szCs w:val="21"/>
                <w:highlight w:val="none"/>
              </w:rPr>
              <w:t>化学试剂柜</w:t>
            </w:r>
          </w:p>
        </w:tc>
      </w:tr>
      <w:tr w14:paraId="228110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07C825F">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restart"/>
            <w:vAlign w:val="center"/>
          </w:tcPr>
          <w:p w14:paraId="40933785">
            <w:pPr>
              <w:pStyle w:val="97"/>
              <w:ind w:left="-105" w:right="-105" w:firstLine="0" w:firstLineChars="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产品</w:t>
            </w:r>
          </w:p>
        </w:tc>
        <w:tc>
          <w:tcPr>
            <w:tcW w:w="1467" w:type="dxa"/>
            <w:vAlign w:val="center"/>
          </w:tcPr>
          <w:p w14:paraId="69C9033E">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rPr>
            </w:pPr>
            <w:r>
              <w:rPr>
                <w:rFonts w:ascii="Times New Roman" w:hAnsi="Times New Roman" w:eastAsia="宋体" w:cs="Times New Roman"/>
                <w:color w:val="auto"/>
                <w:spacing w:val="7"/>
                <w:sz w:val="21"/>
                <w:szCs w:val="21"/>
                <w:highlight w:val="none"/>
              </w:rPr>
              <w:t>聚氨酯丙烯酸酯</w:t>
            </w:r>
          </w:p>
        </w:tc>
        <w:tc>
          <w:tcPr>
            <w:tcW w:w="912" w:type="dxa"/>
            <w:vAlign w:val="center"/>
          </w:tcPr>
          <w:p w14:paraId="73EBC0C1">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644FB419">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：4300mg/kg（大鼠吞食）</w:t>
            </w:r>
          </w:p>
          <w:p w14:paraId="364CE497">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5000ppm/4h（大鼠吸入）</w:t>
            </w:r>
          </w:p>
        </w:tc>
        <w:tc>
          <w:tcPr>
            <w:tcW w:w="1275" w:type="dxa"/>
            <w:vAlign w:val="center"/>
          </w:tcPr>
          <w:p w14:paraId="59B563C2">
            <w:pPr>
              <w:ind w:left="-105" w:right="-10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成品仓库</w:t>
            </w:r>
          </w:p>
        </w:tc>
      </w:tr>
      <w:tr w14:paraId="2A560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19DF3B8">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BBE8031">
            <w:pPr>
              <w:pStyle w:val="97"/>
              <w:ind w:left="-105" w:right="-105" w:firstLine="0" w:firstLineChars="0"/>
              <w:jc w:val="center"/>
              <w:rPr>
                <w:rFonts w:eastAsia="宋体"/>
                <w:bCs/>
                <w:color w:val="auto"/>
                <w:sz w:val="21"/>
                <w:szCs w:val="21"/>
                <w:highlight w:val="none"/>
              </w:rPr>
            </w:pPr>
          </w:p>
        </w:tc>
        <w:tc>
          <w:tcPr>
            <w:tcW w:w="1467" w:type="dxa"/>
            <w:vAlign w:val="center"/>
          </w:tcPr>
          <w:p w14:paraId="1A3D7D69">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rPr>
            </w:pPr>
            <w:r>
              <w:rPr>
                <w:rFonts w:ascii="Times New Roman" w:hAnsi="Times New Roman" w:eastAsia="宋体" w:cs="Times New Roman"/>
                <w:color w:val="auto"/>
                <w:spacing w:val="8"/>
                <w:sz w:val="21"/>
                <w:szCs w:val="21"/>
                <w:highlight w:val="none"/>
              </w:rPr>
              <w:t>丙烯酸酯组成物</w:t>
            </w:r>
          </w:p>
        </w:tc>
        <w:tc>
          <w:tcPr>
            <w:tcW w:w="912" w:type="dxa"/>
            <w:vAlign w:val="center"/>
          </w:tcPr>
          <w:p w14:paraId="55943AA8">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084494EE">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74F76E34">
            <w:pPr>
              <w:ind w:left="-105" w:right="-105"/>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成品仓库</w:t>
            </w:r>
          </w:p>
        </w:tc>
      </w:tr>
      <w:tr w14:paraId="1C478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41E767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467516E">
            <w:pPr>
              <w:pStyle w:val="97"/>
              <w:ind w:left="-105" w:right="-105" w:firstLine="0" w:firstLineChars="0"/>
              <w:jc w:val="center"/>
              <w:rPr>
                <w:rFonts w:eastAsia="宋体"/>
                <w:bCs/>
                <w:color w:val="auto"/>
                <w:sz w:val="21"/>
                <w:szCs w:val="21"/>
                <w:highlight w:val="none"/>
              </w:rPr>
            </w:pPr>
          </w:p>
        </w:tc>
        <w:tc>
          <w:tcPr>
            <w:tcW w:w="1467" w:type="dxa"/>
            <w:vAlign w:val="center"/>
          </w:tcPr>
          <w:p w14:paraId="4B890C1D">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rPr>
            </w:pPr>
            <w:r>
              <w:rPr>
                <w:rFonts w:ascii="Times New Roman" w:hAnsi="Times New Roman" w:eastAsia="宋体" w:cs="Times New Roman"/>
                <w:color w:val="auto"/>
                <w:spacing w:val="8"/>
                <w:sz w:val="21"/>
                <w:szCs w:val="21"/>
                <w:highlight w:val="none"/>
              </w:rPr>
              <w:t>环氧丙烯酸树脂</w:t>
            </w:r>
          </w:p>
        </w:tc>
        <w:tc>
          <w:tcPr>
            <w:tcW w:w="912" w:type="dxa"/>
            <w:vAlign w:val="center"/>
          </w:tcPr>
          <w:p w14:paraId="6E9CA6A8">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5C51EB38">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00ACEAD5">
            <w:pPr>
              <w:ind w:left="-105" w:right="-105"/>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成品仓库</w:t>
            </w:r>
          </w:p>
        </w:tc>
      </w:tr>
      <w:tr w14:paraId="6536B9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19D10A4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3144080">
            <w:pPr>
              <w:pStyle w:val="97"/>
              <w:ind w:left="-105" w:right="-105" w:firstLine="0" w:firstLineChars="0"/>
              <w:jc w:val="center"/>
              <w:rPr>
                <w:rFonts w:eastAsia="宋体"/>
                <w:bCs/>
                <w:color w:val="auto"/>
                <w:sz w:val="21"/>
                <w:szCs w:val="21"/>
                <w:highlight w:val="none"/>
              </w:rPr>
            </w:pPr>
          </w:p>
        </w:tc>
        <w:tc>
          <w:tcPr>
            <w:tcW w:w="1467" w:type="dxa"/>
            <w:vAlign w:val="center"/>
          </w:tcPr>
          <w:p w14:paraId="09EA7D7B">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cs="Times New Roman"/>
                <w:color w:val="auto"/>
                <w:sz w:val="21"/>
                <w:szCs w:val="21"/>
                <w:highlight w:val="none"/>
              </w:rPr>
            </w:pPr>
            <w:r>
              <w:rPr>
                <w:rFonts w:hint="eastAsia" w:ascii="Times New Roman" w:hAnsi="Times New Roman" w:eastAsia="宋体" w:cs="Times New Roman"/>
                <w:color w:val="auto"/>
                <w:spacing w:val="8"/>
                <w:sz w:val="21"/>
                <w:szCs w:val="21"/>
                <w:highlight w:val="none"/>
                <w:lang w:eastAsia="zh-CN"/>
              </w:rPr>
              <w:t>剥离液</w:t>
            </w:r>
          </w:p>
        </w:tc>
        <w:tc>
          <w:tcPr>
            <w:tcW w:w="912" w:type="dxa"/>
            <w:vAlign w:val="center"/>
          </w:tcPr>
          <w:p w14:paraId="7FF4568C">
            <w:pPr>
              <w:wordWrap w:val="0"/>
              <w:adjustRightInd w:val="0"/>
              <w:snapToGrid w:val="0"/>
              <w:ind w:left="-105" w:right="-105"/>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不燃</w:t>
            </w:r>
          </w:p>
        </w:tc>
        <w:tc>
          <w:tcPr>
            <w:tcW w:w="3084" w:type="dxa"/>
            <w:vAlign w:val="center"/>
          </w:tcPr>
          <w:p w14:paraId="3855AA9C">
            <w:pPr>
              <w:wordWrap w:val="0"/>
              <w:adjustRightInd w:val="0"/>
              <w:snapToGrid w:val="0"/>
              <w:ind w:left="-105" w:right="-105"/>
              <w:jc w:val="center"/>
              <w:textAlignment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无资料</w:t>
            </w:r>
          </w:p>
        </w:tc>
        <w:tc>
          <w:tcPr>
            <w:tcW w:w="1275" w:type="dxa"/>
            <w:vAlign w:val="center"/>
          </w:tcPr>
          <w:p w14:paraId="3CAB229C">
            <w:pPr>
              <w:ind w:left="-105" w:right="-105"/>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成品仓库</w:t>
            </w:r>
          </w:p>
        </w:tc>
      </w:tr>
      <w:tr w14:paraId="2B91EA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13AEBAB">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restart"/>
            <w:vAlign w:val="center"/>
          </w:tcPr>
          <w:p w14:paraId="6CB4E541">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废气</w:t>
            </w:r>
          </w:p>
        </w:tc>
        <w:tc>
          <w:tcPr>
            <w:tcW w:w="1467" w:type="dxa"/>
            <w:vAlign w:val="center"/>
          </w:tcPr>
          <w:p w14:paraId="0C1AC16C">
            <w:pPr>
              <w:pStyle w:val="236"/>
              <w:keepNext w:val="0"/>
              <w:keepLines w:val="0"/>
              <w:pageBreakBefore w:val="0"/>
              <w:widowControl/>
              <w:kinsoku/>
              <w:wordWrap/>
              <w:overflowPunct/>
              <w:topLinePunct w:val="0"/>
              <w:autoSpaceDE/>
              <w:autoSpaceDN/>
              <w:bidi w:val="0"/>
              <w:ind w:left="0" w:leftChars="0" w:right="0" w:rightChars="0"/>
              <w:jc w:val="center"/>
              <w:rPr>
                <w:rFonts w:eastAsia="宋体"/>
                <w:bCs/>
                <w:color w:val="auto"/>
                <w:sz w:val="21"/>
                <w:szCs w:val="21"/>
                <w:highlight w:val="none"/>
              </w:rPr>
            </w:pPr>
            <w:r>
              <w:rPr>
                <w:rFonts w:hint="eastAsia" w:ascii="Times New Roman" w:hAnsi="Times New Roman" w:eastAsia="宋体" w:cs="Times New Roman"/>
                <w:color w:val="auto"/>
                <w:sz w:val="21"/>
                <w:szCs w:val="21"/>
                <w:highlight w:val="none"/>
                <w:lang w:eastAsia="zh-CN"/>
              </w:rPr>
              <w:t>2-乙二醇单乙醚醋酸酯</w:t>
            </w:r>
          </w:p>
        </w:tc>
        <w:tc>
          <w:tcPr>
            <w:tcW w:w="912" w:type="dxa"/>
            <w:vAlign w:val="center"/>
          </w:tcPr>
          <w:p w14:paraId="713AFB15">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552F500C">
            <w:pPr>
              <w:wordWrap w:val="0"/>
              <w:adjustRightInd w:val="0"/>
              <w:snapToGrid w:val="0"/>
              <w:ind w:left="-105" w:leftChars="0" w:right="-105" w:rightChars="0"/>
              <w:jc w:val="center"/>
              <w:textAlignment w:val="center"/>
              <w:rPr>
                <w:rFonts w:eastAsia="宋体"/>
                <w:color w:val="auto"/>
                <w:sz w:val="21"/>
                <w:szCs w:val="21"/>
                <w:highlight w:val="none"/>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:11000mg/kg（大鼠经口）</w:t>
            </w:r>
          </w:p>
        </w:tc>
        <w:tc>
          <w:tcPr>
            <w:tcW w:w="1275" w:type="dxa"/>
            <w:vAlign w:val="center"/>
          </w:tcPr>
          <w:p w14:paraId="54173175">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42386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B5BC40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FCE1879">
            <w:pPr>
              <w:pStyle w:val="97"/>
              <w:ind w:left="-105" w:right="-105" w:firstLine="0" w:firstLineChars="0"/>
              <w:jc w:val="center"/>
              <w:rPr>
                <w:rFonts w:eastAsia="宋体"/>
                <w:bCs/>
                <w:color w:val="auto"/>
                <w:sz w:val="21"/>
                <w:szCs w:val="21"/>
                <w:highlight w:val="none"/>
              </w:rPr>
            </w:pPr>
          </w:p>
        </w:tc>
        <w:tc>
          <w:tcPr>
            <w:tcW w:w="1467" w:type="dxa"/>
            <w:vAlign w:val="center"/>
          </w:tcPr>
          <w:p w14:paraId="36FF8A58">
            <w:pPr>
              <w:pStyle w:val="236"/>
              <w:keepNext w:val="0"/>
              <w:keepLines w:val="0"/>
              <w:pageBreakBefore w:val="0"/>
              <w:widowControl/>
              <w:kinsoku/>
              <w:wordWrap/>
              <w:overflowPunct/>
              <w:topLinePunct w:val="0"/>
              <w:autoSpaceDE/>
              <w:autoSpaceDN/>
              <w:bidi w:val="0"/>
              <w:ind w:left="0" w:leftChars="0" w:right="0" w:rightChars="0"/>
              <w:jc w:val="center"/>
              <w:rPr>
                <w:rFonts w:eastAsia="宋体"/>
                <w:bCs/>
                <w:color w:val="auto"/>
                <w:sz w:val="21"/>
                <w:szCs w:val="21"/>
                <w:highlight w:val="none"/>
              </w:rPr>
            </w:pPr>
            <w:r>
              <w:rPr>
                <w:rFonts w:ascii="Times New Roman" w:hAnsi="Times New Roman" w:eastAsia="宋体" w:cs="Times New Roman"/>
                <w:color w:val="auto"/>
                <w:spacing w:val="3"/>
                <w:sz w:val="21"/>
                <w:szCs w:val="21"/>
                <w:highlight w:val="none"/>
              </w:rPr>
              <w:t>丁酮</w:t>
            </w:r>
          </w:p>
        </w:tc>
        <w:tc>
          <w:tcPr>
            <w:tcW w:w="912" w:type="dxa"/>
            <w:vAlign w:val="center"/>
          </w:tcPr>
          <w:p w14:paraId="25BA61F0">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22AF62B2">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:3400mg/kg（大鼠经口）；6480mg/kg（兔经皮）</w:t>
            </w:r>
          </w:p>
          <w:p w14:paraId="195CCFA2">
            <w:pPr>
              <w:wordWrap w:val="0"/>
              <w:adjustRightInd w:val="0"/>
              <w:snapToGrid w:val="0"/>
              <w:ind w:left="-105" w:leftChars="0" w:right="-105" w:rightChars="0"/>
              <w:jc w:val="center"/>
              <w:textAlignment w:val="center"/>
              <w:rPr>
                <w:rFonts w:eastAsia="宋体"/>
                <w:color w:val="auto"/>
                <w:sz w:val="21"/>
                <w:szCs w:val="21"/>
                <w:highlight w:val="none"/>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:8000ppm8小时（大鼠吸入）</w:t>
            </w:r>
          </w:p>
        </w:tc>
        <w:tc>
          <w:tcPr>
            <w:tcW w:w="1275" w:type="dxa"/>
            <w:vAlign w:val="center"/>
          </w:tcPr>
          <w:p w14:paraId="6BBE7FED">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6677F8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958B5DD">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7A05987D">
            <w:pPr>
              <w:pStyle w:val="97"/>
              <w:ind w:left="-105" w:right="-105" w:firstLine="0" w:firstLineChars="0"/>
              <w:jc w:val="center"/>
              <w:rPr>
                <w:rFonts w:eastAsia="宋体"/>
                <w:bCs/>
                <w:color w:val="auto"/>
                <w:sz w:val="21"/>
                <w:szCs w:val="21"/>
                <w:highlight w:val="none"/>
              </w:rPr>
            </w:pPr>
          </w:p>
        </w:tc>
        <w:tc>
          <w:tcPr>
            <w:tcW w:w="1467" w:type="dxa"/>
            <w:vAlign w:val="center"/>
          </w:tcPr>
          <w:p w14:paraId="3E124C1E">
            <w:pPr>
              <w:pStyle w:val="236"/>
              <w:keepNext w:val="0"/>
              <w:keepLines w:val="0"/>
              <w:pageBreakBefore w:val="0"/>
              <w:widowControl/>
              <w:kinsoku/>
              <w:wordWrap/>
              <w:overflowPunct/>
              <w:topLinePunct w:val="0"/>
              <w:autoSpaceDE/>
              <w:autoSpaceDN/>
              <w:bidi w:val="0"/>
              <w:ind w:left="0" w:leftChars="0" w:right="0" w:rightChars="0"/>
              <w:jc w:val="center"/>
              <w:rPr>
                <w:rFonts w:eastAsia="宋体"/>
                <w:bCs/>
                <w:color w:val="auto"/>
                <w:sz w:val="21"/>
                <w:szCs w:val="21"/>
                <w:highlight w:val="none"/>
              </w:rPr>
            </w:pPr>
            <w:r>
              <w:rPr>
                <w:rFonts w:ascii="Times New Roman" w:hAnsi="Times New Roman" w:eastAsia="宋体" w:cs="Times New Roman"/>
                <w:color w:val="auto"/>
                <w:spacing w:val="6"/>
                <w:sz w:val="21"/>
                <w:szCs w:val="21"/>
                <w:highlight w:val="none"/>
              </w:rPr>
              <w:t>异氰酸酯</w:t>
            </w:r>
          </w:p>
        </w:tc>
        <w:tc>
          <w:tcPr>
            <w:tcW w:w="912" w:type="dxa"/>
            <w:vAlign w:val="center"/>
          </w:tcPr>
          <w:p w14:paraId="66B0D314">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lang w:val="en-US" w:eastAsia="zh-CN"/>
              </w:rPr>
              <w:t>可燃</w:t>
            </w:r>
          </w:p>
        </w:tc>
        <w:tc>
          <w:tcPr>
            <w:tcW w:w="3084" w:type="dxa"/>
            <w:vAlign w:val="center"/>
          </w:tcPr>
          <w:p w14:paraId="4697A23E">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：890mg/kg（小鼠经口）</w:t>
            </w:r>
          </w:p>
          <w:p w14:paraId="4BC35A61">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:710~910mg/kg（大鼠经口）</w:t>
            </w:r>
          </w:p>
          <w:p w14:paraId="414BCDAB">
            <w:pPr>
              <w:wordWrap w:val="0"/>
              <w:adjustRightInd w:val="0"/>
              <w:snapToGrid w:val="0"/>
              <w:ind w:left="-105" w:leftChars="0" w:right="-105" w:rightChars="0"/>
              <w:jc w:val="center"/>
              <w:textAlignment w:val="center"/>
              <w:rPr>
                <w:rFonts w:eastAsia="宋体"/>
                <w:color w:val="auto"/>
                <w:sz w:val="21"/>
                <w:szCs w:val="21"/>
                <w:highlight w:val="none"/>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280mg/m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（1h，大鼠吸入）</w:t>
            </w:r>
          </w:p>
        </w:tc>
        <w:tc>
          <w:tcPr>
            <w:tcW w:w="1275" w:type="dxa"/>
            <w:vAlign w:val="center"/>
          </w:tcPr>
          <w:p w14:paraId="59297DE1">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7130BC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24BFC1E">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1B11F38">
            <w:pPr>
              <w:pStyle w:val="97"/>
              <w:ind w:left="-105" w:right="-105" w:firstLine="0" w:firstLineChars="0"/>
              <w:jc w:val="center"/>
              <w:rPr>
                <w:rFonts w:eastAsia="宋体"/>
                <w:bCs/>
                <w:color w:val="auto"/>
                <w:sz w:val="21"/>
                <w:szCs w:val="21"/>
                <w:highlight w:val="none"/>
              </w:rPr>
            </w:pPr>
          </w:p>
        </w:tc>
        <w:tc>
          <w:tcPr>
            <w:tcW w:w="1467" w:type="dxa"/>
            <w:vAlign w:val="center"/>
          </w:tcPr>
          <w:p w14:paraId="64F92BCA">
            <w:pPr>
              <w:pStyle w:val="236"/>
              <w:keepNext w:val="0"/>
              <w:keepLines w:val="0"/>
              <w:pageBreakBefore w:val="0"/>
              <w:widowControl/>
              <w:kinsoku/>
              <w:wordWrap/>
              <w:overflowPunct/>
              <w:topLinePunct w:val="0"/>
              <w:autoSpaceDE/>
              <w:autoSpaceDN/>
              <w:bidi w:val="0"/>
              <w:ind w:left="0" w:leftChars="0" w:right="0" w:rightChars="0"/>
              <w:jc w:val="center"/>
              <w:rPr>
                <w:rFonts w:eastAsia="宋体"/>
                <w:color w:val="auto"/>
                <w:sz w:val="21"/>
                <w:szCs w:val="21"/>
                <w:highlight w:val="none"/>
              </w:rPr>
            </w:pPr>
            <w:r>
              <w:rPr>
                <w:rFonts w:ascii="Times New Roman" w:hAnsi="Times New Roman" w:eastAsia="宋体" w:cs="Times New Roman"/>
                <w:color w:val="auto"/>
                <w:spacing w:val="5"/>
                <w:sz w:val="21"/>
                <w:szCs w:val="21"/>
                <w:highlight w:val="none"/>
              </w:rPr>
              <w:t>丙烯酸</w:t>
            </w:r>
          </w:p>
        </w:tc>
        <w:tc>
          <w:tcPr>
            <w:tcW w:w="912" w:type="dxa"/>
            <w:vAlign w:val="center"/>
          </w:tcPr>
          <w:p w14:paraId="6055F47D">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lang w:val="en-US" w:eastAsia="zh-CN"/>
              </w:rPr>
              <w:t>易燃</w:t>
            </w:r>
          </w:p>
        </w:tc>
        <w:tc>
          <w:tcPr>
            <w:tcW w:w="3084" w:type="dxa"/>
            <w:vAlign w:val="center"/>
          </w:tcPr>
          <w:p w14:paraId="685E85E7">
            <w:pPr>
              <w:wordWrap w:val="0"/>
              <w:adjustRightInd w:val="0"/>
              <w:snapToGrid w:val="0"/>
              <w:ind w:left="-105" w:right="-105"/>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：2520mg/kg（大鼠经口）</w:t>
            </w:r>
          </w:p>
          <w:p w14:paraId="4EC05979">
            <w:pPr>
              <w:wordWrap w:val="0"/>
              <w:adjustRightInd w:val="0"/>
              <w:snapToGrid w:val="0"/>
              <w:ind w:left="-105" w:leftChars="0" w:right="-105" w:rightChars="0"/>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LD</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lang w:val="en-US" w:eastAsia="zh-CN"/>
              </w:rPr>
              <w:t>：950mg/kg（兔经皮）</w:t>
            </w:r>
          </w:p>
          <w:p w14:paraId="5A98D009">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lang w:val="en-US" w:eastAsia="zh-CN"/>
              </w:rPr>
              <w:t>LC</w:t>
            </w:r>
            <w:r>
              <w:rPr>
                <w:rFonts w:hint="eastAsia" w:ascii="Times New Roman" w:hAnsi="Times New Roman" w:cs="Times New Roman"/>
                <w:bCs/>
                <w:color w:val="auto"/>
                <w:sz w:val="21"/>
                <w:szCs w:val="21"/>
                <w:highlight w:val="none"/>
                <w:vertAlign w:val="subscript"/>
                <w:lang w:val="en-US" w:eastAsia="zh-CN"/>
              </w:rPr>
              <w:t>50</w:t>
            </w:r>
            <w:r>
              <w:rPr>
                <w:rFonts w:hint="eastAsia" w:ascii="Times New Roman" w:hAnsi="Times New Roman" w:cs="Times New Roman"/>
                <w:bCs/>
                <w:color w:val="auto"/>
                <w:sz w:val="21"/>
                <w:szCs w:val="21"/>
                <w:highlight w:val="none"/>
                <w:vertAlign w:val="baseline"/>
                <w:lang w:val="en-US" w:eastAsia="zh-CN"/>
              </w:rPr>
              <w:t>：5300mg/m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vertAlign w:val="baseline"/>
                <w:lang w:val="en-US" w:eastAsia="zh-CN"/>
              </w:rPr>
              <w:t>（小鼠吸入）</w:t>
            </w:r>
          </w:p>
        </w:tc>
        <w:tc>
          <w:tcPr>
            <w:tcW w:w="1275" w:type="dxa"/>
            <w:vAlign w:val="center"/>
          </w:tcPr>
          <w:p w14:paraId="75E49C6E">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2383B8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88D90A8">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A5DBDFD">
            <w:pPr>
              <w:pStyle w:val="97"/>
              <w:ind w:left="-105" w:right="-105" w:firstLine="0" w:firstLineChars="0"/>
              <w:jc w:val="center"/>
              <w:rPr>
                <w:rFonts w:eastAsia="宋体"/>
                <w:bCs/>
                <w:color w:val="auto"/>
                <w:sz w:val="21"/>
                <w:szCs w:val="21"/>
                <w:highlight w:val="none"/>
              </w:rPr>
            </w:pPr>
          </w:p>
        </w:tc>
        <w:tc>
          <w:tcPr>
            <w:tcW w:w="1467" w:type="dxa"/>
            <w:vAlign w:val="center"/>
          </w:tcPr>
          <w:p w14:paraId="66545DA5">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color w:val="auto"/>
                <w:sz w:val="21"/>
                <w:szCs w:val="21"/>
                <w:highlight w:val="none"/>
              </w:rPr>
              <w:t>非甲烷总烃</w:t>
            </w:r>
          </w:p>
        </w:tc>
        <w:tc>
          <w:tcPr>
            <w:tcW w:w="912" w:type="dxa"/>
            <w:vAlign w:val="center"/>
          </w:tcPr>
          <w:p w14:paraId="37E2BF9D">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w:t>
            </w:r>
          </w:p>
        </w:tc>
        <w:tc>
          <w:tcPr>
            <w:tcW w:w="3084" w:type="dxa"/>
            <w:vAlign w:val="center"/>
          </w:tcPr>
          <w:p w14:paraId="25ABFA17">
            <w:pPr>
              <w:pStyle w:val="97"/>
              <w:ind w:left="-105" w:leftChars="0" w:right="-105" w:righ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eastAsia="宋体"/>
                <w:bCs/>
                <w:color w:val="auto"/>
                <w:sz w:val="21"/>
                <w:szCs w:val="21"/>
                <w:highlight w:val="none"/>
              </w:rPr>
              <w:t>/</w:t>
            </w:r>
          </w:p>
        </w:tc>
        <w:tc>
          <w:tcPr>
            <w:tcW w:w="1275" w:type="dxa"/>
            <w:vAlign w:val="center"/>
          </w:tcPr>
          <w:p w14:paraId="1F55802E">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排气筒</w:t>
            </w:r>
          </w:p>
        </w:tc>
      </w:tr>
      <w:tr w14:paraId="7640A4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524B062">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31CE822">
            <w:pPr>
              <w:pStyle w:val="97"/>
              <w:ind w:left="-105" w:right="-105" w:firstLine="0" w:firstLineChars="0"/>
              <w:jc w:val="center"/>
              <w:rPr>
                <w:rFonts w:eastAsia="宋体"/>
                <w:bCs/>
                <w:color w:val="auto"/>
                <w:sz w:val="21"/>
                <w:szCs w:val="21"/>
                <w:highlight w:val="none"/>
              </w:rPr>
            </w:pPr>
          </w:p>
        </w:tc>
        <w:tc>
          <w:tcPr>
            <w:tcW w:w="1467" w:type="dxa"/>
            <w:vAlign w:val="center"/>
          </w:tcPr>
          <w:p w14:paraId="094305FD">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甲醇</w:t>
            </w:r>
          </w:p>
        </w:tc>
        <w:tc>
          <w:tcPr>
            <w:tcW w:w="912" w:type="dxa"/>
            <w:vAlign w:val="center"/>
          </w:tcPr>
          <w:p w14:paraId="56528FBB">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ascii="Times New Roman" w:hAnsi="Times New Roman" w:cs="Times New Roman"/>
                <w:bCs/>
                <w:color w:val="auto"/>
                <w:sz w:val="21"/>
                <w:szCs w:val="21"/>
                <w:highlight w:val="none"/>
              </w:rPr>
              <w:t>易燃</w:t>
            </w:r>
          </w:p>
        </w:tc>
        <w:tc>
          <w:tcPr>
            <w:tcW w:w="3084" w:type="dxa"/>
            <w:vAlign w:val="center"/>
          </w:tcPr>
          <w:p w14:paraId="5C76DEDB">
            <w:pPr>
              <w:wordWrap w:val="0"/>
              <w:adjustRightInd w:val="0"/>
              <w:snapToGrid w:val="0"/>
              <w:ind w:left="-105" w:leftChars="0" w:right="-105" w:rightChars="0"/>
              <w:jc w:val="center"/>
              <w:textAlignment w:val="center"/>
              <w:rPr>
                <w:rFonts w:eastAsia="宋体"/>
                <w:bCs/>
                <w:color w:val="auto"/>
                <w:sz w:val="21"/>
                <w:szCs w:val="21"/>
                <w:highlight w:val="none"/>
              </w:rPr>
            </w:pPr>
            <w:r>
              <w:rPr>
                <w:rFonts w:hint="eastAsia"/>
                <w:bCs/>
                <w:color w:val="auto"/>
                <w:sz w:val="21"/>
                <w:szCs w:val="21"/>
                <w:highlight w:val="none"/>
              </w:rPr>
              <w:t>无资料</w:t>
            </w:r>
          </w:p>
        </w:tc>
        <w:tc>
          <w:tcPr>
            <w:tcW w:w="1275" w:type="dxa"/>
            <w:vAlign w:val="center"/>
          </w:tcPr>
          <w:p w14:paraId="7D5E3135">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35EE8C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3831DDD">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224D3C6">
            <w:pPr>
              <w:pStyle w:val="97"/>
              <w:ind w:left="-105" w:right="-105" w:firstLine="0" w:firstLineChars="0"/>
              <w:jc w:val="center"/>
              <w:rPr>
                <w:rFonts w:eastAsia="宋体"/>
                <w:bCs/>
                <w:color w:val="auto"/>
                <w:sz w:val="21"/>
                <w:szCs w:val="21"/>
                <w:highlight w:val="none"/>
              </w:rPr>
            </w:pPr>
          </w:p>
        </w:tc>
        <w:tc>
          <w:tcPr>
            <w:tcW w:w="1467" w:type="dxa"/>
            <w:vAlign w:val="center"/>
          </w:tcPr>
          <w:p w14:paraId="3303FD9F">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氮氧化物</w:t>
            </w:r>
          </w:p>
        </w:tc>
        <w:tc>
          <w:tcPr>
            <w:tcW w:w="912" w:type="dxa"/>
            <w:vAlign w:val="center"/>
          </w:tcPr>
          <w:p w14:paraId="6C33484E">
            <w:pPr>
              <w:autoSpaceDE w:val="0"/>
              <w:autoSpaceDN w:val="0"/>
              <w:jc w:val="center"/>
              <w:rPr>
                <w:rFonts w:eastAsia="宋体"/>
                <w:bCs/>
                <w:color w:val="auto"/>
                <w:sz w:val="21"/>
                <w:szCs w:val="21"/>
                <w:highlight w:val="none"/>
              </w:rPr>
            </w:pPr>
            <w:r>
              <w:rPr>
                <w:bCs/>
                <w:color w:val="auto"/>
                <w:kern w:val="0"/>
                <w:sz w:val="21"/>
                <w:szCs w:val="21"/>
                <w:highlight w:val="none"/>
                <w:lang w:val="zh-CN" w:bidi="zh-CN"/>
              </w:rPr>
              <w:t>不燃</w:t>
            </w:r>
          </w:p>
        </w:tc>
        <w:tc>
          <w:tcPr>
            <w:tcW w:w="3084" w:type="dxa"/>
            <w:vAlign w:val="center"/>
          </w:tcPr>
          <w:p w14:paraId="7AD1A57D">
            <w:pPr>
              <w:autoSpaceDE w:val="0"/>
              <w:autoSpaceDN w:val="0"/>
              <w:jc w:val="center"/>
              <w:rPr>
                <w:rFonts w:eastAsia="宋体"/>
                <w:bCs/>
                <w:color w:val="auto"/>
                <w:sz w:val="21"/>
                <w:szCs w:val="21"/>
                <w:highlight w:val="none"/>
              </w:rPr>
            </w:pPr>
            <w:r>
              <w:rPr>
                <w:color w:val="auto"/>
                <w:kern w:val="0"/>
                <w:sz w:val="21"/>
                <w:szCs w:val="21"/>
                <w:highlight w:val="none"/>
                <w:lang w:val="zh-CN" w:bidi="zh-CN"/>
              </w:rPr>
              <w:t>参照一氧化氮，毒性终点浓度-1：25mg/m</w:t>
            </w:r>
            <w:r>
              <w:rPr>
                <w:color w:val="auto"/>
                <w:kern w:val="0"/>
                <w:sz w:val="21"/>
                <w:szCs w:val="21"/>
                <w:highlight w:val="none"/>
                <w:vertAlign w:val="superscript"/>
                <w:lang w:val="zh-CN" w:bidi="zh-CN"/>
              </w:rPr>
              <w:t>3</w:t>
            </w:r>
            <w:r>
              <w:rPr>
                <w:color w:val="auto"/>
                <w:kern w:val="0"/>
                <w:sz w:val="21"/>
                <w:szCs w:val="21"/>
                <w:highlight w:val="none"/>
                <w:lang w:val="zh-CN" w:bidi="zh-CN"/>
              </w:rPr>
              <w:t>、毒性终点浓度-2：</w:t>
            </w:r>
            <w:r>
              <w:rPr>
                <w:rFonts w:hint="eastAsia"/>
                <w:color w:val="auto"/>
                <w:kern w:val="0"/>
                <w:sz w:val="21"/>
                <w:szCs w:val="21"/>
                <w:highlight w:val="none"/>
                <w:lang w:val="zh-CN" w:bidi="zh-CN"/>
              </w:rPr>
              <w:t>18m</w:t>
            </w:r>
            <w:r>
              <w:rPr>
                <w:color w:val="auto"/>
                <w:kern w:val="0"/>
                <w:sz w:val="21"/>
                <w:szCs w:val="21"/>
                <w:highlight w:val="none"/>
                <w:lang w:val="zh-CN" w:bidi="zh-CN"/>
              </w:rPr>
              <w:t>g/m</w:t>
            </w:r>
            <w:r>
              <w:rPr>
                <w:color w:val="auto"/>
                <w:kern w:val="0"/>
                <w:sz w:val="21"/>
                <w:szCs w:val="21"/>
                <w:highlight w:val="none"/>
                <w:vertAlign w:val="superscript"/>
                <w:lang w:val="zh-CN" w:bidi="zh-CN"/>
              </w:rPr>
              <w:t>3</w:t>
            </w:r>
          </w:p>
        </w:tc>
        <w:tc>
          <w:tcPr>
            <w:tcW w:w="1275" w:type="dxa"/>
            <w:vAlign w:val="center"/>
          </w:tcPr>
          <w:p w14:paraId="172BD9E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排气筒</w:t>
            </w:r>
          </w:p>
        </w:tc>
      </w:tr>
      <w:tr w14:paraId="6FA75D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E6F8C14">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restart"/>
            <w:vAlign w:val="center"/>
          </w:tcPr>
          <w:p w14:paraId="20727B3F">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固体废物</w:t>
            </w:r>
          </w:p>
        </w:tc>
        <w:tc>
          <w:tcPr>
            <w:tcW w:w="1467" w:type="dxa"/>
            <w:vAlign w:val="center"/>
          </w:tcPr>
          <w:p w14:paraId="35CD265C">
            <w:pPr>
              <w:pStyle w:val="236"/>
              <w:keepNext w:val="0"/>
              <w:keepLines w:val="0"/>
              <w:pageBreakBefore w:val="0"/>
              <w:widowControl/>
              <w:kinsoku/>
              <w:wordWrap/>
              <w:overflowPunct/>
              <w:topLinePunct w:val="0"/>
              <w:autoSpaceDE/>
              <w:autoSpaceDN/>
              <w:bidi w:val="0"/>
              <w:ind w:left="0" w:leftChars="0" w:right="0" w:rightChars="0"/>
              <w:jc w:val="center"/>
              <w:rPr>
                <w:rFonts w:hint="eastAsia" w:ascii="宋体" w:hAnsi="宋体" w:eastAsia="宋体" w:cs="宋体"/>
                <w:color w:val="auto"/>
                <w:sz w:val="21"/>
                <w:szCs w:val="21"/>
                <w:highlight w:val="none"/>
                <w:lang w:val="en-US"/>
              </w:rPr>
            </w:pPr>
            <w:r>
              <w:rPr>
                <w:rFonts w:ascii="Times New Roman" w:hAnsi="Times New Roman" w:eastAsia="宋体" w:cs="Times New Roman"/>
                <w:color w:val="auto"/>
                <w:spacing w:val="8"/>
                <w:sz w:val="21"/>
                <w:szCs w:val="21"/>
                <w:highlight w:val="none"/>
              </w:rPr>
              <w:t>过滤残渣、浸润废料</w:t>
            </w:r>
          </w:p>
        </w:tc>
        <w:tc>
          <w:tcPr>
            <w:tcW w:w="912" w:type="dxa"/>
            <w:vAlign w:val="center"/>
          </w:tcPr>
          <w:p w14:paraId="5BAA0923">
            <w:pPr>
              <w:pStyle w:val="97"/>
              <w:ind w:left="-105" w:leftChars="0" w:right="-105" w:rightChars="0"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36CF456C">
            <w:pPr>
              <w:pStyle w:val="97"/>
              <w:ind w:left="-105" w:leftChars="0" w:right="-105" w:rightChars="0" w:firstLine="0" w:firstLineChars="0"/>
              <w:jc w:val="center"/>
              <w:rPr>
                <w:rFonts w:eastAsia="宋体"/>
                <w:color w:val="auto"/>
                <w:sz w:val="21"/>
                <w:szCs w:val="21"/>
                <w:highlight w:val="none"/>
              </w:rPr>
            </w:pPr>
            <w:r>
              <w:rPr>
                <w:rFonts w:eastAsia="宋体"/>
                <w:color w:val="auto"/>
                <w:sz w:val="21"/>
                <w:szCs w:val="21"/>
                <w:highlight w:val="none"/>
              </w:rPr>
              <w:t>无资料</w:t>
            </w:r>
          </w:p>
        </w:tc>
        <w:tc>
          <w:tcPr>
            <w:tcW w:w="1275" w:type="dxa"/>
            <w:vAlign w:val="center"/>
          </w:tcPr>
          <w:p w14:paraId="2B0C78CE">
            <w:pPr>
              <w:pStyle w:val="97"/>
              <w:ind w:left="-105" w:leftChars="0" w:right="-105" w:rightChars="0"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78036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3F88F92">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216D93C">
            <w:pPr>
              <w:pStyle w:val="97"/>
              <w:ind w:left="-105" w:right="-105" w:firstLine="0" w:firstLineChars="0"/>
              <w:jc w:val="center"/>
              <w:rPr>
                <w:rFonts w:eastAsia="宋体"/>
                <w:bCs/>
                <w:color w:val="auto"/>
                <w:sz w:val="21"/>
                <w:szCs w:val="21"/>
                <w:highlight w:val="none"/>
              </w:rPr>
            </w:pPr>
          </w:p>
        </w:tc>
        <w:tc>
          <w:tcPr>
            <w:tcW w:w="1467" w:type="dxa"/>
            <w:vAlign w:val="center"/>
          </w:tcPr>
          <w:p w14:paraId="6CF8B54F">
            <w:pPr>
              <w:pStyle w:val="236"/>
              <w:keepNext w:val="0"/>
              <w:keepLines w:val="0"/>
              <w:pageBreakBefore w:val="0"/>
              <w:widowControl/>
              <w:kinsoku/>
              <w:wordWrap/>
              <w:overflowPunct/>
              <w:topLinePunct w:val="0"/>
              <w:autoSpaceDE/>
              <w:autoSpaceDN/>
              <w:bidi w:val="0"/>
              <w:ind w:left="0" w:leftChars="0" w:right="0" w:rightChars="0"/>
              <w:jc w:val="center"/>
              <w:rPr>
                <w:rFonts w:ascii="Times New Roman" w:hAnsi="Times New Roman" w:eastAsia="宋体" w:cs="Times New Roman"/>
                <w:bCs/>
                <w:color w:val="auto"/>
                <w:sz w:val="21"/>
                <w:szCs w:val="21"/>
                <w:highlight w:val="none"/>
                <w:lang w:val="zh-CN" w:eastAsia="zh-CN" w:bidi="zh-CN"/>
              </w:rPr>
            </w:pPr>
            <w:r>
              <w:rPr>
                <w:rFonts w:ascii="Times New Roman" w:hAnsi="Times New Roman" w:eastAsia="宋体" w:cs="Times New Roman"/>
                <w:color w:val="auto"/>
                <w:spacing w:val="7"/>
                <w:sz w:val="21"/>
                <w:szCs w:val="21"/>
                <w:highlight w:val="none"/>
              </w:rPr>
              <w:t>废滤芯</w:t>
            </w:r>
          </w:p>
        </w:tc>
        <w:tc>
          <w:tcPr>
            <w:tcW w:w="912" w:type="dxa"/>
            <w:vAlign w:val="center"/>
          </w:tcPr>
          <w:p w14:paraId="008ACD53">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可燃</w:t>
            </w:r>
          </w:p>
        </w:tc>
        <w:tc>
          <w:tcPr>
            <w:tcW w:w="3084" w:type="dxa"/>
            <w:vAlign w:val="center"/>
          </w:tcPr>
          <w:p w14:paraId="4AC41C27">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color w:val="auto"/>
                <w:sz w:val="21"/>
                <w:szCs w:val="21"/>
                <w:highlight w:val="none"/>
              </w:rPr>
              <w:t>无资料</w:t>
            </w:r>
          </w:p>
        </w:tc>
        <w:tc>
          <w:tcPr>
            <w:tcW w:w="1275" w:type="dxa"/>
            <w:vAlign w:val="center"/>
          </w:tcPr>
          <w:p w14:paraId="3B2376FF">
            <w:pPr>
              <w:pStyle w:val="97"/>
              <w:ind w:left="-105" w:leftChars="0" w:right="-105" w:rightChars="0"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sz w:val="21"/>
                <w:szCs w:val="21"/>
                <w:highlight w:val="none"/>
              </w:rPr>
              <w:t>危废仓库</w:t>
            </w:r>
          </w:p>
        </w:tc>
      </w:tr>
      <w:tr w14:paraId="29321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CB292D3">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000DD9CD">
            <w:pPr>
              <w:pStyle w:val="97"/>
              <w:ind w:left="-105" w:right="-105" w:firstLine="0" w:firstLineChars="0"/>
              <w:jc w:val="center"/>
              <w:rPr>
                <w:rFonts w:eastAsia="宋体"/>
                <w:bCs/>
                <w:color w:val="auto"/>
                <w:sz w:val="21"/>
                <w:szCs w:val="21"/>
                <w:highlight w:val="none"/>
              </w:rPr>
            </w:pPr>
          </w:p>
        </w:tc>
        <w:tc>
          <w:tcPr>
            <w:tcW w:w="1467" w:type="dxa"/>
            <w:vAlign w:val="center"/>
          </w:tcPr>
          <w:p w14:paraId="4C5BD08C">
            <w:pPr>
              <w:pStyle w:val="236"/>
              <w:keepNext w:val="0"/>
              <w:keepLines w:val="0"/>
              <w:pageBreakBefore w:val="0"/>
              <w:widowControl/>
              <w:kinsoku/>
              <w:wordWrap/>
              <w:overflowPunct/>
              <w:topLinePunct w:val="0"/>
              <w:autoSpaceDE/>
              <w:autoSpaceDN/>
              <w:bidi w:val="0"/>
              <w:ind w:left="0" w:leftChars="0" w:right="0" w:rightChars="0"/>
              <w:jc w:val="center"/>
              <w:rPr>
                <w:rFonts w:hint="eastAsia" w:eastAsia="宋体"/>
                <w:bCs/>
                <w:color w:val="auto"/>
                <w:sz w:val="21"/>
                <w:szCs w:val="21"/>
                <w:highlight w:val="none"/>
                <w:lang w:val="en-US" w:eastAsia="zh-CN"/>
              </w:rPr>
            </w:pPr>
            <w:r>
              <w:rPr>
                <w:rFonts w:ascii="Times New Roman" w:hAnsi="Times New Roman" w:eastAsia="宋体" w:cs="Times New Roman"/>
                <w:color w:val="auto"/>
                <w:spacing w:val="7"/>
                <w:sz w:val="21"/>
                <w:szCs w:val="21"/>
                <w:highlight w:val="none"/>
              </w:rPr>
              <w:t>废丁酮</w:t>
            </w:r>
          </w:p>
        </w:tc>
        <w:tc>
          <w:tcPr>
            <w:tcW w:w="912" w:type="dxa"/>
            <w:vAlign w:val="center"/>
          </w:tcPr>
          <w:p w14:paraId="6A9AC35C">
            <w:pPr>
              <w:pStyle w:val="97"/>
              <w:ind w:left="-105" w:right="-105" w:firstLine="0" w:firstLineChars="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易燃</w:t>
            </w:r>
          </w:p>
        </w:tc>
        <w:tc>
          <w:tcPr>
            <w:tcW w:w="3084" w:type="dxa"/>
            <w:vAlign w:val="center"/>
          </w:tcPr>
          <w:p w14:paraId="577E1EBE">
            <w:pPr>
              <w:pStyle w:val="97"/>
              <w:ind w:left="-105" w:right="-105" w:firstLine="0" w:firstLineChars="0"/>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无资料</w:t>
            </w:r>
          </w:p>
        </w:tc>
        <w:tc>
          <w:tcPr>
            <w:tcW w:w="1275" w:type="dxa"/>
            <w:vAlign w:val="center"/>
          </w:tcPr>
          <w:p w14:paraId="6C3667B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3DBAF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BF53D0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3823193">
            <w:pPr>
              <w:pStyle w:val="97"/>
              <w:ind w:left="-105" w:right="-105" w:firstLine="0" w:firstLineChars="0"/>
              <w:jc w:val="center"/>
              <w:rPr>
                <w:rFonts w:eastAsia="宋体"/>
                <w:bCs/>
                <w:color w:val="auto"/>
                <w:sz w:val="21"/>
                <w:szCs w:val="21"/>
                <w:highlight w:val="none"/>
              </w:rPr>
            </w:pPr>
          </w:p>
        </w:tc>
        <w:tc>
          <w:tcPr>
            <w:tcW w:w="1467" w:type="dxa"/>
            <w:vAlign w:val="center"/>
          </w:tcPr>
          <w:p w14:paraId="57784F7D">
            <w:pPr>
              <w:pStyle w:val="236"/>
              <w:keepNext w:val="0"/>
              <w:keepLines w:val="0"/>
              <w:pageBreakBefore w:val="0"/>
              <w:widowControl/>
              <w:kinsoku/>
              <w:wordWrap/>
              <w:overflowPunct/>
              <w:topLinePunct w:val="0"/>
              <w:autoSpaceDE/>
              <w:autoSpaceDN/>
              <w:bidi w:val="0"/>
              <w:ind w:left="0" w:leftChars="0" w:right="0" w:rightChars="0"/>
              <w:jc w:val="center"/>
              <w:rPr>
                <w:bCs/>
                <w:color w:val="auto"/>
                <w:sz w:val="21"/>
                <w:szCs w:val="21"/>
                <w:highlight w:val="none"/>
              </w:rPr>
            </w:pPr>
            <w:r>
              <w:rPr>
                <w:rFonts w:ascii="Times New Roman" w:hAnsi="Times New Roman" w:eastAsia="宋体" w:cs="Times New Roman"/>
                <w:color w:val="auto"/>
                <w:spacing w:val="7"/>
                <w:sz w:val="21"/>
                <w:szCs w:val="21"/>
                <w:highlight w:val="none"/>
              </w:rPr>
              <w:t>废活性炭</w:t>
            </w:r>
          </w:p>
        </w:tc>
        <w:tc>
          <w:tcPr>
            <w:tcW w:w="912" w:type="dxa"/>
            <w:vAlign w:val="center"/>
          </w:tcPr>
          <w:p w14:paraId="063F60B4">
            <w:pPr>
              <w:pStyle w:val="97"/>
              <w:ind w:left="-105" w:right="-105" w:firstLine="0" w:firstLineChars="0"/>
              <w:jc w:val="center"/>
              <w:rPr>
                <w:rFonts w:eastAsia="宋体"/>
                <w:bCs/>
                <w:color w:val="auto"/>
                <w:sz w:val="21"/>
                <w:szCs w:val="21"/>
                <w:highlight w:val="none"/>
              </w:rPr>
            </w:pPr>
            <w:r>
              <w:rPr>
                <w:rFonts w:hint="eastAsia" w:eastAsia="宋体"/>
                <w:bCs/>
                <w:color w:val="auto"/>
                <w:sz w:val="21"/>
                <w:szCs w:val="21"/>
                <w:highlight w:val="none"/>
              </w:rPr>
              <w:t>不</w:t>
            </w:r>
            <w:r>
              <w:rPr>
                <w:rFonts w:eastAsia="宋体"/>
                <w:bCs/>
                <w:color w:val="auto"/>
                <w:sz w:val="21"/>
                <w:szCs w:val="21"/>
                <w:highlight w:val="none"/>
              </w:rPr>
              <w:t>燃</w:t>
            </w:r>
          </w:p>
        </w:tc>
        <w:tc>
          <w:tcPr>
            <w:tcW w:w="3084" w:type="dxa"/>
            <w:vAlign w:val="center"/>
          </w:tcPr>
          <w:p w14:paraId="7A47951D">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5F226795">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5A02C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570A24C8">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B83DBE9">
            <w:pPr>
              <w:pStyle w:val="97"/>
              <w:ind w:left="-105" w:right="-105" w:firstLine="0" w:firstLineChars="0"/>
              <w:jc w:val="center"/>
              <w:rPr>
                <w:rFonts w:eastAsia="宋体"/>
                <w:bCs/>
                <w:color w:val="auto"/>
                <w:sz w:val="21"/>
                <w:szCs w:val="21"/>
                <w:highlight w:val="none"/>
              </w:rPr>
            </w:pPr>
          </w:p>
        </w:tc>
        <w:tc>
          <w:tcPr>
            <w:tcW w:w="1467" w:type="dxa"/>
            <w:vAlign w:val="center"/>
          </w:tcPr>
          <w:p w14:paraId="6467F237">
            <w:pPr>
              <w:pStyle w:val="236"/>
              <w:keepNext w:val="0"/>
              <w:keepLines w:val="0"/>
              <w:pageBreakBefore w:val="0"/>
              <w:widowControl/>
              <w:kinsoku/>
              <w:wordWrap/>
              <w:overflowPunct/>
              <w:topLinePunct w:val="0"/>
              <w:autoSpaceDE/>
              <w:autoSpaceDN/>
              <w:bidi w:val="0"/>
              <w:ind w:left="0" w:leftChars="0" w:right="0" w:rightChars="0"/>
              <w:jc w:val="center"/>
              <w:rPr>
                <w:bCs/>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废包装桶（</w:t>
            </w:r>
            <w:r>
              <w:rPr>
                <w:rFonts w:hint="eastAsia" w:ascii="Times New Roman" w:hAnsi="Times New Roman" w:eastAsia="宋体" w:cs="Times New Roman"/>
                <w:color w:val="auto"/>
                <w:spacing w:val="7"/>
                <w:sz w:val="21"/>
                <w:szCs w:val="21"/>
                <w:highlight w:val="none"/>
                <w:lang w:val="en-US" w:eastAsia="zh-CN"/>
              </w:rPr>
              <w:t>瓶</w:t>
            </w:r>
            <w:r>
              <w:rPr>
                <w:rFonts w:hint="eastAsia" w:ascii="Times New Roman" w:hAnsi="Times New Roman" w:eastAsia="宋体" w:cs="Times New Roman"/>
                <w:color w:val="auto"/>
                <w:spacing w:val="7"/>
                <w:sz w:val="21"/>
                <w:szCs w:val="21"/>
                <w:highlight w:val="none"/>
                <w:lang w:eastAsia="zh-CN"/>
              </w:rPr>
              <w:t>）</w:t>
            </w:r>
          </w:p>
        </w:tc>
        <w:tc>
          <w:tcPr>
            <w:tcW w:w="912" w:type="dxa"/>
            <w:vAlign w:val="center"/>
          </w:tcPr>
          <w:p w14:paraId="780AA05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不燃</w:t>
            </w:r>
          </w:p>
        </w:tc>
        <w:tc>
          <w:tcPr>
            <w:tcW w:w="3084" w:type="dxa"/>
            <w:vAlign w:val="center"/>
          </w:tcPr>
          <w:p w14:paraId="3836EFF6">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无资料</w:t>
            </w:r>
          </w:p>
        </w:tc>
        <w:tc>
          <w:tcPr>
            <w:tcW w:w="1275" w:type="dxa"/>
            <w:vAlign w:val="center"/>
          </w:tcPr>
          <w:p w14:paraId="33A600CB">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1166A8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2C36D7CC">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59822CA">
            <w:pPr>
              <w:pStyle w:val="97"/>
              <w:ind w:left="-105" w:right="-105" w:firstLine="0" w:firstLineChars="0"/>
              <w:jc w:val="center"/>
              <w:rPr>
                <w:rFonts w:eastAsia="宋体"/>
                <w:bCs/>
                <w:color w:val="auto"/>
                <w:sz w:val="21"/>
                <w:szCs w:val="21"/>
                <w:highlight w:val="none"/>
              </w:rPr>
            </w:pPr>
          </w:p>
        </w:tc>
        <w:tc>
          <w:tcPr>
            <w:tcW w:w="1467" w:type="dxa"/>
            <w:vAlign w:val="center"/>
          </w:tcPr>
          <w:p w14:paraId="7CDE1450">
            <w:pPr>
              <w:pStyle w:val="236"/>
              <w:keepNext w:val="0"/>
              <w:keepLines w:val="0"/>
              <w:pageBreakBefore w:val="0"/>
              <w:widowControl/>
              <w:kinsoku/>
              <w:wordWrap/>
              <w:overflowPunct/>
              <w:topLinePunct w:val="0"/>
              <w:autoSpaceDE/>
              <w:autoSpaceDN/>
              <w:bidi w:val="0"/>
              <w:ind w:left="0" w:leftChars="0" w:right="0" w:rightChars="0"/>
              <w:jc w:val="center"/>
              <w:rPr>
                <w:bCs/>
                <w:color w:val="auto"/>
                <w:sz w:val="21"/>
                <w:szCs w:val="21"/>
                <w:highlight w:val="none"/>
              </w:rPr>
            </w:pPr>
            <w:r>
              <w:rPr>
                <w:rFonts w:ascii="Times New Roman" w:hAnsi="Times New Roman" w:eastAsia="宋体" w:cs="Times New Roman"/>
                <w:color w:val="auto"/>
                <w:spacing w:val="5"/>
                <w:sz w:val="21"/>
                <w:szCs w:val="21"/>
                <w:highlight w:val="none"/>
              </w:rPr>
              <w:t>喷淋废液</w:t>
            </w:r>
          </w:p>
        </w:tc>
        <w:tc>
          <w:tcPr>
            <w:tcW w:w="912" w:type="dxa"/>
            <w:vAlign w:val="center"/>
          </w:tcPr>
          <w:p w14:paraId="09CBB01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3CD4E5F1">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6CBB1555">
            <w:pPr>
              <w:pStyle w:val="97"/>
              <w:ind w:left="-105" w:right="-105" w:firstLine="0" w:firstLineChars="0"/>
              <w:jc w:val="center"/>
              <w:rPr>
                <w:rFonts w:hint="eastAsia" w:eastAsia="宋体"/>
                <w:bCs/>
                <w:color w:val="auto"/>
                <w:sz w:val="21"/>
                <w:szCs w:val="21"/>
                <w:highlight w:val="none"/>
                <w:lang w:eastAsia="zh-CN"/>
              </w:rPr>
            </w:pPr>
            <w:r>
              <w:rPr>
                <w:rFonts w:hint="eastAsia" w:eastAsia="宋体"/>
                <w:bCs/>
                <w:color w:val="auto"/>
                <w:sz w:val="21"/>
                <w:szCs w:val="21"/>
                <w:highlight w:val="none"/>
                <w:lang w:val="en-US" w:eastAsia="zh-CN"/>
              </w:rPr>
              <w:t>废液储罐</w:t>
            </w:r>
          </w:p>
        </w:tc>
      </w:tr>
      <w:tr w14:paraId="330922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2828283">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7E35B2BF">
            <w:pPr>
              <w:pStyle w:val="97"/>
              <w:ind w:left="-105" w:right="-105" w:firstLine="0" w:firstLineChars="0"/>
              <w:jc w:val="center"/>
              <w:rPr>
                <w:rFonts w:eastAsia="宋体"/>
                <w:bCs/>
                <w:color w:val="auto"/>
                <w:sz w:val="21"/>
                <w:szCs w:val="21"/>
                <w:highlight w:val="none"/>
              </w:rPr>
            </w:pPr>
          </w:p>
        </w:tc>
        <w:tc>
          <w:tcPr>
            <w:tcW w:w="1467" w:type="dxa"/>
            <w:vAlign w:val="center"/>
          </w:tcPr>
          <w:p w14:paraId="3B40B255">
            <w:pPr>
              <w:pStyle w:val="106"/>
              <w:keepNext w:val="0"/>
              <w:keepLines w:val="0"/>
              <w:pageBreakBefore w:val="0"/>
              <w:widowControl w:val="0"/>
              <w:kinsoku/>
              <w:wordWrap/>
              <w:overflowPunct/>
              <w:topLinePunct w:val="0"/>
              <w:autoSpaceDE w:val="0"/>
              <w:autoSpaceDN w:val="0"/>
              <w:bidi w:val="0"/>
              <w:ind w:left="0" w:leftChars="0" w:right="0" w:rightChars="0"/>
              <w:rPr>
                <w:rFonts w:hint="eastAsia" w:eastAsia="宋体"/>
                <w:bCs/>
                <w:color w:val="auto"/>
                <w:sz w:val="21"/>
                <w:szCs w:val="21"/>
                <w:highlight w:val="none"/>
                <w:lang w:eastAsia="zh-CN"/>
              </w:rPr>
            </w:pPr>
            <w:r>
              <w:rPr>
                <w:rFonts w:hint="eastAsia"/>
                <w:color w:val="auto"/>
                <w:sz w:val="21"/>
                <w:szCs w:val="21"/>
                <w:highlight w:val="none"/>
                <w:lang w:eastAsia="en-US"/>
              </w:rPr>
              <w:t>废包装袋</w:t>
            </w:r>
          </w:p>
        </w:tc>
        <w:tc>
          <w:tcPr>
            <w:tcW w:w="912" w:type="dxa"/>
            <w:vAlign w:val="center"/>
          </w:tcPr>
          <w:p w14:paraId="0F27E16E">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6FD8C87F">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4617A066">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2C811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A0B436F">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4311F94">
            <w:pPr>
              <w:pStyle w:val="97"/>
              <w:ind w:left="-105" w:right="-105" w:firstLine="0" w:firstLineChars="0"/>
              <w:jc w:val="center"/>
              <w:rPr>
                <w:rFonts w:eastAsia="宋体"/>
                <w:bCs/>
                <w:color w:val="auto"/>
                <w:sz w:val="21"/>
                <w:szCs w:val="21"/>
                <w:highlight w:val="none"/>
              </w:rPr>
            </w:pPr>
          </w:p>
        </w:tc>
        <w:tc>
          <w:tcPr>
            <w:tcW w:w="1467" w:type="dxa"/>
            <w:vAlign w:val="center"/>
          </w:tcPr>
          <w:p w14:paraId="7F309C05">
            <w:pPr>
              <w:pStyle w:val="106"/>
              <w:keepNext w:val="0"/>
              <w:keepLines w:val="0"/>
              <w:pageBreakBefore w:val="0"/>
              <w:widowControl w:val="0"/>
              <w:kinsoku/>
              <w:wordWrap/>
              <w:overflowPunct/>
              <w:topLinePunct w:val="0"/>
              <w:autoSpaceDE w:val="0"/>
              <w:autoSpaceDN w:val="0"/>
              <w:bidi w:val="0"/>
              <w:ind w:left="0" w:leftChars="0" w:right="0" w:rightChars="0"/>
              <w:rPr>
                <w:bCs/>
                <w:color w:val="auto"/>
                <w:sz w:val="21"/>
                <w:szCs w:val="21"/>
                <w:highlight w:val="none"/>
              </w:rPr>
            </w:pPr>
            <w:r>
              <w:rPr>
                <w:rFonts w:hint="eastAsia"/>
                <w:color w:val="auto"/>
                <w:sz w:val="21"/>
                <w:szCs w:val="21"/>
                <w:highlight w:val="none"/>
                <w:lang w:eastAsia="en-US"/>
              </w:rPr>
              <w:t>实验废液</w:t>
            </w:r>
          </w:p>
        </w:tc>
        <w:tc>
          <w:tcPr>
            <w:tcW w:w="912" w:type="dxa"/>
            <w:vAlign w:val="center"/>
          </w:tcPr>
          <w:p w14:paraId="55DC473D">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0CE348DE">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759E38B4">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6C4F28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17124726">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0B04BFEE">
            <w:pPr>
              <w:pStyle w:val="97"/>
              <w:ind w:left="-105" w:right="-105" w:firstLine="0" w:firstLineChars="0"/>
              <w:jc w:val="center"/>
              <w:rPr>
                <w:rFonts w:eastAsia="宋体"/>
                <w:bCs/>
                <w:color w:val="auto"/>
                <w:sz w:val="21"/>
                <w:szCs w:val="21"/>
                <w:highlight w:val="none"/>
              </w:rPr>
            </w:pPr>
          </w:p>
        </w:tc>
        <w:tc>
          <w:tcPr>
            <w:tcW w:w="1467" w:type="dxa"/>
            <w:vAlign w:val="center"/>
          </w:tcPr>
          <w:p w14:paraId="1211A278">
            <w:pPr>
              <w:pStyle w:val="106"/>
              <w:keepNext w:val="0"/>
              <w:keepLines w:val="0"/>
              <w:pageBreakBefore w:val="0"/>
              <w:widowControl w:val="0"/>
              <w:kinsoku/>
              <w:wordWrap/>
              <w:overflowPunct/>
              <w:topLinePunct w:val="0"/>
              <w:autoSpaceDE w:val="0"/>
              <w:autoSpaceDN w:val="0"/>
              <w:bidi w:val="0"/>
              <w:ind w:left="0" w:leftChars="0" w:right="0" w:rightChars="0"/>
              <w:rPr>
                <w:bCs/>
                <w:color w:val="auto"/>
                <w:sz w:val="21"/>
                <w:szCs w:val="21"/>
                <w:highlight w:val="none"/>
              </w:rPr>
            </w:pPr>
            <w:r>
              <w:rPr>
                <w:rFonts w:hint="eastAsia"/>
                <w:color w:val="auto"/>
                <w:sz w:val="21"/>
                <w:szCs w:val="21"/>
                <w:highlight w:val="none"/>
                <w:lang w:eastAsia="en-US"/>
              </w:rPr>
              <w:t>废实验耗材</w:t>
            </w:r>
          </w:p>
        </w:tc>
        <w:tc>
          <w:tcPr>
            <w:tcW w:w="912" w:type="dxa"/>
            <w:vAlign w:val="center"/>
          </w:tcPr>
          <w:p w14:paraId="66D39BC9">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553B9D06">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5916B22F">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危废仓库</w:t>
            </w:r>
          </w:p>
        </w:tc>
      </w:tr>
      <w:tr w14:paraId="467309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E7B73FC">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9541DD2">
            <w:pPr>
              <w:pStyle w:val="97"/>
              <w:ind w:left="-105" w:right="-105" w:firstLine="0" w:firstLineChars="0"/>
              <w:jc w:val="center"/>
              <w:rPr>
                <w:rFonts w:eastAsia="宋体"/>
                <w:bCs/>
                <w:color w:val="auto"/>
                <w:sz w:val="21"/>
                <w:szCs w:val="21"/>
                <w:highlight w:val="none"/>
              </w:rPr>
            </w:pPr>
          </w:p>
        </w:tc>
        <w:tc>
          <w:tcPr>
            <w:tcW w:w="1467" w:type="dxa"/>
            <w:vAlign w:val="center"/>
          </w:tcPr>
          <w:p w14:paraId="5808093E">
            <w:pPr>
              <w:pStyle w:val="106"/>
              <w:keepNext w:val="0"/>
              <w:keepLines w:val="0"/>
              <w:pageBreakBefore w:val="0"/>
              <w:widowControl w:val="0"/>
              <w:kinsoku/>
              <w:wordWrap/>
              <w:overflowPunct/>
              <w:topLinePunct w:val="0"/>
              <w:autoSpaceDE w:val="0"/>
              <w:autoSpaceDN w:val="0"/>
              <w:bidi w:val="0"/>
              <w:ind w:left="0" w:leftChars="0" w:right="0" w:rightChars="0"/>
              <w:rPr>
                <w:bCs/>
                <w:color w:val="auto"/>
                <w:sz w:val="21"/>
                <w:szCs w:val="21"/>
                <w:highlight w:val="none"/>
              </w:rPr>
            </w:pPr>
            <w:r>
              <w:rPr>
                <w:rFonts w:hint="eastAsia" w:ascii="Times New Roman" w:hAnsi="Times New Roman" w:cs="Times New Roman"/>
                <w:color w:val="auto"/>
                <w:sz w:val="21"/>
                <w:szCs w:val="21"/>
                <w:highlight w:val="none"/>
                <w:lang w:val="en-US" w:eastAsia="zh-CN"/>
              </w:rPr>
              <w:t>实验清洗废水</w:t>
            </w:r>
          </w:p>
        </w:tc>
        <w:tc>
          <w:tcPr>
            <w:tcW w:w="912" w:type="dxa"/>
            <w:vAlign w:val="center"/>
          </w:tcPr>
          <w:p w14:paraId="3CD1FBED">
            <w:pPr>
              <w:pStyle w:val="97"/>
              <w:ind w:left="-105" w:right="-105" w:firstLine="0" w:firstLineChars="0"/>
              <w:jc w:val="center"/>
              <w:rPr>
                <w:rFonts w:eastAsia="宋体"/>
                <w:bCs/>
                <w:color w:val="auto"/>
                <w:sz w:val="21"/>
                <w:szCs w:val="21"/>
                <w:highlight w:val="none"/>
              </w:rPr>
            </w:pPr>
            <w:r>
              <w:rPr>
                <w:rFonts w:hint="eastAsia" w:eastAsia="宋体"/>
                <w:bCs/>
                <w:color w:val="auto"/>
                <w:sz w:val="21"/>
                <w:szCs w:val="21"/>
                <w:highlight w:val="none"/>
              </w:rPr>
              <w:t>不</w:t>
            </w:r>
            <w:r>
              <w:rPr>
                <w:rFonts w:eastAsia="宋体"/>
                <w:bCs/>
                <w:color w:val="auto"/>
                <w:sz w:val="21"/>
                <w:szCs w:val="21"/>
                <w:highlight w:val="none"/>
              </w:rPr>
              <w:t>燃</w:t>
            </w:r>
          </w:p>
        </w:tc>
        <w:tc>
          <w:tcPr>
            <w:tcW w:w="3084" w:type="dxa"/>
            <w:vAlign w:val="center"/>
          </w:tcPr>
          <w:p w14:paraId="229BD02A">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61B115EB">
            <w:pPr>
              <w:pStyle w:val="97"/>
              <w:ind w:left="-105" w:right="-105" w:firstLine="0" w:firstLineChars="0"/>
              <w:jc w:val="center"/>
              <w:rPr>
                <w:rFonts w:eastAsia="宋体"/>
                <w:bCs/>
                <w:color w:val="auto"/>
                <w:sz w:val="21"/>
                <w:szCs w:val="21"/>
                <w:highlight w:val="none"/>
              </w:rPr>
            </w:pPr>
            <w:r>
              <w:rPr>
                <w:rFonts w:hint="eastAsia" w:eastAsia="宋体"/>
                <w:bCs/>
                <w:color w:val="auto"/>
                <w:sz w:val="21"/>
                <w:szCs w:val="21"/>
                <w:highlight w:val="none"/>
                <w:lang w:val="en-US" w:eastAsia="zh-CN"/>
              </w:rPr>
              <w:t>废液储罐</w:t>
            </w:r>
          </w:p>
        </w:tc>
      </w:tr>
      <w:tr w14:paraId="1CECE2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1098FBC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restart"/>
            <w:vAlign w:val="center"/>
          </w:tcPr>
          <w:p w14:paraId="1C0FF05D">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火灾和爆炸</w:t>
            </w:r>
            <w:r>
              <w:rPr>
                <w:rFonts w:hint="eastAsia" w:eastAsia="宋体"/>
                <w:bCs/>
                <w:color w:val="auto"/>
                <w:sz w:val="21"/>
                <w:szCs w:val="21"/>
                <w:highlight w:val="none"/>
              </w:rPr>
              <w:t>伴</w:t>
            </w:r>
            <w:r>
              <w:rPr>
                <w:rFonts w:eastAsia="宋体"/>
                <w:bCs/>
                <w:color w:val="auto"/>
                <w:sz w:val="21"/>
                <w:szCs w:val="21"/>
                <w:highlight w:val="none"/>
              </w:rPr>
              <w:t>生/次生污染物</w:t>
            </w:r>
          </w:p>
        </w:tc>
        <w:tc>
          <w:tcPr>
            <w:tcW w:w="1467" w:type="dxa"/>
            <w:vAlign w:val="center"/>
          </w:tcPr>
          <w:p w14:paraId="6F9A04ED">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一氧化碳</w:t>
            </w:r>
          </w:p>
        </w:tc>
        <w:tc>
          <w:tcPr>
            <w:tcW w:w="912" w:type="dxa"/>
            <w:vAlign w:val="center"/>
          </w:tcPr>
          <w:p w14:paraId="61FA501B">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可燃</w:t>
            </w:r>
          </w:p>
        </w:tc>
        <w:tc>
          <w:tcPr>
            <w:tcW w:w="3084" w:type="dxa"/>
            <w:vAlign w:val="center"/>
          </w:tcPr>
          <w:p w14:paraId="051E396D">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毒性终点浓度-1：380mg/m</w:t>
            </w:r>
            <w:r>
              <w:rPr>
                <w:rFonts w:eastAsia="宋体"/>
                <w:color w:val="auto"/>
                <w:sz w:val="21"/>
                <w:szCs w:val="21"/>
                <w:highlight w:val="none"/>
                <w:vertAlign w:val="superscript"/>
              </w:rPr>
              <w:t>3</w:t>
            </w:r>
            <w:r>
              <w:rPr>
                <w:rFonts w:eastAsia="宋体"/>
                <w:color w:val="auto"/>
                <w:sz w:val="21"/>
                <w:szCs w:val="21"/>
                <w:highlight w:val="none"/>
              </w:rPr>
              <w:t>、毒性终点浓度-2：95mg/m</w:t>
            </w:r>
            <w:r>
              <w:rPr>
                <w:rFonts w:eastAsia="宋体"/>
                <w:color w:val="auto"/>
                <w:sz w:val="21"/>
                <w:szCs w:val="21"/>
                <w:highlight w:val="none"/>
                <w:vertAlign w:val="superscript"/>
              </w:rPr>
              <w:t>3</w:t>
            </w:r>
          </w:p>
        </w:tc>
        <w:tc>
          <w:tcPr>
            <w:tcW w:w="1275" w:type="dxa"/>
            <w:vAlign w:val="center"/>
          </w:tcPr>
          <w:p w14:paraId="3CC7E83E">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2B9A6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61EC345">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7D64B767">
            <w:pPr>
              <w:pStyle w:val="97"/>
              <w:ind w:left="-105" w:right="-105" w:firstLine="0" w:firstLineChars="0"/>
              <w:jc w:val="center"/>
              <w:rPr>
                <w:rFonts w:eastAsia="宋体"/>
                <w:bCs/>
                <w:color w:val="auto"/>
                <w:sz w:val="21"/>
                <w:szCs w:val="21"/>
                <w:highlight w:val="none"/>
              </w:rPr>
            </w:pPr>
          </w:p>
        </w:tc>
        <w:tc>
          <w:tcPr>
            <w:tcW w:w="1467" w:type="dxa"/>
            <w:vAlign w:val="center"/>
          </w:tcPr>
          <w:p w14:paraId="20898A6E">
            <w:pPr>
              <w:pStyle w:val="97"/>
              <w:ind w:left="-105" w:right="-105"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912" w:type="dxa"/>
            <w:vAlign w:val="center"/>
          </w:tcPr>
          <w:p w14:paraId="42B2A29B">
            <w:pPr>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kern w:val="0"/>
                <w:sz w:val="21"/>
                <w:szCs w:val="21"/>
                <w:highlight w:val="none"/>
                <w:lang w:val="zh-CN" w:bidi="zh-CN"/>
              </w:rPr>
              <w:t>不燃</w:t>
            </w:r>
          </w:p>
        </w:tc>
        <w:tc>
          <w:tcPr>
            <w:tcW w:w="3084" w:type="dxa"/>
            <w:vAlign w:val="center"/>
          </w:tcPr>
          <w:p w14:paraId="4C0EC411">
            <w:pPr>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zh-CN" w:bidi="zh-CN"/>
              </w:rPr>
              <w:t>无资料</w:t>
            </w:r>
          </w:p>
        </w:tc>
        <w:tc>
          <w:tcPr>
            <w:tcW w:w="1275" w:type="dxa"/>
            <w:vAlign w:val="center"/>
          </w:tcPr>
          <w:p w14:paraId="6A8E6556">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7FD7B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107AD416">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4A5A8CDD">
            <w:pPr>
              <w:pStyle w:val="97"/>
              <w:ind w:left="-105" w:right="-105" w:firstLine="0" w:firstLineChars="0"/>
              <w:jc w:val="center"/>
              <w:rPr>
                <w:rFonts w:eastAsia="宋体"/>
                <w:bCs/>
                <w:color w:val="auto"/>
                <w:sz w:val="21"/>
                <w:szCs w:val="21"/>
                <w:highlight w:val="none"/>
              </w:rPr>
            </w:pPr>
          </w:p>
        </w:tc>
        <w:tc>
          <w:tcPr>
            <w:tcW w:w="1467" w:type="dxa"/>
            <w:vAlign w:val="center"/>
          </w:tcPr>
          <w:p w14:paraId="63AF6787">
            <w:pPr>
              <w:pStyle w:val="97"/>
              <w:ind w:left="-105" w:right="-105"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二氧化硫</w:t>
            </w:r>
          </w:p>
        </w:tc>
        <w:tc>
          <w:tcPr>
            <w:tcW w:w="912" w:type="dxa"/>
            <w:vAlign w:val="center"/>
          </w:tcPr>
          <w:p w14:paraId="033DD302">
            <w:pPr>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kern w:val="0"/>
                <w:sz w:val="21"/>
                <w:szCs w:val="21"/>
                <w:highlight w:val="none"/>
                <w:lang w:val="zh-CN" w:bidi="zh-CN"/>
              </w:rPr>
              <w:t>不燃</w:t>
            </w:r>
          </w:p>
        </w:tc>
        <w:tc>
          <w:tcPr>
            <w:tcW w:w="3084" w:type="dxa"/>
            <w:vAlign w:val="center"/>
          </w:tcPr>
          <w:p w14:paraId="6B8AD090">
            <w:pPr>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zh-CN" w:bidi="zh-CN"/>
              </w:rPr>
              <w:t>毒性终点浓度-1：79mg/m</w:t>
            </w:r>
            <w:r>
              <w:rPr>
                <w:rFonts w:hint="default" w:ascii="Times New Roman" w:hAnsi="Times New Roman" w:cs="Times New Roman"/>
                <w:color w:val="auto"/>
                <w:kern w:val="0"/>
                <w:sz w:val="21"/>
                <w:szCs w:val="21"/>
                <w:highlight w:val="none"/>
                <w:vertAlign w:val="superscript"/>
                <w:lang w:val="zh-CN" w:bidi="zh-CN"/>
              </w:rPr>
              <w:t>3</w:t>
            </w:r>
            <w:r>
              <w:rPr>
                <w:rFonts w:hint="default" w:ascii="Times New Roman" w:hAnsi="Times New Roman" w:cs="Times New Roman"/>
                <w:color w:val="auto"/>
                <w:kern w:val="0"/>
                <w:sz w:val="21"/>
                <w:szCs w:val="21"/>
                <w:highlight w:val="none"/>
                <w:lang w:val="zh-CN" w:bidi="zh-CN"/>
              </w:rPr>
              <w:t>、毒性终点浓度-2：2mg/m</w:t>
            </w:r>
            <w:r>
              <w:rPr>
                <w:rFonts w:hint="default" w:ascii="Times New Roman" w:hAnsi="Times New Roman" w:cs="Times New Roman"/>
                <w:color w:val="auto"/>
                <w:kern w:val="0"/>
                <w:sz w:val="21"/>
                <w:szCs w:val="21"/>
                <w:highlight w:val="none"/>
                <w:vertAlign w:val="superscript"/>
                <w:lang w:val="zh-CN" w:bidi="zh-CN"/>
              </w:rPr>
              <w:t>3</w:t>
            </w:r>
          </w:p>
        </w:tc>
        <w:tc>
          <w:tcPr>
            <w:tcW w:w="1275" w:type="dxa"/>
            <w:vAlign w:val="center"/>
          </w:tcPr>
          <w:p w14:paraId="5CBC184E">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15CA68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07A51D40">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5C86F6AF">
            <w:pPr>
              <w:pStyle w:val="97"/>
              <w:ind w:left="-105" w:right="-105" w:firstLine="0" w:firstLineChars="0"/>
              <w:jc w:val="center"/>
              <w:rPr>
                <w:rFonts w:eastAsia="宋体"/>
                <w:bCs/>
                <w:color w:val="auto"/>
                <w:sz w:val="21"/>
                <w:szCs w:val="21"/>
                <w:highlight w:val="none"/>
              </w:rPr>
            </w:pPr>
          </w:p>
        </w:tc>
        <w:tc>
          <w:tcPr>
            <w:tcW w:w="1467" w:type="dxa"/>
            <w:vAlign w:val="center"/>
          </w:tcPr>
          <w:p w14:paraId="73578688">
            <w:pPr>
              <w:pStyle w:val="97"/>
              <w:ind w:left="-105" w:right="-105"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氮氧化物</w:t>
            </w:r>
          </w:p>
        </w:tc>
        <w:tc>
          <w:tcPr>
            <w:tcW w:w="912" w:type="dxa"/>
            <w:vAlign w:val="center"/>
          </w:tcPr>
          <w:p w14:paraId="42915CB3">
            <w:pPr>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kern w:val="0"/>
                <w:sz w:val="21"/>
                <w:szCs w:val="21"/>
                <w:highlight w:val="none"/>
                <w:lang w:val="zh-CN" w:bidi="zh-CN"/>
              </w:rPr>
              <w:t>不燃</w:t>
            </w:r>
          </w:p>
        </w:tc>
        <w:tc>
          <w:tcPr>
            <w:tcW w:w="3084" w:type="dxa"/>
            <w:vAlign w:val="center"/>
          </w:tcPr>
          <w:p w14:paraId="6C40F8A6">
            <w:pPr>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zh-CN" w:bidi="zh-CN"/>
              </w:rPr>
              <w:t>参照一氧化氮，毒性终点浓度-1：25mg/m</w:t>
            </w:r>
            <w:r>
              <w:rPr>
                <w:rFonts w:hint="default" w:ascii="Times New Roman" w:hAnsi="Times New Roman" w:cs="Times New Roman"/>
                <w:color w:val="auto"/>
                <w:kern w:val="0"/>
                <w:sz w:val="21"/>
                <w:szCs w:val="21"/>
                <w:highlight w:val="none"/>
                <w:vertAlign w:val="superscript"/>
                <w:lang w:val="zh-CN" w:bidi="zh-CN"/>
              </w:rPr>
              <w:t>3</w:t>
            </w:r>
            <w:r>
              <w:rPr>
                <w:rFonts w:hint="default" w:ascii="Times New Roman" w:hAnsi="Times New Roman" w:cs="Times New Roman"/>
                <w:color w:val="auto"/>
                <w:kern w:val="0"/>
                <w:sz w:val="21"/>
                <w:szCs w:val="21"/>
                <w:highlight w:val="none"/>
                <w:lang w:val="zh-CN" w:bidi="zh-CN"/>
              </w:rPr>
              <w:t>、毒性终点浓度-2：18mg/m</w:t>
            </w:r>
            <w:r>
              <w:rPr>
                <w:rFonts w:hint="default" w:ascii="Times New Roman" w:hAnsi="Times New Roman" w:cs="Times New Roman"/>
                <w:color w:val="auto"/>
                <w:kern w:val="0"/>
                <w:sz w:val="21"/>
                <w:szCs w:val="21"/>
                <w:highlight w:val="none"/>
                <w:vertAlign w:val="superscript"/>
                <w:lang w:val="zh-CN" w:bidi="zh-CN"/>
              </w:rPr>
              <w:t>3</w:t>
            </w:r>
          </w:p>
        </w:tc>
        <w:tc>
          <w:tcPr>
            <w:tcW w:w="1275" w:type="dxa"/>
            <w:vAlign w:val="center"/>
          </w:tcPr>
          <w:p w14:paraId="0478AFA4">
            <w:pPr>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1C25F3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4DCC3AC8">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E64193E">
            <w:pPr>
              <w:pStyle w:val="97"/>
              <w:ind w:left="-105" w:right="-105" w:firstLine="0" w:firstLineChars="0"/>
              <w:jc w:val="center"/>
              <w:rPr>
                <w:rFonts w:eastAsia="宋体"/>
                <w:bCs/>
                <w:color w:val="auto"/>
                <w:sz w:val="21"/>
                <w:szCs w:val="21"/>
                <w:highlight w:val="none"/>
              </w:rPr>
            </w:pPr>
          </w:p>
        </w:tc>
        <w:tc>
          <w:tcPr>
            <w:tcW w:w="1467" w:type="dxa"/>
            <w:vAlign w:val="center"/>
          </w:tcPr>
          <w:p w14:paraId="5346BADD">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受污染雨水</w:t>
            </w:r>
          </w:p>
        </w:tc>
        <w:tc>
          <w:tcPr>
            <w:tcW w:w="912" w:type="dxa"/>
            <w:vAlign w:val="center"/>
          </w:tcPr>
          <w:p w14:paraId="6179074A">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不燃</w:t>
            </w:r>
          </w:p>
        </w:tc>
        <w:tc>
          <w:tcPr>
            <w:tcW w:w="3084" w:type="dxa"/>
            <w:vAlign w:val="center"/>
          </w:tcPr>
          <w:p w14:paraId="0B77EA18">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59F9F579">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23BE2A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3B1CC424">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16007CDA">
            <w:pPr>
              <w:pStyle w:val="97"/>
              <w:ind w:left="-105" w:right="-105" w:firstLine="0" w:firstLineChars="0"/>
              <w:jc w:val="center"/>
              <w:rPr>
                <w:rFonts w:eastAsia="宋体"/>
                <w:bCs/>
                <w:color w:val="auto"/>
                <w:sz w:val="21"/>
                <w:szCs w:val="21"/>
                <w:highlight w:val="none"/>
              </w:rPr>
            </w:pPr>
          </w:p>
        </w:tc>
        <w:tc>
          <w:tcPr>
            <w:tcW w:w="1467" w:type="dxa"/>
            <w:vAlign w:val="center"/>
          </w:tcPr>
          <w:p w14:paraId="138BC2FB">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消防废水</w:t>
            </w:r>
          </w:p>
        </w:tc>
        <w:tc>
          <w:tcPr>
            <w:tcW w:w="912" w:type="dxa"/>
            <w:vAlign w:val="center"/>
          </w:tcPr>
          <w:p w14:paraId="489CB71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不燃</w:t>
            </w:r>
          </w:p>
        </w:tc>
        <w:tc>
          <w:tcPr>
            <w:tcW w:w="3084" w:type="dxa"/>
            <w:vAlign w:val="center"/>
          </w:tcPr>
          <w:p w14:paraId="659799F2">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5BF19BBB">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6C6AE7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7A1EE8FA">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3501BFAD">
            <w:pPr>
              <w:pStyle w:val="97"/>
              <w:ind w:left="-105" w:right="-105" w:firstLine="0" w:firstLineChars="0"/>
              <w:jc w:val="center"/>
              <w:rPr>
                <w:rFonts w:eastAsia="宋体"/>
                <w:bCs/>
                <w:color w:val="auto"/>
                <w:sz w:val="21"/>
                <w:szCs w:val="21"/>
                <w:highlight w:val="none"/>
              </w:rPr>
            </w:pPr>
          </w:p>
        </w:tc>
        <w:tc>
          <w:tcPr>
            <w:tcW w:w="1467" w:type="dxa"/>
            <w:vAlign w:val="center"/>
          </w:tcPr>
          <w:p w14:paraId="51B3FFC6">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洗消废液</w:t>
            </w:r>
          </w:p>
        </w:tc>
        <w:tc>
          <w:tcPr>
            <w:tcW w:w="912" w:type="dxa"/>
            <w:vAlign w:val="center"/>
          </w:tcPr>
          <w:p w14:paraId="62B5EA96">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不燃</w:t>
            </w:r>
          </w:p>
        </w:tc>
        <w:tc>
          <w:tcPr>
            <w:tcW w:w="3084" w:type="dxa"/>
            <w:vAlign w:val="center"/>
          </w:tcPr>
          <w:p w14:paraId="41379A28">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25BE84B1">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r w14:paraId="4AD07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dxa"/>
            <w:vAlign w:val="center"/>
          </w:tcPr>
          <w:p w14:paraId="6AD3A545">
            <w:pPr>
              <w:pStyle w:val="97"/>
              <w:numPr>
                <w:ilvl w:val="0"/>
                <w:numId w:val="22"/>
              </w:numPr>
              <w:ind w:left="-105" w:right="-105" w:firstLine="0" w:firstLineChars="0"/>
              <w:jc w:val="center"/>
              <w:rPr>
                <w:rFonts w:eastAsia="宋体"/>
                <w:bCs/>
                <w:color w:val="auto"/>
                <w:sz w:val="21"/>
                <w:szCs w:val="21"/>
                <w:highlight w:val="none"/>
              </w:rPr>
            </w:pPr>
          </w:p>
        </w:tc>
        <w:tc>
          <w:tcPr>
            <w:tcW w:w="1093" w:type="dxa"/>
            <w:vMerge w:val="continue"/>
            <w:vAlign w:val="center"/>
          </w:tcPr>
          <w:p w14:paraId="6C491E8E">
            <w:pPr>
              <w:pStyle w:val="97"/>
              <w:ind w:left="-105" w:right="-105" w:firstLine="0" w:firstLineChars="0"/>
              <w:jc w:val="center"/>
              <w:rPr>
                <w:rFonts w:eastAsia="宋体"/>
                <w:bCs/>
                <w:color w:val="auto"/>
                <w:sz w:val="21"/>
                <w:szCs w:val="21"/>
                <w:highlight w:val="none"/>
              </w:rPr>
            </w:pPr>
          </w:p>
        </w:tc>
        <w:tc>
          <w:tcPr>
            <w:tcW w:w="1467" w:type="dxa"/>
            <w:vAlign w:val="center"/>
          </w:tcPr>
          <w:p w14:paraId="73B43E88">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应急处置固体废物</w:t>
            </w:r>
          </w:p>
        </w:tc>
        <w:tc>
          <w:tcPr>
            <w:tcW w:w="912" w:type="dxa"/>
            <w:vAlign w:val="center"/>
          </w:tcPr>
          <w:p w14:paraId="707FF621">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c>
          <w:tcPr>
            <w:tcW w:w="3084" w:type="dxa"/>
            <w:vAlign w:val="center"/>
          </w:tcPr>
          <w:p w14:paraId="011465DB">
            <w:pPr>
              <w:pStyle w:val="97"/>
              <w:ind w:left="-105" w:right="-105" w:firstLine="0" w:firstLineChars="0"/>
              <w:jc w:val="center"/>
              <w:rPr>
                <w:rFonts w:eastAsia="宋体"/>
                <w:bCs/>
                <w:color w:val="auto"/>
                <w:sz w:val="21"/>
                <w:szCs w:val="21"/>
                <w:highlight w:val="none"/>
              </w:rPr>
            </w:pPr>
            <w:r>
              <w:rPr>
                <w:rFonts w:eastAsia="宋体"/>
                <w:color w:val="auto"/>
                <w:sz w:val="21"/>
                <w:szCs w:val="21"/>
                <w:highlight w:val="none"/>
              </w:rPr>
              <w:t>无资料</w:t>
            </w:r>
          </w:p>
        </w:tc>
        <w:tc>
          <w:tcPr>
            <w:tcW w:w="1275" w:type="dxa"/>
            <w:vAlign w:val="center"/>
          </w:tcPr>
          <w:p w14:paraId="292DBB5C">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w:t>
            </w:r>
          </w:p>
        </w:tc>
      </w:tr>
    </w:tbl>
    <w:p w14:paraId="392A88D3">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生产系统危险性识别</w:t>
      </w:r>
    </w:p>
    <w:p w14:paraId="0F0D0C38">
      <w:pPr>
        <w:pStyle w:val="97"/>
        <w:autoSpaceDE w:val="0"/>
        <w:autoSpaceDN w:val="0"/>
        <w:spacing w:line="360" w:lineRule="auto"/>
        <w:ind w:left="-105" w:right="-105" w:firstLine="480"/>
        <w:jc w:val="left"/>
        <w:rPr>
          <w:rFonts w:eastAsia="宋体"/>
          <w:color w:val="auto"/>
          <w:sz w:val="24"/>
          <w:highlight w:val="none"/>
        </w:rPr>
      </w:pPr>
      <w:r>
        <w:rPr>
          <w:rFonts w:eastAsia="宋体"/>
          <w:color w:val="auto"/>
          <w:sz w:val="24"/>
          <w:highlight w:val="none"/>
        </w:rPr>
        <w:t>生产过程风险识别范围：主要生产装置、贮运系统、公用工程系统、工程环保设施及辅助生产设施等。</w:t>
      </w:r>
    </w:p>
    <w:p w14:paraId="3AC15AB8">
      <w:pPr>
        <w:pStyle w:val="97"/>
        <w:spacing w:line="360" w:lineRule="auto"/>
        <w:ind w:left="-105" w:right="-105" w:firstLine="0" w:firstLineChars="0"/>
        <w:rPr>
          <w:rFonts w:eastAsia="宋体"/>
          <w:color w:val="auto"/>
          <w:sz w:val="24"/>
          <w:highlight w:val="none"/>
        </w:rPr>
      </w:pPr>
      <w:r>
        <w:rPr>
          <w:rFonts w:hint="eastAsia" w:ascii="宋体" w:hAnsi="宋体" w:eastAsia="宋体" w:cs="宋体"/>
          <w:color w:val="auto"/>
          <w:sz w:val="24"/>
          <w:highlight w:val="none"/>
        </w:rPr>
        <w:t>①</w:t>
      </w:r>
      <w:r>
        <w:rPr>
          <w:rFonts w:eastAsia="宋体"/>
          <w:color w:val="auto"/>
          <w:sz w:val="24"/>
          <w:highlight w:val="none"/>
        </w:rPr>
        <w:t>生产设施风险识别</w:t>
      </w:r>
    </w:p>
    <w:p w14:paraId="2CBCFBF2">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本项目对涉及的生产设施风险类型进行识别，其中生产设施风险性分析见下表。</w:t>
      </w:r>
    </w:p>
    <w:p w14:paraId="48BE8089">
      <w:pPr>
        <w:pStyle w:val="15"/>
        <w:spacing w:line="360" w:lineRule="auto"/>
        <w:ind w:left="-105" w:right="-105" w:firstLine="482"/>
        <w:rPr>
          <w:rFonts w:eastAsia="宋体"/>
          <w:color w:val="auto"/>
          <w:sz w:val="24"/>
          <w:szCs w:val="18"/>
          <w:highlight w:val="none"/>
        </w:rPr>
      </w:pPr>
      <w:bookmarkStart w:id="252" w:name="_Hlk40120120"/>
    </w:p>
    <w:p w14:paraId="42C39A0B">
      <w:pPr>
        <w:pStyle w:val="15"/>
        <w:spacing w:line="360" w:lineRule="auto"/>
        <w:ind w:left="-105" w:right="-105" w:firstLine="482"/>
        <w:rPr>
          <w:rFonts w:eastAsia="宋体"/>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4.8</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2</w:t>
      </w:r>
      <w:r>
        <w:rPr>
          <w:rFonts w:eastAsia="宋体"/>
          <w:color w:val="auto"/>
          <w:sz w:val="24"/>
          <w:szCs w:val="18"/>
          <w:highlight w:val="none"/>
        </w:rPr>
        <w:fldChar w:fldCharType="end"/>
      </w:r>
      <w:r>
        <w:rPr>
          <w:rFonts w:eastAsia="宋体"/>
          <w:bCs/>
          <w:color w:val="auto"/>
          <w:sz w:val="24"/>
          <w:szCs w:val="24"/>
          <w:highlight w:val="none"/>
        </w:rPr>
        <w:t>生产装置的主要风险分析</w:t>
      </w:r>
    </w:p>
    <w:bookmarkEnd w:id="252"/>
    <w:tbl>
      <w:tblPr>
        <w:tblStyle w:val="45"/>
        <w:tblW w:w="487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0"/>
        <w:gridCol w:w="814"/>
        <w:gridCol w:w="4019"/>
        <w:gridCol w:w="1302"/>
        <w:gridCol w:w="928"/>
        <w:gridCol w:w="981"/>
      </w:tblGrid>
      <w:tr w14:paraId="2F44BA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61" w:type="dxa"/>
            <w:vAlign w:val="center"/>
          </w:tcPr>
          <w:p w14:paraId="012BD2E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序号</w:t>
            </w:r>
          </w:p>
        </w:tc>
        <w:tc>
          <w:tcPr>
            <w:tcW w:w="819" w:type="dxa"/>
            <w:vAlign w:val="center"/>
          </w:tcPr>
          <w:p w14:paraId="6C84E149">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生产工艺</w:t>
            </w:r>
          </w:p>
        </w:tc>
        <w:tc>
          <w:tcPr>
            <w:tcW w:w="3996" w:type="dxa"/>
            <w:vAlign w:val="center"/>
          </w:tcPr>
          <w:p w14:paraId="3DC52936">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危险物质</w:t>
            </w:r>
          </w:p>
        </w:tc>
        <w:tc>
          <w:tcPr>
            <w:tcW w:w="1311" w:type="dxa"/>
            <w:vAlign w:val="center"/>
          </w:tcPr>
          <w:p w14:paraId="75BA935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转化为事故的触发因素</w:t>
            </w:r>
          </w:p>
        </w:tc>
        <w:tc>
          <w:tcPr>
            <w:tcW w:w="932" w:type="dxa"/>
            <w:vAlign w:val="center"/>
          </w:tcPr>
          <w:p w14:paraId="4CB3AB81">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环境风险类型</w:t>
            </w:r>
          </w:p>
        </w:tc>
        <w:tc>
          <w:tcPr>
            <w:tcW w:w="985" w:type="dxa"/>
            <w:vAlign w:val="center"/>
          </w:tcPr>
          <w:p w14:paraId="06BEC0F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危险物质最大存在量（t）</w:t>
            </w:r>
          </w:p>
        </w:tc>
      </w:tr>
      <w:tr w14:paraId="3E5A29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65B7B14F">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restart"/>
            <w:vAlign w:val="center"/>
          </w:tcPr>
          <w:p w14:paraId="4886D00F">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val="en-US" w:eastAsia="zh-CN"/>
              </w:rPr>
              <w:t>剥离液生产线</w:t>
            </w:r>
          </w:p>
        </w:tc>
        <w:tc>
          <w:tcPr>
            <w:tcW w:w="3996" w:type="dxa"/>
            <w:vAlign w:val="center"/>
          </w:tcPr>
          <w:p w14:paraId="69702C54">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二甲基亚砜</w:t>
            </w:r>
          </w:p>
        </w:tc>
        <w:tc>
          <w:tcPr>
            <w:tcW w:w="1311" w:type="dxa"/>
            <w:vMerge w:val="restart"/>
            <w:vAlign w:val="center"/>
          </w:tcPr>
          <w:p w14:paraId="7453EF7A">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违规操作、设备操作、电火花、高热、明火等</w:t>
            </w:r>
          </w:p>
        </w:tc>
        <w:tc>
          <w:tcPr>
            <w:tcW w:w="932" w:type="dxa"/>
            <w:vMerge w:val="restart"/>
            <w:vAlign w:val="center"/>
          </w:tcPr>
          <w:p w14:paraId="0503FED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泄漏、火灾</w:t>
            </w:r>
          </w:p>
        </w:tc>
        <w:tc>
          <w:tcPr>
            <w:tcW w:w="985" w:type="dxa"/>
            <w:vAlign w:val="center"/>
          </w:tcPr>
          <w:p w14:paraId="19EB71D6">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0.5</w:t>
            </w:r>
          </w:p>
        </w:tc>
      </w:tr>
      <w:tr w14:paraId="709FF4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1DC42910">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082E4189">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2CBFC0AE">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N-甲基吡咯烷酮</w:t>
            </w:r>
          </w:p>
        </w:tc>
        <w:tc>
          <w:tcPr>
            <w:tcW w:w="1311" w:type="dxa"/>
            <w:vMerge w:val="continue"/>
            <w:vAlign w:val="center"/>
          </w:tcPr>
          <w:p w14:paraId="44239D0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64C9B6E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6379838D">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0.36</w:t>
            </w:r>
          </w:p>
        </w:tc>
      </w:tr>
      <w:tr w14:paraId="3EFF27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5B599FFB">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142442DD">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3B84592C">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四甲基氢氧化铵</w:t>
            </w:r>
          </w:p>
        </w:tc>
        <w:tc>
          <w:tcPr>
            <w:tcW w:w="1311" w:type="dxa"/>
            <w:vMerge w:val="continue"/>
            <w:vAlign w:val="center"/>
          </w:tcPr>
          <w:p w14:paraId="33269E9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758A05C0">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35BD88EF">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0.019</w:t>
            </w:r>
          </w:p>
        </w:tc>
      </w:tr>
      <w:tr w14:paraId="0FFE2F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379D436B">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21E82A09">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0C0955AD">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2-甲氨基乙醇</w:t>
            </w:r>
          </w:p>
        </w:tc>
        <w:tc>
          <w:tcPr>
            <w:tcW w:w="1311" w:type="dxa"/>
            <w:vMerge w:val="continue"/>
            <w:vAlign w:val="center"/>
          </w:tcPr>
          <w:p w14:paraId="5F05ECC6">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6E4D5DC2">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6B589CCE">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0.031</w:t>
            </w:r>
          </w:p>
        </w:tc>
      </w:tr>
      <w:tr w14:paraId="260EAA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3D9850EA">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44A05FE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17819FD0">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邻苯二酚</w:t>
            </w:r>
          </w:p>
        </w:tc>
        <w:tc>
          <w:tcPr>
            <w:tcW w:w="1311" w:type="dxa"/>
            <w:vMerge w:val="continue"/>
            <w:vAlign w:val="center"/>
          </w:tcPr>
          <w:p w14:paraId="0E5B9F27">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564226F2">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053E635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0.006</w:t>
            </w:r>
          </w:p>
        </w:tc>
      </w:tr>
      <w:tr w14:paraId="51C4C0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6575EFCD">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7197B1C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41EAAAF8">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乙醇胺</w:t>
            </w:r>
          </w:p>
        </w:tc>
        <w:tc>
          <w:tcPr>
            <w:tcW w:w="1311" w:type="dxa"/>
            <w:vMerge w:val="continue"/>
            <w:vAlign w:val="center"/>
          </w:tcPr>
          <w:p w14:paraId="593A3CC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4E80E99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3791A617">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0.06</w:t>
            </w:r>
          </w:p>
        </w:tc>
      </w:tr>
      <w:tr w14:paraId="255ABA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669BFB91">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restart"/>
            <w:vAlign w:val="center"/>
          </w:tcPr>
          <w:p w14:paraId="6C3DD8A3">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ascii="Times New Roman" w:hAnsi="Times New Roman" w:eastAsia="宋体" w:cs="Times New Roman"/>
                <w:color w:val="auto"/>
                <w:sz w:val="21"/>
                <w:szCs w:val="21"/>
                <w:highlight w:val="none"/>
              </w:rPr>
              <w:t>聚氨酯丙烯酸酯</w:t>
            </w:r>
            <w:r>
              <w:rPr>
                <w:rFonts w:hint="eastAsia" w:ascii="Times New Roman" w:hAnsi="Times New Roman" w:eastAsia="宋体" w:cs="Times New Roman"/>
                <w:color w:val="auto"/>
                <w:sz w:val="21"/>
                <w:szCs w:val="21"/>
                <w:highlight w:val="none"/>
                <w:lang w:val="en-US" w:eastAsia="zh-CN"/>
              </w:rPr>
              <w:t>生产线</w:t>
            </w:r>
          </w:p>
        </w:tc>
        <w:tc>
          <w:tcPr>
            <w:tcW w:w="3996" w:type="dxa"/>
            <w:vAlign w:val="center"/>
          </w:tcPr>
          <w:p w14:paraId="69FF5D83">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丙烯酸酯树脂</w:t>
            </w:r>
          </w:p>
        </w:tc>
        <w:tc>
          <w:tcPr>
            <w:tcW w:w="1311" w:type="dxa"/>
            <w:vMerge w:val="continue"/>
            <w:vAlign w:val="center"/>
          </w:tcPr>
          <w:p w14:paraId="2BD3C8B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661C75E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43A26820">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4</w:t>
            </w:r>
          </w:p>
        </w:tc>
      </w:tr>
      <w:tr w14:paraId="4FFA5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1C58AE63">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3CC10A4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7D011C3C">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异氰酸酯（六亚甲基-1,6-二异氰酸酯)</w:t>
            </w:r>
          </w:p>
        </w:tc>
        <w:tc>
          <w:tcPr>
            <w:tcW w:w="1311" w:type="dxa"/>
            <w:vMerge w:val="continue"/>
            <w:vAlign w:val="center"/>
          </w:tcPr>
          <w:p w14:paraId="2DA6802A">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10C89AE4">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1353BEA4">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4</w:t>
            </w:r>
          </w:p>
        </w:tc>
      </w:tr>
      <w:tr w14:paraId="1868F8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11AC3274">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restart"/>
            <w:vAlign w:val="center"/>
          </w:tcPr>
          <w:p w14:paraId="0D5B5E87">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ascii="Times New Roman" w:hAnsi="Times New Roman" w:eastAsia="宋体" w:cs="Times New Roman"/>
                <w:color w:val="auto"/>
                <w:sz w:val="21"/>
                <w:szCs w:val="21"/>
                <w:highlight w:val="none"/>
              </w:rPr>
              <w:t>丙烯酸酯组成物</w:t>
            </w:r>
            <w:r>
              <w:rPr>
                <w:rFonts w:hint="eastAsia" w:ascii="Times New Roman" w:hAnsi="Times New Roman" w:eastAsia="宋体" w:cs="Times New Roman"/>
                <w:color w:val="auto"/>
                <w:sz w:val="21"/>
                <w:szCs w:val="21"/>
                <w:highlight w:val="none"/>
                <w:lang w:val="en-US" w:eastAsia="zh-CN"/>
              </w:rPr>
              <w:t>生产线</w:t>
            </w:r>
          </w:p>
        </w:tc>
        <w:tc>
          <w:tcPr>
            <w:tcW w:w="3996" w:type="dxa"/>
            <w:vAlign w:val="center"/>
          </w:tcPr>
          <w:p w14:paraId="57BB5204">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聚氨酯丙烯酸酯</w:t>
            </w:r>
          </w:p>
        </w:tc>
        <w:tc>
          <w:tcPr>
            <w:tcW w:w="1311" w:type="dxa"/>
            <w:vMerge w:val="continue"/>
            <w:vAlign w:val="center"/>
          </w:tcPr>
          <w:p w14:paraId="5B0DA7A4">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123F7296">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0049E489">
            <w:pPr>
              <w:keepNext w:val="0"/>
              <w:keepLines w:val="0"/>
              <w:pageBreakBefore w:val="0"/>
              <w:widowControl w:val="0"/>
              <w:kinsoku/>
              <w:wordWrap/>
              <w:overflowPunct/>
              <w:topLinePunct w:val="0"/>
              <w:autoSpaceDE/>
              <w:autoSpaceDN/>
              <w:bidi w:val="0"/>
              <w:adjustRightInd/>
              <w:snapToGrid/>
              <w:ind w:left="0" w:right="0"/>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1.25</w:t>
            </w:r>
          </w:p>
        </w:tc>
      </w:tr>
      <w:tr w14:paraId="24DE57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227D884F">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1761110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2FEEBBAB">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环氧丙烯酸树脂</w:t>
            </w:r>
          </w:p>
        </w:tc>
        <w:tc>
          <w:tcPr>
            <w:tcW w:w="1311" w:type="dxa"/>
            <w:vMerge w:val="continue"/>
            <w:vAlign w:val="center"/>
          </w:tcPr>
          <w:p w14:paraId="66A43550">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7F80593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72D22D30">
            <w:pPr>
              <w:keepNext w:val="0"/>
              <w:keepLines w:val="0"/>
              <w:pageBreakBefore w:val="0"/>
              <w:widowControl w:val="0"/>
              <w:kinsoku/>
              <w:wordWrap/>
              <w:overflowPunct/>
              <w:topLinePunct w:val="0"/>
              <w:autoSpaceDE/>
              <w:autoSpaceDN/>
              <w:bidi w:val="0"/>
              <w:adjustRightInd/>
              <w:snapToGrid/>
              <w:ind w:left="0" w:right="0"/>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1.25</w:t>
            </w:r>
          </w:p>
        </w:tc>
      </w:tr>
      <w:tr w14:paraId="699346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478A58B2">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60B18662">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2C9DC695">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单体（二缩三丙二醇二丙烯酸酯）</w:t>
            </w:r>
          </w:p>
        </w:tc>
        <w:tc>
          <w:tcPr>
            <w:tcW w:w="1311" w:type="dxa"/>
            <w:vMerge w:val="continue"/>
            <w:vAlign w:val="center"/>
          </w:tcPr>
          <w:p w14:paraId="7DD25C1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36114CF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106D1BF9">
            <w:pPr>
              <w:keepNext w:val="0"/>
              <w:keepLines w:val="0"/>
              <w:pageBreakBefore w:val="0"/>
              <w:widowControl w:val="0"/>
              <w:kinsoku/>
              <w:wordWrap/>
              <w:overflowPunct/>
              <w:topLinePunct w:val="0"/>
              <w:autoSpaceDE/>
              <w:autoSpaceDN/>
              <w:bidi w:val="0"/>
              <w:adjustRightInd/>
              <w:snapToGrid/>
              <w:ind w:left="0" w:right="0"/>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1.25</w:t>
            </w:r>
          </w:p>
        </w:tc>
      </w:tr>
      <w:tr w14:paraId="286A90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26C1BDD3">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1460BE0F">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33560777">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光敏剂（1-羟环己基苯酮）</w:t>
            </w:r>
          </w:p>
        </w:tc>
        <w:tc>
          <w:tcPr>
            <w:tcW w:w="1311" w:type="dxa"/>
            <w:vMerge w:val="continue"/>
            <w:vAlign w:val="center"/>
          </w:tcPr>
          <w:p w14:paraId="26ED3D30">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0D8507C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28761DE3">
            <w:pPr>
              <w:keepNext w:val="0"/>
              <w:keepLines w:val="0"/>
              <w:pageBreakBefore w:val="0"/>
              <w:widowControl w:val="0"/>
              <w:kinsoku/>
              <w:wordWrap/>
              <w:overflowPunct/>
              <w:topLinePunct w:val="0"/>
              <w:autoSpaceDE/>
              <w:autoSpaceDN/>
              <w:bidi w:val="0"/>
              <w:adjustRightInd/>
              <w:snapToGrid/>
              <w:ind w:left="0" w:right="0"/>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1.25</w:t>
            </w:r>
          </w:p>
        </w:tc>
      </w:tr>
      <w:tr w14:paraId="036413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24849E85">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restart"/>
            <w:vAlign w:val="center"/>
          </w:tcPr>
          <w:p w14:paraId="2D62D312">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ascii="Times New Roman" w:hAnsi="Times New Roman" w:eastAsia="宋体" w:cs="Times New Roman"/>
                <w:color w:val="auto"/>
                <w:sz w:val="21"/>
                <w:szCs w:val="21"/>
                <w:highlight w:val="none"/>
              </w:rPr>
              <w:t>环氧丙烯酸树脂</w:t>
            </w:r>
            <w:r>
              <w:rPr>
                <w:rFonts w:hint="eastAsia" w:ascii="Times New Roman" w:hAnsi="Times New Roman" w:eastAsia="宋体" w:cs="Times New Roman"/>
                <w:color w:val="auto"/>
                <w:sz w:val="21"/>
                <w:szCs w:val="21"/>
                <w:highlight w:val="none"/>
                <w:lang w:val="en-US" w:eastAsia="zh-CN"/>
              </w:rPr>
              <w:t>生产线</w:t>
            </w:r>
          </w:p>
        </w:tc>
        <w:tc>
          <w:tcPr>
            <w:tcW w:w="3996" w:type="dxa"/>
            <w:vAlign w:val="center"/>
          </w:tcPr>
          <w:p w14:paraId="773EA500">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酚醛环氧树脂</w:t>
            </w:r>
          </w:p>
        </w:tc>
        <w:tc>
          <w:tcPr>
            <w:tcW w:w="1311" w:type="dxa"/>
            <w:vMerge w:val="continue"/>
            <w:vAlign w:val="center"/>
          </w:tcPr>
          <w:p w14:paraId="0464D022">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0732CEC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54C58BBF">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345094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7E11DA55">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4D97423D">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59E2C294">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丙烯酸</w:t>
            </w:r>
          </w:p>
        </w:tc>
        <w:tc>
          <w:tcPr>
            <w:tcW w:w="1311" w:type="dxa"/>
            <w:vMerge w:val="continue"/>
            <w:vAlign w:val="center"/>
          </w:tcPr>
          <w:p w14:paraId="02EFF6A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11C5C417">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1154A5A2">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3437AE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15887DA2">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2CB84855">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715DA177">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2-乙二醇单乙醚醋酯（溶剂）</w:t>
            </w:r>
          </w:p>
        </w:tc>
        <w:tc>
          <w:tcPr>
            <w:tcW w:w="1311" w:type="dxa"/>
            <w:vMerge w:val="continue"/>
            <w:vAlign w:val="center"/>
          </w:tcPr>
          <w:p w14:paraId="13B258BF">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4BCA5879">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5B0F8DF8">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6797AB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521276FC">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1EBE14C7">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680D5570">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重溶剂油（溶剂）</w:t>
            </w:r>
          </w:p>
        </w:tc>
        <w:tc>
          <w:tcPr>
            <w:tcW w:w="1311" w:type="dxa"/>
            <w:vMerge w:val="continue"/>
            <w:vAlign w:val="center"/>
          </w:tcPr>
          <w:p w14:paraId="74165A9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4346B44B">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1B91DD6D">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6C0987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dxa"/>
            <w:vAlign w:val="center"/>
          </w:tcPr>
          <w:p w14:paraId="165601C5">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2B75625D">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3996" w:type="dxa"/>
            <w:vAlign w:val="center"/>
          </w:tcPr>
          <w:p w14:paraId="2EA05087">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2-甲基对苯二酚</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lang w:eastAsia="zh-CN"/>
              </w:rPr>
              <w:t>聚合阻止剂）</w:t>
            </w:r>
          </w:p>
        </w:tc>
        <w:tc>
          <w:tcPr>
            <w:tcW w:w="1311" w:type="dxa"/>
            <w:vMerge w:val="continue"/>
            <w:vAlign w:val="center"/>
          </w:tcPr>
          <w:p w14:paraId="4DEE5F6F">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4B6570A4">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85" w:type="dxa"/>
            <w:vAlign w:val="center"/>
          </w:tcPr>
          <w:p w14:paraId="1027B1DE">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39EF93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tcPr>
          <w:p w14:paraId="63B4BCEF">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0AE8EE81">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71A24066">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三苯基膦（催化剂)</w:t>
            </w:r>
          </w:p>
        </w:tc>
        <w:tc>
          <w:tcPr>
            <w:tcW w:w="1311" w:type="dxa"/>
            <w:vMerge w:val="continue"/>
            <w:vAlign w:val="center"/>
          </w:tcPr>
          <w:p w14:paraId="756A86B7">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1E317033">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025DA2D0">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58944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tcPr>
          <w:p w14:paraId="2958CCCB">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216D596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145C128A">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eastAsia="zh-CN"/>
              </w:rPr>
              <w:t>2、6-二叔丁基对甲基苯酚（聚合阻止剂）</w:t>
            </w:r>
          </w:p>
        </w:tc>
        <w:tc>
          <w:tcPr>
            <w:tcW w:w="1311" w:type="dxa"/>
            <w:vMerge w:val="continue"/>
            <w:vAlign w:val="center"/>
          </w:tcPr>
          <w:p w14:paraId="1B4F7EB8">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661E8F91">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19BA0762">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0AA5C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tcPr>
          <w:p w14:paraId="7CF2E642">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Merge w:val="continue"/>
            <w:vAlign w:val="center"/>
          </w:tcPr>
          <w:p w14:paraId="400D08D5">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0CAAF2E6">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s="Times New Roman"/>
                <w:color w:val="auto"/>
                <w:sz w:val="21"/>
                <w:szCs w:val="21"/>
                <w:highlight w:val="none"/>
                <w:lang w:val="en-US" w:eastAsia="en-US" w:bidi="ar-SA"/>
              </w:rPr>
            </w:pPr>
            <w:r>
              <w:rPr>
                <w:rFonts w:ascii="Times New Roman" w:hAnsi="Times New Roman" w:eastAsia="宋体" w:cs="Times New Roman"/>
                <w:color w:val="auto"/>
                <w:sz w:val="21"/>
                <w:szCs w:val="21"/>
                <w:highlight w:val="none"/>
              </w:rPr>
              <w:t>四氢化邻苯二甲酸酐</w:t>
            </w:r>
          </w:p>
        </w:tc>
        <w:tc>
          <w:tcPr>
            <w:tcW w:w="1311" w:type="dxa"/>
            <w:vMerge w:val="continue"/>
            <w:vAlign w:val="center"/>
          </w:tcPr>
          <w:p w14:paraId="68B402AC">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53C4DA25">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5862B5FB">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1</w:t>
            </w:r>
          </w:p>
        </w:tc>
      </w:tr>
      <w:tr w14:paraId="56B136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0" w:type="auto"/>
          </w:tcPr>
          <w:p w14:paraId="4B6B78A8">
            <w:pPr>
              <w:keepNext w:val="0"/>
              <w:keepLines w:val="0"/>
              <w:pageBreakBefore w:val="0"/>
              <w:widowControl w:val="0"/>
              <w:numPr>
                <w:ilvl w:val="0"/>
                <w:numId w:val="23"/>
              </w:numPr>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819" w:type="dxa"/>
            <w:vAlign w:val="center"/>
          </w:tcPr>
          <w:p w14:paraId="184C4029">
            <w:pPr>
              <w:keepNext w:val="0"/>
              <w:keepLines w:val="0"/>
              <w:pageBreakBefore w:val="0"/>
              <w:widowControl w:val="0"/>
              <w:kinsoku/>
              <w:wordWrap/>
              <w:overflowPunct/>
              <w:topLinePunct w:val="0"/>
              <w:autoSpaceDE/>
              <w:autoSpaceDN/>
              <w:bidi w:val="0"/>
              <w:adjustRightInd/>
              <w:snapToGrid/>
              <w:ind w:left="0" w:right="0"/>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清洗</w:t>
            </w:r>
          </w:p>
        </w:tc>
        <w:tc>
          <w:tcPr>
            <w:tcW w:w="0" w:type="auto"/>
            <w:vAlign w:val="center"/>
          </w:tcPr>
          <w:p w14:paraId="127F27A4">
            <w:pPr>
              <w:pStyle w:val="236"/>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丁酮</w:t>
            </w:r>
          </w:p>
        </w:tc>
        <w:tc>
          <w:tcPr>
            <w:tcW w:w="1311" w:type="dxa"/>
            <w:vMerge w:val="continue"/>
            <w:vAlign w:val="center"/>
          </w:tcPr>
          <w:p w14:paraId="6DFB8429">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932" w:type="dxa"/>
            <w:vMerge w:val="continue"/>
            <w:vAlign w:val="center"/>
          </w:tcPr>
          <w:p w14:paraId="069FCD64">
            <w:pPr>
              <w:keepNext w:val="0"/>
              <w:keepLines w:val="0"/>
              <w:pageBreakBefore w:val="0"/>
              <w:widowControl w:val="0"/>
              <w:kinsoku/>
              <w:wordWrap/>
              <w:overflowPunct/>
              <w:topLinePunct w:val="0"/>
              <w:autoSpaceDE/>
              <w:autoSpaceDN/>
              <w:bidi w:val="0"/>
              <w:adjustRightInd/>
              <w:snapToGrid/>
              <w:ind w:left="0" w:right="0"/>
              <w:jc w:val="center"/>
              <w:rPr>
                <w:rFonts w:ascii="Times New Roman" w:hAnsi="Times New Roman" w:cs="Times New Roman"/>
                <w:bCs/>
                <w:color w:val="auto"/>
                <w:kern w:val="2"/>
                <w:sz w:val="21"/>
                <w:szCs w:val="21"/>
                <w:highlight w:val="none"/>
              </w:rPr>
            </w:pPr>
          </w:p>
        </w:tc>
        <w:tc>
          <w:tcPr>
            <w:tcW w:w="0" w:type="auto"/>
            <w:vAlign w:val="center"/>
          </w:tcPr>
          <w:p w14:paraId="144B9B6F">
            <w:pPr>
              <w:keepNext w:val="0"/>
              <w:keepLines w:val="0"/>
              <w:pageBreakBefore w:val="0"/>
              <w:widowControl w:val="0"/>
              <w:kinsoku/>
              <w:wordWrap/>
              <w:overflowPunct/>
              <w:topLinePunct w:val="0"/>
              <w:autoSpaceDE/>
              <w:autoSpaceDN/>
              <w:bidi w:val="0"/>
              <w:adjustRightInd/>
              <w:snapToGrid/>
              <w:ind w:left="0" w:right="0"/>
              <w:jc w:val="center"/>
              <w:rPr>
                <w:rFonts w:hint="default" w:ascii="Times New Roman" w:hAnsi="Times New Roman" w:cs="Times New Roman"/>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0.5</w:t>
            </w:r>
          </w:p>
        </w:tc>
      </w:tr>
    </w:tbl>
    <w:p w14:paraId="1D202524">
      <w:pPr>
        <w:spacing w:line="360" w:lineRule="auto"/>
        <w:ind w:left="-105" w:right="-105" w:firstLine="480" w:firstLineChars="200"/>
        <w:rPr>
          <w:rFonts w:hint="eastAsia" w:ascii="Times New Roman" w:hAnsi="Times New Roman" w:eastAsia="宋体" w:cs="Times New Roman"/>
          <w:bCs/>
          <w:color w:val="auto"/>
          <w:highlight w:val="none"/>
          <w:lang w:val="en-US" w:eastAsia="zh-CN"/>
        </w:rPr>
      </w:pPr>
      <w:r>
        <w:rPr>
          <w:rFonts w:hint="eastAsia"/>
          <w:bCs/>
          <w:color w:val="auto"/>
          <w:highlight w:val="none"/>
        </w:rPr>
        <w:t>②</w:t>
      </w:r>
      <w:r>
        <w:rPr>
          <w:rFonts w:ascii="Times New Roman" w:hAnsi="Times New Roman" w:cs="Times New Roman"/>
          <w:bCs/>
          <w:color w:val="auto"/>
          <w:highlight w:val="none"/>
        </w:rPr>
        <w:t>储运设施风险识别</w:t>
      </w:r>
    </w:p>
    <w:p w14:paraId="11DBA6F6">
      <w:pPr>
        <w:spacing w:line="360" w:lineRule="auto"/>
        <w:ind w:left="-105" w:right="-105" w:firstLine="480"/>
        <w:rPr>
          <w:rFonts w:ascii="Times New Roman" w:hAnsi="Times New Roman" w:cs="Times New Roman"/>
          <w:bCs/>
          <w:color w:val="auto"/>
          <w:highlight w:val="none"/>
        </w:rPr>
      </w:pPr>
      <w:r>
        <w:rPr>
          <w:rFonts w:ascii="Times New Roman" w:hAnsi="Times New Roman" w:cs="Times New Roman"/>
          <w:bCs/>
          <w:color w:val="auto"/>
          <w:highlight w:val="none"/>
        </w:rPr>
        <w:t>本项目涉及主要储运设施的风险分析见下表。</w:t>
      </w:r>
    </w:p>
    <w:p w14:paraId="2FA3497D">
      <w:pPr>
        <w:pStyle w:val="15"/>
        <w:spacing w:line="360" w:lineRule="auto"/>
        <w:ind w:left="-105" w:right="-105" w:firstLine="482"/>
        <w:rPr>
          <w:rFonts w:eastAsia="宋体"/>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4.8</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3</w:t>
      </w:r>
      <w:r>
        <w:rPr>
          <w:rFonts w:eastAsia="宋体"/>
          <w:color w:val="auto"/>
          <w:sz w:val="24"/>
          <w:szCs w:val="18"/>
          <w:highlight w:val="none"/>
        </w:rPr>
        <w:fldChar w:fldCharType="end"/>
      </w:r>
      <w:r>
        <w:rPr>
          <w:rFonts w:eastAsia="宋体"/>
          <w:color w:val="auto"/>
          <w:sz w:val="24"/>
          <w:szCs w:val="24"/>
          <w:highlight w:val="none"/>
        </w:rPr>
        <w:t>储运设施的主要风险分析</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869"/>
        <w:gridCol w:w="772"/>
        <w:gridCol w:w="1578"/>
        <w:gridCol w:w="1555"/>
        <w:gridCol w:w="1530"/>
        <w:gridCol w:w="1846"/>
      </w:tblGrid>
      <w:tr w14:paraId="4D89C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70" w:type="dxa"/>
            <w:vAlign w:val="center"/>
          </w:tcPr>
          <w:p w14:paraId="548E798E">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序号</w:t>
            </w:r>
          </w:p>
        </w:tc>
        <w:tc>
          <w:tcPr>
            <w:tcW w:w="869" w:type="dxa"/>
            <w:vAlign w:val="center"/>
          </w:tcPr>
          <w:p w14:paraId="2B1F281E">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危险单元</w:t>
            </w:r>
          </w:p>
        </w:tc>
        <w:tc>
          <w:tcPr>
            <w:tcW w:w="2350" w:type="dxa"/>
            <w:gridSpan w:val="2"/>
            <w:vAlign w:val="center"/>
          </w:tcPr>
          <w:p w14:paraId="220F6F07">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主要风险物质</w:t>
            </w:r>
          </w:p>
        </w:tc>
        <w:tc>
          <w:tcPr>
            <w:tcW w:w="1555" w:type="dxa"/>
            <w:vAlign w:val="center"/>
          </w:tcPr>
          <w:p w14:paraId="6BEFB097">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转化为事故的触发因素</w:t>
            </w:r>
          </w:p>
        </w:tc>
        <w:tc>
          <w:tcPr>
            <w:tcW w:w="1530" w:type="dxa"/>
            <w:vAlign w:val="center"/>
          </w:tcPr>
          <w:p w14:paraId="3E51CA1D">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环境风险类型</w:t>
            </w:r>
          </w:p>
        </w:tc>
        <w:tc>
          <w:tcPr>
            <w:tcW w:w="1846" w:type="dxa"/>
          </w:tcPr>
          <w:p w14:paraId="4CEBFB4B">
            <w:pPr>
              <w:widowControl w:val="0"/>
              <w:ind w:left="-105" w:right="-105"/>
              <w:jc w:val="center"/>
              <w:rPr>
                <w:rFonts w:ascii="Times New Roman" w:hAnsi="Times New Roman" w:cs="Times New Roman"/>
                <w:b/>
                <w:color w:val="auto"/>
                <w:kern w:val="2"/>
                <w:sz w:val="21"/>
                <w:szCs w:val="21"/>
                <w:highlight w:val="none"/>
              </w:rPr>
            </w:pPr>
            <w:r>
              <w:rPr>
                <w:rFonts w:ascii="Times New Roman" w:hAnsi="Times New Roman" w:cs="Times New Roman"/>
                <w:b/>
                <w:color w:val="auto"/>
                <w:kern w:val="2"/>
                <w:sz w:val="21"/>
                <w:szCs w:val="21"/>
                <w:highlight w:val="none"/>
              </w:rPr>
              <w:t>危险物质最大存在量（t）</w:t>
            </w:r>
          </w:p>
        </w:tc>
      </w:tr>
      <w:tr w14:paraId="7061E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restart"/>
            <w:vAlign w:val="center"/>
          </w:tcPr>
          <w:p w14:paraId="2E42A758">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restart"/>
            <w:vAlign w:val="center"/>
          </w:tcPr>
          <w:p w14:paraId="2BEB5824">
            <w:pPr>
              <w:widowControl w:val="0"/>
              <w:ind w:left="-105" w:right="-105"/>
              <w:jc w:val="center"/>
              <w:rPr>
                <w:rFonts w:hint="eastAsia" w:ascii="Times New Roman" w:hAnsi="Times New Roman" w:eastAsia="宋体"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危险品仓库</w:t>
            </w:r>
          </w:p>
        </w:tc>
        <w:tc>
          <w:tcPr>
            <w:tcW w:w="772" w:type="dxa"/>
            <w:vMerge w:val="restart"/>
            <w:vAlign w:val="center"/>
          </w:tcPr>
          <w:p w14:paraId="2F071851">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z w:val="21"/>
                <w:szCs w:val="21"/>
                <w:highlight w:val="none"/>
              </w:rPr>
              <w:t>聚氨</w:t>
            </w:r>
            <w:r>
              <w:rPr>
                <w:rFonts w:ascii="Times New Roman" w:hAnsi="Times New Roman" w:eastAsia="宋体" w:cs="Times New Roman"/>
                <w:color w:val="auto"/>
                <w:spacing w:val="3"/>
                <w:sz w:val="21"/>
                <w:szCs w:val="21"/>
                <w:highlight w:val="none"/>
              </w:rPr>
              <w:t>酯丙</w:t>
            </w:r>
            <w:r>
              <w:rPr>
                <w:rFonts w:ascii="Times New Roman" w:hAnsi="Times New Roman" w:eastAsia="宋体" w:cs="Times New Roman"/>
                <w:color w:val="auto"/>
                <w:spacing w:val="5"/>
                <w:sz w:val="21"/>
                <w:szCs w:val="21"/>
                <w:highlight w:val="none"/>
              </w:rPr>
              <w:t>烯酸</w:t>
            </w:r>
            <w:r>
              <w:rPr>
                <w:rFonts w:ascii="Times New Roman" w:hAnsi="Times New Roman" w:eastAsia="宋体" w:cs="Times New Roman"/>
                <w:color w:val="auto"/>
                <w:sz w:val="21"/>
                <w:szCs w:val="21"/>
                <w:highlight w:val="none"/>
              </w:rPr>
              <w:t>酯</w:t>
            </w:r>
          </w:p>
        </w:tc>
        <w:tc>
          <w:tcPr>
            <w:tcW w:w="1578" w:type="dxa"/>
            <w:vAlign w:val="center"/>
          </w:tcPr>
          <w:p w14:paraId="025414B1">
            <w:pPr>
              <w:pStyle w:val="236"/>
              <w:ind w:left="-105" w:right="-105"/>
              <w:jc w:val="center"/>
              <w:rPr>
                <w:rFonts w:ascii="Times New Roman" w:hAnsi="Times New Roman" w:eastAsia="宋体" w:cs="Times New Roman"/>
                <w:bCs/>
                <w:color w:val="auto"/>
                <w:kern w:val="2"/>
                <w:sz w:val="21"/>
                <w:szCs w:val="21"/>
                <w:highlight w:val="none"/>
                <w:lang w:eastAsia="zh-CN"/>
              </w:rPr>
            </w:pPr>
            <w:r>
              <w:rPr>
                <w:rFonts w:hint="eastAsia" w:ascii="Times New Roman" w:hAnsi="Times New Roman" w:eastAsia="宋体" w:cs="Times New Roman"/>
                <w:color w:val="auto"/>
                <w:sz w:val="21"/>
                <w:szCs w:val="21"/>
                <w:highlight w:val="none"/>
                <w:lang w:eastAsia="zh-CN"/>
              </w:rPr>
              <w:t>丙烯酸酯树脂</w:t>
            </w:r>
          </w:p>
        </w:tc>
        <w:tc>
          <w:tcPr>
            <w:tcW w:w="1555" w:type="dxa"/>
            <w:vMerge w:val="restart"/>
            <w:vAlign w:val="center"/>
          </w:tcPr>
          <w:p w14:paraId="38E2F485">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违规操作、高温、明火</w:t>
            </w:r>
          </w:p>
        </w:tc>
        <w:tc>
          <w:tcPr>
            <w:tcW w:w="1530" w:type="dxa"/>
            <w:vMerge w:val="restart"/>
            <w:vAlign w:val="center"/>
          </w:tcPr>
          <w:p w14:paraId="24D51FD2">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18"/>
                <w:highlight w:val="none"/>
              </w:rPr>
              <w:t>泄漏、火灾、爆炸</w:t>
            </w:r>
          </w:p>
        </w:tc>
        <w:tc>
          <w:tcPr>
            <w:tcW w:w="1846" w:type="dxa"/>
            <w:vAlign w:val="center"/>
          </w:tcPr>
          <w:p w14:paraId="6811654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32.34</w:t>
            </w:r>
          </w:p>
        </w:tc>
      </w:tr>
      <w:tr w14:paraId="6D362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20CA5AC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6D83C74E">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318A46CF">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41D0AEE5">
            <w:pPr>
              <w:pStyle w:val="236"/>
              <w:ind w:left="-105" w:right="-105"/>
              <w:jc w:val="center"/>
              <w:rPr>
                <w:rFonts w:ascii="Times New Roman" w:hAnsi="Times New Roman" w:eastAsia="宋体" w:cs="Times New Roman"/>
                <w:color w:val="auto"/>
                <w:sz w:val="21"/>
                <w:szCs w:val="21"/>
                <w:highlight w:val="none"/>
                <w:lang w:eastAsia="zh-CN" w:bidi="ar"/>
              </w:rPr>
            </w:pPr>
            <w:r>
              <w:rPr>
                <w:rFonts w:ascii="Times New Roman" w:hAnsi="Times New Roman" w:eastAsia="宋体" w:cs="Times New Roman"/>
                <w:color w:val="auto"/>
                <w:spacing w:val="8"/>
                <w:sz w:val="21"/>
                <w:szCs w:val="21"/>
                <w:highlight w:val="none"/>
                <w:lang w:eastAsia="zh-CN"/>
              </w:rPr>
              <w:t>异氰酸酯（六亚</w:t>
            </w:r>
            <w:r>
              <w:rPr>
                <w:rFonts w:ascii="Times New Roman" w:hAnsi="Times New Roman" w:eastAsia="宋体" w:cs="Times New Roman"/>
                <w:color w:val="auto"/>
                <w:spacing w:val="3"/>
                <w:sz w:val="21"/>
                <w:szCs w:val="21"/>
                <w:highlight w:val="none"/>
                <w:lang w:eastAsia="zh-CN"/>
              </w:rPr>
              <w:t>甲基-1,6-二异氰酸</w:t>
            </w:r>
            <w:r>
              <w:rPr>
                <w:rFonts w:ascii="Times New Roman" w:hAnsi="Times New Roman" w:eastAsia="宋体" w:cs="Times New Roman"/>
                <w:color w:val="auto"/>
                <w:spacing w:val="-1"/>
                <w:sz w:val="21"/>
                <w:szCs w:val="21"/>
                <w:highlight w:val="none"/>
                <w:lang w:eastAsia="zh-CN"/>
              </w:rPr>
              <w:t>酯）</w:t>
            </w:r>
          </w:p>
        </w:tc>
        <w:tc>
          <w:tcPr>
            <w:tcW w:w="1555" w:type="dxa"/>
            <w:vMerge w:val="continue"/>
            <w:vAlign w:val="center"/>
          </w:tcPr>
          <w:p w14:paraId="7F7E45E9">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66BF77E">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233AEB1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2"/>
                <w:sz w:val="21"/>
                <w:szCs w:val="21"/>
                <w:highlight w:val="none"/>
              </w:rPr>
              <w:t>11.68</w:t>
            </w:r>
          </w:p>
        </w:tc>
      </w:tr>
      <w:tr w14:paraId="3A3CF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5EF83132">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5B7B9053">
            <w:pPr>
              <w:widowControl w:val="0"/>
              <w:ind w:left="-105" w:right="-105"/>
              <w:jc w:val="center"/>
              <w:rPr>
                <w:rFonts w:ascii="Times New Roman" w:hAnsi="Times New Roman" w:cs="Times New Roman"/>
                <w:bCs/>
                <w:color w:val="auto"/>
                <w:kern w:val="2"/>
                <w:sz w:val="21"/>
                <w:szCs w:val="21"/>
                <w:highlight w:val="none"/>
              </w:rPr>
            </w:pPr>
          </w:p>
        </w:tc>
        <w:tc>
          <w:tcPr>
            <w:tcW w:w="772" w:type="dxa"/>
            <w:vMerge w:val="restart"/>
            <w:vAlign w:val="center"/>
          </w:tcPr>
          <w:p w14:paraId="65A72048">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2"/>
                <w:sz w:val="21"/>
                <w:szCs w:val="21"/>
                <w:highlight w:val="none"/>
              </w:rPr>
              <w:t>丙烯</w:t>
            </w:r>
            <w:r>
              <w:rPr>
                <w:rFonts w:ascii="Times New Roman" w:hAnsi="Times New Roman" w:eastAsia="宋体" w:cs="Times New Roman"/>
                <w:color w:val="auto"/>
                <w:spacing w:val="4"/>
                <w:sz w:val="21"/>
                <w:szCs w:val="21"/>
                <w:highlight w:val="none"/>
              </w:rPr>
              <w:t>酸酯</w:t>
            </w:r>
            <w:r>
              <w:rPr>
                <w:rFonts w:hint="eastAsia" w:ascii="Times New Roman" w:hAnsi="Times New Roman" w:eastAsia="宋体" w:cs="Times New Roman"/>
                <w:color w:val="auto"/>
                <w:spacing w:val="4"/>
                <w:sz w:val="21"/>
                <w:szCs w:val="21"/>
                <w:highlight w:val="none"/>
                <w:lang w:eastAsia="zh-CN"/>
              </w:rPr>
              <w:t>组成物</w:t>
            </w:r>
          </w:p>
        </w:tc>
        <w:tc>
          <w:tcPr>
            <w:tcW w:w="1578" w:type="dxa"/>
            <w:vAlign w:val="center"/>
          </w:tcPr>
          <w:p w14:paraId="05C36718">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7"/>
                <w:sz w:val="21"/>
                <w:szCs w:val="21"/>
                <w:highlight w:val="none"/>
              </w:rPr>
              <w:t>聚氨酯丙烯酸酯</w:t>
            </w:r>
          </w:p>
        </w:tc>
        <w:tc>
          <w:tcPr>
            <w:tcW w:w="1555" w:type="dxa"/>
            <w:vMerge w:val="continue"/>
            <w:vAlign w:val="center"/>
          </w:tcPr>
          <w:p w14:paraId="62A2DA8E">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6DF48A0C">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162922D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2"/>
                <w:sz w:val="21"/>
                <w:szCs w:val="21"/>
                <w:highlight w:val="none"/>
              </w:rPr>
              <w:t>11.33</w:t>
            </w:r>
          </w:p>
        </w:tc>
      </w:tr>
      <w:tr w14:paraId="293D3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643CD46A">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7A4FA4A9">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771A8735">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1B8914D1">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环氧丙烯酸树脂</w:t>
            </w:r>
          </w:p>
        </w:tc>
        <w:tc>
          <w:tcPr>
            <w:tcW w:w="1555" w:type="dxa"/>
            <w:vMerge w:val="continue"/>
            <w:vAlign w:val="center"/>
          </w:tcPr>
          <w:p w14:paraId="6C0B826B">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2595762C">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693AAA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22.17</w:t>
            </w:r>
          </w:p>
        </w:tc>
      </w:tr>
      <w:tr w14:paraId="5296E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74A4087C">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6BB8D5C3">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5E8D5ACC">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4193092A">
            <w:pPr>
              <w:pStyle w:val="236"/>
              <w:ind w:left="-105" w:right="-105"/>
              <w:jc w:val="center"/>
              <w:rPr>
                <w:rFonts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pacing w:val="8"/>
                <w:sz w:val="21"/>
                <w:szCs w:val="21"/>
                <w:highlight w:val="none"/>
                <w:lang w:eastAsia="zh-CN"/>
              </w:rPr>
              <w:t>单体（二缩三丙二醇二丙烯酸酯）</w:t>
            </w:r>
          </w:p>
        </w:tc>
        <w:tc>
          <w:tcPr>
            <w:tcW w:w="1555" w:type="dxa"/>
            <w:vMerge w:val="continue"/>
            <w:vAlign w:val="center"/>
          </w:tcPr>
          <w:p w14:paraId="4BF55E65">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639E434">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729A320A">
            <w:pPr>
              <w:ind w:left="-105" w:right="-105"/>
              <w:jc w:val="center"/>
              <w:rPr>
                <w:rFonts w:ascii="Times New Roman" w:hAnsi="Times New Roman" w:cs="Times New Roman"/>
                <w:color w:val="auto"/>
                <w:spacing w:val="3"/>
                <w:sz w:val="21"/>
                <w:szCs w:val="21"/>
                <w:highlight w:val="none"/>
              </w:rPr>
            </w:pPr>
            <w:r>
              <w:rPr>
                <w:rFonts w:hint="eastAsia" w:ascii="Times New Roman" w:hAnsi="Times New Roman" w:cs="Times New Roman"/>
                <w:color w:val="auto"/>
                <w:spacing w:val="3"/>
                <w:sz w:val="21"/>
                <w:szCs w:val="21"/>
                <w:highlight w:val="none"/>
              </w:rPr>
              <w:t>23.16</w:t>
            </w:r>
          </w:p>
        </w:tc>
      </w:tr>
      <w:tr w14:paraId="29840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41891FE2">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24EBBD9D">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37E07BAB">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112F2F1B">
            <w:pPr>
              <w:pStyle w:val="236"/>
              <w:ind w:left="-105" w:right="-105"/>
              <w:jc w:val="center"/>
              <w:rPr>
                <w:rFonts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pacing w:val="8"/>
                <w:sz w:val="21"/>
                <w:szCs w:val="21"/>
                <w:highlight w:val="none"/>
                <w:lang w:eastAsia="zh-CN"/>
              </w:rPr>
              <w:t>光敏剂（1-羟环己基苯酮）</w:t>
            </w:r>
          </w:p>
        </w:tc>
        <w:tc>
          <w:tcPr>
            <w:tcW w:w="1555" w:type="dxa"/>
            <w:vMerge w:val="continue"/>
            <w:vAlign w:val="center"/>
          </w:tcPr>
          <w:p w14:paraId="6AAEFEBD">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4F472F72">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4264738">
            <w:pPr>
              <w:ind w:left="-105" w:right="-105"/>
              <w:jc w:val="center"/>
              <w:rPr>
                <w:rFonts w:ascii="Times New Roman" w:hAnsi="Times New Roman" w:cs="Times New Roman"/>
                <w:color w:val="auto"/>
                <w:spacing w:val="3"/>
                <w:sz w:val="21"/>
                <w:szCs w:val="21"/>
                <w:highlight w:val="none"/>
              </w:rPr>
            </w:pPr>
            <w:r>
              <w:rPr>
                <w:rFonts w:hint="eastAsia" w:ascii="Times New Roman" w:hAnsi="Times New Roman" w:cs="Times New Roman"/>
                <w:color w:val="auto"/>
                <w:spacing w:val="3"/>
                <w:sz w:val="21"/>
                <w:szCs w:val="21"/>
                <w:highlight w:val="none"/>
              </w:rPr>
              <w:t>10.36</w:t>
            </w:r>
          </w:p>
        </w:tc>
      </w:tr>
      <w:tr w14:paraId="542BE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0C7AFD6C">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2445448E">
            <w:pPr>
              <w:widowControl w:val="0"/>
              <w:ind w:left="-105" w:right="-105"/>
              <w:jc w:val="center"/>
              <w:rPr>
                <w:rFonts w:ascii="Times New Roman" w:hAnsi="Times New Roman" w:cs="Times New Roman"/>
                <w:bCs/>
                <w:color w:val="auto"/>
                <w:kern w:val="2"/>
                <w:sz w:val="21"/>
                <w:szCs w:val="21"/>
                <w:highlight w:val="none"/>
              </w:rPr>
            </w:pPr>
          </w:p>
        </w:tc>
        <w:tc>
          <w:tcPr>
            <w:tcW w:w="772" w:type="dxa"/>
            <w:vMerge w:val="restart"/>
            <w:vAlign w:val="center"/>
          </w:tcPr>
          <w:p w14:paraId="2D85A253">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4"/>
                <w:sz w:val="21"/>
                <w:szCs w:val="21"/>
                <w:highlight w:val="none"/>
              </w:rPr>
              <w:t>环氧</w:t>
            </w:r>
            <w:r>
              <w:rPr>
                <w:rFonts w:ascii="Times New Roman" w:hAnsi="Times New Roman" w:eastAsia="宋体" w:cs="Times New Roman"/>
                <w:color w:val="auto"/>
                <w:spacing w:val="2"/>
                <w:sz w:val="21"/>
                <w:szCs w:val="21"/>
                <w:highlight w:val="none"/>
              </w:rPr>
              <w:t>丙烯</w:t>
            </w:r>
            <w:r>
              <w:rPr>
                <w:rFonts w:ascii="Times New Roman" w:hAnsi="Times New Roman" w:eastAsia="宋体" w:cs="Times New Roman"/>
                <w:color w:val="auto"/>
                <w:spacing w:val="4"/>
                <w:sz w:val="21"/>
                <w:szCs w:val="21"/>
                <w:highlight w:val="none"/>
              </w:rPr>
              <w:t>酸</w:t>
            </w:r>
            <w:r>
              <w:rPr>
                <w:rFonts w:hint="eastAsia" w:ascii="Times New Roman" w:hAnsi="Times New Roman" w:eastAsia="宋体" w:cs="Times New Roman"/>
                <w:color w:val="auto"/>
                <w:spacing w:val="4"/>
                <w:sz w:val="21"/>
                <w:szCs w:val="21"/>
                <w:highlight w:val="none"/>
                <w:lang w:eastAsia="zh-CN"/>
              </w:rPr>
              <w:t>树脂</w:t>
            </w:r>
          </w:p>
        </w:tc>
        <w:tc>
          <w:tcPr>
            <w:tcW w:w="1578" w:type="dxa"/>
            <w:vAlign w:val="center"/>
          </w:tcPr>
          <w:p w14:paraId="76059675">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酚醛环氧树脂</w:t>
            </w:r>
          </w:p>
        </w:tc>
        <w:tc>
          <w:tcPr>
            <w:tcW w:w="1555" w:type="dxa"/>
            <w:vMerge w:val="continue"/>
            <w:vAlign w:val="center"/>
          </w:tcPr>
          <w:p w14:paraId="18A44969">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AA5C56D">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539E7A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12.43</w:t>
            </w:r>
          </w:p>
        </w:tc>
      </w:tr>
      <w:tr w14:paraId="24B18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39AA572D">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0D7162C4">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40974F5B">
            <w:pPr>
              <w:pStyle w:val="236"/>
              <w:ind w:left="-105" w:right="-105"/>
              <w:jc w:val="center"/>
              <w:rPr>
                <w:rFonts w:ascii="Times New Roman" w:hAnsi="Times New Roman" w:cs="Times New Roman"/>
                <w:bCs/>
                <w:color w:val="auto"/>
                <w:kern w:val="2"/>
                <w:sz w:val="21"/>
                <w:szCs w:val="21"/>
                <w:highlight w:val="none"/>
              </w:rPr>
            </w:pPr>
          </w:p>
        </w:tc>
        <w:tc>
          <w:tcPr>
            <w:tcW w:w="1578" w:type="dxa"/>
            <w:vAlign w:val="center"/>
          </w:tcPr>
          <w:p w14:paraId="71DD2825">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5"/>
                <w:sz w:val="21"/>
                <w:szCs w:val="21"/>
                <w:highlight w:val="none"/>
              </w:rPr>
              <w:t>丙烯酸</w:t>
            </w:r>
          </w:p>
        </w:tc>
        <w:tc>
          <w:tcPr>
            <w:tcW w:w="1555" w:type="dxa"/>
            <w:vMerge w:val="continue"/>
            <w:vAlign w:val="center"/>
          </w:tcPr>
          <w:p w14:paraId="17F10C5D">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1254AABB">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2A4D813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15.82</w:t>
            </w:r>
          </w:p>
        </w:tc>
      </w:tr>
      <w:tr w14:paraId="7E7D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7C55A451">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3297F975">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2EE42B68">
            <w:pPr>
              <w:pStyle w:val="236"/>
              <w:ind w:left="-105" w:right="-105"/>
              <w:jc w:val="center"/>
              <w:rPr>
                <w:rFonts w:ascii="Times New Roman" w:hAnsi="Times New Roman" w:cs="Times New Roman"/>
                <w:bCs/>
                <w:color w:val="auto"/>
                <w:kern w:val="2"/>
                <w:sz w:val="21"/>
                <w:szCs w:val="21"/>
                <w:highlight w:val="none"/>
              </w:rPr>
            </w:pPr>
          </w:p>
        </w:tc>
        <w:tc>
          <w:tcPr>
            <w:tcW w:w="1578" w:type="dxa"/>
            <w:vAlign w:val="center"/>
          </w:tcPr>
          <w:p w14:paraId="4863298D">
            <w:pPr>
              <w:pStyle w:val="236"/>
              <w:ind w:left="-105" w:right="-105"/>
              <w:jc w:val="center"/>
              <w:rPr>
                <w:rFonts w:ascii="Times New Roman" w:hAnsi="Times New Roman" w:eastAsia="宋体" w:cs="Times New Roman"/>
                <w:color w:val="auto"/>
                <w:sz w:val="21"/>
                <w:szCs w:val="21"/>
                <w:highlight w:val="none"/>
                <w:lang w:eastAsia="zh-CN" w:bidi="ar"/>
              </w:rPr>
            </w:pPr>
            <w:r>
              <w:rPr>
                <w:rFonts w:ascii="Times New Roman" w:hAnsi="Times New Roman" w:eastAsia="宋体" w:cs="Times New Roman"/>
                <w:color w:val="auto"/>
                <w:sz w:val="21"/>
                <w:szCs w:val="21"/>
                <w:highlight w:val="none"/>
                <w:lang w:eastAsia="zh-CN"/>
              </w:rPr>
              <w:t>2-乙二醇单乙醚醋酸酯（溶剂）</w:t>
            </w:r>
          </w:p>
        </w:tc>
        <w:tc>
          <w:tcPr>
            <w:tcW w:w="1555" w:type="dxa"/>
            <w:vMerge w:val="continue"/>
            <w:vAlign w:val="center"/>
          </w:tcPr>
          <w:p w14:paraId="4C8138B4">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DB5B1C9">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5D5380B6">
            <w:pPr>
              <w:ind w:left="-105" w:right="-105"/>
              <w:jc w:val="center"/>
              <w:rPr>
                <w:rFonts w:ascii="Times New Roman" w:hAnsi="Times New Roman" w:cs="Times New Roman"/>
                <w:color w:val="auto"/>
                <w:spacing w:val="-1"/>
                <w:sz w:val="21"/>
                <w:szCs w:val="21"/>
                <w:highlight w:val="none"/>
              </w:rPr>
            </w:pPr>
            <w:r>
              <w:rPr>
                <w:rFonts w:hint="eastAsia" w:ascii="Times New Roman" w:hAnsi="Times New Roman" w:cs="Times New Roman"/>
                <w:color w:val="auto"/>
                <w:spacing w:val="-1"/>
                <w:sz w:val="21"/>
                <w:szCs w:val="21"/>
                <w:highlight w:val="none"/>
              </w:rPr>
              <w:t>22.12</w:t>
            </w:r>
          </w:p>
        </w:tc>
      </w:tr>
      <w:tr w14:paraId="0294C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01D73917">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39A1B715">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70917084">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4840C5A2">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7"/>
                <w:sz w:val="21"/>
                <w:szCs w:val="21"/>
                <w:highlight w:val="none"/>
              </w:rPr>
              <w:t>重溶剂油（溶剂）</w:t>
            </w:r>
          </w:p>
        </w:tc>
        <w:tc>
          <w:tcPr>
            <w:tcW w:w="1555" w:type="dxa"/>
            <w:vMerge w:val="continue"/>
            <w:vAlign w:val="center"/>
          </w:tcPr>
          <w:p w14:paraId="70701668">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FC065B3">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2D1C330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10.50</w:t>
            </w:r>
          </w:p>
        </w:tc>
      </w:tr>
      <w:tr w14:paraId="228C0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0E67C02A">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832F849">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78AC33DD">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6E5C5A91">
            <w:pPr>
              <w:pStyle w:val="236"/>
              <w:ind w:left="-105" w:right="-105"/>
              <w:jc w:val="center"/>
              <w:rPr>
                <w:rFonts w:ascii="Times New Roman" w:hAnsi="Times New Roman" w:eastAsia="宋体" w:cs="Times New Roman"/>
                <w:color w:val="auto"/>
                <w:sz w:val="21"/>
                <w:szCs w:val="21"/>
                <w:highlight w:val="none"/>
                <w:lang w:eastAsia="zh-CN" w:bidi="ar"/>
              </w:rPr>
            </w:pPr>
            <w:r>
              <w:rPr>
                <w:rFonts w:ascii="Times New Roman" w:hAnsi="Times New Roman" w:eastAsia="宋体" w:cs="Times New Roman"/>
                <w:color w:val="auto"/>
                <w:spacing w:val="7"/>
                <w:sz w:val="21"/>
                <w:szCs w:val="21"/>
                <w:highlight w:val="none"/>
                <w:lang w:eastAsia="zh-CN"/>
              </w:rPr>
              <w:t>2-甲基对苯二酚</w:t>
            </w:r>
            <w:r>
              <w:rPr>
                <w:rFonts w:ascii="Times New Roman" w:hAnsi="Times New Roman" w:eastAsia="宋体" w:cs="Times New Roman"/>
                <w:color w:val="auto"/>
                <w:spacing w:val="4"/>
                <w:sz w:val="21"/>
                <w:szCs w:val="21"/>
                <w:highlight w:val="none"/>
                <w:lang w:eastAsia="zh-CN"/>
              </w:rPr>
              <w:t>（聚合阻止剂）</w:t>
            </w:r>
          </w:p>
        </w:tc>
        <w:tc>
          <w:tcPr>
            <w:tcW w:w="1555" w:type="dxa"/>
            <w:vMerge w:val="continue"/>
            <w:vAlign w:val="center"/>
          </w:tcPr>
          <w:p w14:paraId="67063060">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3868FF34">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7C273C6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0.0101</w:t>
            </w:r>
          </w:p>
        </w:tc>
      </w:tr>
      <w:tr w14:paraId="0E270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2F7994A1">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00551BF5">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40CA127A">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0088FE84">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8"/>
                <w:sz w:val="21"/>
                <w:szCs w:val="21"/>
                <w:highlight w:val="none"/>
              </w:rPr>
              <w:t>三苯基膦（催化</w:t>
            </w:r>
            <w:r>
              <w:rPr>
                <w:rFonts w:ascii="Times New Roman" w:hAnsi="Times New Roman" w:eastAsia="宋体" w:cs="Times New Roman"/>
                <w:color w:val="auto"/>
                <w:sz w:val="21"/>
                <w:szCs w:val="21"/>
                <w:highlight w:val="none"/>
              </w:rPr>
              <w:t>剂）</w:t>
            </w:r>
          </w:p>
        </w:tc>
        <w:tc>
          <w:tcPr>
            <w:tcW w:w="1555" w:type="dxa"/>
            <w:vMerge w:val="continue"/>
            <w:vAlign w:val="center"/>
          </w:tcPr>
          <w:p w14:paraId="78B67765">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4E97787B">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0E682A3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2"/>
                <w:sz w:val="21"/>
                <w:szCs w:val="21"/>
                <w:highlight w:val="none"/>
              </w:rPr>
              <w:t>1.01</w:t>
            </w:r>
          </w:p>
        </w:tc>
      </w:tr>
      <w:tr w14:paraId="55D06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6882FA81">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DDA1ED6">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5B78CB29">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59FD2DA2">
            <w:pPr>
              <w:pStyle w:val="236"/>
              <w:ind w:left="-105" w:right="-105"/>
              <w:jc w:val="center"/>
              <w:rPr>
                <w:rFonts w:ascii="Times New Roman" w:hAnsi="Times New Roman" w:eastAsia="宋体" w:cs="Times New Roman"/>
                <w:color w:val="auto"/>
                <w:sz w:val="21"/>
                <w:szCs w:val="21"/>
                <w:highlight w:val="none"/>
                <w:lang w:eastAsia="zh-CN" w:bidi="ar"/>
              </w:rPr>
            </w:pPr>
            <w:r>
              <w:rPr>
                <w:rFonts w:ascii="Times New Roman" w:hAnsi="Times New Roman" w:eastAsia="宋体" w:cs="Times New Roman"/>
                <w:color w:val="auto"/>
                <w:sz w:val="21"/>
                <w:szCs w:val="21"/>
                <w:highlight w:val="none"/>
                <w:lang w:eastAsia="zh-CN"/>
              </w:rPr>
              <w:t>2、6-二叔丁基对甲</w:t>
            </w:r>
            <w:r>
              <w:rPr>
                <w:rFonts w:ascii="Times New Roman" w:hAnsi="Times New Roman" w:eastAsia="宋体" w:cs="Times New Roman"/>
                <w:color w:val="auto"/>
                <w:spacing w:val="8"/>
                <w:sz w:val="21"/>
                <w:szCs w:val="21"/>
                <w:highlight w:val="none"/>
                <w:lang w:eastAsia="zh-CN"/>
              </w:rPr>
              <w:t>基苯酚（聚合阻止</w:t>
            </w:r>
            <w:r>
              <w:rPr>
                <w:rFonts w:ascii="Times New Roman" w:hAnsi="Times New Roman" w:eastAsia="宋体" w:cs="Times New Roman"/>
                <w:color w:val="auto"/>
                <w:sz w:val="21"/>
                <w:szCs w:val="21"/>
                <w:highlight w:val="none"/>
                <w:lang w:eastAsia="zh-CN"/>
              </w:rPr>
              <w:t>剂）</w:t>
            </w:r>
          </w:p>
        </w:tc>
        <w:tc>
          <w:tcPr>
            <w:tcW w:w="1555" w:type="dxa"/>
            <w:vMerge w:val="continue"/>
            <w:vAlign w:val="center"/>
          </w:tcPr>
          <w:p w14:paraId="3198A837">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759E392">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DD9110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2"/>
                <w:sz w:val="21"/>
                <w:szCs w:val="21"/>
                <w:highlight w:val="none"/>
              </w:rPr>
              <w:t>1.01</w:t>
            </w:r>
          </w:p>
        </w:tc>
      </w:tr>
      <w:tr w14:paraId="47853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2C908DFF">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0069A9B">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3CA7F88A">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3ED6C307">
            <w:pPr>
              <w:pStyle w:val="236"/>
              <w:ind w:left="-105" w:right="-105"/>
              <w:jc w:val="center"/>
              <w:rPr>
                <w:rFonts w:ascii="Times New Roman" w:hAnsi="Times New Roman" w:eastAsia="宋体" w:cs="Times New Roman"/>
                <w:color w:val="auto"/>
                <w:sz w:val="21"/>
                <w:szCs w:val="21"/>
                <w:highlight w:val="none"/>
                <w:lang w:bidi="ar"/>
              </w:rPr>
            </w:pPr>
            <w:r>
              <w:rPr>
                <w:rFonts w:ascii="Times New Roman" w:hAnsi="Times New Roman" w:eastAsia="宋体" w:cs="Times New Roman"/>
                <w:color w:val="auto"/>
                <w:spacing w:val="5"/>
                <w:sz w:val="21"/>
                <w:szCs w:val="21"/>
                <w:highlight w:val="none"/>
              </w:rPr>
              <w:t>四氢化邻苯二甲</w:t>
            </w:r>
            <w:r>
              <w:rPr>
                <w:rFonts w:ascii="Times New Roman" w:hAnsi="Times New Roman" w:eastAsia="宋体" w:cs="Times New Roman"/>
                <w:color w:val="auto"/>
                <w:spacing w:val="4"/>
                <w:sz w:val="21"/>
                <w:szCs w:val="21"/>
                <w:highlight w:val="none"/>
              </w:rPr>
              <w:t>酸酐</w:t>
            </w:r>
          </w:p>
        </w:tc>
        <w:tc>
          <w:tcPr>
            <w:tcW w:w="1555" w:type="dxa"/>
            <w:vMerge w:val="continue"/>
            <w:vAlign w:val="center"/>
          </w:tcPr>
          <w:p w14:paraId="4CDAAB5C">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3D62635D">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E65404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2"/>
                <w:sz w:val="21"/>
                <w:szCs w:val="21"/>
                <w:highlight w:val="none"/>
              </w:rPr>
              <w:t>11.12</w:t>
            </w:r>
          </w:p>
        </w:tc>
      </w:tr>
      <w:tr w14:paraId="5F1B5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151D48A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1160952C">
            <w:pPr>
              <w:widowControl w:val="0"/>
              <w:ind w:left="-105" w:right="-105"/>
              <w:jc w:val="center"/>
              <w:rPr>
                <w:rFonts w:ascii="Times New Roman" w:hAnsi="Times New Roman" w:cs="Times New Roman"/>
                <w:bCs/>
                <w:color w:val="auto"/>
                <w:kern w:val="2"/>
                <w:sz w:val="21"/>
                <w:szCs w:val="21"/>
                <w:highlight w:val="none"/>
              </w:rPr>
            </w:pPr>
          </w:p>
        </w:tc>
        <w:tc>
          <w:tcPr>
            <w:tcW w:w="772" w:type="dxa"/>
            <w:vMerge w:val="restart"/>
            <w:vAlign w:val="center"/>
          </w:tcPr>
          <w:p w14:paraId="1AE2A9A4">
            <w:pPr>
              <w:ind w:left="-105" w:right="-105"/>
              <w:jc w:val="center"/>
              <w:textAlignment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剥离液</w:t>
            </w:r>
          </w:p>
        </w:tc>
        <w:tc>
          <w:tcPr>
            <w:tcW w:w="1578" w:type="dxa"/>
            <w:vAlign w:val="center"/>
          </w:tcPr>
          <w:p w14:paraId="00776786">
            <w:pPr>
              <w:ind w:left="-105" w:right="-105"/>
              <w:jc w:val="center"/>
              <w:textAlignment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二甲基亚砜</w:t>
            </w:r>
          </w:p>
        </w:tc>
        <w:tc>
          <w:tcPr>
            <w:tcW w:w="1555" w:type="dxa"/>
            <w:vMerge w:val="continue"/>
            <w:vAlign w:val="center"/>
          </w:tcPr>
          <w:p w14:paraId="1A03D929">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99C185B">
            <w:pPr>
              <w:widowControl w:val="0"/>
              <w:ind w:left="-105" w:right="-105"/>
              <w:jc w:val="center"/>
              <w:rPr>
                <w:rFonts w:ascii="Times New Roman" w:hAnsi="Times New Roman" w:cs="Times New Roman"/>
                <w:bCs/>
                <w:color w:val="auto"/>
                <w:sz w:val="21"/>
                <w:szCs w:val="18"/>
                <w:highlight w:val="none"/>
              </w:rPr>
            </w:pPr>
          </w:p>
        </w:tc>
        <w:tc>
          <w:tcPr>
            <w:tcW w:w="1846" w:type="dxa"/>
            <w:vAlign w:val="center"/>
          </w:tcPr>
          <w:p w14:paraId="6805054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33.58</w:t>
            </w:r>
          </w:p>
        </w:tc>
      </w:tr>
      <w:tr w14:paraId="04BC8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57CDA1C6">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3A814A61">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302B57E2">
            <w:pPr>
              <w:ind w:left="-105" w:right="-105"/>
              <w:jc w:val="center"/>
              <w:textAlignment w:val="center"/>
              <w:rPr>
                <w:rFonts w:ascii="Times New Roman" w:hAnsi="Times New Roman" w:cs="Times New Roman"/>
                <w:bCs/>
                <w:color w:val="auto"/>
                <w:kern w:val="2"/>
                <w:sz w:val="21"/>
                <w:szCs w:val="21"/>
                <w:highlight w:val="none"/>
              </w:rPr>
            </w:pPr>
          </w:p>
        </w:tc>
        <w:tc>
          <w:tcPr>
            <w:tcW w:w="1578" w:type="dxa"/>
            <w:vAlign w:val="center"/>
          </w:tcPr>
          <w:p w14:paraId="472B2F21">
            <w:pPr>
              <w:ind w:left="-105" w:right="-105"/>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N-甲基吡咯烷酮</w:t>
            </w:r>
          </w:p>
        </w:tc>
        <w:tc>
          <w:tcPr>
            <w:tcW w:w="1555" w:type="dxa"/>
            <w:vMerge w:val="continue"/>
            <w:vAlign w:val="center"/>
          </w:tcPr>
          <w:p w14:paraId="5CAAAEFC">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6E4E3A0E">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69737549">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24</w:t>
            </w:r>
          </w:p>
        </w:tc>
      </w:tr>
      <w:tr w14:paraId="081D9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411C261B">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611A5A0E">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599D233F">
            <w:pPr>
              <w:ind w:left="-105" w:right="-105"/>
              <w:jc w:val="center"/>
              <w:textAlignment w:val="center"/>
              <w:rPr>
                <w:rFonts w:ascii="Times New Roman" w:hAnsi="Times New Roman" w:cs="Times New Roman"/>
                <w:bCs/>
                <w:color w:val="auto"/>
                <w:kern w:val="2"/>
                <w:sz w:val="21"/>
                <w:szCs w:val="21"/>
                <w:highlight w:val="none"/>
              </w:rPr>
            </w:pPr>
          </w:p>
        </w:tc>
        <w:tc>
          <w:tcPr>
            <w:tcW w:w="1578" w:type="dxa"/>
            <w:vAlign w:val="center"/>
          </w:tcPr>
          <w:p w14:paraId="0C3B2C47">
            <w:pPr>
              <w:ind w:left="-105" w:right="-105"/>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四甲基氢氧化铵</w:t>
            </w:r>
          </w:p>
        </w:tc>
        <w:tc>
          <w:tcPr>
            <w:tcW w:w="1555" w:type="dxa"/>
            <w:vMerge w:val="continue"/>
            <w:vAlign w:val="center"/>
          </w:tcPr>
          <w:p w14:paraId="20C441D1">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F32B1D2">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1C44D4FB">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1.02</w:t>
            </w:r>
          </w:p>
        </w:tc>
      </w:tr>
      <w:tr w14:paraId="30F6F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5BC8C299">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DE063BC">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4D909951">
            <w:pPr>
              <w:ind w:left="-105" w:right="-105"/>
              <w:jc w:val="center"/>
              <w:textAlignment w:val="center"/>
              <w:rPr>
                <w:rFonts w:ascii="Times New Roman" w:hAnsi="Times New Roman" w:cs="Times New Roman"/>
                <w:bCs/>
                <w:color w:val="auto"/>
                <w:kern w:val="2"/>
                <w:sz w:val="21"/>
                <w:szCs w:val="21"/>
                <w:highlight w:val="none"/>
              </w:rPr>
            </w:pPr>
          </w:p>
        </w:tc>
        <w:tc>
          <w:tcPr>
            <w:tcW w:w="1578" w:type="dxa"/>
            <w:vAlign w:val="center"/>
          </w:tcPr>
          <w:p w14:paraId="5D863FA9">
            <w:pPr>
              <w:ind w:left="-105" w:right="-105"/>
              <w:jc w:val="center"/>
              <w:textAlignment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lang w:bidi="ar"/>
              </w:rPr>
              <w:t>2-甲氨基乙醇</w:t>
            </w:r>
          </w:p>
        </w:tc>
        <w:tc>
          <w:tcPr>
            <w:tcW w:w="1555" w:type="dxa"/>
            <w:vMerge w:val="continue"/>
            <w:vAlign w:val="center"/>
          </w:tcPr>
          <w:p w14:paraId="2C8A14EB">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5EC0458E">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058B51D4">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2</w:t>
            </w:r>
          </w:p>
        </w:tc>
      </w:tr>
      <w:tr w14:paraId="51FE7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7979FFD4">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5BF82537">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1E24C740">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5DBD7391">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邻苯二酚</w:t>
            </w:r>
          </w:p>
        </w:tc>
        <w:tc>
          <w:tcPr>
            <w:tcW w:w="1555" w:type="dxa"/>
            <w:vMerge w:val="continue"/>
            <w:vAlign w:val="center"/>
          </w:tcPr>
          <w:p w14:paraId="6FCCBF56">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0E20F05">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108B78E5">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0.5</w:t>
            </w:r>
          </w:p>
        </w:tc>
      </w:tr>
      <w:tr w14:paraId="197D4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Merge w:val="continue"/>
            <w:vAlign w:val="center"/>
          </w:tcPr>
          <w:p w14:paraId="293B0452">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6A7EE205">
            <w:pPr>
              <w:widowControl w:val="0"/>
              <w:ind w:left="-105" w:right="-105"/>
              <w:jc w:val="center"/>
              <w:rPr>
                <w:rFonts w:ascii="Times New Roman" w:hAnsi="Times New Roman" w:cs="Times New Roman"/>
                <w:bCs/>
                <w:color w:val="auto"/>
                <w:kern w:val="2"/>
                <w:sz w:val="21"/>
                <w:szCs w:val="21"/>
                <w:highlight w:val="none"/>
              </w:rPr>
            </w:pPr>
          </w:p>
        </w:tc>
        <w:tc>
          <w:tcPr>
            <w:tcW w:w="772" w:type="dxa"/>
            <w:vMerge w:val="continue"/>
            <w:vAlign w:val="center"/>
          </w:tcPr>
          <w:p w14:paraId="4EE9876D">
            <w:pPr>
              <w:ind w:left="-105" w:right="-105"/>
              <w:jc w:val="center"/>
              <w:rPr>
                <w:rFonts w:ascii="Times New Roman" w:hAnsi="Times New Roman" w:cs="Times New Roman"/>
                <w:bCs/>
                <w:color w:val="auto"/>
                <w:kern w:val="2"/>
                <w:sz w:val="21"/>
                <w:szCs w:val="21"/>
                <w:highlight w:val="none"/>
              </w:rPr>
            </w:pPr>
          </w:p>
        </w:tc>
        <w:tc>
          <w:tcPr>
            <w:tcW w:w="1578" w:type="dxa"/>
            <w:vAlign w:val="center"/>
          </w:tcPr>
          <w:p w14:paraId="685BEC85">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乙醇胺</w:t>
            </w:r>
          </w:p>
        </w:tc>
        <w:tc>
          <w:tcPr>
            <w:tcW w:w="1555" w:type="dxa"/>
            <w:vMerge w:val="continue"/>
            <w:vAlign w:val="center"/>
          </w:tcPr>
          <w:p w14:paraId="5A4928FD">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22D283ED">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4C1BF834">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4</w:t>
            </w:r>
          </w:p>
        </w:tc>
      </w:tr>
      <w:tr w14:paraId="796F1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489BD7B1">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Align w:val="center"/>
          </w:tcPr>
          <w:p w14:paraId="57C9182C">
            <w:pPr>
              <w:widowControl w:val="0"/>
              <w:ind w:left="-105" w:right="-105"/>
              <w:jc w:val="center"/>
              <w:rPr>
                <w:rFonts w:hint="eastAsia" w:ascii="Times New Roman" w:hAnsi="Times New Roman" w:eastAsia="宋体"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防爆间</w:t>
            </w:r>
          </w:p>
        </w:tc>
        <w:tc>
          <w:tcPr>
            <w:tcW w:w="2350" w:type="dxa"/>
            <w:gridSpan w:val="2"/>
            <w:vAlign w:val="center"/>
          </w:tcPr>
          <w:p w14:paraId="70BDA021">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硝酸</w:t>
            </w:r>
            <w:r>
              <w:rPr>
                <w:rFonts w:hint="eastAsia" w:ascii="Times New Roman" w:hAnsi="Times New Roman" w:cs="Times New Roman"/>
                <w:color w:val="auto"/>
                <w:sz w:val="21"/>
                <w:szCs w:val="21"/>
                <w:highlight w:val="none"/>
              </w:rPr>
              <w:t>（55%）</w:t>
            </w:r>
          </w:p>
        </w:tc>
        <w:tc>
          <w:tcPr>
            <w:tcW w:w="1555" w:type="dxa"/>
            <w:vAlign w:val="center"/>
          </w:tcPr>
          <w:p w14:paraId="51C3E521">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w:t>
            </w:r>
          </w:p>
        </w:tc>
        <w:tc>
          <w:tcPr>
            <w:tcW w:w="1530" w:type="dxa"/>
            <w:vAlign w:val="center"/>
          </w:tcPr>
          <w:p w14:paraId="2C275115">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w:t>
            </w:r>
            <w:r>
              <w:rPr>
                <w:rFonts w:ascii="Times New Roman" w:hAnsi="Times New Roman" w:cs="Times New Roman"/>
                <w:bCs/>
                <w:color w:val="auto"/>
                <w:sz w:val="21"/>
                <w:szCs w:val="18"/>
                <w:highlight w:val="none"/>
              </w:rPr>
              <w:t>、火灾</w:t>
            </w:r>
            <w:r>
              <w:rPr>
                <w:rFonts w:hint="eastAsia" w:ascii="Times New Roman" w:hAnsi="Times New Roman" w:cs="Times New Roman"/>
                <w:bCs/>
                <w:color w:val="auto"/>
                <w:sz w:val="21"/>
                <w:szCs w:val="18"/>
                <w:highlight w:val="none"/>
              </w:rPr>
              <w:t>、爆炸</w:t>
            </w:r>
          </w:p>
        </w:tc>
        <w:tc>
          <w:tcPr>
            <w:tcW w:w="1846" w:type="dxa"/>
            <w:vAlign w:val="center"/>
          </w:tcPr>
          <w:p w14:paraId="6AB40A82">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0.003</w:t>
            </w:r>
          </w:p>
        </w:tc>
      </w:tr>
      <w:tr w14:paraId="28C1B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09B51D97">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restart"/>
            <w:vAlign w:val="center"/>
          </w:tcPr>
          <w:p w14:paraId="26A39E7F">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化学试剂柜</w:t>
            </w:r>
          </w:p>
        </w:tc>
        <w:tc>
          <w:tcPr>
            <w:tcW w:w="2350" w:type="dxa"/>
            <w:gridSpan w:val="2"/>
            <w:vAlign w:val="center"/>
          </w:tcPr>
          <w:p w14:paraId="713DBC2F">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甲醇</w:t>
            </w:r>
          </w:p>
        </w:tc>
        <w:tc>
          <w:tcPr>
            <w:tcW w:w="1555" w:type="dxa"/>
            <w:vMerge w:val="restart"/>
            <w:vAlign w:val="center"/>
          </w:tcPr>
          <w:p w14:paraId="6F0D56B2">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w:t>
            </w:r>
          </w:p>
        </w:tc>
        <w:tc>
          <w:tcPr>
            <w:tcW w:w="1530" w:type="dxa"/>
            <w:vMerge w:val="restart"/>
            <w:vAlign w:val="center"/>
          </w:tcPr>
          <w:p w14:paraId="29322BD9">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w:t>
            </w:r>
            <w:r>
              <w:rPr>
                <w:rFonts w:ascii="Times New Roman" w:hAnsi="Times New Roman" w:cs="Times New Roman"/>
                <w:bCs/>
                <w:color w:val="auto"/>
                <w:sz w:val="21"/>
                <w:szCs w:val="18"/>
                <w:highlight w:val="none"/>
              </w:rPr>
              <w:t>、火灾</w:t>
            </w:r>
          </w:p>
        </w:tc>
        <w:tc>
          <w:tcPr>
            <w:tcW w:w="1846" w:type="dxa"/>
            <w:vAlign w:val="center"/>
          </w:tcPr>
          <w:p w14:paraId="06B2B94E">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0.001</w:t>
            </w:r>
          </w:p>
        </w:tc>
      </w:tr>
      <w:tr w14:paraId="70CE3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3B1E129B">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09282F86">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155F36A9">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卡尔费休试剂</w:t>
            </w:r>
          </w:p>
        </w:tc>
        <w:tc>
          <w:tcPr>
            <w:tcW w:w="1555" w:type="dxa"/>
            <w:vMerge w:val="continue"/>
            <w:vAlign w:val="center"/>
          </w:tcPr>
          <w:p w14:paraId="1967E616">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5A4F02FB">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5DFB8EAB">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0.0005</w:t>
            </w:r>
          </w:p>
        </w:tc>
      </w:tr>
      <w:tr w14:paraId="4A3E9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0E33B15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7B514D36">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320C81A4">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z w:val="21"/>
                <w:szCs w:val="21"/>
                <w:highlight w:val="none"/>
              </w:rPr>
              <w:t>异丙醇</w:t>
            </w:r>
          </w:p>
        </w:tc>
        <w:tc>
          <w:tcPr>
            <w:tcW w:w="1555" w:type="dxa"/>
            <w:vMerge w:val="continue"/>
            <w:vAlign w:val="center"/>
          </w:tcPr>
          <w:p w14:paraId="54405DD6">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0F9E62C8">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67D300F2">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0.001</w:t>
            </w:r>
          </w:p>
        </w:tc>
      </w:tr>
      <w:tr w14:paraId="19A17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0F605A56">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restart"/>
            <w:vAlign w:val="center"/>
          </w:tcPr>
          <w:p w14:paraId="4DBB774C">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成品</w:t>
            </w:r>
            <w:r>
              <w:rPr>
                <w:rFonts w:hint="eastAsia" w:ascii="Times New Roman" w:hAnsi="Times New Roman" w:cs="Times New Roman"/>
                <w:bCs/>
                <w:color w:val="auto"/>
                <w:kern w:val="2"/>
                <w:sz w:val="21"/>
                <w:szCs w:val="21"/>
                <w:highlight w:val="none"/>
                <w:lang w:val="en-US" w:eastAsia="zh-CN"/>
              </w:rPr>
              <w:t>仓</w:t>
            </w:r>
            <w:r>
              <w:rPr>
                <w:rFonts w:hint="eastAsia" w:ascii="Times New Roman" w:hAnsi="Times New Roman" w:cs="Times New Roman"/>
                <w:bCs/>
                <w:color w:val="auto"/>
                <w:kern w:val="2"/>
                <w:sz w:val="21"/>
                <w:szCs w:val="21"/>
                <w:highlight w:val="none"/>
              </w:rPr>
              <w:t>库</w:t>
            </w:r>
          </w:p>
        </w:tc>
        <w:tc>
          <w:tcPr>
            <w:tcW w:w="2350" w:type="dxa"/>
            <w:gridSpan w:val="2"/>
            <w:vAlign w:val="center"/>
          </w:tcPr>
          <w:p w14:paraId="34EECD98">
            <w:pPr>
              <w:pStyle w:val="236"/>
              <w:ind w:left="-105" w:right="-105"/>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聚氨酯丙烯酸酯</w:t>
            </w:r>
          </w:p>
        </w:tc>
        <w:tc>
          <w:tcPr>
            <w:tcW w:w="1555" w:type="dxa"/>
            <w:vMerge w:val="restart"/>
            <w:vAlign w:val="center"/>
          </w:tcPr>
          <w:p w14:paraId="5BCB0D44">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w:t>
            </w:r>
          </w:p>
        </w:tc>
        <w:tc>
          <w:tcPr>
            <w:tcW w:w="1530" w:type="dxa"/>
            <w:vMerge w:val="restart"/>
            <w:vAlign w:val="center"/>
          </w:tcPr>
          <w:p w14:paraId="0277DD48">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w:t>
            </w:r>
            <w:r>
              <w:rPr>
                <w:rFonts w:ascii="Times New Roman" w:hAnsi="Times New Roman" w:cs="Times New Roman"/>
                <w:bCs/>
                <w:color w:val="auto"/>
                <w:sz w:val="21"/>
                <w:szCs w:val="18"/>
                <w:highlight w:val="none"/>
              </w:rPr>
              <w:t>、火灾</w:t>
            </w:r>
          </w:p>
        </w:tc>
        <w:tc>
          <w:tcPr>
            <w:tcW w:w="1846" w:type="dxa"/>
            <w:vAlign w:val="center"/>
          </w:tcPr>
          <w:p w14:paraId="7B5EA36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72</w:t>
            </w:r>
          </w:p>
        </w:tc>
      </w:tr>
      <w:tr w14:paraId="63527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734C1FB9">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555CD6DE">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06699A2D">
            <w:pPr>
              <w:pStyle w:val="236"/>
              <w:ind w:left="-105" w:right="-105"/>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丙烯酸酯组成物</w:t>
            </w:r>
          </w:p>
        </w:tc>
        <w:tc>
          <w:tcPr>
            <w:tcW w:w="1555" w:type="dxa"/>
            <w:vMerge w:val="continue"/>
            <w:vAlign w:val="center"/>
          </w:tcPr>
          <w:p w14:paraId="66624111">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64C07E98">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29532BB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144</w:t>
            </w:r>
          </w:p>
        </w:tc>
      </w:tr>
      <w:tr w14:paraId="7B699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1E504982">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2F40125C">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57CCF534">
            <w:pPr>
              <w:pStyle w:val="236"/>
              <w:ind w:left="-105" w:right="-105"/>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8"/>
                <w:sz w:val="21"/>
                <w:szCs w:val="21"/>
                <w:highlight w:val="none"/>
              </w:rPr>
              <w:t>环氧丙烯酸树脂</w:t>
            </w:r>
          </w:p>
        </w:tc>
        <w:tc>
          <w:tcPr>
            <w:tcW w:w="1555" w:type="dxa"/>
            <w:vMerge w:val="continue"/>
            <w:vAlign w:val="center"/>
          </w:tcPr>
          <w:p w14:paraId="39A35D70">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5EC53E41">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327BFE4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45</w:t>
            </w:r>
          </w:p>
        </w:tc>
      </w:tr>
      <w:tr w14:paraId="5360F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2AD2EE26">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388E9AE7">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1B064076">
            <w:pPr>
              <w:pStyle w:val="236"/>
              <w:ind w:left="-105" w:right="-105"/>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8"/>
                <w:sz w:val="21"/>
                <w:szCs w:val="21"/>
                <w:highlight w:val="none"/>
                <w:lang w:eastAsia="zh-CN"/>
              </w:rPr>
              <w:t>剥离液</w:t>
            </w:r>
          </w:p>
        </w:tc>
        <w:tc>
          <w:tcPr>
            <w:tcW w:w="1555" w:type="dxa"/>
            <w:vMerge w:val="continue"/>
            <w:vAlign w:val="center"/>
          </w:tcPr>
          <w:p w14:paraId="094F2561">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0F49B33">
            <w:pPr>
              <w:widowControl w:val="0"/>
              <w:ind w:left="-105" w:right="-105"/>
              <w:jc w:val="both"/>
              <w:rPr>
                <w:rFonts w:ascii="Times New Roman" w:hAnsi="Times New Roman" w:cs="Times New Roman"/>
                <w:bCs/>
                <w:color w:val="auto"/>
                <w:kern w:val="2"/>
                <w:sz w:val="21"/>
                <w:szCs w:val="21"/>
                <w:highlight w:val="none"/>
              </w:rPr>
            </w:pPr>
          </w:p>
        </w:tc>
        <w:tc>
          <w:tcPr>
            <w:tcW w:w="1846" w:type="dxa"/>
            <w:vAlign w:val="center"/>
          </w:tcPr>
          <w:p w14:paraId="76963623">
            <w:pPr>
              <w:ind w:left="-105" w:right="-105"/>
              <w:jc w:val="center"/>
              <w:rPr>
                <w:rFonts w:ascii="Times New Roman" w:hAnsi="Times New Roman" w:cs="Times New Roman"/>
                <w:color w:val="auto"/>
                <w:spacing w:val="3"/>
                <w:sz w:val="21"/>
                <w:szCs w:val="21"/>
                <w:highlight w:val="none"/>
              </w:rPr>
            </w:pPr>
            <w:r>
              <w:rPr>
                <w:rFonts w:hint="eastAsia" w:ascii="Times New Roman" w:hAnsi="Times New Roman" w:cs="Times New Roman"/>
                <w:color w:val="auto"/>
                <w:spacing w:val="3"/>
                <w:sz w:val="21"/>
                <w:szCs w:val="21"/>
                <w:highlight w:val="none"/>
              </w:rPr>
              <w:t>50</w:t>
            </w:r>
          </w:p>
        </w:tc>
      </w:tr>
      <w:tr w14:paraId="6718A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19091F90">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restart"/>
            <w:vAlign w:val="center"/>
          </w:tcPr>
          <w:p w14:paraId="035627B6">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危废仓库</w:t>
            </w:r>
          </w:p>
        </w:tc>
        <w:tc>
          <w:tcPr>
            <w:tcW w:w="2350" w:type="dxa"/>
            <w:gridSpan w:val="2"/>
            <w:vAlign w:val="center"/>
          </w:tcPr>
          <w:p w14:paraId="2B30AB1D">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8"/>
                <w:sz w:val="21"/>
                <w:szCs w:val="21"/>
                <w:highlight w:val="none"/>
              </w:rPr>
              <w:t>过滤残渣、浸润废料</w:t>
            </w:r>
          </w:p>
        </w:tc>
        <w:tc>
          <w:tcPr>
            <w:tcW w:w="1555" w:type="dxa"/>
            <w:vMerge w:val="restart"/>
            <w:vAlign w:val="center"/>
          </w:tcPr>
          <w:p w14:paraId="1CA6941A">
            <w:pPr>
              <w:pStyle w:val="238"/>
              <w:ind w:left="-105" w:right="-105"/>
              <w:jc w:val="center"/>
              <w:rPr>
                <w:rFonts w:ascii="Times New Roman" w:hAnsi="Times New Roman" w:cs="Times New Roman"/>
                <w:color w:val="auto"/>
                <w:highlight w:val="none"/>
              </w:rPr>
            </w:pPr>
            <w:r>
              <w:rPr>
                <w:rFonts w:ascii="Times New Roman" w:hAnsi="Times New Roman" w:cs="Times New Roman"/>
                <w:bCs/>
                <w:color w:val="auto"/>
                <w:kern w:val="2"/>
                <w:sz w:val="21"/>
                <w:szCs w:val="21"/>
                <w:highlight w:val="none"/>
              </w:rPr>
              <w:t>违规操作、高温、明火</w:t>
            </w:r>
          </w:p>
        </w:tc>
        <w:tc>
          <w:tcPr>
            <w:tcW w:w="1530" w:type="dxa"/>
            <w:vMerge w:val="restart"/>
            <w:vAlign w:val="center"/>
          </w:tcPr>
          <w:p w14:paraId="0623D32B">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18"/>
                <w:highlight w:val="none"/>
              </w:rPr>
              <w:t>泄漏、火灾</w:t>
            </w:r>
          </w:p>
        </w:tc>
        <w:tc>
          <w:tcPr>
            <w:tcW w:w="1846" w:type="dxa"/>
            <w:vAlign w:val="center"/>
          </w:tcPr>
          <w:p w14:paraId="2A4FC7F3">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pacing w:val="1"/>
                <w:sz w:val="21"/>
                <w:szCs w:val="21"/>
                <w:highlight w:val="none"/>
              </w:rPr>
              <w:t>3.4</w:t>
            </w:r>
          </w:p>
        </w:tc>
      </w:tr>
      <w:tr w14:paraId="506FD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51CD812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5F78358B">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7D5E5DAA">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7"/>
                <w:sz w:val="21"/>
                <w:szCs w:val="21"/>
                <w:highlight w:val="none"/>
              </w:rPr>
              <w:t>废滤芯</w:t>
            </w:r>
          </w:p>
        </w:tc>
        <w:tc>
          <w:tcPr>
            <w:tcW w:w="1555" w:type="dxa"/>
            <w:vMerge w:val="continue"/>
            <w:vAlign w:val="center"/>
          </w:tcPr>
          <w:p w14:paraId="008DBE9A">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3A777721">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2FA08D70">
            <w:pPr>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color w:val="auto"/>
                <w:spacing w:val="-3"/>
                <w:sz w:val="21"/>
                <w:szCs w:val="21"/>
                <w:highlight w:val="none"/>
              </w:rPr>
              <w:t>1.25</w:t>
            </w:r>
          </w:p>
        </w:tc>
      </w:tr>
      <w:tr w14:paraId="4EE9F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3F5E5EB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1E133500">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40D71BFB">
            <w:pPr>
              <w:pStyle w:val="236"/>
              <w:ind w:left="-105" w:right="-105"/>
              <w:jc w:val="center"/>
              <w:rPr>
                <w:rFonts w:ascii="Times New Roman" w:hAnsi="Times New Roman" w:cs="Times New Roman"/>
                <w:color w:val="auto"/>
                <w:sz w:val="21"/>
                <w:szCs w:val="21"/>
                <w:highlight w:val="none"/>
              </w:rPr>
            </w:pPr>
            <w:r>
              <w:rPr>
                <w:rFonts w:ascii="Times New Roman" w:hAnsi="Times New Roman" w:eastAsia="宋体" w:cs="Times New Roman"/>
                <w:color w:val="auto"/>
                <w:spacing w:val="7"/>
                <w:sz w:val="21"/>
                <w:szCs w:val="21"/>
                <w:highlight w:val="none"/>
              </w:rPr>
              <w:t>废丁酮</w:t>
            </w:r>
          </w:p>
        </w:tc>
        <w:tc>
          <w:tcPr>
            <w:tcW w:w="1555" w:type="dxa"/>
            <w:vMerge w:val="continue"/>
            <w:vAlign w:val="center"/>
          </w:tcPr>
          <w:p w14:paraId="553055E7">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D1A5339">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1AA3AB9F">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pacing w:val="-1"/>
                <w:sz w:val="21"/>
                <w:szCs w:val="21"/>
                <w:highlight w:val="none"/>
              </w:rPr>
              <w:t>5</w:t>
            </w:r>
          </w:p>
        </w:tc>
      </w:tr>
      <w:tr w14:paraId="07D61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65CC8322">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1A00463">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0F1FBFEA">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7"/>
                <w:sz w:val="21"/>
                <w:szCs w:val="21"/>
                <w:highlight w:val="none"/>
              </w:rPr>
              <w:t>废活性炭</w:t>
            </w:r>
          </w:p>
        </w:tc>
        <w:tc>
          <w:tcPr>
            <w:tcW w:w="1555" w:type="dxa"/>
            <w:vMerge w:val="continue"/>
            <w:vAlign w:val="center"/>
          </w:tcPr>
          <w:p w14:paraId="55835445">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238051EB">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36C504F7">
            <w:pPr>
              <w:ind w:left="-105" w:right="-105"/>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18.4089</w:t>
            </w:r>
          </w:p>
        </w:tc>
      </w:tr>
      <w:tr w14:paraId="31A10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2C53D22E">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E300CBB">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2470EDE1">
            <w:pPr>
              <w:pStyle w:val="236"/>
              <w:ind w:left="-105" w:right="-105"/>
              <w:jc w:val="center"/>
              <w:rPr>
                <w:rFonts w:ascii="Times New Roman" w:hAnsi="Times New Roman" w:cs="Times New Roman"/>
                <w:bCs/>
                <w:color w:val="auto"/>
                <w:kern w:val="2"/>
                <w:sz w:val="21"/>
                <w:szCs w:val="21"/>
                <w:highlight w:val="none"/>
              </w:rPr>
            </w:pPr>
            <w:r>
              <w:rPr>
                <w:rFonts w:hint="eastAsia" w:ascii="Times New Roman" w:hAnsi="Times New Roman" w:eastAsia="宋体" w:cs="Times New Roman"/>
                <w:color w:val="auto"/>
                <w:spacing w:val="7"/>
                <w:sz w:val="21"/>
                <w:szCs w:val="21"/>
                <w:highlight w:val="none"/>
                <w:lang w:eastAsia="zh-CN"/>
              </w:rPr>
              <w:t>废包装桶（</w:t>
            </w:r>
            <w:r>
              <w:rPr>
                <w:rFonts w:hint="eastAsia" w:ascii="Times New Roman" w:hAnsi="Times New Roman" w:eastAsia="宋体" w:cs="Times New Roman"/>
                <w:color w:val="auto"/>
                <w:spacing w:val="7"/>
                <w:sz w:val="21"/>
                <w:szCs w:val="21"/>
                <w:highlight w:val="none"/>
                <w:lang w:val="en-US" w:eastAsia="zh-CN"/>
              </w:rPr>
              <w:t>瓶</w:t>
            </w:r>
            <w:r>
              <w:rPr>
                <w:rFonts w:hint="eastAsia" w:ascii="Times New Roman" w:hAnsi="Times New Roman" w:eastAsia="宋体" w:cs="Times New Roman"/>
                <w:color w:val="auto"/>
                <w:spacing w:val="7"/>
                <w:sz w:val="21"/>
                <w:szCs w:val="21"/>
                <w:highlight w:val="none"/>
                <w:lang w:eastAsia="zh-CN"/>
              </w:rPr>
              <w:t>）</w:t>
            </w:r>
          </w:p>
        </w:tc>
        <w:tc>
          <w:tcPr>
            <w:tcW w:w="1555" w:type="dxa"/>
            <w:vMerge w:val="continue"/>
            <w:vAlign w:val="center"/>
          </w:tcPr>
          <w:p w14:paraId="463CEEEE">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41C340CC">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0A754101">
            <w:pPr>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color w:val="auto"/>
                <w:spacing w:val="2"/>
                <w:sz w:val="21"/>
                <w:szCs w:val="21"/>
                <w:highlight w:val="none"/>
              </w:rPr>
              <w:t>15.35</w:t>
            </w:r>
          </w:p>
        </w:tc>
      </w:tr>
      <w:tr w14:paraId="4AF8E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427CD8AB">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Align w:val="center"/>
          </w:tcPr>
          <w:p w14:paraId="53FD708C">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废液储罐</w:t>
            </w:r>
          </w:p>
        </w:tc>
        <w:tc>
          <w:tcPr>
            <w:tcW w:w="2350" w:type="dxa"/>
            <w:gridSpan w:val="2"/>
            <w:vAlign w:val="center"/>
          </w:tcPr>
          <w:p w14:paraId="5F1753AF">
            <w:pPr>
              <w:pStyle w:val="236"/>
              <w:ind w:left="-105" w:right="-105"/>
              <w:jc w:val="center"/>
              <w:rPr>
                <w:rFonts w:ascii="Times New Roman" w:hAnsi="Times New Roman" w:cs="Times New Roman"/>
                <w:bCs/>
                <w:color w:val="auto"/>
                <w:kern w:val="2"/>
                <w:sz w:val="21"/>
                <w:szCs w:val="21"/>
                <w:highlight w:val="none"/>
              </w:rPr>
            </w:pPr>
            <w:r>
              <w:rPr>
                <w:rFonts w:ascii="Times New Roman" w:hAnsi="Times New Roman" w:eastAsia="宋体" w:cs="Times New Roman"/>
                <w:color w:val="auto"/>
                <w:spacing w:val="5"/>
                <w:sz w:val="21"/>
                <w:szCs w:val="21"/>
                <w:highlight w:val="none"/>
              </w:rPr>
              <w:t>喷淋废液</w:t>
            </w:r>
          </w:p>
        </w:tc>
        <w:tc>
          <w:tcPr>
            <w:tcW w:w="1555" w:type="dxa"/>
            <w:vMerge w:val="continue"/>
            <w:vAlign w:val="center"/>
          </w:tcPr>
          <w:p w14:paraId="0B9AFBE8">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1C1F9D4F">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0413124B">
            <w:pPr>
              <w:ind w:left="-105" w:right="-105"/>
              <w:jc w:val="center"/>
              <w:rPr>
                <w:rFonts w:hint="default" w:ascii="Times New Roman" w:hAnsi="Times New Roman" w:eastAsia="宋体" w:cs="Times New Roman"/>
                <w:bCs/>
                <w:color w:val="auto"/>
                <w:kern w:val="2"/>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r>
      <w:tr w14:paraId="0FCCD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49B1DB25">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restart"/>
            <w:vAlign w:val="center"/>
          </w:tcPr>
          <w:p w14:paraId="2639E952">
            <w:pPr>
              <w:widowControl w:val="0"/>
              <w:ind w:left="-105" w:leftChars="0" w:right="-105" w:rightChars="0"/>
              <w:jc w:val="center"/>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kern w:val="2"/>
                <w:sz w:val="21"/>
                <w:szCs w:val="21"/>
                <w:highlight w:val="none"/>
              </w:rPr>
              <w:t>危废仓库</w:t>
            </w:r>
          </w:p>
        </w:tc>
        <w:tc>
          <w:tcPr>
            <w:tcW w:w="2350" w:type="dxa"/>
            <w:gridSpan w:val="2"/>
            <w:vAlign w:val="center"/>
          </w:tcPr>
          <w:p w14:paraId="14912EA0">
            <w:pPr>
              <w:pStyle w:val="106"/>
              <w:widowControl w:val="0"/>
              <w:autoSpaceDE w:val="0"/>
              <w:autoSpaceDN w:val="0"/>
              <w:rPr>
                <w:bCs/>
                <w:color w:val="auto"/>
                <w:kern w:val="2"/>
                <w:sz w:val="21"/>
                <w:szCs w:val="21"/>
                <w:highlight w:val="none"/>
              </w:rPr>
            </w:pPr>
            <w:r>
              <w:rPr>
                <w:rFonts w:hint="eastAsia"/>
                <w:color w:val="auto"/>
                <w:sz w:val="21"/>
                <w:szCs w:val="21"/>
                <w:highlight w:val="none"/>
              </w:rPr>
              <w:t>废包装袋</w:t>
            </w:r>
          </w:p>
        </w:tc>
        <w:tc>
          <w:tcPr>
            <w:tcW w:w="1555" w:type="dxa"/>
            <w:vMerge w:val="continue"/>
            <w:vAlign w:val="center"/>
          </w:tcPr>
          <w:p w14:paraId="1DFEFF0B">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21E1CA07">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25CD4A49">
            <w:pPr>
              <w:pStyle w:val="106"/>
              <w:widowControl w:val="0"/>
              <w:autoSpaceDE w:val="0"/>
              <w:autoSpaceDN w:val="0"/>
              <w:rPr>
                <w:bCs/>
                <w:color w:val="auto"/>
                <w:kern w:val="2"/>
                <w:sz w:val="21"/>
                <w:szCs w:val="21"/>
                <w:highlight w:val="none"/>
              </w:rPr>
            </w:pPr>
            <w:r>
              <w:rPr>
                <w:rFonts w:hint="eastAsia"/>
                <w:color w:val="auto"/>
                <w:sz w:val="21"/>
                <w:szCs w:val="21"/>
                <w:highlight w:val="none"/>
              </w:rPr>
              <w:t>0.02</w:t>
            </w:r>
          </w:p>
        </w:tc>
      </w:tr>
      <w:tr w14:paraId="64715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1ABE8983">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20BB75F9">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6C01DC4B">
            <w:pPr>
              <w:pStyle w:val="106"/>
              <w:widowControl w:val="0"/>
              <w:autoSpaceDE w:val="0"/>
              <w:autoSpaceDN w:val="0"/>
              <w:rPr>
                <w:bCs/>
                <w:color w:val="auto"/>
                <w:kern w:val="2"/>
                <w:sz w:val="21"/>
                <w:szCs w:val="21"/>
                <w:highlight w:val="none"/>
              </w:rPr>
            </w:pPr>
            <w:r>
              <w:rPr>
                <w:rFonts w:hint="eastAsia"/>
                <w:color w:val="auto"/>
                <w:sz w:val="21"/>
                <w:szCs w:val="21"/>
                <w:highlight w:val="none"/>
              </w:rPr>
              <w:t>实验废液</w:t>
            </w:r>
          </w:p>
        </w:tc>
        <w:tc>
          <w:tcPr>
            <w:tcW w:w="1555" w:type="dxa"/>
            <w:vMerge w:val="continue"/>
            <w:vAlign w:val="center"/>
          </w:tcPr>
          <w:p w14:paraId="1074A5F3">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577F3C7B">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6596B3B2">
            <w:pPr>
              <w:pStyle w:val="106"/>
              <w:widowControl w:val="0"/>
              <w:autoSpaceDE w:val="0"/>
              <w:autoSpaceDN w:val="0"/>
              <w:rPr>
                <w:rFonts w:hint="default" w:eastAsia="宋体"/>
                <w:bCs/>
                <w:color w:val="auto"/>
                <w:kern w:val="2"/>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02</w:t>
            </w:r>
          </w:p>
        </w:tc>
      </w:tr>
      <w:tr w14:paraId="68082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67D91981">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Merge w:val="continue"/>
            <w:vAlign w:val="center"/>
          </w:tcPr>
          <w:p w14:paraId="4F61C5FC">
            <w:pPr>
              <w:widowControl w:val="0"/>
              <w:ind w:left="-105" w:right="-105"/>
              <w:jc w:val="center"/>
              <w:rPr>
                <w:rFonts w:ascii="Times New Roman" w:hAnsi="Times New Roman" w:cs="Times New Roman"/>
                <w:bCs/>
                <w:color w:val="auto"/>
                <w:kern w:val="2"/>
                <w:sz w:val="21"/>
                <w:szCs w:val="21"/>
                <w:highlight w:val="none"/>
              </w:rPr>
            </w:pPr>
          </w:p>
        </w:tc>
        <w:tc>
          <w:tcPr>
            <w:tcW w:w="2350" w:type="dxa"/>
            <w:gridSpan w:val="2"/>
            <w:vAlign w:val="center"/>
          </w:tcPr>
          <w:p w14:paraId="52B28A01">
            <w:pPr>
              <w:pStyle w:val="106"/>
              <w:widowControl w:val="0"/>
              <w:autoSpaceDE w:val="0"/>
              <w:autoSpaceDN w:val="0"/>
              <w:rPr>
                <w:bCs/>
                <w:color w:val="auto"/>
                <w:kern w:val="2"/>
                <w:sz w:val="21"/>
                <w:szCs w:val="21"/>
                <w:highlight w:val="none"/>
              </w:rPr>
            </w:pPr>
            <w:r>
              <w:rPr>
                <w:rFonts w:hint="eastAsia"/>
                <w:color w:val="auto"/>
                <w:sz w:val="21"/>
                <w:szCs w:val="21"/>
                <w:highlight w:val="none"/>
              </w:rPr>
              <w:t>废实验耗材</w:t>
            </w:r>
          </w:p>
        </w:tc>
        <w:tc>
          <w:tcPr>
            <w:tcW w:w="1555" w:type="dxa"/>
            <w:vMerge w:val="continue"/>
            <w:vAlign w:val="center"/>
          </w:tcPr>
          <w:p w14:paraId="4A469442">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77C0690A">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3D72923A">
            <w:pPr>
              <w:pStyle w:val="106"/>
              <w:widowControl w:val="0"/>
              <w:autoSpaceDE w:val="0"/>
              <w:autoSpaceDN w:val="0"/>
              <w:rPr>
                <w:bCs/>
                <w:color w:val="auto"/>
                <w:kern w:val="2"/>
                <w:sz w:val="21"/>
                <w:szCs w:val="21"/>
                <w:highlight w:val="none"/>
              </w:rPr>
            </w:pPr>
            <w:r>
              <w:rPr>
                <w:rFonts w:hint="eastAsia"/>
                <w:color w:val="auto"/>
                <w:sz w:val="21"/>
                <w:szCs w:val="21"/>
                <w:highlight w:val="none"/>
              </w:rPr>
              <w:t>0.5</w:t>
            </w:r>
          </w:p>
        </w:tc>
      </w:tr>
      <w:tr w14:paraId="25710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dxa"/>
            <w:vAlign w:val="center"/>
          </w:tcPr>
          <w:p w14:paraId="7EE558D6">
            <w:pPr>
              <w:widowControl w:val="0"/>
              <w:numPr>
                <w:ilvl w:val="0"/>
                <w:numId w:val="24"/>
              </w:numPr>
              <w:ind w:left="-105" w:right="-105"/>
              <w:jc w:val="center"/>
              <w:rPr>
                <w:rFonts w:ascii="Times New Roman" w:hAnsi="Times New Roman" w:cs="Times New Roman"/>
                <w:bCs/>
                <w:color w:val="auto"/>
                <w:kern w:val="2"/>
                <w:sz w:val="21"/>
                <w:szCs w:val="21"/>
                <w:highlight w:val="none"/>
              </w:rPr>
            </w:pPr>
          </w:p>
        </w:tc>
        <w:tc>
          <w:tcPr>
            <w:tcW w:w="869" w:type="dxa"/>
            <w:vAlign w:val="center"/>
          </w:tcPr>
          <w:p w14:paraId="0E70CAC8">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废液储罐</w:t>
            </w:r>
          </w:p>
        </w:tc>
        <w:tc>
          <w:tcPr>
            <w:tcW w:w="2350" w:type="dxa"/>
            <w:gridSpan w:val="2"/>
            <w:vAlign w:val="center"/>
          </w:tcPr>
          <w:p w14:paraId="4281BFB8">
            <w:pPr>
              <w:pStyle w:val="106"/>
              <w:widowControl w:val="0"/>
              <w:autoSpaceDE w:val="0"/>
              <w:autoSpaceDN w:val="0"/>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实验清洗废水</w:t>
            </w:r>
          </w:p>
        </w:tc>
        <w:tc>
          <w:tcPr>
            <w:tcW w:w="1555" w:type="dxa"/>
            <w:vMerge w:val="continue"/>
            <w:vAlign w:val="center"/>
          </w:tcPr>
          <w:p w14:paraId="3F595A39">
            <w:pPr>
              <w:widowControl w:val="0"/>
              <w:ind w:left="-105" w:right="-105"/>
              <w:jc w:val="center"/>
              <w:rPr>
                <w:rFonts w:ascii="Times New Roman" w:hAnsi="Times New Roman" w:cs="Times New Roman"/>
                <w:bCs/>
                <w:color w:val="auto"/>
                <w:kern w:val="2"/>
                <w:sz w:val="21"/>
                <w:szCs w:val="21"/>
                <w:highlight w:val="none"/>
              </w:rPr>
            </w:pPr>
          </w:p>
        </w:tc>
        <w:tc>
          <w:tcPr>
            <w:tcW w:w="1530" w:type="dxa"/>
            <w:vMerge w:val="continue"/>
            <w:vAlign w:val="center"/>
          </w:tcPr>
          <w:p w14:paraId="304005A0">
            <w:pPr>
              <w:widowControl w:val="0"/>
              <w:ind w:left="-105" w:right="-105"/>
              <w:jc w:val="center"/>
              <w:rPr>
                <w:rFonts w:ascii="Times New Roman" w:hAnsi="Times New Roman" w:cs="Times New Roman"/>
                <w:bCs/>
                <w:color w:val="auto"/>
                <w:kern w:val="2"/>
                <w:sz w:val="21"/>
                <w:szCs w:val="21"/>
                <w:highlight w:val="none"/>
              </w:rPr>
            </w:pPr>
          </w:p>
        </w:tc>
        <w:tc>
          <w:tcPr>
            <w:tcW w:w="1846" w:type="dxa"/>
            <w:vAlign w:val="center"/>
          </w:tcPr>
          <w:p w14:paraId="07D3D56D">
            <w:pPr>
              <w:pStyle w:val="106"/>
              <w:widowControl w:val="0"/>
              <w:autoSpaceDE w:val="0"/>
              <w:autoSpaceDN w:val="0"/>
              <w:rPr>
                <w:rFonts w:hint="default" w:eastAsia="宋体"/>
                <w:color w:val="auto"/>
                <w:sz w:val="21"/>
                <w:szCs w:val="21"/>
                <w:highlight w:val="none"/>
                <w:lang w:val="en-US" w:eastAsia="zh-CN"/>
              </w:rPr>
            </w:pPr>
            <w:r>
              <w:rPr>
                <w:rFonts w:hint="eastAsia"/>
                <w:color w:val="auto"/>
                <w:sz w:val="21"/>
                <w:szCs w:val="21"/>
                <w:highlight w:val="none"/>
                <w:lang w:val="en-US" w:eastAsia="zh-CN"/>
              </w:rPr>
              <w:t>0.1</w:t>
            </w:r>
          </w:p>
        </w:tc>
      </w:tr>
    </w:tbl>
    <w:p w14:paraId="05D718D7">
      <w:pPr>
        <w:pStyle w:val="97"/>
        <w:spacing w:line="360" w:lineRule="auto"/>
        <w:ind w:left="-105" w:right="-105" w:firstLine="422"/>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注：丁酮不在厂内贮存，随买随用。</w:t>
      </w:r>
    </w:p>
    <w:p w14:paraId="02DF172D">
      <w:pPr>
        <w:spacing w:line="360" w:lineRule="auto"/>
        <w:ind w:left="-105" w:right="-105"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③环保设施风险识别</w:t>
      </w:r>
    </w:p>
    <w:p w14:paraId="3AFF8894">
      <w:pPr>
        <w:pStyle w:val="9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eastAsia="宋体"/>
          <w:bCs/>
          <w:color w:val="auto"/>
          <w:sz w:val="24"/>
          <w:highlight w:val="none"/>
        </w:rPr>
      </w:pPr>
      <w:r>
        <w:rPr>
          <w:rFonts w:eastAsia="宋体"/>
          <w:bCs/>
          <w:color w:val="auto"/>
          <w:sz w:val="24"/>
          <w:highlight w:val="none"/>
        </w:rPr>
        <w:t>本项目涉及的环保设施的风险分析见下表。</w:t>
      </w:r>
    </w:p>
    <w:p w14:paraId="1BD4F8E4">
      <w:pPr>
        <w:pStyle w:val="15"/>
        <w:spacing w:line="360" w:lineRule="auto"/>
        <w:ind w:left="-105" w:right="-105" w:firstLine="482"/>
        <w:rPr>
          <w:rFonts w:eastAsia="宋体"/>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4.8</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4</w:t>
      </w:r>
      <w:r>
        <w:rPr>
          <w:rFonts w:eastAsia="宋体"/>
          <w:color w:val="auto"/>
          <w:sz w:val="24"/>
          <w:szCs w:val="18"/>
          <w:highlight w:val="none"/>
        </w:rPr>
        <w:fldChar w:fldCharType="end"/>
      </w:r>
      <w:r>
        <w:rPr>
          <w:rFonts w:eastAsia="宋体"/>
          <w:color w:val="auto"/>
          <w:sz w:val="24"/>
          <w:szCs w:val="24"/>
          <w:highlight w:val="none"/>
        </w:rPr>
        <w:t>环保设施的主要风险分析</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85"/>
        <w:gridCol w:w="1402"/>
        <w:gridCol w:w="1508"/>
        <w:gridCol w:w="1575"/>
        <w:gridCol w:w="1833"/>
        <w:gridCol w:w="1717"/>
      </w:tblGrid>
      <w:tr w14:paraId="7301A1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668" w:type="dxa"/>
            <w:vAlign w:val="center"/>
          </w:tcPr>
          <w:p w14:paraId="381813BC">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15"/>
                <w:highlight w:val="none"/>
              </w:rPr>
              <w:t>序号</w:t>
            </w:r>
          </w:p>
        </w:tc>
        <w:tc>
          <w:tcPr>
            <w:tcW w:w="1367" w:type="dxa"/>
            <w:vAlign w:val="center"/>
          </w:tcPr>
          <w:p w14:paraId="0A6687AC">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15"/>
                <w:highlight w:val="none"/>
              </w:rPr>
              <w:t>环保设施</w:t>
            </w:r>
          </w:p>
        </w:tc>
        <w:tc>
          <w:tcPr>
            <w:tcW w:w="1471" w:type="dxa"/>
            <w:vAlign w:val="center"/>
          </w:tcPr>
          <w:p w14:paraId="68E18EF4">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15"/>
                <w:highlight w:val="none"/>
              </w:rPr>
              <w:t>主要危险物质</w:t>
            </w:r>
          </w:p>
        </w:tc>
        <w:tc>
          <w:tcPr>
            <w:tcW w:w="1536" w:type="dxa"/>
            <w:vAlign w:val="center"/>
          </w:tcPr>
          <w:p w14:paraId="3E547994">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21"/>
                <w:highlight w:val="none"/>
              </w:rPr>
              <w:t>转化为事故的触发因素</w:t>
            </w:r>
          </w:p>
        </w:tc>
        <w:tc>
          <w:tcPr>
            <w:tcW w:w="1788" w:type="dxa"/>
            <w:vAlign w:val="center"/>
          </w:tcPr>
          <w:p w14:paraId="5F89E3B0">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15"/>
                <w:highlight w:val="none"/>
              </w:rPr>
              <w:t>环境风险类型</w:t>
            </w:r>
          </w:p>
        </w:tc>
        <w:tc>
          <w:tcPr>
            <w:tcW w:w="1674" w:type="dxa"/>
            <w:vAlign w:val="center"/>
          </w:tcPr>
          <w:p w14:paraId="3723B32D">
            <w:pPr>
              <w:widowControl w:val="0"/>
              <w:ind w:left="-105" w:right="-105"/>
              <w:jc w:val="center"/>
              <w:rPr>
                <w:rFonts w:ascii="Times New Roman" w:hAnsi="Times New Roman" w:cs="Times New Roman"/>
                <w:b/>
                <w:color w:val="auto"/>
                <w:kern w:val="2"/>
                <w:sz w:val="21"/>
                <w:szCs w:val="15"/>
                <w:highlight w:val="none"/>
              </w:rPr>
            </w:pPr>
            <w:r>
              <w:rPr>
                <w:rFonts w:ascii="Times New Roman" w:hAnsi="Times New Roman" w:cs="Times New Roman"/>
                <w:b/>
                <w:color w:val="auto"/>
                <w:kern w:val="2"/>
                <w:sz w:val="21"/>
                <w:szCs w:val="21"/>
                <w:highlight w:val="none"/>
              </w:rPr>
              <w:t>危险物质最大存在量（t）</w:t>
            </w:r>
          </w:p>
        </w:tc>
      </w:tr>
      <w:tr w14:paraId="20118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vAlign w:val="center"/>
          </w:tcPr>
          <w:p w14:paraId="1A17C372">
            <w:pPr>
              <w:widowControl w:val="0"/>
              <w:numPr>
                <w:ilvl w:val="0"/>
                <w:numId w:val="25"/>
              </w:numPr>
              <w:ind w:left="-105" w:right="-105"/>
              <w:jc w:val="center"/>
              <w:rPr>
                <w:rFonts w:ascii="Times New Roman" w:hAnsi="Times New Roman" w:cs="Times New Roman"/>
                <w:bCs/>
                <w:color w:val="auto"/>
                <w:kern w:val="2"/>
                <w:sz w:val="21"/>
                <w:szCs w:val="21"/>
                <w:highlight w:val="none"/>
              </w:rPr>
            </w:pPr>
          </w:p>
        </w:tc>
        <w:tc>
          <w:tcPr>
            <w:tcW w:w="1367" w:type="dxa"/>
            <w:vAlign w:val="center"/>
          </w:tcPr>
          <w:p w14:paraId="4BF54149">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olor w:val="auto"/>
                <w:sz w:val="21"/>
                <w:szCs w:val="21"/>
                <w:highlight w:val="none"/>
              </w:rPr>
              <w:t>3级碱液喷淋+二级活性炭吸附装置</w:t>
            </w:r>
          </w:p>
        </w:tc>
        <w:tc>
          <w:tcPr>
            <w:tcW w:w="1471" w:type="dxa"/>
            <w:vAlign w:val="center"/>
          </w:tcPr>
          <w:p w14:paraId="2075B540">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非甲烷总烃</w:t>
            </w:r>
          </w:p>
        </w:tc>
        <w:tc>
          <w:tcPr>
            <w:tcW w:w="1536" w:type="dxa"/>
            <w:vAlign w:val="center"/>
          </w:tcPr>
          <w:p w14:paraId="5C2B1632">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违规操作、设备异常</w:t>
            </w:r>
          </w:p>
        </w:tc>
        <w:tc>
          <w:tcPr>
            <w:tcW w:w="1788" w:type="dxa"/>
            <w:vAlign w:val="center"/>
          </w:tcPr>
          <w:p w14:paraId="1A8DD843">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w:t>
            </w:r>
            <w:r>
              <w:rPr>
                <w:rFonts w:ascii="Times New Roman" w:hAnsi="Times New Roman" w:cs="Times New Roman"/>
                <w:bCs/>
                <w:color w:val="auto"/>
                <w:sz w:val="21"/>
                <w:szCs w:val="18"/>
                <w:highlight w:val="none"/>
              </w:rPr>
              <w:t>、火灾</w:t>
            </w:r>
          </w:p>
        </w:tc>
        <w:tc>
          <w:tcPr>
            <w:tcW w:w="1674" w:type="dxa"/>
            <w:vAlign w:val="center"/>
          </w:tcPr>
          <w:p w14:paraId="27AC824D">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w:t>
            </w:r>
          </w:p>
        </w:tc>
      </w:tr>
      <w:tr w14:paraId="50A7FE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vAlign w:val="center"/>
          </w:tcPr>
          <w:p w14:paraId="565A3D22">
            <w:pPr>
              <w:widowControl w:val="0"/>
              <w:numPr>
                <w:ilvl w:val="0"/>
                <w:numId w:val="25"/>
              </w:numPr>
              <w:ind w:left="-105" w:right="-105"/>
              <w:jc w:val="center"/>
              <w:rPr>
                <w:rFonts w:ascii="Times New Roman" w:hAnsi="Times New Roman" w:cs="Times New Roman"/>
                <w:bCs/>
                <w:color w:val="auto"/>
                <w:kern w:val="2"/>
                <w:sz w:val="21"/>
                <w:szCs w:val="21"/>
                <w:highlight w:val="none"/>
              </w:rPr>
            </w:pPr>
          </w:p>
        </w:tc>
        <w:tc>
          <w:tcPr>
            <w:tcW w:w="1367" w:type="dxa"/>
            <w:vAlign w:val="center"/>
          </w:tcPr>
          <w:p w14:paraId="3F1870E5">
            <w:pPr>
              <w:widowControl w:val="0"/>
              <w:ind w:left="-105" w:right="-105"/>
              <w:jc w:val="center"/>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二级活性炭吸附装置</w:t>
            </w:r>
          </w:p>
        </w:tc>
        <w:tc>
          <w:tcPr>
            <w:tcW w:w="1471" w:type="dxa"/>
            <w:vAlign w:val="center"/>
          </w:tcPr>
          <w:p w14:paraId="692FA929">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非甲烷总烃</w:t>
            </w:r>
            <w:r>
              <w:rPr>
                <w:rFonts w:hint="eastAsia" w:ascii="Times New Roman" w:hAnsi="Times New Roman" w:cs="Times New Roman"/>
                <w:bCs/>
                <w:color w:val="auto"/>
                <w:kern w:val="2"/>
                <w:sz w:val="21"/>
                <w:szCs w:val="21"/>
                <w:highlight w:val="none"/>
              </w:rPr>
              <w:t>、氮氧化物</w:t>
            </w:r>
          </w:p>
        </w:tc>
        <w:tc>
          <w:tcPr>
            <w:tcW w:w="1536" w:type="dxa"/>
            <w:vAlign w:val="center"/>
          </w:tcPr>
          <w:p w14:paraId="5E48C386">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违规操作、设备异常、高温、明火</w:t>
            </w:r>
          </w:p>
        </w:tc>
        <w:tc>
          <w:tcPr>
            <w:tcW w:w="1788" w:type="dxa"/>
            <w:vAlign w:val="center"/>
          </w:tcPr>
          <w:p w14:paraId="27430A78">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泄漏、火灾</w:t>
            </w:r>
          </w:p>
        </w:tc>
        <w:tc>
          <w:tcPr>
            <w:tcW w:w="1674" w:type="dxa"/>
            <w:vAlign w:val="center"/>
          </w:tcPr>
          <w:p w14:paraId="517BD722">
            <w:pPr>
              <w:widowControl w:val="0"/>
              <w:ind w:left="-105" w:right="-105"/>
              <w:jc w:val="center"/>
              <w:rPr>
                <w:rFonts w:ascii="Times New Roman" w:hAnsi="Times New Roman" w:cs="Times New Roman"/>
                <w:bCs/>
                <w:color w:val="auto"/>
                <w:kern w:val="2"/>
                <w:sz w:val="21"/>
                <w:szCs w:val="21"/>
                <w:highlight w:val="none"/>
              </w:rPr>
            </w:pPr>
            <w:r>
              <w:rPr>
                <w:rFonts w:ascii="Times New Roman" w:hAnsi="Times New Roman" w:cs="Times New Roman"/>
                <w:bCs/>
                <w:color w:val="auto"/>
                <w:kern w:val="2"/>
                <w:sz w:val="21"/>
                <w:szCs w:val="21"/>
                <w:highlight w:val="none"/>
              </w:rPr>
              <w:t>/</w:t>
            </w:r>
          </w:p>
        </w:tc>
      </w:tr>
    </w:tbl>
    <w:p w14:paraId="0CFA33A5">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环境风险识别</w:t>
      </w:r>
    </w:p>
    <w:p w14:paraId="345DA49C">
      <w:pPr>
        <w:pStyle w:val="97"/>
        <w:spacing w:line="360" w:lineRule="auto"/>
        <w:ind w:left="-105" w:right="-105" w:firstLine="480"/>
        <w:rPr>
          <w:rFonts w:eastAsia="宋体"/>
          <w:bCs/>
          <w:color w:val="auto"/>
          <w:sz w:val="24"/>
          <w:highlight w:val="none"/>
        </w:rPr>
      </w:pPr>
      <w:r>
        <w:rPr>
          <w:rFonts w:eastAsia="宋体"/>
          <w:bCs/>
          <w:color w:val="auto"/>
          <w:sz w:val="24"/>
          <w:highlight w:val="none"/>
        </w:rPr>
        <w:t>根据上文识别后，本项目环境风险识别内容见下表。</w:t>
      </w:r>
    </w:p>
    <w:p w14:paraId="52951A18">
      <w:pPr>
        <w:pStyle w:val="97"/>
        <w:spacing w:line="360" w:lineRule="auto"/>
        <w:ind w:left="-105" w:right="-105" w:firstLine="0" w:firstLineChars="0"/>
        <w:jc w:val="center"/>
        <w:rPr>
          <w:rFonts w:eastAsia="宋体"/>
          <w:b/>
          <w:bCs/>
          <w:color w:val="auto"/>
          <w:sz w:val="24"/>
          <w:highlight w:val="none"/>
        </w:rPr>
      </w:pPr>
      <w:bookmarkStart w:id="253" w:name="_Ref1601"/>
      <w:r>
        <w:rPr>
          <w:rFonts w:eastAsia="宋体"/>
          <w:b/>
          <w:bCs/>
          <w:color w:val="auto"/>
          <w:sz w:val="24"/>
          <w:szCs w:val="18"/>
          <w:highlight w:val="none"/>
        </w:rPr>
        <w:t>表</w:t>
      </w:r>
      <w:r>
        <w:rPr>
          <w:rFonts w:eastAsia="宋体"/>
          <w:b/>
          <w:bCs/>
          <w:color w:val="auto"/>
          <w:sz w:val="24"/>
          <w:szCs w:val="18"/>
          <w:highlight w:val="none"/>
        </w:rPr>
        <w:fldChar w:fldCharType="begin"/>
      </w:r>
      <w:r>
        <w:rPr>
          <w:rFonts w:eastAsia="宋体"/>
          <w:b/>
          <w:bCs/>
          <w:color w:val="auto"/>
          <w:sz w:val="24"/>
          <w:szCs w:val="18"/>
          <w:highlight w:val="none"/>
        </w:rPr>
        <w:instrText xml:space="preserve"> STYLEREF 2 \s </w:instrText>
      </w:r>
      <w:r>
        <w:rPr>
          <w:rFonts w:eastAsia="宋体"/>
          <w:b/>
          <w:bCs/>
          <w:color w:val="auto"/>
          <w:sz w:val="24"/>
          <w:szCs w:val="18"/>
          <w:highlight w:val="none"/>
        </w:rPr>
        <w:fldChar w:fldCharType="separate"/>
      </w:r>
      <w:r>
        <w:rPr>
          <w:rFonts w:eastAsia="宋体"/>
          <w:b/>
          <w:bCs/>
          <w:color w:val="auto"/>
          <w:sz w:val="24"/>
          <w:szCs w:val="18"/>
          <w:highlight w:val="none"/>
        </w:rPr>
        <w:t>4.8</w:t>
      </w:r>
      <w:r>
        <w:rPr>
          <w:rFonts w:eastAsia="宋体"/>
          <w:b/>
          <w:bCs/>
          <w:color w:val="auto"/>
          <w:sz w:val="24"/>
          <w:szCs w:val="18"/>
          <w:highlight w:val="none"/>
        </w:rPr>
        <w:fldChar w:fldCharType="end"/>
      </w:r>
      <w:r>
        <w:rPr>
          <w:rFonts w:eastAsia="宋体"/>
          <w:b/>
          <w:bCs/>
          <w:color w:val="auto"/>
          <w:sz w:val="24"/>
          <w:szCs w:val="18"/>
          <w:highlight w:val="none"/>
        </w:rPr>
        <w:noBreakHyphen/>
      </w:r>
      <w:r>
        <w:rPr>
          <w:rFonts w:eastAsia="宋体"/>
          <w:b/>
          <w:bCs/>
          <w:color w:val="auto"/>
          <w:sz w:val="24"/>
          <w:szCs w:val="18"/>
          <w:highlight w:val="none"/>
        </w:rPr>
        <w:fldChar w:fldCharType="begin"/>
      </w:r>
      <w:r>
        <w:rPr>
          <w:rFonts w:eastAsia="宋体"/>
          <w:b/>
          <w:bCs/>
          <w:color w:val="auto"/>
          <w:sz w:val="24"/>
          <w:szCs w:val="18"/>
          <w:highlight w:val="none"/>
        </w:rPr>
        <w:instrText xml:space="preserve"> SEQ 表 \* ARABIC \s 2 </w:instrText>
      </w:r>
      <w:r>
        <w:rPr>
          <w:rFonts w:eastAsia="宋体"/>
          <w:b/>
          <w:bCs/>
          <w:color w:val="auto"/>
          <w:sz w:val="24"/>
          <w:szCs w:val="18"/>
          <w:highlight w:val="none"/>
        </w:rPr>
        <w:fldChar w:fldCharType="separate"/>
      </w:r>
      <w:r>
        <w:rPr>
          <w:rFonts w:eastAsia="宋体"/>
          <w:b/>
          <w:bCs/>
          <w:color w:val="auto"/>
          <w:sz w:val="24"/>
          <w:szCs w:val="18"/>
          <w:highlight w:val="none"/>
        </w:rPr>
        <w:t>5</w:t>
      </w:r>
      <w:r>
        <w:rPr>
          <w:rFonts w:eastAsia="宋体"/>
          <w:b/>
          <w:bCs/>
          <w:color w:val="auto"/>
          <w:sz w:val="24"/>
          <w:szCs w:val="18"/>
          <w:highlight w:val="none"/>
        </w:rPr>
        <w:fldChar w:fldCharType="end"/>
      </w:r>
      <w:bookmarkEnd w:id="253"/>
      <w:r>
        <w:rPr>
          <w:rFonts w:eastAsia="宋体"/>
          <w:b/>
          <w:bCs/>
          <w:color w:val="auto"/>
          <w:sz w:val="24"/>
          <w:highlight w:val="none"/>
        </w:rPr>
        <w:t>本项目环境风险识别表</w:t>
      </w:r>
    </w:p>
    <w:tbl>
      <w:tblPr>
        <w:tblStyle w:val="45"/>
        <w:tblW w:w="51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9"/>
        <w:gridCol w:w="824"/>
        <w:gridCol w:w="975"/>
        <w:gridCol w:w="1330"/>
        <w:gridCol w:w="855"/>
        <w:gridCol w:w="2059"/>
        <w:gridCol w:w="1195"/>
        <w:gridCol w:w="797"/>
      </w:tblGrid>
      <w:tr w14:paraId="6547C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0" w:type="dxa"/>
            <w:shd w:val="clear" w:color="auto" w:fill="FFFFFF"/>
            <w:vAlign w:val="center"/>
          </w:tcPr>
          <w:p w14:paraId="32D9D3A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序号</w:t>
            </w:r>
          </w:p>
        </w:tc>
        <w:tc>
          <w:tcPr>
            <w:tcW w:w="824" w:type="dxa"/>
            <w:shd w:val="clear" w:color="auto" w:fill="FFFFFF"/>
            <w:vAlign w:val="center"/>
          </w:tcPr>
          <w:p w14:paraId="57E86A6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风险源</w:t>
            </w:r>
          </w:p>
        </w:tc>
        <w:tc>
          <w:tcPr>
            <w:tcW w:w="975" w:type="dxa"/>
            <w:shd w:val="clear" w:color="auto" w:fill="FFFFFF"/>
            <w:vAlign w:val="center"/>
          </w:tcPr>
          <w:p w14:paraId="59B8BAB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危险单元</w:t>
            </w:r>
          </w:p>
        </w:tc>
        <w:tc>
          <w:tcPr>
            <w:tcW w:w="1330" w:type="dxa"/>
            <w:shd w:val="clear" w:color="auto" w:fill="FFFFFF"/>
            <w:vAlign w:val="center"/>
          </w:tcPr>
          <w:p w14:paraId="4AA103D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主要危险物质</w:t>
            </w:r>
          </w:p>
        </w:tc>
        <w:tc>
          <w:tcPr>
            <w:tcW w:w="855" w:type="dxa"/>
            <w:shd w:val="clear" w:color="auto" w:fill="FFFFFF"/>
            <w:vAlign w:val="center"/>
          </w:tcPr>
          <w:p w14:paraId="441237DD">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环境风险类型</w:t>
            </w:r>
          </w:p>
        </w:tc>
        <w:tc>
          <w:tcPr>
            <w:tcW w:w="2059" w:type="dxa"/>
            <w:shd w:val="clear" w:color="auto" w:fill="FFFFFF"/>
            <w:vAlign w:val="center"/>
          </w:tcPr>
          <w:p w14:paraId="26E6813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环境影响途径</w:t>
            </w:r>
          </w:p>
        </w:tc>
        <w:tc>
          <w:tcPr>
            <w:tcW w:w="1195" w:type="dxa"/>
            <w:shd w:val="clear" w:color="auto" w:fill="FFFFFF"/>
            <w:vAlign w:val="center"/>
          </w:tcPr>
          <w:p w14:paraId="12340F7C">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可能受影响的环境敏感目标</w:t>
            </w:r>
          </w:p>
        </w:tc>
        <w:tc>
          <w:tcPr>
            <w:tcW w:w="797" w:type="dxa"/>
            <w:shd w:val="clear" w:color="auto" w:fill="FFFFFF"/>
            <w:vAlign w:val="center"/>
          </w:tcPr>
          <w:p w14:paraId="535AD01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18"/>
                <w:highlight w:val="none"/>
              </w:rPr>
            </w:pPr>
            <w:r>
              <w:rPr>
                <w:rFonts w:ascii="Times New Roman" w:hAnsi="Times New Roman" w:cs="Times New Roman"/>
                <w:b/>
                <w:color w:val="auto"/>
                <w:sz w:val="21"/>
                <w:szCs w:val="18"/>
                <w:highlight w:val="none"/>
              </w:rPr>
              <w:t>备注</w:t>
            </w:r>
          </w:p>
        </w:tc>
      </w:tr>
      <w:tr w14:paraId="3D69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71FB811D">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681842C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原料包装桶</w:t>
            </w:r>
          </w:p>
        </w:tc>
        <w:tc>
          <w:tcPr>
            <w:tcW w:w="975" w:type="dxa"/>
            <w:shd w:val="clear" w:color="auto" w:fill="FFFFFF"/>
            <w:vAlign w:val="center"/>
          </w:tcPr>
          <w:p w14:paraId="330BE9BA">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Cs/>
                <w:color w:val="auto"/>
                <w:sz w:val="21"/>
                <w:szCs w:val="18"/>
                <w:highlight w:val="none"/>
                <w:lang w:eastAsia="zh-CN"/>
              </w:rPr>
            </w:pPr>
            <w:r>
              <w:rPr>
                <w:rFonts w:hint="eastAsia" w:ascii="Times New Roman" w:hAnsi="Times New Roman" w:cs="Times New Roman"/>
                <w:bCs/>
                <w:color w:val="auto"/>
                <w:sz w:val="21"/>
                <w:szCs w:val="18"/>
                <w:highlight w:val="none"/>
                <w:lang w:eastAsia="zh-CN"/>
              </w:rPr>
              <w:t>危险品仓库</w:t>
            </w:r>
          </w:p>
        </w:tc>
        <w:tc>
          <w:tcPr>
            <w:tcW w:w="1330" w:type="dxa"/>
            <w:shd w:val="clear" w:color="auto" w:fill="FFFFFF"/>
            <w:vAlign w:val="center"/>
          </w:tcPr>
          <w:p w14:paraId="6FE21F3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丙烯酸酯树脂、异氰酸酯（六亚甲基-1,6-二异氰酸酯）、聚氨酯丙烯酸酯</w:t>
            </w:r>
          </w:p>
          <w:p w14:paraId="3D8AE9D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环氧丙烯酸树脂、单体（二缩三丙二醇二丙烯酸酯）、光敏剂（1-羟环己基苯酮）、酚醛环氧树脂、丙烯酸、2-乙二醇单乙醚醋酸酯（溶剂）、重溶剂油（溶剂）、2-甲基对苯二酚（聚合阻止剂）、三苯基膦（催化剂）、2、6-二叔丁基对甲基苯酚（聚合阻止剂）、四氢化邻苯二甲酸酐、二甲基亚砜、N-甲基吡咯烷酮、四甲基氢氧化铵、2-甲氨基乙醇、邻苯二酚、乙醇胺</w:t>
            </w:r>
            <w:r>
              <w:rPr>
                <w:rFonts w:ascii="Times New Roman" w:hAnsi="Times New Roman" w:cs="Times New Roman"/>
                <w:bCs/>
                <w:color w:val="auto"/>
                <w:sz w:val="21"/>
                <w:szCs w:val="18"/>
                <w:highlight w:val="none"/>
              </w:rPr>
              <w:t>等</w:t>
            </w:r>
          </w:p>
        </w:tc>
        <w:tc>
          <w:tcPr>
            <w:tcW w:w="855" w:type="dxa"/>
            <w:shd w:val="clear" w:color="auto" w:fill="FFFFFF"/>
            <w:vAlign w:val="center"/>
          </w:tcPr>
          <w:p w14:paraId="1F837F6C">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r>
              <w:rPr>
                <w:rFonts w:hint="eastAsia" w:ascii="Times New Roman" w:hAnsi="Times New Roman" w:cs="Times New Roman"/>
                <w:bCs/>
                <w:color w:val="auto"/>
                <w:sz w:val="21"/>
                <w:szCs w:val="18"/>
                <w:highlight w:val="none"/>
              </w:rPr>
              <w:t>、爆炸</w:t>
            </w:r>
          </w:p>
        </w:tc>
        <w:tc>
          <w:tcPr>
            <w:tcW w:w="2059" w:type="dxa"/>
            <w:shd w:val="clear" w:color="auto" w:fill="FFFFFF"/>
            <w:vAlign w:val="center"/>
          </w:tcPr>
          <w:p w14:paraId="201F762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；泄漏物料挥发产生废气进入大气</w:t>
            </w:r>
            <w:r>
              <w:rPr>
                <w:rFonts w:hint="eastAsia" w:ascii="Times New Roman" w:hAnsi="Times New Roman" w:cs="Times New Roman"/>
                <w:bCs/>
                <w:color w:val="auto"/>
                <w:sz w:val="21"/>
                <w:szCs w:val="18"/>
                <w:highlight w:val="none"/>
              </w:rPr>
              <w:t>，</w:t>
            </w:r>
            <w:r>
              <w:rPr>
                <w:rFonts w:ascii="Times New Roman" w:hAnsi="Times New Roman" w:cs="Times New Roman"/>
                <w:bCs/>
                <w:color w:val="auto"/>
                <w:sz w:val="21"/>
                <w:szCs w:val="18"/>
                <w:highlight w:val="none"/>
              </w:rPr>
              <w:t>火灾产生有毒有害气体进入大气；泄漏物料渗漏进入土壤和地下水</w:t>
            </w:r>
          </w:p>
        </w:tc>
        <w:tc>
          <w:tcPr>
            <w:tcW w:w="1195" w:type="dxa"/>
            <w:shd w:val="clear" w:color="auto" w:fill="FFFFFF"/>
            <w:vAlign w:val="center"/>
          </w:tcPr>
          <w:p w14:paraId="7F226CD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6D2C737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2A858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39B4AC91">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1C1EA40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原料包装桶</w:t>
            </w:r>
          </w:p>
        </w:tc>
        <w:tc>
          <w:tcPr>
            <w:tcW w:w="975" w:type="dxa"/>
            <w:shd w:val="clear" w:color="auto" w:fill="FFFFFF"/>
            <w:vAlign w:val="center"/>
          </w:tcPr>
          <w:p w14:paraId="5F55043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Cs/>
                <w:color w:val="auto"/>
                <w:sz w:val="21"/>
                <w:szCs w:val="18"/>
                <w:highlight w:val="none"/>
                <w:lang w:eastAsia="zh-CN"/>
              </w:rPr>
            </w:pPr>
            <w:r>
              <w:rPr>
                <w:rFonts w:hint="eastAsia" w:ascii="Times New Roman" w:hAnsi="Times New Roman" w:cs="Times New Roman"/>
                <w:color w:val="auto"/>
                <w:sz w:val="21"/>
                <w:szCs w:val="21"/>
                <w:highlight w:val="none"/>
                <w:lang w:eastAsia="zh-CN"/>
              </w:rPr>
              <w:t>防爆间</w:t>
            </w:r>
          </w:p>
        </w:tc>
        <w:tc>
          <w:tcPr>
            <w:tcW w:w="1330" w:type="dxa"/>
            <w:shd w:val="clear" w:color="auto" w:fill="FFFFFF"/>
            <w:vAlign w:val="center"/>
          </w:tcPr>
          <w:p w14:paraId="02D6CF29">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color w:val="auto"/>
                <w:sz w:val="21"/>
                <w:szCs w:val="21"/>
                <w:highlight w:val="none"/>
              </w:rPr>
              <w:t>硝酸</w:t>
            </w:r>
            <w:r>
              <w:rPr>
                <w:rFonts w:hint="eastAsia" w:ascii="Times New Roman" w:hAnsi="Times New Roman" w:cs="Times New Roman"/>
                <w:color w:val="auto"/>
                <w:sz w:val="21"/>
                <w:szCs w:val="21"/>
                <w:highlight w:val="none"/>
              </w:rPr>
              <w:t>（55%）</w:t>
            </w:r>
          </w:p>
        </w:tc>
        <w:tc>
          <w:tcPr>
            <w:tcW w:w="855" w:type="dxa"/>
            <w:shd w:val="clear" w:color="auto" w:fill="FFFFFF"/>
            <w:vAlign w:val="center"/>
          </w:tcPr>
          <w:p w14:paraId="34ACCB9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r>
              <w:rPr>
                <w:rFonts w:hint="eastAsia" w:ascii="Times New Roman" w:hAnsi="Times New Roman" w:cs="Times New Roman"/>
                <w:bCs/>
                <w:color w:val="auto"/>
                <w:sz w:val="21"/>
                <w:szCs w:val="18"/>
                <w:highlight w:val="none"/>
              </w:rPr>
              <w:t>、爆炸</w:t>
            </w:r>
          </w:p>
        </w:tc>
        <w:tc>
          <w:tcPr>
            <w:tcW w:w="2059" w:type="dxa"/>
            <w:shd w:val="clear" w:color="auto" w:fill="FFFFFF"/>
            <w:vAlign w:val="center"/>
          </w:tcPr>
          <w:p w14:paraId="067EA7B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；泄漏物料挥发产生废气进入大气</w:t>
            </w:r>
            <w:r>
              <w:rPr>
                <w:rFonts w:hint="eastAsia" w:ascii="Times New Roman" w:hAnsi="Times New Roman" w:cs="Times New Roman"/>
                <w:bCs/>
                <w:color w:val="auto"/>
                <w:sz w:val="21"/>
                <w:szCs w:val="18"/>
                <w:highlight w:val="none"/>
              </w:rPr>
              <w:t>，</w:t>
            </w:r>
            <w:r>
              <w:rPr>
                <w:rFonts w:ascii="Times New Roman" w:hAnsi="Times New Roman" w:cs="Times New Roman"/>
                <w:bCs/>
                <w:color w:val="auto"/>
                <w:sz w:val="21"/>
                <w:szCs w:val="18"/>
                <w:highlight w:val="none"/>
              </w:rPr>
              <w:t>火灾爆炸产生有毒有害气体进入大气；泄漏物料渗漏进入土壤和地下水</w:t>
            </w:r>
          </w:p>
        </w:tc>
        <w:tc>
          <w:tcPr>
            <w:tcW w:w="1195" w:type="dxa"/>
            <w:shd w:val="clear" w:color="auto" w:fill="FFFFFF"/>
            <w:vAlign w:val="center"/>
          </w:tcPr>
          <w:p w14:paraId="6890B09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49D38DF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6A292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717F3EDE">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55ED10E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包装桶</w:t>
            </w:r>
          </w:p>
        </w:tc>
        <w:tc>
          <w:tcPr>
            <w:tcW w:w="975" w:type="dxa"/>
            <w:shd w:val="clear" w:color="auto" w:fill="FFFFFF"/>
            <w:vAlign w:val="center"/>
          </w:tcPr>
          <w:p w14:paraId="79034AF9">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kern w:val="2"/>
                <w:sz w:val="21"/>
                <w:szCs w:val="21"/>
                <w:highlight w:val="none"/>
              </w:rPr>
            </w:pPr>
            <w:r>
              <w:rPr>
                <w:rFonts w:hint="eastAsia" w:ascii="Times New Roman" w:hAnsi="Times New Roman" w:cs="Times New Roman"/>
                <w:color w:val="auto"/>
                <w:sz w:val="21"/>
                <w:szCs w:val="21"/>
                <w:highlight w:val="none"/>
              </w:rPr>
              <w:t>化学试剂柜</w:t>
            </w:r>
          </w:p>
        </w:tc>
        <w:tc>
          <w:tcPr>
            <w:tcW w:w="1330" w:type="dxa"/>
            <w:shd w:val="clear" w:color="auto" w:fill="FFFFFF"/>
            <w:vAlign w:val="center"/>
          </w:tcPr>
          <w:p w14:paraId="4D400C2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甲醇</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卡尔费休试剂</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异丙醇</w:t>
            </w:r>
          </w:p>
        </w:tc>
        <w:tc>
          <w:tcPr>
            <w:tcW w:w="855" w:type="dxa"/>
            <w:shd w:val="clear" w:color="auto" w:fill="FFFFFF"/>
            <w:vAlign w:val="center"/>
          </w:tcPr>
          <w:p w14:paraId="1F436C3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p>
        </w:tc>
        <w:tc>
          <w:tcPr>
            <w:tcW w:w="2059" w:type="dxa"/>
            <w:shd w:val="clear" w:color="auto" w:fill="FFFFFF"/>
            <w:vAlign w:val="center"/>
          </w:tcPr>
          <w:p w14:paraId="53AA162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；泄漏物料挥发产生废气进入大气</w:t>
            </w:r>
            <w:r>
              <w:rPr>
                <w:rFonts w:hint="eastAsia" w:ascii="Times New Roman" w:hAnsi="Times New Roman" w:cs="Times New Roman"/>
                <w:bCs/>
                <w:color w:val="auto"/>
                <w:sz w:val="21"/>
                <w:szCs w:val="18"/>
                <w:highlight w:val="none"/>
              </w:rPr>
              <w:t>，</w:t>
            </w:r>
            <w:r>
              <w:rPr>
                <w:rFonts w:ascii="Times New Roman" w:hAnsi="Times New Roman" w:cs="Times New Roman"/>
                <w:bCs/>
                <w:color w:val="auto"/>
                <w:sz w:val="21"/>
                <w:szCs w:val="18"/>
                <w:highlight w:val="none"/>
              </w:rPr>
              <w:t>火灾产生有毒有害气体进入大气；泄漏物料渗漏进入土壤和地下水</w:t>
            </w:r>
          </w:p>
        </w:tc>
        <w:tc>
          <w:tcPr>
            <w:tcW w:w="1195" w:type="dxa"/>
            <w:shd w:val="clear" w:color="auto" w:fill="FFFFFF"/>
            <w:vAlign w:val="center"/>
          </w:tcPr>
          <w:p w14:paraId="6D0F27C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20E9F11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1E716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1A7A5DDB">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583CC9E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包装桶</w:t>
            </w:r>
          </w:p>
        </w:tc>
        <w:tc>
          <w:tcPr>
            <w:tcW w:w="975" w:type="dxa"/>
            <w:shd w:val="clear" w:color="auto" w:fill="FFFFFF"/>
            <w:vAlign w:val="center"/>
          </w:tcPr>
          <w:p w14:paraId="00C0400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rPr>
              <w:t>成品</w:t>
            </w:r>
            <w:r>
              <w:rPr>
                <w:rFonts w:hint="eastAsia" w:ascii="Times New Roman" w:hAnsi="Times New Roman" w:cs="Times New Roman"/>
                <w:bCs/>
                <w:color w:val="auto"/>
                <w:kern w:val="2"/>
                <w:sz w:val="21"/>
                <w:szCs w:val="21"/>
                <w:highlight w:val="none"/>
                <w:lang w:val="en-US" w:eastAsia="zh-CN"/>
              </w:rPr>
              <w:t>仓</w:t>
            </w:r>
            <w:r>
              <w:rPr>
                <w:rFonts w:hint="eastAsia" w:ascii="Times New Roman" w:hAnsi="Times New Roman" w:cs="Times New Roman"/>
                <w:bCs/>
                <w:color w:val="auto"/>
                <w:kern w:val="2"/>
                <w:sz w:val="21"/>
                <w:szCs w:val="21"/>
                <w:highlight w:val="none"/>
              </w:rPr>
              <w:t>库</w:t>
            </w:r>
          </w:p>
        </w:tc>
        <w:tc>
          <w:tcPr>
            <w:tcW w:w="1330" w:type="dxa"/>
            <w:shd w:val="clear" w:color="auto" w:fill="FFFFFF"/>
            <w:vAlign w:val="center"/>
          </w:tcPr>
          <w:p w14:paraId="64EAFB0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聚氨酯丙烯酸酯</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丙烯酸酯组成物</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环氧丙烯酸树脂</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剥离液</w:t>
            </w:r>
          </w:p>
        </w:tc>
        <w:tc>
          <w:tcPr>
            <w:tcW w:w="855" w:type="dxa"/>
            <w:shd w:val="clear" w:color="auto" w:fill="FFFFFF"/>
            <w:vAlign w:val="center"/>
          </w:tcPr>
          <w:p w14:paraId="1242579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p>
        </w:tc>
        <w:tc>
          <w:tcPr>
            <w:tcW w:w="2059" w:type="dxa"/>
            <w:shd w:val="clear" w:color="auto" w:fill="FFFFFF"/>
            <w:vAlign w:val="center"/>
          </w:tcPr>
          <w:p w14:paraId="5D410BA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；泄漏物料挥发产生废气进入大气</w:t>
            </w:r>
            <w:r>
              <w:rPr>
                <w:rFonts w:hint="eastAsia" w:ascii="Times New Roman" w:hAnsi="Times New Roman" w:cs="Times New Roman"/>
                <w:bCs/>
                <w:color w:val="auto"/>
                <w:sz w:val="21"/>
                <w:szCs w:val="18"/>
                <w:highlight w:val="none"/>
              </w:rPr>
              <w:t>，</w:t>
            </w:r>
            <w:r>
              <w:rPr>
                <w:rFonts w:ascii="Times New Roman" w:hAnsi="Times New Roman" w:cs="Times New Roman"/>
                <w:bCs/>
                <w:color w:val="auto"/>
                <w:sz w:val="21"/>
                <w:szCs w:val="18"/>
                <w:highlight w:val="none"/>
              </w:rPr>
              <w:t>火灾产生有毒有害气体进入大气；泄漏物料渗漏进入土壤和地下水</w:t>
            </w:r>
          </w:p>
        </w:tc>
        <w:tc>
          <w:tcPr>
            <w:tcW w:w="1195" w:type="dxa"/>
            <w:shd w:val="clear" w:color="auto" w:fill="FFFFFF"/>
            <w:vAlign w:val="center"/>
          </w:tcPr>
          <w:p w14:paraId="01E692D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08F650B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424D3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73A1DD97">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4C0F2C6C">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危废包装物</w:t>
            </w:r>
          </w:p>
        </w:tc>
        <w:tc>
          <w:tcPr>
            <w:tcW w:w="975" w:type="dxa"/>
            <w:shd w:val="clear" w:color="auto" w:fill="FFFFFF"/>
            <w:vAlign w:val="center"/>
          </w:tcPr>
          <w:p w14:paraId="2D04595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危废仓库</w:t>
            </w:r>
          </w:p>
        </w:tc>
        <w:tc>
          <w:tcPr>
            <w:tcW w:w="1330" w:type="dxa"/>
            <w:shd w:val="clear" w:color="auto" w:fill="FFFFFF"/>
            <w:vAlign w:val="center"/>
          </w:tcPr>
          <w:p w14:paraId="3753541A">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过滤残渣、浸润废料、废滤芯、废丁酮、废活性炭、废包装桶</w:t>
            </w:r>
            <w:r>
              <w:rPr>
                <w:rFonts w:hint="eastAsia" w:ascii="Times New Roman" w:hAnsi="Times New Roman" w:cs="Times New Roman"/>
                <w:bCs/>
                <w:color w:val="auto"/>
                <w:sz w:val="21"/>
                <w:szCs w:val="18"/>
                <w:highlight w:val="none"/>
                <w:lang w:eastAsia="zh-CN"/>
              </w:rPr>
              <w:t>（</w:t>
            </w:r>
            <w:r>
              <w:rPr>
                <w:rFonts w:hint="eastAsia" w:ascii="Times New Roman" w:hAnsi="Times New Roman" w:cs="Times New Roman"/>
                <w:bCs/>
                <w:color w:val="auto"/>
                <w:sz w:val="21"/>
                <w:szCs w:val="18"/>
                <w:highlight w:val="none"/>
                <w:lang w:val="en-US" w:eastAsia="zh-CN"/>
              </w:rPr>
              <w:t>瓶</w:t>
            </w:r>
            <w:r>
              <w:rPr>
                <w:rFonts w:hint="eastAsia" w:ascii="Times New Roman" w:hAnsi="Times New Roman" w:cs="Times New Roman"/>
                <w:bCs/>
                <w:color w:val="auto"/>
                <w:sz w:val="21"/>
                <w:szCs w:val="18"/>
                <w:highlight w:val="none"/>
                <w:lang w:eastAsia="zh-CN"/>
              </w:rPr>
              <w:t>）</w:t>
            </w:r>
            <w:r>
              <w:rPr>
                <w:rFonts w:hint="eastAsia" w:ascii="Times New Roman" w:hAnsi="Times New Roman" w:cs="Times New Roman"/>
                <w:bCs/>
                <w:color w:val="auto"/>
                <w:sz w:val="21"/>
                <w:szCs w:val="18"/>
                <w:highlight w:val="none"/>
              </w:rPr>
              <w:t>、废包装袋、实验废液、废实验耗材</w:t>
            </w:r>
            <w:r>
              <w:rPr>
                <w:rFonts w:ascii="Times New Roman" w:hAnsi="Times New Roman" w:cs="Times New Roman"/>
                <w:bCs/>
                <w:color w:val="auto"/>
                <w:sz w:val="21"/>
                <w:szCs w:val="18"/>
                <w:highlight w:val="none"/>
              </w:rPr>
              <w:t>等</w:t>
            </w:r>
          </w:p>
        </w:tc>
        <w:tc>
          <w:tcPr>
            <w:tcW w:w="855" w:type="dxa"/>
            <w:shd w:val="clear" w:color="auto" w:fill="FFFFFF"/>
            <w:vAlign w:val="center"/>
          </w:tcPr>
          <w:p w14:paraId="1838FBE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p>
        </w:tc>
        <w:tc>
          <w:tcPr>
            <w:tcW w:w="2059" w:type="dxa"/>
            <w:shd w:val="clear" w:color="auto" w:fill="FFFFFF"/>
            <w:vAlign w:val="center"/>
          </w:tcPr>
          <w:p w14:paraId="30EE264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泄漏物料、消防废水等事故废水进入雨水，污染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；泄漏物料挥发产生废气，火灾产生有毒有害气体进入大气；泄漏物料、消防沙土和废水渗漏进入土壤和地下水</w:t>
            </w:r>
          </w:p>
        </w:tc>
        <w:tc>
          <w:tcPr>
            <w:tcW w:w="1195" w:type="dxa"/>
            <w:shd w:val="clear" w:color="auto" w:fill="FFFFFF"/>
            <w:vAlign w:val="center"/>
          </w:tcPr>
          <w:p w14:paraId="0F52BFC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3D1D034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5D75A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2086DD93">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18F201A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危废包装物</w:t>
            </w:r>
          </w:p>
        </w:tc>
        <w:tc>
          <w:tcPr>
            <w:tcW w:w="975" w:type="dxa"/>
            <w:shd w:val="clear" w:color="auto" w:fill="FFFFFF"/>
            <w:vAlign w:val="center"/>
          </w:tcPr>
          <w:p w14:paraId="3419F40C">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废液储罐</w:t>
            </w:r>
          </w:p>
        </w:tc>
        <w:tc>
          <w:tcPr>
            <w:tcW w:w="1330" w:type="dxa"/>
            <w:shd w:val="clear" w:color="auto" w:fill="FFFFFF"/>
            <w:vAlign w:val="center"/>
          </w:tcPr>
          <w:p w14:paraId="7CB7E962">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Cs/>
                <w:color w:val="auto"/>
                <w:sz w:val="21"/>
                <w:szCs w:val="18"/>
                <w:highlight w:val="none"/>
                <w:lang w:val="en-US" w:eastAsia="zh-CN"/>
              </w:rPr>
            </w:pPr>
            <w:r>
              <w:rPr>
                <w:rFonts w:hint="eastAsia" w:ascii="Times New Roman" w:hAnsi="Times New Roman" w:cs="Times New Roman"/>
                <w:bCs/>
                <w:color w:val="auto"/>
                <w:sz w:val="21"/>
                <w:szCs w:val="18"/>
                <w:highlight w:val="none"/>
              </w:rPr>
              <w:t>喷淋废液、</w:t>
            </w:r>
            <w:r>
              <w:rPr>
                <w:rFonts w:hint="eastAsia" w:ascii="Times New Roman" w:hAnsi="Times New Roman" w:cs="Times New Roman"/>
                <w:bCs/>
                <w:color w:val="auto"/>
                <w:sz w:val="21"/>
                <w:szCs w:val="18"/>
                <w:highlight w:val="none"/>
                <w:lang w:val="en-US" w:eastAsia="zh-CN"/>
              </w:rPr>
              <w:t>实验清洗废水</w:t>
            </w:r>
          </w:p>
        </w:tc>
        <w:tc>
          <w:tcPr>
            <w:tcW w:w="855" w:type="dxa"/>
            <w:shd w:val="clear" w:color="auto" w:fill="FFFFFF"/>
            <w:vAlign w:val="center"/>
          </w:tcPr>
          <w:p w14:paraId="1243A1D7">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p>
        </w:tc>
        <w:tc>
          <w:tcPr>
            <w:tcW w:w="2059" w:type="dxa"/>
            <w:shd w:val="clear" w:color="auto" w:fill="FFFFFF"/>
            <w:vAlign w:val="center"/>
          </w:tcPr>
          <w:p w14:paraId="37164932">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泄漏物料、消防废水等事故废水进入雨水，污染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；泄漏物料挥发产生废气，火灾产生有毒有害气体进入大气；泄漏物料、消防沙土和废水渗漏进入土壤和地下水</w:t>
            </w:r>
          </w:p>
        </w:tc>
        <w:tc>
          <w:tcPr>
            <w:tcW w:w="1195" w:type="dxa"/>
            <w:shd w:val="clear" w:color="auto" w:fill="FFFFFF"/>
            <w:vAlign w:val="center"/>
          </w:tcPr>
          <w:p w14:paraId="2C09C278">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189492BC">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1CFD0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410FD249">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5B37B8A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生产设备</w:t>
            </w:r>
          </w:p>
        </w:tc>
        <w:tc>
          <w:tcPr>
            <w:tcW w:w="975" w:type="dxa"/>
            <w:shd w:val="clear" w:color="auto" w:fill="FFFFFF"/>
            <w:vAlign w:val="center"/>
          </w:tcPr>
          <w:p w14:paraId="1E4EDA6F">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Cs/>
                <w:color w:val="auto"/>
                <w:sz w:val="21"/>
                <w:szCs w:val="18"/>
                <w:highlight w:val="none"/>
                <w:lang w:val="en-US" w:eastAsia="zh-CN"/>
              </w:rPr>
            </w:pPr>
            <w:r>
              <w:rPr>
                <w:rFonts w:hint="eastAsia" w:ascii="Times New Roman" w:hAnsi="Times New Roman" w:cs="Times New Roman"/>
                <w:bCs/>
                <w:color w:val="auto"/>
                <w:sz w:val="21"/>
                <w:szCs w:val="18"/>
                <w:highlight w:val="none"/>
                <w:lang w:val="en-US" w:eastAsia="zh-CN"/>
              </w:rPr>
              <w:t>生产车间</w:t>
            </w:r>
          </w:p>
        </w:tc>
        <w:tc>
          <w:tcPr>
            <w:tcW w:w="1330" w:type="dxa"/>
            <w:shd w:val="clear" w:color="auto" w:fill="FFFFFF"/>
            <w:vAlign w:val="center"/>
          </w:tcPr>
          <w:p w14:paraId="5D50171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丙烯酸酯树脂、异氰酸酯（六亚甲基-1,6-二异氰酸酯）、聚氨酯丙烯酸酯</w:t>
            </w:r>
          </w:p>
          <w:p w14:paraId="093F011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hint="eastAsia" w:ascii="Times New Roman" w:hAnsi="Times New Roman" w:cs="Times New Roman"/>
                <w:bCs/>
                <w:color w:val="auto"/>
                <w:sz w:val="21"/>
                <w:szCs w:val="18"/>
                <w:highlight w:val="none"/>
              </w:rPr>
              <w:t>环氧丙烯酸树脂、单体（二缩三丙二醇二丙烯酸酯）、光敏剂（1-羟环己基苯酮）、酚醛环氧树脂、丙烯酸、2-乙二醇单乙醚醋酸酯（溶剂）、重溶剂油（溶剂）、2-甲基对苯二酚（聚合阻止剂）、三苯基膦（催化剂）、2、6-二叔丁基对甲基苯酚（聚合阻止剂）、四氢化邻苯二甲酸酐、二甲基亚砜、N-甲基吡咯烷酮、四甲基氢氧化铵、2-甲氨基乙醇、邻苯二酚、乙醇胺</w:t>
            </w:r>
            <w:r>
              <w:rPr>
                <w:rFonts w:ascii="Times New Roman" w:hAnsi="Times New Roman" w:cs="Times New Roman"/>
                <w:bCs/>
                <w:color w:val="auto"/>
                <w:sz w:val="21"/>
                <w:szCs w:val="18"/>
                <w:highlight w:val="none"/>
              </w:rPr>
              <w:t>等</w:t>
            </w:r>
          </w:p>
        </w:tc>
        <w:tc>
          <w:tcPr>
            <w:tcW w:w="855" w:type="dxa"/>
            <w:shd w:val="clear" w:color="auto" w:fill="FFFFFF"/>
            <w:vAlign w:val="center"/>
          </w:tcPr>
          <w:p w14:paraId="1F05A48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泄漏、火灾</w:t>
            </w:r>
          </w:p>
        </w:tc>
        <w:tc>
          <w:tcPr>
            <w:tcW w:w="2059" w:type="dxa"/>
            <w:shd w:val="clear" w:color="auto" w:fill="FFFFFF"/>
            <w:vAlign w:val="center"/>
          </w:tcPr>
          <w:p w14:paraId="22DD61D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泄漏物料进入雨水，污染</w:t>
            </w:r>
            <w:r>
              <w:rPr>
                <w:rFonts w:hint="eastAsia" w:ascii="Times New Roman" w:hAnsi="Times New Roman" w:cs="Times New Roman"/>
                <w:bCs/>
                <w:color w:val="auto"/>
                <w:sz w:val="21"/>
                <w:szCs w:val="18"/>
                <w:highlight w:val="none"/>
              </w:rPr>
              <w:t>锡北运河</w:t>
            </w:r>
            <w:r>
              <w:rPr>
                <w:rFonts w:ascii="Times New Roman" w:hAnsi="Times New Roman" w:cs="Times New Roman"/>
                <w:bCs/>
                <w:color w:val="auto"/>
                <w:sz w:val="21"/>
                <w:szCs w:val="18"/>
                <w:highlight w:val="none"/>
              </w:rPr>
              <w:t>；泄漏物料挥发产生废气进入大气</w:t>
            </w:r>
            <w:r>
              <w:rPr>
                <w:rFonts w:hint="eastAsia" w:ascii="Times New Roman" w:hAnsi="Times New Roman" w:cs="Times New Roman"/>
                <w:bCs/>
                <w:color w:val="auto"/>
                <w:sz w:val="21"/>
                <w:szCs w:val="18"/>
                <w:highlight w:val="none"/>
              </w:rPr>
              <w:t>，</w:t>
            </w:r>
            <w:r>
              <w:rPr>
                <w:rFonts w:ascii="Times New Roman" w:hAnsi="Times New Roman" w:cs="Times New Roman"/>
                <w:bCs/>
                <w:color w:val="auto"/>
                <w:sz w:val="21"/>
                <w:szCs w:val="18"/>
                <w:highlight w:val="none"/>
              </w:rPr>
              <w:t>火灾产生有毒有害气体进入大气；泄漏物料渗漏进入土壤和地下水</w:t>
            </w:r>
          </w:p>
        </w:tc>
        <w:tc>
          <w:tcPr>
            <w:tcW w:w="1195" w:type="dxa"/>
            <w:shd w:val="clear" w:color="auto" w:fill="FFFFFF"/>
            <w:vAlign w:val="center"/>
          </w:tcPr>
          <w:p w14:paraId="3E5CB521">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地表水、环境空气、地下水、土壤</w:t>
            </w:r>
          </w:p>
        </w:tc>
        <w:tc>
          <w:tcPr>
            <w:tcW w:w="797" w:type="dxa"/>
            <w:shd w:val="clear" w:color="auto" w:fill="FFFFFF"/>
            <w:vAlign w:val="center"/>
          </w:tcPr>
          <w:p w14:paraId="6CE67AD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r w14:paraId="4E55D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dxa"/>
            <w:shd w:val="clear" w:color="auto" w:fill="FFFFFF"/>
            <w:vAlign w:val="center"/>
          </w:tcPr>
          <w:p w14:paraId="0DEEDD61">
            <w:pPr>
              <w:keepNext w:val="0"/>
              <w:keepLines w:val="0"/>
              <w:pageBreakBefore w:val="0"/>
              <w:numPr>
                <w:ilvl w:val="0"/>
                <w:numId w:val="26"/>
              </w:numPr>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p>
        </w:tc>
        <w:tc>
          <w:tcPr>
            <w:tcW w:w="824" w:type="dxa"/>
            <w:shd w:val="clear" w:color="auto" w:fill="FFFFFF"/>
            <w:vAlign w:val="center"/>
          </w:tcPr>
          <w:p w14:paraId="27728B1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废气处理设施</w:t>
            </w:r>
          </w:p>
        </w:tc>
        <w:tc>
          <w:tcPr>
            <w:tcW w:w="975" w:type="dxa"/>
            <w:shd w:val="clear" w:color="auto" w:fill="FFFFFF"/>
            <w:vAlign w:val="center"/>
          </w:tcPr>
          <w:p w14:paraId="30211BD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各废气处理设施所在区域</w:t>
            </w:r>
          </w:p>
        </w:tc>
        <w:tc>
          <w:tcPr>
            <w:tcW w:w="1330" w:type="dxa"/>
            <w:shd w:val="clear" w:color="auto" w:fill="FFFFFF"/>
            <w:vAlign w:val="center"/>
          </w:tcPr>
          <w:p w14:paraId="3F1D15A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kern w:val="2"/>
                <w:sz w:val="21"/>
                <w:szCs w:val="21"/>
                <w:highlight w:val="none"/>
              </w:rPr>
              <w:t>非甲烷总烃</w:t>
            </w:r>
            <w:r>
              <w:rPr>
                <w:rFonts w:hint="eastAsia" w:ascii="Times New Roman" w:hAnsi="Times New Roman" w:cs="Times New Roman"/>
                <w:bCs/>
                <w:color w:val="auto"/>
                <w:kern w:val="2"/>
                <w:sz w:val="21"/>
                <w:szCs w:val="21"/>
                <w:highlight w:val="none"/>
              </w:rPr>
              <w:t>、氮氧化物</w:t>
            </w:r>
          </w:p>
        </w:tc>
        <w:tc>
          <w:tcPr>
            <w:tcW w:w="855" w:type="dxa"/>
            <w:shd w:val="clear" w:color="auto" w:fill="FFFFFF"/>
            <w:vAlign w:val="center"/>
          </w:tcPr>
          <w:p w14:paraId="3980CA1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5"/>
                <w:highlight w:val="none"/>
              </w:rPr>
            </w:pPr>
            <w:r>
              <w:rPr>
                <w:rFonts w:ascii="Times New Roman" w:hAnsi="Times New Roman" w:cs="Times New Roman"/>
                <w:bCs/>
                <w:color w:val="auto"/>
                <w:sz w:val="21"/>
                <w:szCs w:val="15"/>
                <w:highlight w:val="none"/>
              </w:rPr>
              <w:t>泄漏、火灾</w:t>
            </w:r>
          </w:p>
        </w:tc>
        <w:tc>
          <w:tcPr>
            <w:tcW w:w="2059" w:type="dxa"/>
            <w:shd w:val="clear" w:color="auto" w:fill="FFFFFF"/>
            <w:vAlign w:val="center"/>
          </w:tcPr>
          <w:p w14:paraId="689BA27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5"/>
                <w:highlight w:val="none"/>
              </w:rPr>
            </w:pPr>
            <w:r>
              <w:rPr>
                <w:rFonts w:ascii="Times New Roman" w:hAnsi="Times New Roman" w:cs="Times New Roman"/>
                <w:bCs/>
                <w:color w:val="auto"/>
                <w:sz w:val="21"/>
                <w:szCs w:val="15"/>
                <w:highlight w:val="none"/>
              </w:rPr>
              <w:t>超标废气排放进入大气环境，大气沉降进入土壤、地下水；消防废水等事故废水进入雨水，污染附近水体；火灾产生有毒有害气体进入大气；消防沙土和废水渗漏进入土壤和地下水</w:t>
            </w:r>
          </w:p>
        </w:tc>
        <w:tc>
          <w:tcPr>
            <w:tcW w:w="1195" w:type="dxa"/>
            <w:shd w:val="clear" w:color="auto" w:fill="FFFFFF"/>
            <w:vAlign w:val="center"/>
          </w:tcPr>
          <w:p w14:paraId="0C5D206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5"/>
                <w:highlight w:val="none"/>
              </w:rPr>
            </w:pPr>
            <w:r>
              <w:rPr>
                <w:rFonts w:ascii="Times New Roman" w:hAnsi="Times New Roman" w:cs="Times New Roman"/>
                <w:bCs/>
                <w:color w:val="auto"/>
                <w:sz w:val="21"/>
                <w:szCs w:val="15"/>
                <w:highlight w:val="none"/>
              </w:rPr>
              <w:t>地表水、环境空气、地下水、土壤</w:t>
            </w:r>
          </w:p>
        </w:tc>
        <w:tc>
          <w:tcPr>
            <w:tcW w:w="797" w:type="dxa"/>
            <w:shd w:val="clear" w:color="auto" w:fill="FFFFFF"/>
            <w:vAlign w:val="center"/>
          </w:tcPr>
          <w:p w14:paraId="4BB1A2AD">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18"/>
                <w:highlight w:val="none"/>
              </w:rPr>
            </w:pPr>
            <w:r>
              <w:rPr>
                <w:rFonts w:ascii="Times New Roman" w:hAnsi="Times New Roman" w:cs="Times New Roman"/>
                <w:bCs/>
                <w:color w:val="auto"/>
                <w:sz w:val="21"/>
                <w:szCs w:val="18"/>
                <w:highlight w:val="none"/>
              </w:rPr>
              <w:t>/</w:t>
            </w:r>
          </w:p>
        </w:tc>
      </w:tr>
    </w:tbl>
    <w:p w14:paraId="5900180F">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风险事故情形分析</w:t>
      </w:r>
    </w:p>
    <w:p w14:paraId="702C8B36">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bookmarkStart w:id="254" w:name="_Toc60653515"/>
      <w:r>
        <w:rPr>
          <w:rFonts w:ascii="Times New Roman" w:hAnsi="Times New Roman"/>
          <w:color w:val="auto"/>
          <w:sz w:val="24"/>
          <w:szCs w:val="24"/>
          <w:highlight w:val="none"/>
        </w:rPr>
        <w:t>最大可信事故确定</w:t>
      </w:r>
      <w:bookmarkEnd w:id="254"/>
    </w:p>
    <w:p w14:paraId="7B7FE52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因事故触发因素具有不确定性，因此事故情形的设定并不能包含全部可能的环境风险，但通过对具有代表性的事故情形分析可为风险管理提供科学依据，并在环境风险识别的基础上筛选出泄漏事故作为具有危险物质、环境危害、影响途径等方面代表性的事故情形进行设定。</w:t>
      </w:r>
    </w:p>
    <w:p w14:paraId="78A296F2">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根据潜在事故危险分析，本项目虽具有多个事故风险源，但是从生产过程、物料储运分析及物料毒性分析，环境风险事故主要分为有毒有害物质的泄漏，以及可燃物质引起的火灾、爆炸。</w:t>
      </w:r>
    </w:p>
    <w:p w14:paraId="1E740F19">
      <w:pPr>
        <w:pStyle w:val="239"/>
        <w:rPr>
          <w:rFonts w:ascii="Times New Roman" w:hAnsi="Times New Roman" w:eastAsia="宋体"/>
          <w:bCs w:val="0"/>
          <w:color w:val="auto"/>
          <w:highlight w:val="none"/>
        </w:rPr>
      </w:pPr>
      <w:r>
        <w:rPr>
          <w:rFonts w:ascii="Times New Roman" w:hAnsi="Times New Roman" w:eastAsia="宋体"/>
          <w:bCs w:val="0"/>
          <w:color w:val="auto"/>
          <w:highlight w:val="none"/>
        </w:rPr>
        <w:t>因此，根据</w:t>
      </w:r>
      <w:r>
        <w:rPr>
          <w:rFonts w:ascii="Times New Roman" w:hAnsi="Times New Roman" w:eastAsia="宋体"/>
          <w:color w:val="auto"/>
          <w:highlight w:val="none"/>
        </w:rPr>
        <w:t>《建设项目环境风险评价技术导则HJ169—2018》风险事故</w:t>
      </w:r>
      <w:r>
        <w:rPr>
          <w:rFonts w:ascii="Times New Roman" w:hAnsi="Times New Roman" w:eastAsia="宋体"/>
          <w:bCs w:val="0"/>
          <w:color w:val="auto"/>
          <w:highlight w:val="none"/>
        </w:rPr>
        <w:t>情形设定基本原则，</w:t>
      </w:r>
      <w:r>
        <w:rPr>
          <w:rFonts w:ascii="Times New Roman" w:hAnsi="Times New Roman" w:eastAsia="宋体"/>
          <w:color w:val="auto"/>
          <w:highlight w:val="none"/>
        </w:rPr>
        <w:t>综合比较企业环境风险物质的存在量、q/Q值、危险性特征和包装规格等，确定本项目最大可信事故如下：</w:t>
      </w:r>
    </w:p>
    <w:p w14:paraId="37B9560F">
      <w:pPr>
        <w:pStyle w:val="239"/>
        <w:numPr>
          <w:ilvl w:val="0"/>
          <w:numId w:val="27"/>
        </w:numPr>
        <w:ind w:firstLine="480"/>
        <w:rPr>
          <w:rFonts w:ascii="Times New Roman" w:hAnsi="Times New Roman" w:eastAsia="宋体"/>
          <w:bCs w:val="0"/>
          <w:color w:val="auto"/>
          <w:highlight w:val="none"/>
        </w:rPr>
      </w:pPr>
      <w:r>
        <w:rPr>
          <w:rFonts w:ascii="Times New Roman" w:hAnsi="Times New Roman" w:eastAsia="宋体"/>
          <w:bCs w:val="0"/>
          <w:color w:val="auto"/>
          <w:highlight w:val="none"/>
        </w:rPr>
        <w:t>大气环境风险最大可信事故——</w:t>
      </w:r>
      <w:r>
        <w:rPr>
          <w:rFonts w:hint="eastAsia" w:ascii="Times New Roman" w:hAnsi="Times New Roman" w:eastAsia="宋体"/>
          <w:b/>
          <w:color w:val="auto"/>
          <w:highlight w:val="none"/>
        </w:rPr>
        <w:t>N-甲基吡咯烷酮</w:t>
      </w:r>
      <w:r>
        <w:rPr>
          <w:rFonts w:ascii="Times New Roman" w:hAnsi="Times New Roman" w:eastAsia="宋体"/>
          <w:b/>
          <w:color w:val="auto"/>
          <w:highlight w:val="none"/>
        </w:rPr>
        <w:t>包装桶</w:t>
      </w:r>
      <w:r>
        <w:rPr>
          <w:rFonts w:hint="eastAsia" w:ascii="Times New Roman" w:hAnsi="Times New Roman" w:eastAsia="宋体"/>
          <w:b/>
          <w:color w:val="auto"/>
          <w:highlight w:val="none"/>
        </w:rPr>
        <w:t>泄漏</w:t>
      </w:r>
      <w:r>
        <w:rPr>
          <w:rFonts w:ascii="Times New Roman" w:hAnsi="Times New Roman" w:eastAsia="宋体"/>
          <w:b/>
          <w:color w:val="auto"/>
          <w:highlight w:val="none"/>
        </w:rPr>
        <w:t>遇明火发生火灾产生一氧化碳进入大气环境、</w:t>
      </w:r>
      <w:r>
        <w:rPr>
          <w:rFonts w:hint="eastAsia" w:ascii="Times New Roman" w:hAnsi="Times New Roman" w:eastAsia="宋体"/>
          <w:b/>
          <w:color w:val="auto"/>
          <w:highlight w:val="none"/>
        </w:rPr>
        <w:t>DA005</w:t>
      </w:r>
      <w:r>
        <w:rPr>
          <w:rFonts w:ascii="Times New Roman" w:hAnsi="Times New Roman" w:eastAsia="宋体"/>
          <w:b/>
          <w:color w:val="auto"/>
          <w:highlight w:val="none"/>
        </w:rPr>
        <w:t>排气筒事故排放进入大气环境</w:t>
      </w:r>
      <w:r>
        <w:rPr>
          <w:rFonts w:ascii="Times New Roman" w:hAnsi="Times New Roman" w:eastAsia="宋体"/>
          <w:bCs w:val="0"/>
          <w:color w:val="auto"/>
          <w:highlight w:val="none"/>
        </w:rPr>
        <w:t>。</w:t>
      </w:r>
    </w:p>
    <w:p w14:paraId="0928954B">
      <w:pPr>
        <w:pStyle w:val="2"/>
        <w:ind w:left="-105" w:right="-105"/>
        <w:rPr>
          <w:color w:val="auto"/>
          <w:sz w:val="28"/>
          <w:szCs w:val="28"/>
          <w:highlight w:val="none"/>
        </w:rPr>
      </w:pPr>
      <w:r>
        <w:rPr>
          <w:color w:val="auto"/>
          <w:highlight w:val="none"/>
        </w:rPr>
        <w:t>（2）水环境风险最大可信事故——</w:t>
      </w:r>
      <w:r>
        <w:rPr>
          <w:rFonts w:hint="eastAsia"/>
          <w:b/>
          <w:bCs/>
          <w:color w:val="auto"/>
          <w:highlight w:val="none"/>
        </w:rPr>
        <w:t>废液储罐</w:t>
      </w:r>
      <w:r>
        <w:rPr>
          <w:b/>
          <w:bCs/>
          <w:color w:val="auto"/>
          <w:highlight w:val="none"/>
        </w:rPr>
        <w:t>泄漏污染地表水、地下水环境</w:t>
      </w:r>
      <w:r>
        <w:rPr>
          <w:color w:val="auto"/>
          <w:highlight w:val="none"/>
        </w:rPr>
        <w:t>。</w:t>
      </w:r>
    </w:p>
    <w:p w14:paraId="725BF170">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bookmarkStart w:id="255" w:name="_Toc60653516"/>
      <w:r>
        <w:rPr>
          <w:rFonts w:ascii="Times New Roman" w:hAnsi="Times New Roman"/>
          <w:color w:val="auto"/>
          <w:sz w:val="24"/>
          <w:szCs w:val="24"/>
          <w:highlight w:val="none"/>
        </w:rPr>
        <w:t>事故泄漏时间</w:t>
      </w:r>
      <w:bookmarkEnd w:id="255"/>
    </w:p>
    <w:p w14:paraId="7334EA92">
      <w:pPr>
        <w:spacing w:line="360" w:lineRule="auto"/>
        <w:ind w:left="-105" w:right="-105" w:firstLine="480" w:firstLineChars="200"/>
        <w:jc w:val="both"/>
        <w:rPr>
          <w:rFonts w:ascii="Times New Roman" w:hAnsi="Times New Roman" w:cs="Times New Roman"/>
          <w:color w:val="auto"/>
          <w:highlight w:val="none"/>
        </w:rPr>
      </w:pPr>
      <w:bookmarkStart w:id="256" w:name="_Toc60653517"/>
      <w:r>
        <w:rPr>
          <w:rFonts w:ascii="Times New Roman" w:hAnsi="Times New Roman" w:cs="Times New Roman"/>
          <w:color w:val="auto"/>
          <w:highlight w:val="none"/>
        </w:rPr>
        <w:t>根据《建设项目环境风险评价技术导则》（HJ169—2018），一般情况下，设置紧急隔离系统的单元，泄漏时间可设定为10min，未设置紧急隔离系统的单元，泄漏时间可设定为30min，</w:t>
      </w:r>
      <w:r>
        <w:rPr>
          <w:rFonts w:ascii="Times New Roman" w:hAnsi="Times New Roman" w:cs="Times New Roman"/>
          <w:color w:val="auto"/>
          <w:highlight w:val="none"/>
        </w:rPr>
        <w:t>本项目</w:t>
      </w:r>
      <w:r>
        <w:rPr>
          <w:rFonts w:hint="eastAsia" w:ascii="Times New Roman" w:hAnsi="Times New Roman" w:cs="Times New Roman"/>
          <w:color w:val="auto"/>
          <w:highlight w:val="none"/>
        </w:rPr>
        <w:t>N-甲基吡咯烷酮包装桶</w:t>
      </w:r>
      <w:r>
        <w:rPr>
          <w:rFonts w:hint="eastAsia" w:ascii="Times New Roman" w:hAnsi="Times New Roman" w:cs="Times New Roman"/>
          <w:color w:val="auto"/>
          <w:highlight w:val="none"/>
          <w:lang w:val="en-US" w:eastAsia="zh-CN"/>
        </w:rPr>
        <w:t>贮存在危险品仓库，设置了截流沟和收集池，</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设置</w:t>
      </w:r>
      <w:r>
        <w:rPr>
          <w:rFonts w:hint="eastAsia" w:ascii="Times New Roman" w:hAnsi="Times New Roman" w:cs="Times New Roman"/>
          <w:color w:val="auto"/>
          <w:highlight w:val="none"/>
          <w:lang w:val="en-US" w:eastAsia="zh-CN"/>
        </w:rPr>
        <w:t>了围堰</w:t>
      </w:r>
      <w:r>
        <w:rPr>
          <w:rFonts w:ascii="Times New Roman" w:hAnsi="Times New Roman" w:cs="Times New Roman"/>
          <w:color w:val="auto"/>
          <w:highlight w:val="none"/>
        </w:rPr>
        <w:t>。因此，本评价假定事故泄漏时间取</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0min。</w:t>
      </w:r>
    </w:p>
    <w:p w14:paraId="622FF1D3">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最大可信事故概率分析</w:t>
      </w:r>
      <w:bookmarkEnd w:id="256"/>
    </w:p>
    <w:p w14:paraId="146D21A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风险事故具有一定程度的不确定性，事故发生的条件有很多，且具有极大的不确定性，发生事故的排放强度有多种可能。参照《建设项目环境风险评价技术导则HJ169—2018》附录E泄漏频率的推荐值，建设项目</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破裂导致泄漏事故发生的概率见下表。</w:t>
      </w:r>
    </w:p>
    <w:p w14:paraId="7710967C">
      <w:pPr>
        <w:pStyle w:val="15"/>
        <w:spacing w:line="360" w:lineRule="auto"/>
        <w:ind w:left="-105" w:right="-105" w:firstLine="482"/>
        <w:rPr>
          <w:rFonts w:eastAsia="宋体"/>
          <w:bCs/>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4.8</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6</w:t>
      </w:r>
      <w:r>
        <w:rPr>
          <w:rFonts w:eastAsia="宋体"/>
          <w:color w:val="auto"/>
          <w:sz w:val="24"/>
          <w:szCs w:val="18"/>
          <w:highlight w:val="none"/>
        </w:rPr>
        <w:fldChar w:fldCharType="end"/>
      </w:r>
      <w:r>
        <w:rPr>
          <w:rFonts w:eastAsia="宋体"/>
          <w:color w:val="auto"/>
          <w:sz w:val="24"/>
          <w:szCs w:val="24"/>
          <w:highlight w:val="none"/>
        </w:rPr>
        <w:t>泄漏频率表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83"/>
        <w:gridCol w:w="3479"/>
        <w:gridCol w:w="2858"/>
      </w:tblGrid>
      <w:tr w14:paraId="060645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2" w:type="dxa"/>
            <w:vAlign w:val="center"/>
          </w:tcPr>
          <w:p w14:paraId="234EFC97">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部件类型</w:t>
            </w:r>
          </w:p>
        </w:tc>
        <w:tc>
          <w:tcPr>
            <w:tcW w:w="3404" w:type="dxa"/>
            <w:vAlign w:val="center"/>
          </w:tcPr>
          <w:p w14:paraId="6977F82F">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泄漏模式</w:t>
            </w:r>
          </w:p>
        </w:tc>
        <w:tc>
          <w:tcPr>
            <w:tcW w:w="2796" w:type="dxa"/>
            <w:vAlign w:val="center"/>
          </w:tcPr>
          <w:p w14:paraId="3606BC05">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泄漏频率</w:t>
            </w:r>
          </w:p>
        </w:tc>
      </w:tr>
      <w:tr w14:paraId="6AFB76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2" w:type="dxa"/>
            <w:vMerge w:val="restart"/>
            <w:vAlign w:val="center"/>
          </w:tcPr>
          <w:p w14:paraId="797EF7F5">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常压单包容储罐</w:t>
            </w:r>
          </w:p>
        </w:tc>
        <w:tc>
          <w:tcPr>
            <w:tcW w:w="3404" w:type="dxa"/>
            <w:vAlign w:val="center"/>
          </w:tcPr>
          <w:p w14:paraId="65D5E625">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泄漏孔径为10mm孔径</w:t>
            </w:r>
          </w:p>
        </w:tc>
        <w:tc>
          <w:tcPr>
            <w:tcW w:w="2796" w:type="dxa"/>
            <w:vAlign w:val="center"/>
          </w:tcPr>
          <w:p w14:paraId="64240D4F">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1.0×10</w:t>
            </w:r>
            <w:r>
              <w:rPr>
                <w:rFonts w:eastAsia="宋体"/>
                <w:bCs/>
                <w:color w:val="auto"/>
                <w:sz w:val="21"/>
                <w:szCs w:val="21"/>
                <w:highlight w:val="none"/>
                <w:vertAlign w:val="superscript"/>
              </w:rPr>
              <w:t>-4</w:t>
            </w:r>
            <w:r>
              <w:rPr>
                <w:rFonts w:eastAsia="宋体"/>
                <w:bCs/>
                <w:color w:val="auto"/>
                <w:sz w:val="21"/>
                <w:szCs w:val="21"/>
                <w:highlight w:val="none"/>
              </w:rPr>
              <w:t>/a</w:t>
            </w:r>
          </w:p>
        </w:tc>
      </w:tr>
      <w:tr w14:paraId="6890D0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2" w:type="dxa"/>
            <w:vMerge w:val="continue"/>
            <w:vAlign w:val="center"/>
          </w:tcPr>
          <w:p w14:paraId="2136B40B">
            <w:pPr>
              <w:ind w:left="-105" w:right="-105"/>
              <w:jc w:val="center"/>
              <w:rPr>
                <w:rFonts w:ascii="Times New Roman" w:hAnsi="Times New Roman" w:cs="Times New Roman"/>
                <w:bCs/>
                <w:color w:val="auto"/>
                <w:sz w:val="21"/>
                <w:szCs w:val="21"/>
                <w:highlight w:val="none"/>
              </w:rPr>
            </w:pPr>
          </w:p>
        </w:tc>
        <w:tc>
          <w:tcPr>
            <w:tcW w:w="3404" w:type="dxa"/>
            <w:vAlign w:val="center"/>
          </w:tcPr>
          <w:p w14:paraId="39E763D5">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10mim内储罐泄漏完</w:t>
            </w:r>
          </w:p>
        </w:tc>
        <w:tc>
          <w:tcPr>
            <w:tcW w:w="2796" w:type="dxa"/>
            <w:vAlign w:val="center"/>
          </w:tcPr>
          <w:p w14:paraId="0C3ABD19">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5.0×10</w:t>
            </w:r>
            <w:r>
              <w:rPr>
                <w:rFonts w:eastAsia="宋体"/>
                <w:bCs/>
                <w:color w:val="auto"/>
                <w:sz w:val="21"/>
                <w:szCs w:val="21"/>
                <w:highlight w:val="none"/>
                <w:vertAlign w:val="superscript"/>
              </w:rPr>
              <w:t>-6</w:t>
            </w:r>
            <w:r>
              <w:rPr>
                <w:rFonts w:eastAsia="宋体"/>
                <w:bCs/>
                <w:color w:val="auto"/>
                <w:sz w:val="21"/>
                <w:szCs w:val="21"/>
                <w:highlight w:val="none"/>
              </w:rPr>
              <w:t>/a</w:t>
            </w:r>
          </w:p>
        </w:tc>
      </w:tr>
      <w:tr w14:paraId="1F0BBF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2" w:type="dxa"/>
            <w:vMerge w:val="continue"/>
            <w:vAlign w:val="center"/>
          </w:tcPr>
          <w:p w14:paraId="49106C0E">
            <w:pPr>
              <w:ind w:left="-105" w:right="-105"/>
              <w:jc w:val="center"/>
              <w:rPr>
                <w:rFonts w:ascii="Times New Roman" w:hAnsi="Times New Roman" w:cs="Times New Roman"/>
                <w:bCs/>
                <w:color w:val="auto"/>
                <w:sz w:val="21"/>
                <w:szCs w:val="21"/>
                <w:highlight w:val="none"/>
              </w:rPr>
            </w:pPr>
          </w:p>
        </w:tc>
        <w:tc>
          <w:tcPr>
            <w:tcW w:w="3404" w:type="dxa"/>
            <w:vAlign w:val="center"/>
          </w:tcPr>
          <w:p w14:paraId="5C144FF9">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储罐完全破裂</w:t>
            </w:r>
          </w:p>
        </w:tc>
        <w:tc>
          <w:tcPr>
            <w:tcW w:w="2796" w:type="dxa"/>
            <w:vAlign w:val="center"/>
          </w:tcPr>
          <w:p w14:paraId="327434AD">
            <w:pPr>
              <w:pStyle w:val="97"/>
              <w:ind w:left="-105" w:right="-105" w:firstLine="0" w:firstLineChars="0"/>
              <w:jc w:val="center"/>
              <w:rPr>
                <w:rFonts w:eastAsia="宋体"/>
                <w:bCs/>
                <w:color w:val="auto"/>
                <w:sz w:val="21"/>
                <w:szCs w:val="21"/>
                <w:highlight w:val="none"/>
              </w:rPr>
            </w:pPr>
            <w:r>
              <w:rPr>
                <w:rFonts w:eastAsia="宋体"/>
                <w:bCs/>
                <w:color w:val="auto"/>
                <w:sz w:val="21"/>
                <w:szCs w:val="21"/>
                <w:highlight w:val="none"/>
              </w:rPr>
              <w:t>5.0×10</w:t>
            </w:r>
            <w:r>
              <w:rPr>
                <w:rFonts w:eastAsia="宋体"/>
                <w:bCs/>
                <w:color w:val="auto"/>
                <w:sz w:val="21"/>
                <w:szCs w:val="21"/>
                <w:highlight w:val="none"/>
                <w:vertAlign w:val="superscript"/>
              </w:rPr>
              <w:t>-6</w:t>
            </w:r>
            <w:r>
              <w:rPr>
                <w:rFonts w:eastAsia="宋体"/>
                <w:bCs/>
                <w:color w:val="auto"/>
                <w:sz w:val="21"/>
                <w:szCs w:val="21"/>
                <w:highlight w:val="none"/>
              </w:rPr>
              <w:t>/a</w:t>
            </w:r>
          </w:p>
        </w:tc>
      </w:tr>
    </w:tbl>
    <w:p w14:paraId="587B107A">
      <w:pPr>
        <w:spacing w:line="360" w:lineRule="auto"/>
        <w:ind w:left="-105" w:right="-105" w:firstLine="480" w:firstLineChars="200"/>
        <w:rPr>
          <w:rFonts w:ascii="Times New Roman" w:hAnsi="Times New Roman" w:cs="Times New Roman"/>
          <w:color w:val="auto"/>
          <w:highlight w:val="none"/>
        </w:rPr>
      </w:pPr>
      <w:bookmarkStart w:id="257" w:name="_Toc60653518"/>
      <w:r>
        <w:rPr>
          <w:rFonts w:ascii="Times New Roman" w:hAnsi="Times New Roman" w:cs="Times New Roman"/>
          <w:color w:val="auto"/>
          <w:highlight w:val="none"/>
        </w:rPr>
        <w:t>本项目包装桶、</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泄漏频率参照常压单包容储罐完全破裂。</w:t>
      </w:r>
    </w:p>
    <w:p w14:paraId="7F083D95">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最大可信事故源强分析</w:t>
      </w:r>
      <w:bookmarkEnd w:id="257"/>
    </w:p>
    <w:p w14:paraId="5D028462">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（1）泄漏源强</w:t>
      </w:r>
    </w:p>
    <w:p w14:paraId="7294D6BF">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ascii="Times New Roman" w:hAnsi="Times New Roman" w:cs="Times New Roman"/>
          <w:color w:val="auto"/>
          <w:highlight w:val="none"/>
        </w:rPr>
      </w:pPr>
      <w:r>
        <w:rPr>
          <w:rFonts w:ascii="Times New Roman" w:hAnsi="Times New Roman" w:cs="Times New Roman"/>
          <w:color w:val="auto"/>
          <w:highlight w:val="none"/>
        </w:rPr>
        <w:t>危险品储存容器在常温状态下因破裂引起物料大量泄漏。</w:t>
      </w:r>
      <w:r>
        <w:rPr>
          <w:rFonts w:hint="eastAsia" w:ascii="Times New Roman" w:hAnsi="Times New Roman" w:cs="Times New Roman"/>
          <w:color w:val="auto"/>
          <w:highlight w:val="none"/>
        </w:rPr>
        <w:t>N-甲基吡咯烷酮包装桶</w:t>
      </w:r>
      <w:r>
        <w:rPr>
          <w:rFonts w:ascii="Times New Roman" w:hAnsi="Times New Roman" w:cs="Times New Roman"/>
          <w:color w:val="auto"/>
          <w:highlight w:val="none"/>
        </w:rPr>
        <w:t>采用</w:t>
      </w:r>
      <w:r>
        <w:rPr>
          <w:rFonts w:hint="eastAsia" w:ascii="Times New Roman" w:hAnsi="Times New Roman" w:cs="Times New Roman"/>
          <w:color w:val="auto"/>
          <w:highlight w:val="none"/>
        </w:rPr>
        <w:t>2</w:t>
      </w:r>
      <w:r>
        <w:rPr>
          <w:rFonts w:ascii="Times New Roman" w:hAnsi="Times New Roman" w:cs="Times New Roman"/>
          <w:color w:val="auto"/>
          <w:highlight w:val="none"/>
        </w:rPr>
        <w:t>00kg</w:t>
      </w:r>
      <w:r>
        <w:rPr>
          <w:rFonts w:hint="eastAsia" w:ascii="Times New Roman" w:hAnsi="Times New Roman" w:cs="Times New Roman"/>
          <w:color w:val="auto"/>
          <w:highlight w:val="none"/>
        </w:rPr>
        <w:t>塑料桶</w:t>
      </w:r>
      <w:r>
        <w:rPr>
          <w:rFonts w:ascii="Times New Roman" w:hAnsi="Times New Roman" w:cs="Times New Roman"/>
          <w:color w:val="auto"/>
          <w:highlight w:val="none"/>
        </w:rPr>
        <w:t>装。几个包装桶同时泄漏的可能性较小，考虑单桶危化品泄漏；考虑最坏情形，考虑</w:t>
      </w:r>
      <w:r>
        <w:rPr>
          <w:rFonts w:hint="eastAsia" w:ascii="Times New Roman" w:hAnsi="Times New Roman" w:cs="Times New Roman"/>
          <w:color w:val="auto"/>
          <w:highlight w:val="none"/>
        </w:rPr>
        <w:t>N-甲基吡咯烷酮</w:t>
      </w:r>
      <w:r>
        <w:rPr>
          <w:rFonts w:ascii="Times New Roman" w:hAnsi="Times New Roman" w:cs="Times New Roman"/>
          <w:color w:val="auto"/>
          <w:highlight w:val="none"/>
        </w:rPr>
        <w:t>整个包装桶破损泄漏，</w:t>
      </w:r>
      <w:r>
        <w:rPr>
          <w:rFonts w:hint="eastAsia" w:ascii="Times New Roman" w:hAnsi="Times New Roman" w:cs="Times New Roman"/>
          <w:color w:val="auto"/>
          <w:highlight w:val="none"/>
        </w:rPr>
        <w:t>N-甲基吡咯烷酮</w:t>
      </w:r>
      <w:r>
        <w:rPr>
          <w:rFonts w:ascii="Times New Roman" w:hAnsi="Times New Roman" w:cs="Times New Roman"/>
          <w:color w:val="auto"/>
          <w:highlight w:val="none"/>
        </w:rPr>
        <w:t>泄漏量为</w:t>
      </w:r>
      <w:r>
        <w:rPr>
          <w:rFonts w:hint="eastAsia" w:ascii="Times New Roman" w:hAnsi="Times New Roman" w:cs="Times New Roman"/>
          <w:color w:val="auto"/>
          <w:highlight w:val="none"/>
        </w:rPr>
        <w:t>200</w:t>
      </w:r>
      <w:r>
        <w:rPr>
          <w:rFonts w:ascii="Times New Roman" w:hAnsi="Times New Roman" w:cs="Times New Roman"/>
          <w:color w:val="auto"/>
          <w:highlight w:val="none"/>
        </w:rPr>
        <w:t>kg；</w:t>
      </w:r>
      <w:r>
        <w:rPr>
          <w:rFonts w:hint="eastAsia" w:ascii="Times New Roman" w:hAnsi="Times New Roman" w:cs="Times New Roman"/>
          <w:color w:val="auto"/>
          <w:highlight w:val="none"/>
        </w:rPr>
        <w:t>废液储罐最大</w:t>
      </w:r>
      <w:r>
        <w:rPr>
          <w:rFonts w:ascii="Times New Roman" w:hAnsi="Times New Roman" w:cs="Times New Roman"/>
          <w:color w:val="auto"/>
          <w:highlight w:val="none"/>
        </w:rPr>
        <w:t>容量为</w:t>
      </w:r>
      <w:r>
        <w:rPr>
          <w:rFonts w:hint="eastAsia" w:ascii="Times New Roman" w:hAnsi="Times New Roman" w:cs="Times New Roman"/>
          <w:color w:val="auto"/>
          <w:highlight w:val="none"/>
        </w:rPr>
        <w:t>20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，故考虑最坏情形，考虑</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完全泄漏，泄漏量为</w:t>
      </w:r>
      <w:r>
        <w:rPr>
          <w:rFonts w:hint="eastAsia" w:ascii="Times New Roman" w:hAnsi="Times New Roman" w:cs="Times New Roman"/>
          <w:color w:val="auto"/>
          <w:highlight w:val="none"/>
        </w:rPr>
        <w:t>20</w:t>
      </w:r>
      <w:r>
        <w:rPr>
          <w:rFonts w:ascii="Times New Roman" w:hAnsi="Times New Roman" w:cs="Times New Roman"/>
          <w:color w:val="auto"/>
          <w:highlight w:val="none"/>
        </w:rPr>
        <w:t>000kg。</w:t>
      </w:r>
    </w:p>
    <w:p w14:paraId="347C1719">
      <w:pPr>
        <w:pStyle w:val="97"/>
        <w:spacing w:line="360" w:lineRule="auto"/>
        <w:ind w:left="-105" w:right="-105" w:firstLine="480"/>
        <w:rPr>
          <w:rFonts w:eastAsia="宋体"/>
          <w:color w:val="auto"/>
          <w:sz w:val="24"/>
          <w:highlight w:val="none"/>
        </w:rPr>
      </w:pPr>
      <w:r>
        <w:rPr>
          <w:rFonts w:hint="eastAsia" w:eastAsia="宋体"/>
          <w:color w:val="auto"/>
          <w:sz w:val="24"/>
          <w:highlight w:val="none"/>
        </w:rPr>
        <w:t>（2）</w:t>
      </w:r>
      <w:r>
        <w:rPr>
          <w:rFonts w:eastAsia="宋体"/>
          <w:color w:val="auto"/>
          <w:sz w:val="24"/>
          <w:highlight w:val="none"/>
        </w:rPr>
        <w:t>火灾事故源强</w:t>
      </w:r>
    </w:p>
    <w:p w14:paraId="53020192">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cs="Times New Roman"/>
          <w:color w:val="auto"/>
          <w:highlight w:val="none"/>
        </w:rPr>
      </w:pPr>
      <w:r>
        <w:rPr>
          <w:rFonts w:ascii="Times New Roman" w:hAnsi="Times New Roman" w:cs="Times New Roman"/>
          <w:color w:val="auto"/>
          <w:highlight w:val="none"/>
        </w:rPr>
        <w:t>火灾伴生/次生污染物产生量计算根据《建设项目环境风险评价技术导则HJ169—2018》中经验法估算</w:t>
      </w:r>
      <w:r>
        <w:rPr>
          <w:rFonts w:hint="eastAsia" w:ascii="Times New Roman" w:hAnsi="Times New Roman" w:cs="Times New Roman"/>
          <w:color w:val="auto"/>
          <w:highlight w:val="none"/>
        </w:rPr>
        <w:t>“</w:t>
      </w:r>
      <w:r>
        <w:rPr>
          <w:rFonts w:ascii="Times New Roman" w:hAnsi="Times New Roman" w:cs="Times New Roman"/>
          <w:color w:val="auto"/>
          <w:highlight w:val="none"/>
        </w:rPr>
        <w:t>火灾爆炸事故在高温下迅速挥发释放至大气的未完全燃烧危险物质，以及燃烧过程中产生的伴生和次生污染物</w:t>
      </w:r>
      <w:r>
        <w:rPr>
          <w:rFonts w:hint="eastAsia" w:ascii="Times New Roman" w:hAnsi="Times New Roman" w:cs="Times New Roman"/>
          <w:color w:val="auto"/>
          <w:highlight w:val="none"/>
        </w:rPr>
        <w:t>”</w:t>
      </w:r>
      <w:r>
        <w:rPr>
          <w:rFonts w:ascii="Times New Roman" w:hAnsi="Times New Roman" w:cs="Times New Roman"/>
          <w:color w:val="auto"/>
          <w:highlight w:val="none"/>
        </w:rPr>
        <w:t>。本项目根据《建设项目环境风险评价技术导则HJ169—2018》附录F估算物质释放量。</w:t>
      </w:r>
    </w:p>
    <w:p w14:paraId="7F8E510C">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N-甲基吡咯烷酮</w:t>
      </w:r>
      <w:r>
        <w:rPr>
          <w:rFonts w:ascii="Times New Roman" w:hAnsi="Times New Roman" w:cs="Times New Roman"/>
          <w:color w:val="auto"/>
          <w:highlight w:val="none"/>
        </w:rPr>
        <w:t>遇明火燃烧产生的主要污染物为氮氧化物、一氧化碳等，本报告选取</w:t>
      </w:r>
      <w:r>
        <w:rPr>
          <w:rFonts w:hint="eastAsia" w:ascii="Times New Roman" w:hAnsi="Times New Roman" w:cs="Times New Roman"/>
          <w:color w:val="auto"/>
          <w:highlight w:val="none"/>
        </w:rPr>
        <w:t>N-甲基吡咯烷酮</w:t>
      </w:r>
      <w:r>
        <w:rPr>
          <w:rFonts w:ascii="Times New Roman" w:hAnsi="Times New Roman" w:cs="Times New Roman"/>
          <w:color w:val="auto"/>
          <w:highlight w:val="none"/>
        </w:rPr>
        <w:t>火灾事故产生的有毒有害物质一氧化碳进行重点评价分析。火灾伴生和次生污染物源强确定参考《建设项目环境风险评价技术导则HJ169—2018》附录F中油品火灾伴/次生中一氧化碳产生量的计算公式计算：</w:t>
      </w:r>
    </w:p>
    <w:p w14:paraId="74BEDE67">
      <w:pPr>
        <w:adjustRightInd w:val="0"/>
        <w:snapToGrid w:val="0"/>
        <w:spacing w:line="360" w:lineRule="auto"/>
        <w:ind w:left="-105" w:right="-105" w:firstLine="480" w:firstLineChars="20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0" distR="0">
            <wp:extent cx="1525270" cy="325755"/>
            <wp:effectExtent l="0" t="0" r="17780" b="17145"/>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45210" cy="330183"/>
                    </a:xfrm>
                    <a:prstGeom prst="rect">
                      <a:avLst/>
                    </a:prstGeom>
                    <a:noFill/>
                    <a:ln>
                      <a:noFill/>
                    </a:ln>
                  </pic:spPr>
                </pic:pic>
              </a:graphicData>
            </a:graphic>
          </wp:inline>
        </w:drawing>
      </w:r>
    </w:p>
    <w:p w14:paraId="286020E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G一氧化碳一氧化碳产生量，kg/s；</w:t>
      </w:r>
    </w:p>
    <w:p w14:paraId="08BA3CCE">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C一物质中碳的含量，%。</w:t>
      </w:r>
      <w:r>
        <w:rPr>
          <w:rFonts w:hint="eastAsia" w:ascii="Times New Roman" w:hAnsi="Times New Roman" w:cs="Times New Roman"/>
          <w:color w:val="auto"/>
          <w:highlight w:val="none"/>
        </w:rPr>
        <w:t>N-甲基吡咯烷酮</w:t>
      </w:r>
      <w:r>
        <w:rPr>
          <w:rFonts w:ascii="Times New Roman" w:hAnsi="Times New Roman" w:cs="Times New Roman"/>
          <w:color w:val="auto"/>
          <w:highlight w:val="none"/>
        </w:rPr>
        <w:t>的质量百分比含量按60</w:t>
      </w:r>
      <w:r>
        <w:rPr>
          <w:rFonts w:hint="eastAsia" w:ascii="Times New Roman" w:hAnsi="Times New Roman" w:cs="Times New Roman"/>
          <w:color w:val="auto"/>
          <w:highlight w:val="none"/>
        </w:rPr>
        <w:t>.6</w:t>
      </w:r>
      <w:r>
        <w:rPr>
          <w:rFonts w:ascii="Times New Roman" w:hAnsi="Times New Roman" w:cs="Times New Roman"/>
          <w:color w:val="auto"/>
          <w:highlight w:val="none"/>
        </w:rPr>
        <w:t>%计；</w:t>
      </w:r>
    </w:p>
    <w:p w14:paraId="0D0D7994">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q—化学不完全燃烧值，%。取1.5%</w:t>
      </w:r>
      <w:r>
        <w:rPr>
          <w:rFonts w:ascii="Times New Roman" w:hAnsi="Times New Roman" w:eastAsia="微软雅黑" w:cs="Times New Roman"/>
          <w:color w:val="auto"/>
          <w:highlight w:val="none"/>
        </w:rPr>
        <w:t>~</w:t>
      </w:r>
      <w:r>
        <w:rPr>
          <w:rFonts w:ascii="Times New Roman" w:hAnsi="Times New Roman" w:cs="Times New Roman"/>
          <w:color w:val="auto"/>
          <w:highlight w:val="none"/>
        </w:rPr>
        <w:t>6%。本次预测取最大值6%。</w:t>
      </w:r>
    </w:p>
    <w:p w14:paraId="2799C734">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Q一参与燃烧的物质量，t/s。本项目考虑单个</w:t>
      </w:r>
      <w:r>
        <w:rPr>
          <w:rFonts w:hint="eastAsia" w:ascii="Times New Roman" w:hAnsi="Times New Roman" w:cs="Times New Roman"/>
          <w:color w:val="auto"/>
          <w:highlight w:val="none"/>
        </w:rPr>
        <w:t>包装桶</w:t>
      </w:r>
      <w:r>
        <w:rPr>
          <w:rFonts w:ascii="Times New Roman" w:hAnsi="Times New Roman" w:cs="Times New Roman"/>
          <w:color w:val="auto"/>
          <w:highlight w:val="none"/>
        </w:rPr>
        <w:t>全部发生火灾，存储量为</w:t>
      </w:r>
      <w:r>
        <w:rPr>
          <w:rFonts w:hint="eastAsia" w:ascii="Times New Roman" w:hAnsi="Times New Roman" w:cs="Times New Roman"/>
          <w:color w:val="auto"/>
          <w:highlight w:val="none"/>
        </w:rPr>
        <w:t>2</w:t>
      </w:r>
      <w:r>
        <w:rPr>
          <w:rFonts w:ascii="Times New Roman" w:hAnsi="Times New Roman" w:cs="Times New Roman"/>
          <w:color w:val="auto"/>
          <w:highlight w:val="none"/>
        </w:rPr>
        <w:t>00kg，取燃烧时间为30min，故本项目Q取0.000</w:t>
      </w:r>
      <w:r>
        <w:rPr>
          <w:rFonts w:hint="eastAsia" w:ascii="Times New Roman" w:hAnsi="Times New Roman" w:cs="Times New Roman"/>
          <w:color w:val="auto"/>
          <w:highlight w:val="none"/>
        </w:rPr>
        <w:t>111</w:t>
      </w:r>
      <w:r>
        <w:rPr>
          <w:rFonts w:ascii="Times New Roman" w:hAnsi="Times New Roman" w:cs="Times New Roman"/>
          <w:color w:val="auto"/>
          <w:highlight w:val="none"/>
        </w:rPr>
        <w:t>t/s；</w:t>
      </w:r>
    </w:p>
    <w:p w14:paraId="58B1DA92">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根据上式计算得出CO的产生量G</w:t>
      </w:r>
      <w:r>
        <w:rPr>
          <w:rFonts w:ascii="Times New Roman" w:hAnsi="Times New Roman" w:cs="Times New Roman"/>
          <w:color w:val="auto"/>
          <w:highlight w:val="none"/>
          <w:vertAlign w:val="subscript"/>
        </w:rPr>
        <w:t>一氧化碳</w:t>
      </w:r>
      <w:r>
        <w:rPr>
          <w:rFonts w:ascii="Times New Roman" w:hAnsi="Times New Roman" w:cs="Times New Roman"/>
          <w:color w:val="auto"/>
          <w:highlight w:val="none"/>
        </w:rPr>
        <w:t>为0.0</w:t>
      </w:r>
      <w:r>
        <w:rPr>
          <w:rFonts w:hint="eastAsia" w:ascii="Times New Roman" w:hAnsi="Times New Roman" w:cs="Times New Roman"/>
          <w:color w:val="auto"/>
          <w:highlight w:val="none"/>
        </w:rPr>
        <w:t>094</w:t>
      </w:r>
      <w:r>
        <w:rPr>
          <w:rFonts w:ascii="Times New Roman" w:hAnsi="Times New Roman" w:cs="Times New Roman"/>
          <w:color w:val="auto"/>
          <w:highlight w:val="none"/>
        </w:rPr>
        <w:t>kg/s。</w:t>
      </w:r>
    </w:p>
    <w:p w14:paraId="790877EC">
      <w:pPr>
        <w:pStyle w:val="97"/>
        <w:spacing w:line="360" w:lineRule="auto"/>
        <w:ind w:left="-105" w:right="-105" w:firstLine="480"/>
        <w:rPr>
          <w:rFonts w:eastAsia="宋体"/>
          <w:color w:val="auto"/>
          <w:sz w:val="24"/>
          <w:highlight w:val="none"/>
        </w:rPr>
      </w:pPr>
      <w:r>
        <w:rPr>
          <w:rFonts w:eastAsia="宋体"/>
          <w:color w:val="auto"/>
          <w:sz w:val="24"/>
          <w:highlight w:val="none"/>
        </w:rPr>
        <w:t>（</w:t>
      </w:r>
      <w:r>
        <w:rPr>
          <w:rFonts w:hint="eastAsia" w:eastAsia="宋体"/>
          <w:color w:val="auto"/>
          <w:sz w:val="24"/>
          <w:highlight w:val="none"/>
        </w:rPr>
        <w:t>3</w:t>
      </w:r>
      <w:r>
        <w:rPr>
          <w:rFonts w:eastAsia="宋体"/>
          <w:color w:val="auto"/>
          <w:sz w:val="24"/>
          <w:highlight w:val="none"/>
        </w:rPr>
        <w:t>）源强参数确定</w:t>
      </w:r>
    </w:p>
    <w:p w14:paraId="35FB7D24">
      <w:pPr>
        <w:pStyle w:val="15"/>
        <w:spacing w:line="360" w:lineRule="auto"/>
        <w:ind w:left="-105" w:right="-105" w:firstLine="482"/>
        <w:rPr>
          <w:rFonts w:eastAsia="宋体"/>
          <w:color w:val="auto"/>
          <w:sz w:val="24"/>
          <w:szCs w:val="18"/>
          <w:highlight w:val="none"/>
        </w:rPr>
      </w:pPr>
    </w:p>
    <w:p w14:paraId="2E48B9F4">
      <w:pPr>
        <w:pStyle w:val="15"/>
        <w:spacing w:line="360" w:lineRule="auto"/>
        <w:ind w:left="-105" w:right="-105" w:firstLine="482"/>
        <w:rPr>
          <w:rFonts w:eastAsia="宋体"/>
          <w:color w:val="auto"/>
          <w:sz w:val="24"/>
          <w:szCs w:val="18"/>
          <w:highlight w:val="none"/>
        </w:rPr>
      </w:pPr>
    </w:p>
    <w:p w14:paraId="57FB92C0">
      <w:pPr>
        <w:pStyle w:val="15"/>
        <w:spacing w:line="360" w:lineRule="auto"/>
        <w:ind w:left="-105" w:right="-105" w:firstLine="482"/>
        <w:rPr>
          <w:rFonts w:eastAsia="宋体"/>
          <w:b w:val="0"/>
          <w:bCs/>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4.8</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7</w:t>
      </w:r>
      <w:r>
        <w:rPr>
          <w:rFonts w:eastAsia="宋体"/>
          <w:color w:val="auto"/>
          <w:sz w:val="24"/>
          <w:szCs w:val="18"/>
          <w:highlight w:val="none"/>
        </w:rPr>
        <w:fldChar w:fldCharType="end"/>
      </w:r>
      <w:r>
        <w:rPr>
          <w:rFonts w:eastAsia="宋体"/>
          <w:color w:val="auto"/>
          <w:sz w:val="24"/>
          <w:szCs w:val="24"/>
          <w:highlight w:val="none"/>
        </w:rPr>
        <w:t>本项目风险事故源强一览表</w:t>
      </w:r>
    </w:p>
    <w:tbl>
      <w:tblPr>
        <w:tblStyle w:val="45"/>
        <w:tblW w:w="87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850"/>
        <w:gridCol w:w="851"/>
        <w:gridCol w:w="708"/>
        <w:gridCol w:w="959"/>
        <w:gridCol w:w="1134"/>
        <w:gridCol w:w="850"/>
        <w:gridCol w:w="982"/>
        <w:gridCol w:w="932"/>
        <w:gridCol w:w="1028"/>
      </w:tblGrid>
      <w:tr w14:paraId="13F20C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426" w:type="dxa"/>
            <w:vAlign w:val="center"/>
          </w:tcPr>
          <w:p w14:paraId="68D46D80">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序号</w:t>
            </w:r>
          </w:p>
        </w:tc>
        <w:tc>
          <w:tcPr>
            <w:tcW w:w="850" w:type="dxa"/>
            <w:vAlign w:val="center"/>
          </w:tcPr>
          <w:p w14:paraId="2CE1AA90">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风险事故情形描述</w:t>
            </w:r>
          </w:p>
        </w:tc>
        <w:tc>
          <w:tcPr>
            <w:tcW w:w="851" w:type="dxa"/>
            <w:vAlign w:val="center"/>
          </w:tcPr>
          <w:p w14:paraId="3E756C15">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危险单元</w:t>
            </w:r>
          </w:p>
        </w:tc>
        <w:tc>
          <w:tcPr>
            <w:tcW w:w="708" w:type="dxa"/>
            <w:vAlign w:val="center"/>
          </w:tcPr>
          <w:p w14:paraId="4E35A383">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危险</w:t>
            </w:r>
          </w:p>
          <w:p w14:paraId="45A223C4">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物质</w:t>
            </w:r>
          </w:p>
        </w:tc>
        <w:tc>
          <w:tcPr>
            <w:tcW w:w="959" w:type="dxa"/>
            <w:vAlign w:val="center"/>
          </w:tcPr>
          <w:p w14:paraId="39B63A9E">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影响途径</w:t>
            </w:r>
          </w:p>
        </w:tc>
        <w:tc>
          <w:tcPr>
            <w:tcW w:w="1134" w:type="dxa"/>
            <w:vAlign w:val="center"/>
          </w:tcPr>
          <w:p w14:paraId="4A8E12BE">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释放或泄漏速率（g/s)</w:t>
            </w:r>
          </w:p>
        </w:tc>
        <w:tc>
          <w:tcPr>
            <w:tcW w:w="850" w:type="dxa"/>
            <w:vAlign w:val="center"/>
          </w:tcPr>
          <w:p w14:paraId="6E2F38A3">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释放或泄漏时间（min)</w:t>
            </w:r>
          </w:p>
        </w:tc>
        <w:tc>
          <w:tcPr>
            <w:tcW w:w="982" w:type="dxa"/>
            <w:vAlign w:val="center"/>
          </w:tcPr>
          <w:p w14:paraId="59984D31">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最大释放或泄漏量（kg)</w:t>
            </w:r>
          </w:p>
        </w:tc>
        <w:tc>
          <w:tcPr>
            <w:tcW w:w="932" w:type="dxa"/>
            <w:vAlign w:val="center"/>
          </w:tcPr>
          <w:p w14:paraId="1C9BE28F">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泄漏液体蒸发量（kg)</w:t>
            </w:r>
          </w:p>
        </w:tc>
        <w:tc>
          <w:tcPr>
            <w:tcW w:w="1028" w:type="dxa"/>
            <w:vAlign w:val="center"/>
          </w:tcPr>
          <w:p w14:paraId="0AEA0473">
            <w:pPr>
              <w:pStyle w:val="97"/>
              <w:ind w:left="-105" w:right="-105" w:firstLine="0" w:firstLineChars="0"/>
              <w:jc w:val="center"/>
              <w:rPr>
                <w:rFonts w:eastAsia="宋体"/>
                <w:b/>
                <w:bCs/>
                <w:color w:val="auto"/>
                <w:sz w:val="21"/>
                <w:szCs w:val="21"/>
                <w:highlight w:val="none"/>
              </w:rPr>
            </w:pPr>
            <w:r>
              <w:rPr>
                <w:rFonts w:eastAsia="宋体"/>
                <w:b/>
                <w:bCs/>
                <w:color w:val="auto"/>
                <w:sz w:val="21"/>
                <w:szCs w:val="21"/>
                <w:highlight w:val="none"/>
              </w:rPr>
              <w:t>其他事故源参数</w:t>
            </w:r>
          </w:p>
        </w:tc>
      </w:tr>
      <w:tr w14:paraId="4BADD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1E7F7B94">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1</w:t>
            </w:r>
          </w:p>
        </w:tc>
        <w:tc>
          <w:tcPr>
            <w:tcW w:w="850" w:type="dxa"/>
            <w:vAlign w:val="center"/>
          </w:tcPr>
          <w:p w14:paraId="0115E462">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火灾</w:t>
            </w:r>
          </w:p>
        </w:tc>
        <w:tc>
          <w:tcPr>
            <w:tcW w:w="851" w:type="dxa"/>
            <w:vAlign w:val="center"/>
          </w:tcPr>
          <w:p w14:paraId="1D91ED00">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N-甲基吡咯烷酮包装桶</w:t>
            </w:r>
          </w:p>
        </w:tc>
        <w:tc>
          <w:tcPr>
            <w:tcW w:w="708" w:type="dxa"/>
            <w:vAlign w:val="center"/>
          </w:tcPr>
          <w:p w14:paraId="4BBE5982">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一氧化碳</w:t>
            </w:r>
          </w:p>
        </w:tc>
        <w:tc>
          <w:tcPr>
            <w:tcW w:w="959" w:type="dxa"/>
            <w:vAlign w:val="center"/>
          </w:tcPr>
          <w:p w14:paraId="4BAA3DD7">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遇明火发生火灾</w:t>
            </w:r>
          </w:p>
        </w:tc>
        <w:tc>
          <w:tcPr>
            <w:tcW w:w="1134" w:type="dxa"/>
            <w:vAlign w:val="center"/>
          </w:tcPr>
          <w:p w14:paraId="20D7788D">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9.4</w:t>
            </w:r>
          </w:p>
        </w:tc>
        <w:tc>
          <w:tcPr>
            <w:tcW w:w="850" w:type="dxa"/>
            <w:vAlign w:val="center"/>
          </w:tcPr>
          <w:p w14:paraId="1CAD97F4">
            <w:pPr>
              <w:pStyle w:val="97"/>
              <w:ind w:left="-105" w:right="-105"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30</w:t>
            </w:r>
          </w:p>
        </w:tc>
        <w:tc>
          <w:tcPr>
            <w:tcW w:w="982" w:type="dxa"/>
            <w:vAlign w:val="center"/>
          </w:tcPr>
          <w:p w14:paraId="1B211A76">
            <w:pPr>
              <w:pStyle w:val="97"/>
              <w:ind w:left="-105" w:right="-105" w:firstLine="0" w:firstLineChars="0"/>
              <w:jc w:val="center"/>
              <w:rPr>
                <w:rFonts w:eastAsia="宋体"/>
                <w:color w:val="auto"/>
                <w:kern w:val="0"/>
                <w:sz w:val="21"/>
                <w:szCs w:val="21"/>
                <w:highlight w:val="none"/>
              </w:rPr>
            </w:pPr>
            <w:r>
              <w:rPr>
                <w:rFonts w:hint="eastAsia" w:eastAsia="宋体"/>
                <w:color w:val="auto"/>
                <w:kern w:val="0"/>
                <w:sz w:val="21"/>
                <w:szCs w:val="21"/>
                <w:highlight w:val="none"/>
              </w:rPr>
              <w:t>200</w:t>
            </w:r>
          </w:p>
        </w:tc>
        <w:tc>
          <w:tcPr>
            <w:tcW w:w="932" w:type="dxa"/>
            <w:vAlign w:val="center"/>
          </w:tcPr>
          <w:p w14:paraId="5658FE65">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w:t>
            </w:r>
          </w:p>
        </w:tc>
        <w:tc>
          <w:tcPr>
            <w:tcW w:w="1028" w:type="dxa"/>
            <w:vAlign w:val="center"/>
          </w:tcPr>
          <w:p w14:paraId="0B0C7BD0">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包装桶</w:t>
            </w:r>
            <w:r>
              <w:rPr>
                <w:rFonts w:eastAsia="宋体"/>
                <w:color w:val="auto"/>
                <w:sz w:val="21"/>
                <w:szCs w:val="21"/>
                <w:highlight w:val="none"/>
              </w:rPr>
              <w:t>中</w:t>
            </w:r>
            <w:r>
              <w:rPr>
                <w:rFonts w:hint="eastAsia" w:eastAsia="宋体"/>
                <w:color w:val="auto"/>
                <w:sz w:val="21"/>
                <w:szCs w:val="21"/>
                <w:highlight w:val="none"/>
              </w:rPr>
              <w:t>N-甲基吡咯烷酮</w:t>
            </w:r>
            <w:r>
              <w:rPr>
                <w:rFonts w:eastAsia="宋体"/>
                <w:color w:val="auto"/>
                <w:sz w:val="21"/>
                <w:szCs w:val="21"/>
                <w:highlight w:val="none"/>
              </w:rPr>
              <w:t>全部燃烧</w:t>
            </w:r>
          </w:p>
        </w:tc>
      </w:tr>
      <w:tr w14:paraId="4B8887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684C5933">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2</w:t>
            </w:r>
          </w:p>
        </w:tc>
        <w:tc>
          <w:tcPr>
            <w:tcW w:w="850" w:type="dxa"/>
            <w:vAlign w:val="center"/>
          </w:tcPr>
          <w:p w14:paraId="076B385A">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废液储罐</w:t>
            </w:r>
          </w:p>
        </w:tc>
        <w:tc>
          <w:tcPr>
            <w:tcW w:w="851" w:type="dxa"/>
            <w:vAlign w:val="center"/>
          </w:tcPr>
          <w:p w14:paraId="09D6EEC3">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喷淋</w:t>
            </w:r>
            <w:r>
              <w:rPr>
                <w:rFonts w:eastAsia="宋体"/>
                <w:color w:val="auto"/>
                <w:sz w:val="21"/>
                <w:szCs w:val="21"/>
                <w:highlight w:val="none"/>
              </w:rPr>
              <w:t>废水</w:t>
            </w:r>
          </w:p>
        </w:tc>
        <w:tc>
          <w:tcPr>
            <w:tcW w:w="708" w:type="dxa"/>
            <w:vAlign w:val="center"/>
          </w:tcPr>
          <w:p w14:paraId="581B6FDD">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COD</w:t>
            </w:r>
          </w:p>
        </w:tc>
        <w:tc>
          <w:tcPr>
            <w:tcW w:w="959" w:type="dxa"/>
            <w:vAlign w:val="center"/>
          </w:tcPr>
          <w:p w14:paraId="7DF390C9">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泄漏</w:t>
            </w:r>
          </w:p>
        </w:tc>
        <w:tc>
          <w:tcPr>
            <w:tcW w:w="1134" w:type="dxa"/>
            <w:vAlign w:val="center"/>
          </w:tcPr>
          <w:p w14:paraId="4BABF912">
            <w:pPr>
              <w:pStyle w:val="97"/>
              <w:ind w:left="-105" w:right="-105"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33333</w:t>
            </w:r>
          </w:p>
        </w:tc>
        <w:tc>
          <w:tcPr>
            <w:tcW w:w="850" w:type="dxa"/>
            <w:vAlign w:val="center"/>
          </w:tcPr>
          <w:p w14:paraId="5474972D">
            <w:pPr>
              <w:pStyle w:val="97"/>
              <w:ind w:left="-105" w:right="-105"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10</w:t>
            </w:r>
          </w:p>
        </w:tc>
        <w:tc>
          <w:tcPr>
            <w:tcW w:w="982" w:type="dxa"/>
            <w:vAlign w:val="center"/>
          </w:tcPr>
          <w:p w14:paraId="0DC3F3A0">
            <w:pPr>
              <w:pStyle w:val="97"/>
              <w:ind w:left="-105" w:right="-105" w:firstLine="0" w:firstLineChars="0"/>
              <w:jc w:val="center"/>
              <w:rPr>
                <w:rFonts w:eastAsia="宋体"/>
                <w:color w:val="auto"/>
                <w:kern w:val="0"/>
                <w:sz w:val="21"/>
                <w:szCs w:val="21"/>
                <w:highlight w:val="none"/>
              </w:rPr>
            </w:pPr>
            <w:r>
              <w:rPr>
                <w:rFonts w:hint="eastAsia" w:eastAsia="宋体"/>
                <w:color w:val="auto"/>
                <w:kern w:val="0"/>
                <w:sz w:val="21"/>
                <w:szCs w:val="21"/>
                <w:highlight w:val="none"/>
              </w:rPr>
              <w:t>20000</w:t>
            </w:r>
          </w:p>
        </w:tc>
        <w:tc>
          <w:tcPr>
            <w:tcW w:w="932" w:type="dxa"/>
            <w:vAlign w:val="center"/>
          </w:tcPr>
          <w:p w14:paraId="30726405">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w:t>
            </w:r>
          </w:p>
        </w:tc>
        <w:tc>
          <w:tcPr>
            <w:tcW w:w="1028" w:type="dxa"/>
            <w:vAlign w:val="center"/>
          </w:tcPr>
          <w:p w14:paraId="03574BDB">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储罐</w:t>
            </w:r>
            <w:r>
              <w:rPr>
                <w:rFonts w:eastAsia="宋体"/>
                <w:color w:val="auto"/>
                <w:sz w:val="21"/>
                <w:szCs w:val="21"/>
                <w:highlight w:val="none"/>
              </w:rPr>
              <w:t>全部泄漏</w:t>
            </w:r>
          </w:p>
        </w:tc>
      </w:tr>
      <w:tr w14:paraId="6DBBC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17534603">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3</w:t>
            </w:r>
          </w:p>
        </w:tc>
        <w:tc>
          <w:tcPr>
            <w:tcW w:w="850" w:type="dxa"/>
            <w:vAlign w:val="center"/>
          </w:tcPr>
          <w:p w14:paraId="6FF864B1">
            <w:pPr>
              <w:pStyle w:val="97"/>
              <w:ind w:left="-120" w:leftChars="-50" w:right="-120" w:rightChars="-50" w:firstLine="0" w:firstLineChars="0"/>
              <w:jc w:val="center"/>
              <w:rPr>
                <w:rFonts w:eastAsia="宋体"/>
                <w:color w:val="auto"/>
                <w:sz w:val="21"/>
                <w:szCs w:val="21"/>
                <w:highlight w:val="none"/>
              </w:rPr>
            </w:pPr>
            <w:r>
              <w:rPr>
                <w:rFonts w:eastAsia="宋体"/>
                <w:color w:val="auto"/>
                <w:sz w:val="21"/>
                <w:szCs w:val="21"/>
                <w:highlight w:val="none"/>
              </w:rPr>
              <w:t>事故</w:t>
            </w:r>
          </w:p>
          <w:p w14:paraId="5A402A22">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排放</w:t>
            </w:r>
          </w:p>
        </w:tc>
        <w:tc>
          <w:tcPr>
            <w:tcW w:w="851" w:type="dxa"/>
            <w:vAlign w:val="center"/>
          </w:tcPr>
          <w:p w14:paraId="7C01761A">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废气处理设施</w:t>
            </w:r>
          </w:p>
        </w:tc>
        <w:tc>
          <w:tcPr>
            <w:tcW w:w="6593" w:type="dxa"/>
            <w:gridSpan w:val="7"/>
            <w:vAlign w:val="center"/>
          </w:tcPr>
          <w:p w14:paraId="15966C9A">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详见表</w:t>
            </w:r>
            <w:r>
              <w:rPr>
                <w:rFonts w:hint="eastAsia" w:eastAsia="宋体"/>
                <w:color w:val="auto"/>
                <w:sz w:val="21"/>
                <w:szCs w:val="21"/>
                <w:highlight w:val="none"/>
              </w:rPr>
              <w:t>4.6-15</w:t>
            </w:r>
          </w:p>
        </w:tc>
      </w:tr>
    </w:tbl>
    <w:p w14:paraId="1CC12A40">
      <w:pPr>
        <w:ind w:left="-105" w:right="-105" w:firstLine="560"/>
        <w:rPr>
          <w:rFonts w:ascii="Times New Roman"/>
          <w:color w:val="auto"/>
          <w:sz w:val="28"/>
          <w:szCs w:val="28"/>
          <w:highlight w:val="none"/>
        </w:rPr>
      </w:pPr>
      <w:bookmarkStart w:id="258" w:name="_Toc139356113"/>
      <w:r>
        <w:rPr>
          <w:rFonts w:ascii="Times New Roman"/>
          <w:color w:val="auto"/>
          <w:sz w:val="28"/>
          <w:szCs w:val="28"/>
          <w:highlight w:val="none"/>
        </w:rPr>
        <w:br w:type="page"/>
      </w:r>
    </w:p>
    <w:p w14:paraId="7983312D">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59" w:name="_Toc24114"/>
      <w:r>
        <w:rPr>
          <w:rFonts w:ascii="Times New Roman" w:eastAsia="宋体"/>
          <w:color w:val="auto"/>
          <w:sz w:val="28"/>
          <w:szCs w:val="28"/>
          <w:highlight w:val="none"/>
        </w:rPr>
        <w:t>清洁生产</w:t>
      </w:r>
      <w:r>
        <w:rPr>
          <w:rFonts w:hint="eastAsia" w:ascii="Times New Roman" w:eastAsia="宋体"/>
          <w:color w:val="auto"/>
          <w:sz w:val="28"/>
          <w:szCs w:val="28"/>
          <w:highlight w:val="none"/>
        </w:rPr>
        <w:t>水平</w:t>
      </w:r>
      <w:r>
        <w:rPr>
          <w:rFonts w:ascii="Times New Roman" w:eastAsia="宋体"/>
          <w:color w:val="auto"/>
          <w:sz w:val="28"/>
          <w:szCs w:val="28"/>
          <w:highlight w:val="none"/>
        </w:rPr>
        <w:t>分析</w:t>
      </w:r>
      <w:bookmarkEnd w:id="258"/>
      <w:bookmarkEnd w:id="259"/>
    </w:p>
    <w:p w14:paraId="142B503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清洁生产内容主要是：清洁的能源、清洁的生产工艺、清洁的产品；它是以节能、降耗、减污为目标，以先进技术和管理为手段，实施生产全过程防治，使污染物的产生量、排放量最小化的一种综合性措施。</w:t>
      </w:r>
    </w:p>
    <w:p w14:paraId="59BC1FF9">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1、清洁的能源</w:t>
      </w:r>
    </w:p>
    <w:p w14:paraId="13C3CB3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采用各种方法对常规的能源（如煤）采取清洁利用的方法，如城市煤气化供气等；对沼气等再生能源的利用；利用天然气作为能源；新能源的开发以及各种节能技术的开发利用。</w:t>
      </w:r>
    </w:p>
    <w:p w14:paraId="45F7A89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2、清洁的生产过程</w:t>
      </w:r>
    </w:p>
    <w:p w14:paraId="3436B4BC">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尽量少用和不用有毒有害的原料；采用无毒、无害的中间产品；选用少废、无废工艺和高效设备；尽量减少生产过程中的各种危险性因素，如高温、高压、低温、低压、易燃、易爆、强噪声、强振动等；采用可靠和简单的生产操作和控制方法；对物料进行内部循环利用；完善生产管理，不断提高科学管理水平。</w:t>
      </w:r>
    </w:p>
    <w:p w14:paraId="2F4734A7">
      <w:pPr>
        <w:numPr>
          <w:ilvl w:val="0"/>
          <w:numId w:val="28"/>
        </w:num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清洁的产品产品设计应考虑节约原材料和能源，少用昂贵和稀缺的原料；产品在使用过程中以及使用后不含危害人体健康和破坏生态环境的因素；产品的包装合理；产品使用后易于回收、重复使用和再生；使用寿命和使用功能合理。</w:t>
      </w:r>
    </w:p>
    <w:p w14:paraId="16BF3524">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评价按“清洁生产促进法”要求，结合项目的生产特点并参照《电子器件(半导体芯片)制造业清洁生产评价指标体系》，从生产工艺及装备技术、资源能源消耗指标、资源综合利用指标、污染物产生指标、产品特征指标、清洁生产管理指标等方面进行分析评价，并对技改前后清洁生产水平开展对比分析。</w:t>
      </w:r>
    </w:p>
    <w:p w14:paraId="1FD00DB8">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原辅材料清洁性分析</w:t>
      </w:r>
    </w:p>
    <w:p w14:paraId="4D5E04D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①对比《危险化学品名录》（2022调整版），本项目原辅料或原辅料中涉及的危险化学品为：四甲基氢氧化铵、甲醇、硝酸（55%）、异丙醇、邻苯二酚。</w:t>
      </w:r>
    </w:p>
    <w:p w14:paraId="77AADF9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②对比《重点监管的危险化学品名录》：根据《首批重点监管的危险化学品名录》和《第二批重点监管危险化学品名录》，本项目原辅材料中甲醇属于重点监管的危险化学品。</w:t>
      </w:r>
    </w:p>
    <w:p w14:paraId="668B2246">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③对比《优先控制化学品名录》：根据《优先控制化学品名录（第一批）》、《优先控制化学品名录（第二批）》，本项目原辅材料中均不涉及优先控制化学品。</w:t>
      </w:r>
    </w:p>
    <w:p w14:paraId="3C90ACB0">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④对比《特别管控危险化学品目录（第一版）：根据应急管理部等四部门2020年5月30日(公告2020年第3号)发布的《特别管控危险化学品目录》（第一版），本项目涉及的甲醇属于特别管控危险化学品目录中易燃液体。</w:t>
      </w:r>
    </w:p>
    <w:p w14:paraId="31FD9EF0">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⑤对比《易制爆危险化学品名录（2017年版）》：根据公安部公告（2017年5月11日）发布的《易制爆危险化学品名录（2017年版）》，本项目原辅材料中硝酸属于易制爆危险化学品中酸类。</w:t>
      </w:r>
    </w:p>
    <w:p w14:paraId="288B3EB9">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⑥对比《有毒有害大气污染物名录》：根据2018年生态环保部发布《有毒有害大气污染物名录（2018）》，本项目生产过程中均不产生含有名录中的有毒有害大气污染物。</w:t>
      </w:r>
    </w:p>
    <w:p w14:paraId="22873367">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⑦对比《有毒有害水污染物名录》：根据2019年7月24日生态环境部发布的《有毒有害水污染物名录（第一批）》，本项目废水中均不含有名录中的有毒有害水污染物。</w:t>
      </w:r>
    </w:p>
    <w:p w14:paraId="18BC2773">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资源能源利用分析</w:t>
      </w:r>
    </w:p>
    <w:p w14:paraId="2180C71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（1）能源清洁性</w:t>
      </w:r>
    </w:p>
    <w:p w14:paraId="68B73D9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从能源的消耗来看，项目生产设备使用能源主要为电能，电能属二次能源，能满足清洁生产能源方面的要求。安装新型节能疏水阀门，加强管线维修，减少能耗，并对车间安装电表、水表，进行计量考核，提高项目的清洁生产潜力。</w:t>
      </w:r>
    </w:p>
    <w:p w14:paraId="6DBF735E">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（2）节能措施</w:t>
      </w:r>
    </w:p>
    <w:p w14:paraId="7AF62F9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在确定方案及工艺路线的过程中，通过多方案的对比，选择节能的先进工艺生产路线，简化流程，节省投资。节能措施如下：</w:t>
      </w:r>
    </w:p>
    <w:p w14:paraId="27E1503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①在设备选用上采用高效低耗设备；</w:t>
      </w:r>
    </w:p>
    <w:p w14:paraId="08F04C21">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②车间照明采用节能灯具；</w:t>
      </w:r>
    </w:p>
    <w:p w14:paraId="753DA292">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③公用动力设施尽量布置在负荷中心，减少因管线长度造成的能源损失；</w:t>
      </w:r>
    </w:p>
    <w:p w14:paraId="5EC0648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④工艺流程设计合理，设备布置集中，尽量利用位差输送物料，降低用电量；</w:t>
      </w:r>
    </w:p>
    <w:p w14:paraId="73D47D9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⑤防止跑、冒、滴、漏，降低原料和能源消耗；</w:t>
      </w:r>
    </w:p>
    <w:p w14:paraId="47326676">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⑥工艺冷却水采用闭路循环冷却水，以节约用水；</w:t>
      </w:r>
    </w:p>
    <w:p w14:paraId="2F0073F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⑦加热设备及管道选用优质保温材料，减少管路热量损失。</w:t>
      </w:r>
    </w:p>
    <w:p w14:paraId="184F465F">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清洁生产工艺分析</w:t>
      </w:r>
    </w:p>
    <w:p w14:paraId="5CA4716C">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项目主要为各类化学原料的混配过程，不发生化学反应，且均为常温常压操作条件。进出料均采用自动化控制系统，设备自动化程度较高，可自动控制温度、时间及产品的输送，可有效降低人工劳动强度，符合清洁生产原则。</w:t>
      </w:r>
    </w:p>
    <w:p w14:paraId="31E86315">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rPr>
        <w:t>清洁产品分析</w:t>
      </w:r>
    </w:p>
    <w:p w14:paraId="71FA4A0B">
      <w:pPr>
        <w:spacing w:line="360" w:lineRule="auto"/>
        <w:ind w:left="-105" w:right="-105" w:firstLine="480" w:firstLineChars="200"/>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hint="eastAsia" w:ascii="Times New Roman" w:hAnsi="Times New Roman"/>
          <w:color w:val="auto"/>
          <w:highlight w:val="none"/>
        </w:rPr>
        <w:t>项目使用的原辅料为半导体行业常见原料，生产过程中使用水进行稀释；生产的剥离液产品毒性低，不危害人体健康和生态环境。因此项目产品符合清洁生产要求。</w:t>
      </w:r>
    </w:p>
    <w:p w14:paraId="4FF2408D">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260" w:name="_Toc24074"/>
      <w:bookmarkStart w:id="261" w:name="_Toc60653524"/>
      <w:bookmarkStart w:id="262" w:name="_Toc23939"/>
      <w:r>
        <w:rPr>
          <w:rFonts w:ascii="Times New Roman" w:eastAsia="宋体"/>
          <w:color w:val="auto"/>
          <w:sz w:val="32"/>
          <w:szCs w:val="32"/>
          <w:highlight w:val="none"/>
        </w:rPr>
        <w:t>环境现状调查与评价</w:t>
      </w:r>
      <w:bookmarkEnd w:id="260"/>
      <w:bookmarkEnd w:id="261"/>
      <w:bookmarkEnd w:id="262"/>
    </w:p>
    <w:p w14:paraId="0F473203">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263" w:name="_Toc125882617"/>
      <w:bookmarkStart w:id="264" w:name="_Toc10791"/>
      <w:bookmarkStart w:id="265" w:name="_Toc85180758"/>
      <w:bookmarkStart w:id="266" w:name="_Toc30846"/>
      <w:bookmarkStart w:id="267" w:name="_Toc149956241"/>
      <w:bookmarkStart w:id="268" w:name="_Toc28889"/>
      <w:bookmarkStart w:id="269" w:name="_Toc24714"/>
      <w:bookmarkStart w:id="270" w:name="_Toc97718538"/>
      <w:bookmarkStart w:id="271" w:name="_Toc20208"/>
      <w:bookmarkStart w:id="272" w:name="_Toc60653525"/>
      <w:bookmarkStart w:id="273" w:name="_Toc327968227"/>
      <w:bookmarkStart w:id="274" w:name="_Toc11987"/>
      <w:bookmarkStart w:id="275" w:name="_Toc379799522"/>
      <w:bookmarkStart w:id="276" w:name="_Toc29829"/>
      <w:bookmarkStart w:id="277" w:name="_Toc101079261"/>
      <w:bookmarkStart w:id="278" w:name="_Toc384725657"/>
      <w:bookmarkStart w:id="279" w:name="_Toc138689348"/>
      <w:bookmarkStart w:id="280" w:name="_Toc10824"/>
      <w:bookmarkStart w:id="281" w:name="_Toc85012460"/>
      <w:bookmarkStart w:id="282" w:name="_Toc379798023"/>
      <w:bookmarkStart w:id="283" w:name="_Toc75316702"/>
      <w:bookmarkStart w:id="284" w:name="_Toc22179"/>
      <w:bookmarkStart w:id="285" w:name="_Toc23683"/>
      <w:bookmarkStart w:id="286" w:name="_Toc19929"/>
      <w:bookmarkStart w:id="287" w:name="_Toc379798379"/>
      <w:bookmarkStart w:id="288" w:name="_Toc341825061"/>
      <w:r>
        <w:rPr>
          <w:rFonts w:ascii="Times New Roman" w:eastAsia="宋体"/>
          <w:color w:val="auto"/>
          <w:sz w:val="28"/>
          <w:szCs w:val="28"/>
          <w:highlight w:val="none"/>
        </w:rPr>
        <w:t>自然环境概况</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C98F2F7">
      <w:pPr>
        <w:pStyle w:val="5"/>
        <w:keepLines w:val="0"/>
        <w:numPr>
          <w:ilvl w:val="0"/>
          <w:numId w:val="0"/>
        </w:numPr>
        <w:tabs>
          <w:tab w:val="left" w:pos="-567"/>
          <w:tab w:val="left" w:pos="567"/>
          <w:tab w:val="left" w:pos="709"/>
        </w:tabs>
        <w:spacing w:before="120" w:beforeLines="50" w:after="120" w:afterLines="50" w:line="360" w:lineRule="auto"/>
        <w:ind w:left="420" w:right="-105" w:hanging="420"/>
        <w:rPr>
          <w:rFonts w:eastAsia="宋体"/>
          <w:color w:val="auto"/>
          <w:sz w:val="28"/>
          <w:szCs w:val="28"/>
          <w:highlight w:val="none"/>
        </w:rPr>
      </w:pPr>
      <w:bookmarkStart w:id="289" w:name="_Toc53416248"/>
      <w:bookmarkStart w:id="290" w:name="_Toc51146453"/>
      <w:bookmarkStart w:id="291" w:name="_Toc51583797"/>
      <w:bookmarkStart w:id="292" w:name="_Toc379798024"/>
      <w:bookmarkStart w:id="293" w:name="_Toc60653526"/>
      <w:bookmarkStart w:id="294" w:name="_Toc75316703"/>
      <w:bookmarkStart w:id="295" w:name="_Toc85012461"/>
      <w:bookmarkStart w:id="296" w:name="_Toc51932985"/>
      <w:bookmarkStart w:id="297" w:name="_Toc53396308"/>
      <w:bookmarkStart w:id="298" w:name="_Toc85180759"/>
      <w:bookmarkStart w:id="299" w:name="_Toc379798025"/>
      <w:r>
        <w:rPr>
          <w:rFonts w:eastAsia="宋体"/>
          <w:color w:val="auto"/>
          <w:sz w:val="28"/>
          <w:szCs w:val="28"/>
          <w:highlight w:val="none"/>
        </w:rPr>
        <w:t>5.1.1地理位置</w:t>
      </w:r>
      <w:bookmarkEnd w:id="289"/>
      <w:bookmarkEnd w:id="290"/>
      <w:bookmarkEnd w:id="291"/>
      <w:bookmarkEnd w:id="292"/>
      <w:bookmarkEnd w:id="293"/>
      <w:bookmarkEnd w:id="294"/>
      <w:bookmarkEnd w:id="295"/>
      <w:bookmarkEnd w:id="296"/>
      <w:bookmarkEnd w:id="297"/>
      <w:bookmarkEnd w:id="298"/>
    </w:p>
    <w:p w14:paraId="14FA2C2D">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锡山区土地面积396平方公里。全区辖锡山经济技术开发区（国家级）和东亭、安镇（由原安镇镇和查桥镇合并而成）、厚桥、羊尖、鹅湖（由原荡口镇与甘露镇合并而成）、东北塘、锡北（由原张泾镇与八士镇合并而成）、东港（由原港下镇和东湖塘镇合并而成）8个镇，92个行政村，32个居民委员会。区内有常住人口38万，暂住人口25万。</w:t>
      </w:r>
    </w:p>
    <w:p w14:paraId="48A35F7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锡北镇位于无锡市东北郊，由原八士镇、张泾镇合并而成，镇政府驻地张泾。北接江阴市，南靠锡山经济技术开发区。锡沙线、友谊路、团结大道、锡东大道、八文线、长八线等现代交通路网在境内交汇，锡北运河流经全镇。临近沪宁、锡澄高速公路道口、江阴港口、张家港港口、上海浦东、南京禄口和无锡机场，地理位置优越，水陆交通便捷，区位优势明显。全镇总面积62.4平方公里，常住人口5.4万，外来人口2.3万。下辖13个村，2个社区。</w:t>
      </w:r>
    </w:p>
    <w:p w14:paraId="3851B7E2">
      <w:pPr>
        <w:spacing w:line="360" w:lineRule="auto"/>
        <w:ind w:left="-105" w:right="-105" w:firstLine="480"/>
        <w:rPr>
          <w:rFonts w:ascii="Times New Roman" w:hAnsi="Times New Roman"/>
          <w:color w:val="auto"/>
          <w:highlight w:val="none"/>
        </w:rPr>
      </w:pPr>
      <w:r>
        <w:rPr>
          <w:rFonts w:ascii="Times New Roman" w:hAnsi="Times New Roman" w:cs="Times New Roman"/>
          <w:color w:val="auto"/>
          <w:highlight w:val="none"/>
        </w:rPr>
        <w:t>本项目位于</w:t>
      </w:r>
      <w:r>
        <w:rPr>
          <w:rFonts w:hint="eastAsia" w:ascii="Times New Roman" w:hAnsi="Times New Roman" w:cs="Times New Roman"/>
          <w:color w:val="auto"/>
          <w:highlight w:val="none"/>
        </w:rPr>
        <w:t>江苏省无锡市锡山区锡北镇新坝村新达路6号</w:t>
      </w:r>
      <w:r>
        <w:rPr>
          <w:rFonts w:ascii="Times New Roman" w:hAnsi="Times New Roman" w:cs="Times New Roman"/>
          <w:color w:val="auto"/>
          <w:highlight w:val="none"/>
        </w:rPr>
        <w:t>，建设项目地理位置图见附图1-1。</w:t>
      </w:r>
    </w:p>
    <w:p w14:paraId="06F92D04">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00" w:name="_Toc60653527"/>
      <w:r>
        <w:rPr>
          <w:rFonts w:eastAsia="宋体"/>
          <w:color w:val="auto"/>
          <w:sz w:val="28"/>
          <w:szCs w:val="28"/>
          <w:highlight w:val="none"/>
        </w:rPr>
        <w:t>5.1.2地形、地貌、地质</w:t>
      </w:r>
      <w:bookmarkEnd w:id="299"/>
      <w:bookmarkEnd w:id="300"/>
    </w:p>
    <w:p w14:paraId="54280B96">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锡山区位于长江三角洲苏南太湖地区北麓，苏南太湖地区在印支运动时期形成褶皱基础上经燕山运动的断裂作用，又经第四纪气候的变迁、海漫和海退的变形，长江和钱塘江沿岸沙咀的发育，逐渐演变成太湖平原。评价区属太湖平原，地势平坦宽广，平原海拔高度一般在2～5米，土质肥沃，河湖港汊纵横分布，地表物质组成以粒径较小的淤积物和湖积物为主。</w:t>
      </w:r>
    </w:p>
    <w:p w14:paraId="7093F2E4">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土壤类型为太湖平原黄土状物质的黄泥土，土层较厚，耕作层有机质含量高达2～4％，含氮0.15～0.20％。钾、磷较丰，供肥和保肥性能好，既保水又爽水，质地适中，耕性酥柔。土壤酸碱度为中性，土质疏松，粘粒含量20～30％。</w:t>
      </w:r>
    </w:p>
    <w:p w14:paraId="0F8DFB36">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本地区属江苏省地层南区，地层发育齐全，基底未出露，中侏罗纪岩浆开始活动，喷出盖在老地层上和侵入各系岩层中。第四纪全新统(Qh)现代沉积，遍及全区，泥盆纪有少量分布，为紫红色砂砾岩、石英砾岩、石英岩，向上渐变为砂岩与黑色页岩的交替层，顶部砂质页岩含优质陶土层。地下水层松散岩类孔隙含水岩组，潜水含水层为泻湖相亚粘土夹粉砂，地耐力为8～10t/m2，水质被地表水所淡化，覆盖层厚130～140m左右。根据地震烈度分布图，本地区地震基本烈度为7级。</w:t>
      </w:r>
    </w:p>
    <w:p w14:paraId="04C43A93">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01" w:name="_Toc379798026"/>
      <w:bookmarkStart w:id="302" w:name="_Toc193646397"/>
      <w:bookmarkStart w:id="303" w:name="_Toc60653528"/>
      <w:r>
        <w:rPr>
          <w:rFonts w:eastAsia="宋体"/>
          <w:color w:val="auto"/>
          <w:sz w:val="28"/>
          <w:szCs w:val="28"/>
          <w:highlight w:val="none"/>
        </w:rPr>
        <w:t>5.1.3</w:t>
      </w:r>
      <w:bookmarkEnd w:id="301"/>
      <w:bookmarkEnd w:id="302"/>
      <w:bookmarkEnd w:id="303"/>
      <w:r>
        <w:rPr>
          <w:rFonts w:eastAsia="宋体"/>
          <w:color w:val="auto"/>
          <w:sz w:val="28"/>
          <w:szCs w:val="28"/>
          <w:highlight w:val="none"/>
        </w:rPr>
        <w:t>地表水水系及水文特征</w:t>
      </w:r>
    </w:p>
    <w:p w14:paraId="5EA94C1E">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无锡境内河网密布，纵横交织，有大小河道6288条，总长7024km，其中骨干河道55条，总长893km。从地区水系特点看，锡澄及周边地区南，北向的河道为通江入湖河道，东西向的为横向沟通河道。北部沿江通江河道主要有8条：桃花港、利港河、申港河、新沟河、新夏港河、锡澄运河、白屈港和望虞河，口门均建闸控制，最大排水流量1620m3/s。南部入湖河道主要有直湖港、梁溪河、曹王泾、小溪港、大溪港和望虞河等，均已建闸控制，所有入湖河道排水流量约600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/s。主要横向河道有京杭大运河、伯渎港、九里河、锡北运河、界河、青祝河、冯泾河、应天河、东横河、西横河等。水系均沟通，形成河网。这些河道水流方向主要受长江、京杭运河及太湖水位差控制。</w:t>
      </w:r>
    </w:p>
    <w:p w14:paraId="0E492952">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太湖为江南水网中心，面积2338.1km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，总蓄水量为44.28亿m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，年平均吞吐量约52亿m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w:t>
      </w:r>
    </w:p>
    <w:p w14:paraId="101A46FA">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主要纳污河流为北兴塘河以及与之相通的河流，包括锡北运河、吼山港、三坝港、板桥港等。</w:t>
      </w:r>
    </w:p>
    <w:p w14:paraId="347DD000">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新兴塘九里河，是无锡市主城区东西向的重要排水通道，自向阳村至入望虞河全长约27.6km，沿途有板桥港、东亭港等河浜汇入，经苑山荡、嘉菱荡入望虞河。河流的常年流向为自西向东。</w:t>
      </w:r>
    </w:p>
    <w:p w14:paraId="5F0BDE1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北兴塘起于向阳村的五丫浜口，全长约9.3km，水流由西向东，通过闸控由三坝港进入锡北运河，并通过吼山港与双泾河与新兴塘九里河、宛山荡相连。</w:t>
      </w:r>
    </w:p>
    <w:p w14:paraId="79915E50">
      <w:pPr>
        <w:spacing w:line="360" w:lineRule="auto"/>
        <w:ind w:left="-105" w:right="-105" w:firstLine="480"/>
        <w:rPr>
          <w:rFonts w:ascii="Times New Roman" w:hAnsi="Times New Roman"/>
          <w:color w:val="auto"/>
          <w:highlight w:val="none"/>
        </w:rPr>
      </w:pPr>
      <w:r>
        <w:rPr>
          <w:rFonts w:ascii="Times New Roman" w:hAnsi="Times New Roman" w:cs="Times New Roman"/>
          <w:color w:val="auto"/>
          <w:highlight w:val="none"/>
        </w:rPr>
        <w:t>锡北运河西起惠山区长安镇城塘锡澄运河经东北塘、八士、张泾和港下镇进入望虞河，全长约37.1km，穿过区内东北角，为四等级航运河道，来往船只频繁，河流主要流向为由西向东，并与北兴塘、望虞河、张家港河等多条主要河道相通。</w:t>
      </w:r>
    </w:p>
    <w:p w14:paraId="6A15BC1E">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04" w:name="_Toc379798028"/>
      <w:bookmarkStart w:id="305" w:name="_Toc193646398"/>
      <w:bookmarkStart w:id="306" w:name="_Toc60653529"/>
      <w:r>
        <w:rPr>
          <w:rFonts w:hint="eastAsia" w:eastAsia="宋体"/>
          <w:color w:val="auto"/>
          <w:sz w:val="28"/>
          <w:szCs w:val="28"/>
          <w:highlight w:val="none"/>
        </w:rPr>
        <w:t>5.1.4</w:t>
      </w:r>
      <w:r>
        <w:rPr>
          <w:rFonts w:eastAsia="宋体"/>
          <w:color w:val="auto"/>
          <w:sz w:val="28"/>
          <w:szCs w:val="28"/>
          <w:highlight w:val="none"/>
        </w:rPr>
        <w:t>地下水</w:t>
      </w:r>
    </w:p>
    <w:p w14:paraId="46E88FDC">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环境水文地质条件</w:t>
      </w:r>
    </w:p>
    <w:p w14:paraId="46C220D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A.地质条件</w:t>
      </w:r>
    </w:p>
    <w:p w14:paraId="2509FE64">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地层</w:t>
      </w:r>
    </w:p>
    <w:p w14:paraId="778E6AB0">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工作区地层隶属于扬子地层区江南地层分区，基岩露头少而零星，地层出露残缺不全，地表出露的地层主要为泥盆系石英砂岩、粉砂岩、泥岩等，其余地层均被第四系松散层覆盖。据区域地质资料及钻孔揭露，区内主要有泥盆系（D）、石炭系（C）、二叠系（P）、三叠系中下统（T1-2）、保罗系上统（J3）、自翌系（K）和第三系（N）。区内岩浆岩侵入于中生代燕山期，除安阳山、狮子山出露有火山岩外，其余地区仅有少量和小规模的岩脉出露。隐伏岩体主要有安镇、张注和严家桥岩体，为燕山期第二次侵入。岩体多呈岩枝、岩脉侵伸围岩中，岩石类型以石英二长岩为主。</w:t>
      </w:r>
    </w:p>
    <w:p w14:paraId="17D4A5EF">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构造</w:t>
      </w:r>
    </w:p>
    <w:p w14:paraId="69F1FA2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工作区位于新华夏系第二巨型隆起带和秦岭东西向复杂构造带的交接部位。区内地质构造复杂，构造体系主要包括东西向构造、华夏系及华夏式构造、新华夏系构造和北西向构造，且以北东向华夏式构造为主要格架。华夏系构造：华夏系构造主要由一系列北东向展布的复向斜和复背斜及伴随褶皱同生的走向断裂和横断裂组成。主要榴皱有：沙洲～藕塘桥复向斜、南通～无锡复背斜及常熟～太湖复向斜。其断裂多呈走向断裂，平行于褶皱轴向、纵切褶皱两翼，断面倾向北东或南东，倾角较陡，北西向的横断裂皆横切褶皱与走向断裂。华夏式构造：华夏式构造由北东向断裂带组成，与华夏系构造带以“重接”的方式迭加，在方向上两者构造形迹难以区分。依据构造体系的成生先后，形成于燕山早期的华夏式构造继承和加强了印支期的华夏系构造。东西向构造：东西向构造由一系列断续分布的东西向断裂带、断和断皱隆起带组成，其构造带疏密相间呈“韵律”式。区内主要有：青阳～沙洲断凹、荡口～白茆断凹。东西向构造自晚元古代生成以来，中、新生代十分活跃，它控制着白垩纪～第三纪地层的沉降，近东西向断裂则是晚侏罗世火山岩喷发的主要通道，都表现为张性、张扭性断裂。</w:t>
      </w:r>
    </w:p>
    <w:p w14:paraId="778BFAB1">
      <w:pPr>
        <w:spacing w:line="360" w:lineRule="auto"/>
        <w:ind w:left="-105" w:right="-105" w:firstLine="480"/>
        <w:jc w:val="both"/>
        <w:rPr>
          <w:rFonts w:ascii="Times New Roman" w:hAnsi="Times New Roman" w:cs="Times New Roman"/>
          <w:color w:val="auto"/>
          <w:highlight w:val="none"/>
        </w:rPr>
      </w:pPr>
      <w:r>
        <w:rPr>
          <w:rFonts w:hint="eastAsia" w:ascii="Times New Roman" w:hAnsi="Times New Roman" w:cs="Times New Roman"/>
          <w:color w:val="auto"/>
          <w:highlight w:val="none"/>
        </w:rPr>
        <w:t>③</w:t>
      </w:r>
      <w:r>
        <w:rPr>
          <w:rFonts w:ascii="Times New Roman" w:hAnsi="Times New Roman" w:cs="Times New Roman"/>
          <w:color w:val="auto"/>
          <w:highlight w:val="none"/>
        </w:rPr>
        <w:t>第四纪地质</w:t>
      </w:r>
    </w:p>
    <w:p w14:paraId="591AF89D">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本区自第四纪以来，新构造活动频繁，山区间歇性振荡上升，接受构造剥蚀，平原区则持续缓慢沉降，并伴有振荡特征，接受古长江所挟带的大量泥沙沉积，加之多次发生的海水进退，造成了复杂的沉积环境。其沉积物厚度变化规律总体上是西南部向东北部变厚，一般平原区厚、山丘区薄；凹陷区厚、隆起区薄。沉积厚度40～197米，除山丘区缺失下更新统地层外，其余各时代地层沉积齐全。</w:t>
      </w:r>
    </w:p>
    <w:p w14:paraId="02D4F2AC">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B.水文地质条件</w:t>
      </w:r>
    </w:p>
    <w:p w14:paraId="64C1C20C">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（1）地下水类型及含水岩组划分</w:t>
      </w:r>
    </w:p>
    <w:p w14:paraId="64462FBD">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依据地下水在含水介质中的赋存条件、水理性质及水力特征，本区地下水将划分为松散岩类孔隙水、碳酸盐岩类裂隙溶洞水和基岩裂隙水三大类，其中松散岩类孔隙水按其埋藏条件、地层时代又可分为潜水含水层组和承压含水层组两亚类。潜水含水层组（含微承压水）由全新世（Q4）、晚更新世（Q3）地层组成，承压含水层组包括第Ⅰ、Ⅱ、Ⅲ承压含水层，分别由晚更新世（Q3）、中更新世(Q2）和早更新世（Q1）地层组成；碳酸盐岩类裂隙溶洞水主要由三叠、二叠和石炭系灰岩地层组成；基岩裂隙水可分为碎屑岩类裂隙含水岩组和侵入岩裂隙含水岩组。前者主要由泥盆系砂岩组成，后者由火山侵入的石英二长岩组成。</w:t>
      </w:r>
    </w:p>
    <w:p w14:paraId="69DBA15F">
      <w:pPr>
        <w:spacing w:line="360" w:lineRule="auto"/>
        <w:ind w:left="-105" w:right="-105" w:firstLine="480"/>
        <w:jc w:val="both"/>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含水岩组的水文地质特征</w:t>
      </w:r>
    </w:p>
    <w:p w14:paraId="5B5EB62C">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松散岩类孔隙水</w:t>
      </w:r>
    </w:p>
    <w:p w14:paraId="1979937A">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孔隙潜水、微承压水含水层组：孔隙潜水含水层近地表分布，平原区为全新世冲湖积相沉积，含水岩性为粉质粘土、粉土、粉砂，含水层厚8～12米；孤山残丘区的坡麓及沟谷为全新世或晚更新世的残坡积、洪坡积沉积物。含水岩性以粘性土夹碎石为主，厚度小于4.0米。潜水水位埋深受地形条件影响，一般0.5～3.0米，富水性差，单井涌水量一般5～10立方米/日，局部大于10立方米/日。微承压水含水层主要分布在杨市～钱桥、东北塘～东湖塘及后宅等地段，含水岩性为全新世的粉砂、粉土，顶板埋深6.0～10.0米，含水层厚5.0～10.0米，局部大于10.0米，富水性较弱，单井涌水量均小于100立方米/日。潜水、微承压水主要以民井式开采，开来分散且开采量小。受污染影响，区内孔隙潜水的水质较为复杂，水化学类型以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-Na.Ca型、HCO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.Cl-Na.Ca型为主，其次是HCO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-Ca型、HCO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-Ca.Mg型和HCO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.SO</w:t>
      </w:r>
      <w:r>
        <w:rPr>
          <w:rFonts w:ascii="Times New Roman" w:hAnsi="Times New Roman" w:cs="Times New Roman"/>
          <w:color w:val="auto"/>
          <w:highlight w:val="none"/>
          <w:vertAlign w:val="subscript"/>
        </w:rPr>
        <w:t>4</w:t>
      </w:r>
      <w:r>
        <w:rPr>
          <w:rFonts w:ascii="Times New Roman" w:hAnsi="Times New Roman" w:cs="Times New Roman"/>
          <w:color w:val="auto"/>
          <w:highlight w:val="none"/>
        </w:rPr>
        <w:t>-Na.Ca型，矿化度一般小于1克/升，污染地段达1.0～3.0克/升。微承压水的水质单一，水化学类型以HCO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.Cl-Ca.Na型或HCO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.Cl-Na.Ca型，为低矿化、低硬度的淡水。</w:t>
      </w:r>
    </w:p>
    <w:p w14:paraId="18CF8D05">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第Ⅰ承压含水层组：</w:t>
      </w:r>
    </w:p>
    <w:p w14:paraId="26EFEF2B">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为晚更新世沉积的一套滨海～河口相沉积物，含水岩性为粉砂、粉细砂，局部为粉砂夹粉质粘土薄层，含水砂层分上下两段，两者之间隔水层分布较稳定，含水砂层上段广布全区。顶板埋深27～35米，厚2～10米，局部大于18m。含水砂层下段主要分布在藕塘～钱桥、后宅～甘露及东湖塘～港下一带，顶板埋深50-60米，厚5～10米，含水岩性以粉砂为主，该含水层富水性较弱，除东亭～坊前及东湖塘～安镇一带单井涌水量达100～500立方米/日外，其余地段均小于100立方米/日。该层水的开采主要集中在钱桥、查桥、安镇、八士、张泾等乡镇，水位埋深一般5~10米，开采区20~30米。第Ⅰ承压水水质较好，水化学类型以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、Na型或HCO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、Na、Ca为主，pH值为7.5～8.9，总硬度126.4～276.3毫克/升，矿化度0.44～0.62克/升。</w:t>
      </w:r>
    </w:p>
    <w:p w14:paraId="00206F0C">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第Ⅱ承压含水层组：</w:t>
      </w:r>
    </w:p>
    <w:p w14:paraId="23F78F48">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为锡山市的主要开采层，亦是本次工作重点研究层位，系中更新世古河道冲积而成，含水层的特征明显受古河床的展布所控制，古河床中心含水层颗粒粗厚度大，河漫滩颗糙细厚度小。据前人研究成果，中更新世古河床自常州进入本区后分成二支，一支由洛社、石塘湾至无锡市的刘谭后，向东南延伸，经东亭、坊前、后宅后进入苏州境内；一支由洛社向北，经前洲、玉祁后进入江阴境内，显然古地理沉积环境控制该层水的水文地质特征。古河床区：含水层呈巨厚状，厚度30～50米，局部大于60米，岩性以中细砂、中粗砂、含砾粗砂为主，具上细下粗沉积韵律，其顶板埋深75～85米之间，自西向东逐渐加深；底板埋深受基底的凹陷、隆起的影响，变化较大。隆起区含水砂层直接覆盖于基底之上，与基岩水有一定的水力联系。该区富水性好，单井涌水量可达1000～2000立方米/日，局部地段2500～3000立方米/日。河漫滩及边缘区：含水砂层逐渐变碑，至基岩山区尖灭，厚5～30米，含水岩性以细砂、中细砂、粉砂为主，局部夹粉土，其顶板埋深一般80～90米，东北部的荡口、羊尖、港下一带大于100米。该区富水性相对较差，河漫滩相单井涌水量100～1000立方米/日，近山前边缘地段则小于100立方米/日。目前该层水开采强度较大，水位埋深普遍大于50米，西北部的洛社、石塘湾等镇地下水水位埋深大于80米，处于疏干开采状态。该层水水质优良，水化学类型以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、Na型为主，其次为HCO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、Na、Ca型或HCO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、Na、Mg型，一般为低矿化、硬度适中的淡水，适合开发利用。</w:t>
      </w:r>
    </w:p>
    <w:p w14:paraId="3EA6AFA8">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第Ⅲ承压含水层组：</w:t>
      </w:r>
    </w:p>
    <w:p w14:paraId="444672F5">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仅分布在港下～荡口及石塘湾等地段，含水层为早更新世冲洪积、洪坡积相沉积物。在石塘湾地段含水岩性以泥质粗砾层为主，顶板埋深148米，含水层厚28米，富水性较弱，单井涌水量仅300～600立方米/日；港下～荡口地段含水岩性为中细砂，顶板埋深150～160米，含水层厚度5～18米，富水性中等，单井涌水量1000～2000立方米/日，该层水仅在港下等地少量开采。该层水一般为矿化度小于1.0克/升的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、Na、Ca型水。</w:t>
      </w:r>
    </w:p>
    <w:p w14:paraId="7AD55566">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碳酸盐岩类裂隙溶洞水</w:t>
      </w:r>
    </w:p>
    <w:p w14:paraId="30DAF03B">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区内碳酸盐岩类露头甚少，除厚桥揭山有出露外，均为第四系松散沉积物覆盖，其埋藏深度一般60～150米，含水岩组由三叠系青龙组（T1q）、二叠系长兴组（P</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c）、栖霞组（P</w:t>
      </w:r>
      <w:r>
        <w:rPr>
          <w:rFonts w:ascii="Times New Roman" w:hAnsi="Times New Roman" w:cs="Times New Roman"/>
          <w:color w:val="auto"/>
          <w:highlight w:val="none"/>
          <w:vertAlign w:val="subscript"/>
        </w:rPr>
        <w:t>1</w:t>
      </w:r>
      <w:r>
        <w:rPr>
          <w:rFonts w:ascii="Times New Roman" w:hAnsi="Times New Roman" w:cs="Times New Roman"/>
          <w:color w:val="auto"/>
          <w:highlight w:val="none"/>
        </w:rPr>
        <w:t>q）、石炭系船山组（C</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c）、黄龙组（C</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h）等灰岩地层组成。据已有成果资料，全区共有八个主要隐伏块段。含水岩组岩性以厚层状灰岩、白云质灰岩、粗晶灰岩及白云岩为主。局部为泥岩夹薄层泥灰岩。钻孔揭露：各主要富水块段内，断裂构造发育，尤其是北西向张性断裂规模较大，岩溶沿断裂带发育。富水性以青龙组灰岩最强，长兴组次之，单井涌水量一般100～1000立方/日。在岩溶发育的张性断裂带附近，单井涌水量可大于1000立方米/日。碳酸盐岩类裂隙溶洞水开采井主要分布在厚桥、玉祁、八士等地，水位埋深变化较大，一般20～30米。该层水水化学类型主要为HCO3-Na、HCO3-Ca或HCO3-Na.Ca型，为矿化度小于0.5克/升的淡水，具有一定开发利用价值。</w:t>
      </w:r>
    </w:p>
    <w:p w14:paraId="43E6791A">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基岩裂隙水</w:t>
      </w:r>
    </w:p>
    <w:p w14:paraId="38305004">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碎屑岩类裂隙水：主要分布在胶山、鸿山等孤山残丘周边，含水岩组以泥盆系碎屑岩类为主，性脆，质纯，构造和层面裂隙发育，富水性较弱，单井涌水量一般小于100立方米/日，构造部位可达5000立方米/日。</w:t>
      </w:r>
    </w:p>
    <w:p w14:paraId="7E15ECA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区内第四纪地层之下还分布有侏罗系凝灰岩，白垩系粉砂岩，构造裂隙发育，但都为泥铁质充填，富水性极弱，单井涌水量一般小于100立方米/日。侵入岩类裂隙水：主要分布在安镇、张泾和严家桥岩体中，含水岩性主要为石英二长岩、二长花岗岩，地下水主要赋存于构造裂隙中，富水性差，单井涌水量小于100立方米/日。</w:t>
      </w:r>
    </w:p>
    <w:p w14:paraId="3AF84327">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基岩裂隙水的水化学类型较复杂，一般为矿化度小于1.0克/升的HCO</w:t>
      </w:r>
      <w:r>
        <w:rPr>
          <w:rFonts w:ascii="Times New Roman" w:hAnsi="Times New Roman" w:cs="Times New Roman"/>
          <w:color w:val="auto"/>
          <w:highlight w:val="none"/>
          <w:vertAlign w:val="subscript"/>
        </w:rPr>
        <w:t>3</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、Ca.Mg型水，局部受地层影响，为矿化度小于1.0克/升的HCO</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.Cl</w:t>
      </w:r>
      <w:r>
        <w:rPr>
          <w:rFonts w:ascii="Times New Roman" w:hAnsi="Times New Roman" w:cs="Times New Roman"/>
          <w:color w:val="auto"/>
          <w:highlight w:val="none"/>
          <w:vertAlign w:val="superscript"/>
        </w:rPr>
        <w:t>-</w:t>
      </w:r>
      <w:r>
        <w:rPr>
          <w:rFonts w:ascii="Times New Roman" w:hAnsi="Times New Roman" w:cs="Times New Roman"/>
          <w:color w:val="auto"/>
          <w:highlight w:val="none"/>
        </w:rPr>
        <w:t>、Na.Ca型水，因其水量小，不具供水意义。</w:t>
      </w:r>
    </w:p>
    <w:p w14:paraId="6C7358F4">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（3）地下水的补给、逗流、排泄条件</w:t>
      </w:r>
    </w:p>
    <w:p w14:paraId="05A7E7F4">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孔隙潜水</w:t>
      </w:r>
    </w:p>
    <w:p w14:paraId="2DB2C27D">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无锡市地处太湖流域，气候湿润，雨量充沛，平原区地势平坦，且大面积为水稻种植区，有利于大气降水入渗和灌溉水回渗补给。此外，平原区河网密布，在天然状况下，地下水与地表水相互补给、排泄，即丰水期地表水补给潜水，枯水期潜水补给地表水；基岩山区，在其与松散层的接触地带，基岩水常以侧向迳流的形式补给潜水。潜水的运流受地形、地貌条件制约，一般由山区向平原迳流，但十分缓慢，潜水一般就地泄入附近的地表水体，同时消耗于蒸发与植物蒸腾、人工开采及越流补给下伏承压水。</w:t>
      </w:r>
    </w:p>
    <w:p w14:paraId="3566F6AA">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第Ⅰ承压水</w:t>
      </w:r>
    </w:p>
    <w:p w14:paraId="17564998">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该层水由于埋藏较浅，且局部地段与孔隙潜水、微承压水相通，直接接受其入渗补给，基岩山体周边接受基岩水的侧向渗入补给。在天然状态下，地下水迳流缓慢，在开采条件下，地下水由周边向开采区迳流、排泄途径以人工开采为主，其次是越流补给深部承压水。</w:t>
      </w:r>
    </w:p>
    <w:p w14:paraId="6E779356">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第Ⅱ承压水</w:t>
      </w:r>
    </w:p>
    <w:p w14:paraId="1F15DED9">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该层水由于埋藏较深，其补给来源主要是区外的侧向迳流补给、基岩水侧渗补给和上覆含水层的越流补给。目前，该层水开采强烈，原有的地下水流场已经改变，已形成以洛社～前洲为中心的水位降落漏斗，地下水由周边向中心迳流。其排泄途径主要是人工开采。</w:t>
      </w:r>
    </w:p>
    <w:p w14:paraId="70C6E711">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④</w:t>
      </w:r>
      <w:r>
        <w:rPr>
          <w:rFonts w:ascii="Times New Roman" w:hAnsi="Times New Roman" w:cs="Times New Roman"/>
          <w:color w:val="auto"/>
          <w:highlight w:val="none"/>
        </w:rPr>
        <w:t>第Ⅲ承压水</w:t>
      </w:r>
    </w:p>
    <w:p w14:paraId="42994432">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该层水仅在港下、羊尖等地有少量开采，地下水补迳排条件基本保持天然平衡状态，其补给来源主要为区外的侧向迳流补给，排泄于人工开采和迳流排泄。</w:t>
      </w:r>
    </w:p>
    <w:p w14:paraId="3BA26337">
      <w:pPr>
        <w:spacing w:line="360" w:lineRule="auto"/>
        <w:ind w:left="-105" w:right="-105" w:firstLine="480"/>
        <w:jc w:val="both"/>
        <w:rPr>
          <w:rFonts w:ascii="Times New Roman" w:hAnsi="Times New Roman" w:cs="Times New Roman"/>
          <w:color w:val="auto"/>
          <w:highlight w:val="none"/>
        </w:rPr>
      </w:pPr>
      <w:r>
        <w:rPr>
          <w:rFonts w:hint="eastAsia"/>
          <w:color w:val="auto"/>
          <w:highlight w:val="none"/>
        </w:rPr>
        <w:t>⑤</w:t>
      </w:r>
      <w:r>
        <w:rPr>
          <w:rFonts w:ascii="Times New Roman" w:hAnsi="Times New Roman" w:cs="Times New Roman"/>
          <w:color w:val="auto"/>
          <w:highlight w:val="none"/>
        </w:rPr>
        <w:t>裂隙溶洞水与基岩裂隙水</w:t>
      </w:r>
    </w:p>
    <w:p w14:paraId="60732C75">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在天然状态下，两者均在裸露区接受大气降水入渗补给和地表水体的侧向补给，经垂向、水平迳流后向上部孔隙水顶托排泄。在开采条件下，还可获得上覆孔隙水的越流补给或渗流补给。迳流受地形、构造裂隙发育带控制，一般由山前向沟谷、平原迳流。主要排泄途径为泉、补给孔隙水及人工开采。</w:t>
      </w:r>
    </w:p>
    <w:p w14:paraId="1CBC2DB0">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C.构造</w:t>
      </w:r>
    </w:p>
    <w:p w14:paraId="236EC3F2">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项目位于苏锡常断裂断裂交汇处，形成不同体系的构造断裂面错综复杂交织在一起的主要构造格局。</w:t>
      </w:r>
    </w:p>
    <w:p w14:paraId="292F53EF">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苏锡常断裂：该断裂属无锡-宿迁断裂的南延段延伸部分，呈北西走向，倾向北东，倾角约60°。主要活动时期是第四纪早、中更新世，晚更新世以来无活动迹象。苏锡常地区，断裂由不连续的若干条断裂组成，其主体被第四系所覆盖。由北向南沿横林、洛社、石塘湾、钱桥北、无锡市区、会龙、扬名、新安一带分布，基本上沿京杭运河展布。该区域断裂为第四纪早、中期断裂，晚更新世以来少有活动的断裂。因此，苏锡常断裂及其次级断裂均为非全新活动断裂。</w:t>
      </w:r>
    </w:p>
    <w:p w14:paraId="46D89ED0">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地下水开采现状</w:t>
      </w:r>
    </w:p>
    <w:p w14:paraId="1A149707">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无锡市开采深层孔隙地下水始于五十年代，开采历史大致可分为五个阶段。</w:t>
      </w:r>
    </w:p>
    <w:p w14:paraId="0E48A6E9">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1）1989年为地下水利用发展期。1980年以前为地下水开采的起步阶段，至1979年，全市仅有46眼深井。1980～1989年城市工业需水量增大，供水矛盾日趋突出，无锡市一些用水量较大的企业开始广泛开发利用深层地下水，在这个阶段，全区深井数以5～54眼/a的速度递增。至1989年，已发展到310眼，年开采量逾2000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w:t>
      </w:r>
    </w:p>
    <w:p w14:paraId="3CC4D7D1">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2）1990～1996年为地下水开采的高潮阶段。进入九十年代，工业化城市需水量迅速增大，加之地表水污染严重，为解决供水问题，大量企事业单位都采取了凿井方式，新建自备水厂，致使城市区开采井数和开采量急骤上升，地下水资源的开采达到了高潮，至1996年底，全市共有深井约1130眼，“三集中”开采现象极为严重。由于地下水超采严重，导致全市形成五个水位降落漏斗，在锡西北地区中心水位埋深常年低于含水层顶板，普遍超过80m，成为典型的疏干开采区，并由此造成无锡市地面沉降、地裂缝灾害十分严重。</w:t>
      </w:r>
    </w:p>
    <w:p w14:paraId="5BD44AC9">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（3）1997～2000年为地下水限采阶段。该时期无锡市采取了一系列有力管理措施，使地下水开采量和深井总数迅猛增长的势头得到了控制。1999年全市深井比96年净减少36眼，实际开采量压缩了3379万m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。地下水水位下降速率有所减慢，漏斗区迅速扩展的趋势得到遏制，局部地区水位有所回升。</w:t>
      </w:r>
    </w:p>
    <w:p w14:paraId="5190E932">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（4）2001～2004年为地下水禁采贯彻落实阶段。2000年8月，省人大颁布了《关于在苏锡常地区限期禁止开采地下水的决定》，无锡市政府高度重视，着手进行开采井的封井工作。</w:t>
      </w:r>
    </w:p>
    <w:p w14:paraId="161DD0F3">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（5）2005～现今，地下水禁采阶段。2005年底全面完成禁采封井任务，至今禁采成效初步显现。据监测资料分析，无锡市地下水降落漏斗面积已得到有效控制，地下水位出现回升，地面沉降速率明显趋缓。</w:t>
      </w:r>
    </w:p>
    <w:p w14:paraId="7474E7DB">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二十世纪五六十年代，该区深层承压水水头仅在地面以下2～3m，由于80年代以后工农业迅猛增长，对地下水的开采量猛增、开采强度过大，致使地下水位大幅度下降，地下水水位普遍降至地表以下50m，局部在80m以下。随着禁采政策的贯彻实施，无锡地区主采层地下水开采量大幅压缩，2002年的实际开采量已减至禁采之初的一半，市区开始呈现地下水位持续回升局面。原为市区水位漏斗中心的黄巷至坊前一线，通过禁采恢复，至2008年底，水位上升近20m，效果显著。目前，市区平均水位已恢复至50m以浅，风雷新村水位埋深43.5m，是资料所测井中最深点，向东水位渐浅，接近苏州的硕放地下水位埋深31.5m。锡山与江阴相邻地区水位上升也较明显，其中张泾镇水位升幅最大（30.5m），新桥、长泾、河塘地下水位分布是34.6m、36.1m和42m，原来包围上述地区的50m水位埋深先已收缩至港下镇，目前主采层地下水位埋深在40～80m之间。</w:t>
      </w:r>
    </w:p>
    <w:p w14:paraId="37522D3A">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无锡市浅层地下水由于水质、水量原因，开发利用程度很低，地下水动态受降水等因素呈现季节性波动特征，但总体较为稳定。根据《无锡市浅层地下水资源开发利用规划（研究）报告》，无锡浅层地下水年开采量约81.38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民井取水量一般很少，一天取用数方水或不足1方水，居民生活浅井主要用于洗涤等辅助用水。无锡市浅层水主要用于工业供水，其次是生活供水，一般井深在50-60m的浅井多数为工业用水，井深在10m以下的水井多数为生活用水，生活用水的开采量很少，不足总开采的五分之一。</w:t>
      </w:r>
    </w:p>
    <w:p w14:paraId="2386D1EA">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浅层的潜水和微承压水的地下水开采总量比较小，远小于其资源量和可采资源量（无锡市微承压含水层可采资源量890万m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/a），地下水位基本处于天然状态，区内未出现因开采浅层地下水而产生的环境地质问题。</w:t>
      </w:r>
    </w:p>
    <w:p w14:paraId="70263397">
      <w:pPr>
        <w:pStyle w:val="6"/>
        <w:keepLines w:val="0"/>
        <w:widowControl/>
        <w:numPr>
          <w:ilvl w:val="3"/>
          <w:numId w:val="6"/>
        </w:numPr>
        <w:spacing w:before="120" w:beforeLines="50" w:after="120" w:afterLines="50" w:line="360" w:lineRule="auto"/>
        <w:ind w:left="-105" w:right="-105"/>
        <w:rPr>
          <w:rFonts w:ascii="Times New Roman" w:hAnsi="Times New Roman"/>
          <w:color w:val="auto"/>
          <w:sz w:val="24"/>
          <w:szCs w:val="24"/>
          <w:highlight w:val="none"/>
        </w:rPr>
      </w:pPr>
      <w:r>
        <w:rPr>
          <w:rFonts w:ascii="Times New Roman" w:hAnsi="Times New Roman"/>
          <w:color w:val="auto"/>
          <w:sz w:val="24"/>
          <w:szCs w:val="24"/>
          <w:highlight w:val="none"/>
        </w:rPr>
        <w:t>环境水文地质问题</w:t>
      </w:r>
    </w:p>
    <w:p w14:paraId="4B79CD19">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区域地下水大量开采的结果使地下水位下降，已引发了城区不同程度的地面沉降、地裂缝灾害。</w:t>
      </w:r>
    </w:p>
    <w:p w14:paraId="091B679E">
      <w:pPr>
        <w:numPr>
          <w:ilvl w:val="0"/>
          <w:numId w:val="29"/>
        </w:num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地面沉降</w:t>
      </w:r>
    </w:p>
    <w:p w14:paraId="141720C2">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无锡地面沉降始于上世纪七十年代初期，先发生于无锡城区，八十年代后扩展至外围乡镇地区。在1980～2000年之间的20年中，由于地下水开采井和开采量逐年骤增，导致Ⅱ承压水位持续性大幅度下降，地面沉降也随之快速发展。城区运河以北，东亭以西和锡西石塘湾、洛社、前洲、杨市、玉祁、堰桥等乡镇片累计地面沉降量多已超过1000mm，成为苏锡常地区地面沉降最为严重的地段，为典型的地面沉降重灾区。2000年以后，随着地下水禁采计划的实施完成，已显示出了良好的环境效应，不仅地下水位开始了普遍回升，地面沉降也明显趋向缓和，2004～2005年监测数据反映，地面沉降最严重的锡西地段，年沉降速率已减缓至10～20mm/a，至2013年，年沉降速率小于10mm/a，地面沉降明显减缓。沉降速率随着深层地下水禁采时间的延续而逐步减小。无锡市地面沉降形态为一个呈北西-南东向的不规则大漏斗，其漏斗中心在北部国棉三厂和国棉五厂，漏斗向北、北西展开，向南和南东紧收。主要沉降区的总沉降量已超过800mm，次要沉降区的总沉降量平均在400～600mm，相对稳定区的总沉降量一般小于100mm。由于存在滞后性，地面沉降还可能会延续一段时间，但随着时间的推移，地面沉降速率必将进一步减小。</w:t>
      </w:r>
    </w:p>
    <w:p w14:paraId="24E02D3A">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地下水过量开采导致地下水水位持续下降，是造成无锡地区地面沉降的主要原因。在无锡地区地下水主要开采层（深层承压水）之上普遍发育软土层，它们具有含水量高、孔隙比大、压缩性高、渗透性较差等共同特点。在长期超量开采地下水的条件下，承压含水层水位降低，上覆高压缩软土层中孔隙水压力相应下降土体内有效应力增加，从而产生压密固结作用，即压缩变形。其变形量与土层厚度有关，厚度越大，变形越大地面沉降也越大。</w:t>
      </w:r>
    </w:p>
    <w:p w14:paraId="3FAB6DCE">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根据各分层标监测数据确定第Ⅱ承压含水层及以上层位是无锡地区地面沉降的主要层位。根据无锡前洲分层标数据，地面沉降主要发生在第Ⅱ承压含水层及其顶板弱透水层。2003年到2008年间，累计沉降89.1mm，其中第Ⅱ承压含水层砂层压缩49.6mm，隔水顶板压缩达27.8mm，浅部地层固结压缩11.7mm。沉降速率从2000年的大于50mm/a逐步下降到2008年的5.3mm/a，每年平均减小幅度达5mm，且在地层中的分布比较均匀，体现了由浅至深地层固结动态的一致性。因此，在深部含水层禁采后，深部地面沉降得到控制，浅部地面沉降需要关注。</w:t>
      </w:r>
    </w:p>
    <w:p w14:paraId="2D688C53">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地面沉降量的大小受水文地质条件、高压塑软土层的岩性、结构特征、厚度大小及空间分布规律等因素制约，但其主导因素是开采量和水位。苏锡常地区深层地下水禁采以来，凡是地下水位回升地区，地面沉降均出现不同程度减弱甚至是停止。区域地下水位普遍上升，沉降速率明显降低，特别是水位快速回升地区和水位埋深小于20~30m的地区，沉降速率变得很小，部分达到禁采前沉降量的5%~10%。随着深层地下水的继续禁采，水位持续回升，地面沉降速率也将进一步减缓。</w:t>
      </w:r>
    </w:p>
    <w:p w14:paraId="12904590">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（2）地裂缝</w:t>
      </w:r>
    </w:p>
    <w:p w14:paraId="0458C6A1">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地裂缝灾害出现于二十世纪九十年代，无锡市区内已发现的灾害点共七处，均分布在评估区外围。已发现的所有地裂缝地质灾害，每处地裂缝带中都反映特定的方向，断续延伸。地裂缝密集组成带状展布，裂缝带的宽度一般都在30~100m，长度可达200~500m，个别达1000m以上，地裂缝带中往往有一条主裂缝和多条分布其两侧的次级裂缝，裂缝发育数量和严重程度随着与主裂缝之间距离的增大而逐渐减轻。</w:t>
      </w:r>
    </w:p>
    <w:p w14:paraId="355C9E0F">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r>
        <w:rPr>
          <w:rFonts w:eastAsia="宋体"/>
          <w:color w:val="auto"/>
          <w:sz w:val="28"/>
          <w:szCs w:val="28"/>
          <w:highlight w:val="none"/>
        </w:rPr>
        <w:t>5.1.</w:t>
      </w:r>
      <w:r>
        <w:rPr>
          <w:rFonts w:hint="eastAsia" w:eastAsia="宋体"/>
          <w:color w:val="auto"/>
          <w:sz w:val="28"/>
          <w:szCs w:val="28"/>
          <w:highlight w:val="none"/>
        </w:rPr>
        <w:t>5</w:t>
      </w:r>
      <w:r>
        <w:rPr>
          <w:rFonts w:eastAsia="宋体"/>
          <w:color w:val="auto"/>
          <w:sz w:val="28"/>
          <w:szCs w:val="28"/>
          <w:highlight w:val="none"/>
        </w:rPr>
        <w:t>气象气候</w:t>
      </w:r>
      <w:bookmarkEnd w:id="304"/>
      <w:bookmarkEnd w:id="305"/>
      <w:bookmarkEnd w:id="306"/>
    </w:p>
    <w:p w14:paraId="206F190A">
      <w:pPr>
        <w:spacing w:line="360" w:lineRule="auto"/>
        <w:ind w:left="-105" w:right="-105" w:firstLine="480"/>
        <w:rPr>
          <w:rFonts w:ascii="Times New Roman" w:hAnsi="Times New Roman"/>
          <w:color w:val="auto"/>
          <w:highlight w:val="none"/>
        </w:rPr>
      </w:pPr>
      <w:bookmarkStart w:id="307" w:name="_Toc89780158"/>
      <w:r>
        <w:rPr>
          <w:rFonts w:hint="eastAsia" w:ascii="Times New Roman" w:hAnsi="Times New Roman"/>
          <w:color w:val="auto"/>
          <w:highlight w:val="none"/>
        </w:rPr>
        <w:t>无锡市所在地处于中纬度，春夏多东南风，秋冬多西北风。该地区四季分明，寒暑变化显著，冬夏季较长，春秋季较短，属北亚热带湿润性季风气候。一般冬季在冷空气的控制下，以干燥、寒冷、晴天天气为主，盛行偏北风；夏季常在低气压的控制下，温度高、湿度大，会出现大暴雨，盛行东南风。</w:t>
      </w:r>
      <w:r>
        <w:rPr>
          <w:rFonts w:ascii="Times New Roman" w:hAnsi="Times New Roman"/>
          <w:color w:val="auto"/>
          <w:highlight w:val="none"/>
        </w:rPr>
        <w:t>气象特征见</w:t>
      </w:r>
      <w:r>
        <w:rPr>
          <w:rFonts w:ascii="Times New Roman" w:hAnsi="Times New Roman"/>
          <w:color w:val="auto"/>
          <w:highlight w:val="none"/>
        </w:rPr>
        <w:fldChar w:fldCharType="begin"/>
      </w:r>
      <w:r>
        <w:rPr>
          <w:rFonts w:ascii="Times New Roman" w:hAnsi="Times New Roman"/>
          <w:color w:val="auto"/>
          <w:highlight w:val="none"/>
        </w:rPr>
        <w:instrText xml:space="preserve"> REF _Ref40984806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表5.1</w:t>
      </w:r>
      <w:r>
        <w:rPr>
          <w:rFonts w:ascii="Times New Roman" w:hAnsi="Times New Roman"/>
          <w:color w:val="auto"/>
          <w:szCs w:val="22"/>
          <w:highlight w:val="none"/>
        </w:rPr>
        <w:noBreakHyphen/>
      </w:r>
      <w:r>
        <w:rPr>
          <w:rFonts w:ascii="Times New Roman" w:hAnsi="Times New Roman"/>
          <w:color w:val="auto"/>
          <w:szCs w:val="22"/>
          <w:highlight w:val="none"/>
        </w:rPr>
        <w:t>1</w:t>
      </w:r>
      <w:r>
        <w:rPr>
          <w:rFonts w:ascii="Times New Roman" w:hAnsi="Times New Roman"/>
          <w:color w:val="auto"/>
          <w:highlight w:val="none"/>
        </w:rPr>
        <w:fldChar w:fldCharType="end"/>
      </w:r>
      <w:r>
        <w:rPr>
          <w:rFonts w:ascii="Times New Roman" w:hAnsi="Times New Roman"/>
          <w:color w:val="auto"/>
          <w:highlight w:val="none"/>
        </w:rPr>
        <w:t>。</w:t>
      </w:r>
    </w:p>
    <w:p w14:paraId="00B6387E">
      <w:pPr>
        <w:pStyle w:val="15"/>
        <w:spacing w:line="360" w:lineRule="auto"/>
        <w:ind w:left="-105" w:right="-105" w:firstLine="482"/>
        <w:rPr>
          <w:rFonts w:eastAsia="宋体" w:cs="Times New Roman"/>
          <w:color w:val="auto"/>
          <w:kern w:val="0"/>
          <w:sz w:val="24"/>
          <w:szCs w:val="24"/>
          <w:highlight w:val="none"/>
        </w:rPr>
      </w:pPr>
      <w:bookmarkStart w:id="308" w:name="_Ref40984806"/>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308"/>
      <w:r>
        <w:rPr>
          <w:rFonts w:hint="eastAsia" w:eastAsia="宋体" w:cs="Times New Roman"/>
          <w:color w:val="auto"/>
          <w:sz w:val="24"/>
          <w:szCs w:val="18"/>
          <w:highlight w:val="none"/>
        </w:rPr>
        <w:t>无锡市</w:t>
      </w:r>
      <w:r>
        <w:rPr>
          <w:rFonts w:eastAsia="宋体" w:cs="Times New Roman"/>
          <w:color w:val="auto"/>
          <w:kern w:val="0"/>
          <w:sz w:val="24"/>
          <w:szCs w:val="24"/>
          <w:highlight w:val="none"/>
        </w:rPr>
        <w:t>主要气象特征表</w:t>
      </w:r>
    </w:p>
    <w:tbl>
      <w:tblPr>
        <w:tblStyle w:val="45"/>
        <w:tblW w:w="8573"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fixed"/>
        <w:tblCellMar>
          <w:top w:w="0" w:type="dxa"/>
          <w:left w:w="0" w:type="dxa"/>
          <w:bottom w:w="0" w:type="dxa"/>
          <w:right w:w="0" w:type="dxa"/>
        </w:tblCellMar>
      </w:tblPr>
      <w:tblGrid>
        <w:gridCol w:w="953"/>
        <w:gridCol w:w="1541"/>
        <w:gridCol w:w="2992"/>
        <w:gridCol w:w="3087"/>
      </w:tblGrid>
      <w:tr w14:paraId="7F919A5C">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tcBorders>
              <w:top w:val="single" w:color="auto" w:sz="12" w:space="0"/>
              <w:left w:val="nil"/>
              <w:bottom w:val="single" w:color="auto" w:sz="2" w:space="0"/>
              <w:right w:val="single" w:color="auto" w:sz="2" w:space="0"/>
            </w:tcBorders>
            <w:vAlign w:val="center"/>
          </w:tcPr>
          <w:p w14:paraId="6E5043BE">
            <w:pPr>
              <w:widowControl w:val="0"/>
              <w:adjustRightInd w:val="0"/>
              <w:snapToGrid w:val="0"/>
              <w:spacing w:line="216" w:lineRule="auto"/>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编号</w:t>
            </w:r>
          </w:p>
        </w:tc>
        <w:tc>
          <w:tcPr>
            <w:tcW w:w="4533" w:type="dxa"/>
            <w:gridSpan w:val="2"/>
            <w:tcBorders>
              <w:top w:val="single" w:color="auto" w:sz="12" w:space="0"/>
              <w:left w:val="single" w:color="auto" w:sz="2" w:space="0"/>
              <w:bottom w:val="single" w:color="auto" w:sz="2" w:space="0"/>
              <w:right w:val="single" w:color="auto" w:sz="2" w:space="0"/>
            </w:tcBorders>
            <w:vAlign w:val="center"/>
          </w:tcPr>
          <w:p w14:paraId="4DE751AA">
            <w:pPr>
              <w:widowControl w:val="0"/>
              <w:adjustRightInd w:val="0"/>
              <w:snapToGrid w:val="0"/>
              <w:spacing w:line="216" w:lineRule="auto"/>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项目</w:t>
            </w:r>
          </w:p>
        </w:tc>
        <w:tc>
          <w:tcPr>
            <w:tcW w:w="3087" w:type="dxa"/>
            <w:tcBorders>
              <w:top w:val="single" w:color="auto" w:sz="12" w:space="0"/>
              <w:left w:val="single" w:color="auto" w:sz="2" w:space="0"/>
              <w:bottom w:val="single" w:color="auto" w:sz="2" w:space="0"/>
              <w:right w:val="nil"/>
            </w:tcBorders>
            <w:vAlign w:val="center"/>
          </w:tcPr>
          <w:p w14:paraId="199B774B">
            <w:pPr>
              <w:widowControl w:val="0"/>
              <w:adjustRightInd w:val="0"/>
              <w:snapToGrid w:val="0"/>
              <w:spacing w:line="216" w:lineRule="auto"/>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数值及单位</w:t>
            </w:r>
          </w:p>
        </w:tc>
      </w:tr>
      <w:tr w14:paraId="4DED2D4B">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2" w:space="0"/>
              <w:left w:val="nil"/>
              <w:bottom w:val="single" w:color="auto" w:sz="4" w:space="0"/>
              <w:right w:val="single" w:color="auto" w:sz="4" w:space="0"/>
            </w:tcBorders>
            <w:vAlign w:val="center"/>
          </w:tcPr>
          <w:p w14:paraId="50F8BD3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541" w:type="dxa"/>
            <w:vMerge w:val="restart"/>
            <w:tcBorders>
              <w:top w:val="single" w:color="auto" w:sz="2" w:space="0"/>
              <w:left w:val="single" w:color="auto" w:sz="4" w:space="0"/>
              <w:bottom w:val="single" w:color="auto" w:sz="4" w:space="0"/>
              <w:right w:val="single" w:color="auto" w:sz="4" w:space="0"/>
            </w:tcBorders>
            <w:vAlign w:val="center"/>
          </w:tcPr>
          <w:p w14:paraId="6817C48B">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气温</w:t>
            </w:r>
          </w:p>
        </w:tc>
        <w:tc>
          <w:tcPr>
            <w:tcW w:w="2992" w:type="dxa"/>
            <w:tcBorders>
              <w:top w:val="single" w:color="auto" w:sz="2" w:space="0"/>
              <w:left w:val="single" w:color="auto" w:sz="4" w:space="0"/>
              <w:bottom w:val="single" w:color="auto" w:sz="4" w:space="0"/>
              <w:right w:val="single" w:color="auto" w:sz="4" w:space="0"/>
            </w:tcBorders>
            <w:vAlign w:val="center"/>
          </w:tcPr>
          <w:p w14:paraId="1228E1AD">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年平均气温</w:t>
            </w:r>
          </w:p>
        </w:tc>
        <w:tc>
          <w:tcPr>
            <w:tcW w:w="3087" w:type="dxa"/>
            <w:tcBorders>
              <w:top w:val="single" w:color="auto" w:sz="2" w:space="0"/>
              <w:left w:val="single" w:color="auto" w:sz="4" w:space="0"/>
              <w:bottom w:val="single" w:color="auto" w:sz="4" w:space="0"/>
              <w:right w:val="nil"/>
            </w:tcBorders>
            <w:vAlign w:val="center"/>
          </w:tcPr>
          <w:p w14:paraId="07DF5EE8">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15.6ºC</w:t>
            </w:r>
          </w:p>
        </w:tc>
      </w:tr>
      <w:tr w14:paraId="2DCF153C">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585E471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5CD439A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44D3F36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极端最高温度</w:t>
            </w:r>
          </w:p>
        </w:tc>
        <w:tc>
          <w:tcPr>
            <w:tcW w:w="3087" w:type="dxa"/>
            <w:tcBorders>
              <w:top w:val="single" w:color="auto" w:sz="4" w:space="0"/>
              <w:left w:val="single" w:color="auto" w:sz="4" w:space="0"/>
              <w:bottom w:val="single" w:color="auto" w:sz="4" w:space="0"/>
              <w:right w:val="nil"/>
            </w:tcBorders>
            <w:vAlign w:val="center"/>
          </w:tcPr>
          <w:p w14:paraId="4BA6FAB8">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39.9ºC</w:t>
            </w:r>
          </w:p>
        </w:tc>
      </w:tr>
      <w:tr w14:paraId="0BB35FD4">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507E31B6">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5F6A2E3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206990E5">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极端最低温度</w:t>
            </w:r>
          </w:p>
        </w:tc>
        <w:tc>
          <w:tcPr>
            <w:tcW w:w="3087" w:type="dxa"/>
            <w:tcBorders>
              <w:top w:val="single" w:color="auto" w:sz="4" w:space="0"/>
              <w:left w:val="single" w:color="auto" w:sz="4" w:space="0"/>
              <w:bottom w:val="single" w:color="auto" w:sz="4" w:space="0"/>
              <w:right w:val="nil"/>
            </w:tcBorders>
            <w:vAlign w:val="center"/>
          </w:tcPr>
          <w:p w14:paraId="72546AF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-12.5ºC</w:t>
            </w:r>
          </w:p>
        </w:tc>
      </w:tr>
      <w:tr w14:paraId="1413825B">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728879B4">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0394F93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2B62A1D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最热月平均气温</w:t>
            </w:r>
          </w:p>
        </w:tc>
        <w:tc>
          <w:tcPr>
            <w:tcW w:w="3087" w:type="dxa"/>
            <w:tcBorders>
              <w:top w:val="single" w:color="auto" w:sz="4" w:space="0"/>
              <w:left w:val="single" w:color="auto" w:sz="4" w:space="0"/>
              <w:bottom w:val="single" w:color="auto" w:sz="4" w:space="0"/>
              <w:right w:val="nil"/>
            </w:tcBorders>
            <w:vAlign w:val="center"/>
          </w:tcPr>
          <w:p w14:paraId="43ECD966">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28.2ºC</w:t>
            </w:r>
          </w:p>
        </w:tc>
      </w:tr>
      <w:tr w14:paraId="1365BEC8">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517C5B90">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1B9CA419">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28E0ED3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最冷月平均气温</w:t>
            </w:r>
          </w:p>
        </w:tc>
        <w:tc>
          <w:tcPr>
            <w:tcW w:w="3087" w:type="dxa"/>
            <w:tcBorders>
              <w:top w:val="single" w:color="auto" w:sz="4" w:space="0"/>
              <w:left w:val="single" w:color="auto" w:sz="4" w:space="0"/>
              <w:bottom w:val="single" w:color="auto" w:sz="4" w:space="0"/>
              <w:right w:val="nil"/>
            </w:tcBorders>
            <w:vAlign w:val="center"/>
          </w:tcPr>
          <w:p w14:paraId="28512EA3">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2.5ºC</w:t>
            </w:r>
          </w:p>
        </w:tc>
      </w:tr>
      <w:tr w14:paraId="6AF05860">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4" w:space="0"/>
              <w:left w:val="nil"/>
              <w:bottom w:val="single" w:color="auto" w:sz="4" w:space="0"/>
              <w:right w:val="single" w:color="auto" w:sz="4" w:space="0"/>
            </w:tcBorders>
            <w:vAlign w:val="center"/>
          </w:tcPr>
          <w:p w14:paraId="2748F95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541" w:type="dxa"/>
            <w:vMerge w:val="restart"/>
            <w:tcBorders>
              <w:top w:val="single" w:color="auto" w:sz="4" w:space="0"/>
              <w:left w:val="single" w:color="auto" w:sz="4" w:space="0"/>
              <w:bottom w:val="single" w:color="auto" w:sz="4" w:space="0"/>
              <w:right w:val="single" w:color="auto" w:sz="4" w:space="0"/>
            </w:tcBorders>
            <w:vAlign w:val="center"/>
          </w:tcPr>
          <w:p w14:paraId="0C55A3E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风速</w:t>
            </w:r>
          </w:p>
        </w:tc>
        <w:tc>
          <w:tcPr>
            <w:tcW w:w="2992" w:type="dxa"/>
            <w:tcBorders>
              <w:top w:val="single" w:color="auto" w:sz="4" w:space="0"/>
              <w:left w:val="single" w:color="auto" w:sz="4" w:space="0"/>
              <w:bottom w:val="single" w:color="auto" w:sz="4" w:space="0"/>
              <w:right w:val="single" w:color="auto" w:sz="4" w:space="0"/>
            </w:tcBorders>
            <w:vAlign w:val="center"/>
          </w:tcPr>
          <w:p w14:paraId="1EAECDD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年平均风速</w:t>
            </w:r>
          </w:p>
        </w:tc>
        <w:tc>
          <w:tcPr>
            <w:tcW w:w="3087" w:type="dxa"/>
            <w:tcBorders>
              <w:top w:val="single" w:color="auto" w:sz="4" w:space="0"/>
              <w:left w:val="single" w:color="auto" w:sz="4" w:space="0"/>
              <w:bottom w:val="single" w:color="auto" w:sz="4" w:space="0"/>
              <w:right w:val="nil"/>
            </w:tcBorders>
            <w:vAlign w:val="center"/>
          </w:tcPr>
          <w:p w14:paraId="6A6A768B">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2.63m/s</w:t>
            </w:r>
          </w:p>
        </w:tc>
      </w:tr>
      <w:tr w14:paraId="2E3690D9">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49894C2B">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03E4A89C">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3A079B95">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最大风速</w:t>
            </w:r>
          </w:p>
        </w:tc>
        <w:tc>
          <w:tcPr>
            <w:tcW w:w="3087" w:type="dxa"/>
            <w:tcBorders>
              <w:top w:val="single" w:color="auto" w:sz="4" w:space="0"/>
              <w:left w:val="single" w:color="auto" w:sz="4" w:space="0"/>
              <w:bottom w:val="single" w:color="auto" w:sz="4" w:space="0"/>
              <w:right w:val="nil"/>
            </w:tcBorders>
            <w:vAlign w:val="center"/>
          </w:tcPr>
          <w:p w14:paraId="1E03433D">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24m/s</w:t>
            </w:r>
          </w:p>
        </w:tc>
      </w:tr>
      <w:tr w14:paraId="25FDDBE9">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tcBorders>
              <w:top w:val="single" w:color="auto" w:sz="4" w:space="0"/>
              <w:left w:val="nil"/>
              <w:bottom w:val="single" w:color="auto" w:sz="4" w:space="0"/>
              <w:right w:val="single" w:color="auto" w:sz="4" w:space="0"/>
            </w:tcBorders>
            <w:vAlign w:val="center"/>
          </w:tcPr>
          <w:p w14:paraId="42D6DB9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541" w:type="dxa"/>
            <w:tcBorders>
              <w:top w:val="single" w:color="auto" w:sz="4" w:space="0"/>
              <w:left w:val="single" w:color="auto" w:sz="4" w:space="0"/>
              <w:bottom w:val="single" w:color="auto" w:sz="4" w:space="0"/>
              <w:right w:val="single" w:color="auto" w:sz="4" w:space="0"/>
            </w:tcBorders>
            <w:vAlign w:val="center"/>
          </w:tcPr>
          <w:p w14:paraId="0B53B86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气压</w:t>
            </w:r>
          </w:p>
        </w:tc>
        <w:tc>
          <w:tcPr>
            <w:tcW w:w="2992" w:type="dxa"/>
            <w:tcBorders>
              <w:top w:val="single" w:color="auto" w:sz="4" w:space="0"/>
              <w:left w:val="single" w:color="auto" w:sz="4" w:space="0"/>
              <w:bottom w:val="single" w:color="auto" w:sz="4" w:space="0"/>
              <w:right w:val="single" w:color="auto" w:sz="4" w:space="0"/>
            </w:tcBorders>
            <w:vAlign w:val="center"/>
          </w:tcPr>
          <w:p w14:paraId="67F203A5">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年平均大气压</w:t>
            </w:r>
          </w:p>
        </w:tc>
        <w:tc>
          <w:tcPr>
            <w:tcW w:w="3087" w:type="dxa"/>
            <w:tcBorders>
              <w:top w:val="single" w:color="auto" w:sz="4" w:space="0"/>
              <w:left w:val="single" w:color="auto" w:sz="4" w:space="0"/>
              <w:bottom w:val="single" w:color="auto" w:sz="4" w:space="0"/>
              <w:right w:val="nil"/>
            </w:tcBorders>
            <w:vAlign w:val="center"/>
          </w:tcPr>
          <w:p w14:paraId="3EA09A8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1016hPa</w:t>
            </w:r>
          </w:p>
        </w:tc>
      </w:tr>
      <w:tr w14:paraId="717AD5F5">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4" w:space="0"/>
              <w:left w:val="nil"/>
              <w:bottom w:val="single" w:color="auto" w:sz="4" w:space="0"/>
              <w:right w:val="single" w:color="auto" w:sz="4" w:space="0"/>
            </w:tcBorders>
            <w:vAlign w:val="center"/>
          </w:tcPr>
          <w:p w14:paraId="57F1ECD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1541" w:type="dxa"/>
            <w:vMerge w:val="restart"/>
            <w:tcBorders>
              <w:top w:val="single" w:color="auto" w:sz="4" w:space="0"/>
              <w:left w:val="single" w:color="auto" w:sz="4" w:space="0"/>
              <w:bottom w:val="single" w:color="auto" w:sz="4" w:space="0"/>
              <w:right w:val="single" w:color="auto" w:sz="4" w:space="0"/>
            </w:tcBorders>
            <w:vAlign w:val="center"/>
          </w:tcPr>
          <w:p w14:paraId="177BC7F3">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空气湿度</w:t>
            </w:r>
          </w:p>
        </w:tc>
        <w:tc>
          <w:tcPr>
            <w:tcW w:w="2992" w:type="dxa"/>
            <w:tcBorders>
              <w:top w:val="single" w:color="auto" w:sz="4" w:space="0"/>
              <w:left w:val="single" w:color="auto" w:sz="4" w:space="0"/>
              <w:bottom w:val="single" w:color="auto" w:sz="4" w:space="0"/>
              <w:right w:val="single" w:color="auto" w:sz="4" w:space="0"/>
            </w:tcBorders>
            <w:vAlign w:val="center"/>
          </w:tcPr>
          <w:p w14:paraId="513C0EE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年平均相对湿度</w:t>
            </w:r>
          </w:p>
        </w:tc>
        <w:tc>
          <w:tcPr>
            <w:tcW w:w="3087" w:type="dxa"/>
            <w:tcBorders>
              <w:top w:val="single" w:color="auto" w:sz="4" w:space="0"/>
              <w:left w:val="single" w:color="auto" w:sz="4" w:space="0"/>
              <w:bottom w:val="single" w:color="auto" w:sz="4" w:space="0"/>
              <w:right w:val="nil"/>
            </w:tcBorders>
            <w:vAlign w:val="center"/>
          </w:tcPr>
          <w:p w14:paraId="79A93273">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p>
        </w:tc>
      </w:tr>
      <w:tr w14:paraId="788171C1">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4C07BA3C">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464611BC">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4500210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最热平均相对湿度</w:t>
            </w:r>
          </w:p>
        </w:tc>
        <w:tc>
          <w:tcPr>
            <w:tcW w:w="3087" w:type="dxa"/>
            <w:tcBorders>
              <w:top w:val="single" w:color="auto" w:sz="4" w:space="0"/>
              <w:left w:val="single" w:color="auto" w:sz="4" w:space="0"/>
              <w:bottom w:val="single" w:color="auto" w:sz="4" w:space="0"/>
              <w:right w:val="nil"/>
            </w:tcBorders>
            <w:vAlign w:val="center"/>
          </w:tcPr>
          <w:p w14:paraId="78341E69">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88%</w:t>
            </w:r>
          </w:p>
        </w:tc>
      </w:tr>
      <w:tr w14:paraId="4B3C2468">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0CB19BF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0EC6F4B0">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6A2E9C8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最低平均相对湿度</w:t>
            </w:r>
          </w:p>
        </w:tc>
        <w:tc>
          <w:tcPr>
            <w:tcW w:w="3087" w:type="dxa"/>
            <w:tcBorders>
              <w:top w:val="single" w:color="auto" w:sz="4" w:space="0"/>
              <w:left w:val="single" w:color="auto" w:sz="4" w:space="0"/>
              <w:bottom w:val="single" w:color="auto" w:sz="4" w:space="0"/>
              <w:right w:val="nil"/>
            </w:tcBorders>
            <w:vAlign w:val="center"/>
          </w:tcPr>
          <w:p w14:paraId="3C8CF5A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76%</w:t>
            </w:r>
          </w:p>
        </w:tc>
      </w:tr>
      <w:tr w14:paraId="3D9E5BB2">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4" w:space="0"/>
              <w:left w:val="nil"/>
              <w:bottom w:val="single" w:color="auto" w:sz="4" w:space="0"/>
              <w:right w:val="single" w:color="auto" w:sz="4" w:space="0"/>
            </w:tcBorders>
            <w:vAlign w:val="center"/>
          </w:tcPr>
          <w:p w14:paraId="16322309">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1541" w:type="dxa"/>
            <w:vMerge w:val="restart"/>
            <w:tcBorders>
              <w:top w:val="single" w:color="auto" w:sz="4" w:space="0"/>
              <w:left w:val="single" w:color="auto" w:sz="4" w:space="0"/>
              <w:bottom w:val="single" w:color="auto" w:sz="4" w:space="0"/>
              <w:right w:val="single" w:color="auto" w:sz="4" w:space="0"/>
            </w:tcBorders>
            <w:vAlign w:val="center"/>
          </w:tcPr>
          <w:p w14:paraId="3AC6C90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降雨量</w:t>
            </w:r>
          </w:p>
        </w:tc>
        <w:tc>
          <w:tcPr>
            <w:tcW w:w="2992" w:type="dxa"/>
            <w:tcBorders>
              <w:top w:val="single" w:color="auto" w:sz="4" w:space="0"/>
              <w:left w:val="single" w:color="auto" w:sz="4" w:space="0"/>
              <w:bottom w:val="single" w:color="auto" w:sz="4" w:space="0"/>
              <w:right w:val="single" w:color="auto" w:sz="4" w:space="0"/>
            </w:tcBorders>
            <w:vAlign w:val="center"/>
          </w:tcPr>
          <w:p w14:paraId="1D1104B4">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年平均降水量</w:t>
            </w:r>
          </w:p>
        </w:tc>
        <w:tc>
          <w:tcPr>
            <w:tcW w:w="3087" w:type="dxa"/>
            <w:tcBorders>
              <w:top w:val="single" w:color="auto" w:sz="4" w:space="0"/>
              <w:left w:val="single" w:color="auto" w:sz="4" w:space="0"/>
              <w:bottom w:val="single" w:color="auto" w:sz="4" w:space="0"/>
              <w:right w:val="nil"/>
            </w:tcBorders>
            <w:vAlign w:val="center"/>
          </w:tcPr>
          <w:p w14:paraId="36EF167C">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1113.2mm</w:t>
            </w:r>
          </w:p>
        </w:tc>
      </w:tr>
      <w:tr w14:paraId="554FBE99">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6286B066">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78C2DAFC">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7B8E859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年最大降水量</w:t>
            </w:r>
          </w:p>
        </w:tc>
        <w:tc>
          <w:tcPr>
            <w:tcW w:w="3087" w:type="dxa"/>
            <w:tcBorders>
              <w:top w:val="single" w:color="auto" w:sz="4" w:space="0"/>
              <w:left w:val="single" w:color="auto" w:sz="4" w:space="0"/>
              <w:bottom w:val="single" w:color="auto" w:sz="4" w:space="0"/>
              <w:right w:val="nil"/>
            </w:tcBorders>
            <w:vAlign w:val="center"/>
          </w:tcPr>
          <w:p w14:paraId="41EB2AA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1713.1mm</w:t>
            </w:r>
          </w:p>
        </w:tc>
      </w:tr>
      <w:tr w14:paraId="3CF26A78">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660F4F4B">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17EBE41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631EA165">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日最大降水量</w:t>
            </w:r>
          </w:p>
        </w:tc>
        <w:tc>
          <w:tcPr>
            <w:tcW w:w="3087" w:type="dxa"/>
            <w:tcBorders>
              <w:top w:val="single" w:color="auto" w:sz="4" w:space="0"/>
              <w:left w:val="single" w:color="auto" w:sz="4" w:space="0"/>
              <w:bottom w:val="single" w:color="auto" w:sz="4" w:space="0"/>
              <w:right w:val="nil"/>
            </w:tcBorders>
            <w:vAlign w:val="center"/>
          </w:tcPr>
          <w:p w14:paraId="0E41E2E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552.9mm</w:t>
            </w:r>
          </w:p>
        </w:tc>
      </w:tr>
      <w:tr w14:paraId="19A60D19">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33D118B2">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630A1484">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3FCBC59D">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小时最大降水量</w:t>
            </w:r>
          </w:p>
        </w:tc>
        <w:tc>
          <w:tcPr>
            <w:tcW w:w="3087" w:type="dxa"/>
            <w:tcBorders>
              <w:top w:val="single" w:color="auto" w:sz="4" w:space="0"/>
              <w:left w:val="single" w:color="auto" w:sz="4" w:space="0"/>
              <w:bottom w:val="single" w:color="auto" w:sz="4" w:space="0"/>
              <w:right w:val="nil"/>
            </w:tcBorders>
            <w:vAlign w:val="center"/>
          </w:tcPr>
          <w:p w14:paraId="34E187D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65mm</w:t>
            </w:r>
          </w:p>
        </w:tc>
      </w:tr>
      <w:tr w14:paraId="218E2C00">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4" w:space="0"/>
              <w:left w:val="nil"/>
              <w:bottom w:val="single" w:color="auto" w:sz="4" w:space="0"/>
              <w:right w:val="single" w:color="auto" w:sz="4" w:space="0"/>
            </w:tcBorders>
            <w:vAlign w:val="center"/>
          </w:tcPr>
          <w:p w14:paraId="0811CA3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1541" w:type="dxa"/>
            <w:vMerge w:val="restart"/>
            <w:tcBorders>
              <w:top w:val="single" w:color="auto" w:sz="4" w:space="0"/>
              <w:left w:val="single" w:color="auto" w:sz="4" w:space="0"/>
              <w:bottom w:val="single" w:color="auto" w:sz="4" w:space="0"/>
              <w:right w:val="single" w:color="auto" w:sz="4" w:space="0"/>
            </w:tcBorders>
            <w:vAlign w:val="center"/>
          </w:tcPr>
          <w:p w14:paraId="04E90194">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积雪、冻土深度</w:t>
            </w:r>
          </w:p>
        </w:tc>
        <w:tc>
          <w:tcPr>
            <w:tcW w:w="2992" w:type="dxa"/>
            <w:tcBorders>
              <w:top w:val="single" w:color="auto" w:sz="4" w:space="0"/>
              <w:left w:val="single" w:color="auto" w:sz="4" w:space="0"/>
              <w:bottom w:val="single" w:color="auto" w:sz="4" w:space="0"/>
              <w:right w:val="single" w:color="auto" w:sz="4" w:space="0"/>
            </w:tcBorders>
            <w:vAlign w:val="center"/>
          </w:tcPr>
          <w:p w14:paraId="67063C30">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最大积雪深度</w:t>
            </w:r>
          </w:p>
        </w:tc>
        <w:tc>
          <w:tcPr>
            <w:tcW w:w="3087" w:type="dxa"/>
            <w:tcBorders>
              <w:top w:val="single" w:color="auto" w:sz="4" w:space="0"/>
              <w:left w:val="single" w:color="auto" w:sz="4" w:space="0"/>
              <w:bottom w:val="single" w:color="auto" w:sz="4" w:space="0"/>
              <w:right w:val="nil"/>
            </w:tcBorders>
            <w:vAlign w:val="center"/>
          </w:tcPr>
          <w:p w14:paraId="69A9B50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300mm</w:t>
            </w:r>
          </w:p>
        </w:tc>
      </w:tr>
      <w:tr w14:paraId="49C75688">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64AD3F1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3CE77B97">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6182530D">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最大冻土深度</w:t>
            </w:r>
          </w:p>
        </w:tc>
        <w:tc>
          <w:tcPr>
            <w:tcW w:w="3087" w:type="dxa"/>
            <w:tcBorders>
              <w:top w:val="single" w:color="auto" w:sz="4" w:space="0"/>
              <w:left w:val="single" w:color="auto" w:sz="4" w:space="0"/>
              <w:bottom w:val="single" w:color="auto" w:sz="4" w:space="0"/>
              <w:right w:val="nil"/>
            </w:tcBorders>
            <w:vAlign w:val="center"/>
          </w:tcPr>
          <w:p w14:paraId="12B75A5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120mm</w:t>
            </w:r>
          </w:p>
        </w:tc>
      </w:tr>
      <w:tr w14:paraId="403C24A7">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restart"/>
            <w:tcBorders>
              <w:top w:val="single" w:color="auto" w:sz="4" w:space="0"/>
              <w:left w:val="nil"/>
              <w:bottom w:val="single" w:color="auto" w:sz="4" w:space="0"/>
              <w:right w:val="single" w:color="auto" w:sz="4" w:space="0"/>
            </w:tcBorders>
            <w:vAlign w:val="center"/>
          </w:tcPr>
          <w:p w14:paraId="5E66FE69">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1541" w:type="dxa"/>
            <w:vMerge w:val="restart"/>
            <w:tcBorders>
              <w:top w:val="single" w:color="auto" w:sz="4" w:space="0"/>
              <w:left w:val="single" w:color="auto" w:sz="4" w:space="0"/>
              <w:bottom w:val="single" w:color="auto" w:sz="4" w:space="0"/>
              <w:right w:val="single" w:color="auto" w:sz="4" w:space="0"/>
            </w:tcBorders>
            <w:vAlign w:val="center"/>
          </w:tcPr>
          <w:p w14:paraId="09C5D0B6">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风向和频率</w:t>
            </w:r>
          </w:p>
        </w:tc>
        <w:tc>
          <w:tcPr>
            <w:tcW w:w="2992" w:type="dxa"/>
            <w:tcBorders>
              <w:top w:val="single" w:color="auto" w:sz="4" w:space="0"/>
              <w:left w:val="single" w:color="auto" w:sz="4" w:space="0"/>
              <w:bottom w:val="single" w:color="auto" w:sz="4" w:space="0"/>
              <w:right w:val="single" w:color="auto" w:sz="4" w:space="0"/>
            </w:tcBorders>
            <w:vAlign w:val="center"/>
          </w:tcPr>
          <w:p w14:paraId="0817246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年主导风向和频率</w:t>
            </w:r>
          </w:p>
        </w:tc>
        <w:tc>
          <w:tcPr>
            <w:tcW w:w="3087" w:type="dxa"/>
            <w:tcBorders>
              <w:top w:val="single" w:color="auto" w:sz="4" w:space="0"/>
              <w:left w:val="single" w:color="auto" w:sz="4" w:space="0"/>
              <w:bottom w:val="single" w:color="auto" w:sz="4" w:space="0"/>
              <w:right w:val="nil"/>
            </w:tcBorders>
            <w:vAlign w:val="center"/>
          </w:tcPr>
          <w:p w14:paraId="2FE31F9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ENE10.4%</w:t>
            </w:r>
          </w:p>
        </w:tc>
      </w:tr>
      <w:tr w14:paraId="3C568C51">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4" w:space="0"/>
              <w:right w:val="single" w:color="auto" w:sz="4" w:space="0"/>
            </w:tcBorders>
            <w:vAlign w:val="center"/>
          </w:tcPr>
          <w:p w14:paraId="02BD807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4" w:space="0"/>
              <w:right w:val="single" w:color="auto" w:sz="4" w:space="0"/>
            </w:tcBorders>
            <w:vAlign w:val="center"/>
          </w:tcPr>
          <w:p w14:paraId="663D0C73">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4" w:space="0"/>
              <w:right w:val="single" w:color="auto" w:sz="4" w:space="0"/>
            </w:tcBorders>
            <w:vAlign w:val="center"/>
          </w:tcPr>
          <w:p w14:paraId="43E1489F">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冬季主导风向和频率</w:t>
            </w:r>
          </w:p>
        </w:tc>
        <w:tc>
          <w:tcPr>
            <w:tcW w:w="3087" w:type="dxa"/>
            <w:tcBorders>
              <w:top w:val="single" w:color="auto" w:sz="4" w:space="0"/>
              <w:left w:val="single" w:color="auto" w:sz="4" w:space="0"/>
              <w:bottom w:val="single" w:color="auto" w:sz="4" w:space="0"/>
              <w:right w:val="nil"/>
            </w:tcBorders>
            <w:vAlign w:val="center"/>
          </w:tcPr>
          <w:p w14:paraId="0C40F731">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WNW12.5%</w:t>
            </w:r>
          </w:p>
        </w:tc>
      </w:tr>
      <w:tr w14:paraId="5BA9DC4F">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0" w:type="dxa"/>
            <w:bottom w:w="0" w:type="dxa"/>
            <w:right w:w="0" w:type="dxa"/>
          </w:tblCellMar>
        </w:tblPrEx>
        <w:trPr>
          <w:trHeight w:val="340" w:hRule="atLeast"/>
          <w:jc w:val="center"/>
        </w:trPr>
        <w:tc>
          <w:tcPr>
            <w:tcW w:w="953" w:type="dxa"/>
            <w:vMerge w:val="continue"/>
            <w:tcBorders>
              <w:top w:val="single" w:color="auto" w:sz="4" w:space="0"/>
              <w:left w:val="nil"/>
              <w:bottom w:val="single" w:color="auto" w:sz="12" w:space="0"/>
              <w:right w:val="single" w:color="auto" w:sz="4" w:space="0"/>
            </w:tcBorders>
            <w:vAlign w:val="center"/>
          </w:tcPr>
          <w:p w14:paraId="33556F1A">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1541" w:type="dxa"/>
            <w:vMerge w:val="continue"/>
            <w:tcBorders>
              <w:top w:val="single" w:color="auto" w:sz="4" w:space="0"/>
              <w:left w:val="single" w:color="auto" w:sz="4" w:space="0"/>
              <w:bottom w:val="single" w:color="auto" w:sz="12" w:space="0"/>
              <w:right w:val="single" w:color="auto" w:sz="4" w:space="0"/>
            </w:tcBorders>
            <w:vAlign w:val="center"/>
          </w:tcPr>
          <w:p w14:paraId="12F4908E">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p>
        </w:tc>
        <w:tc>
          <w:tcPr>
            <w:tcW w:w="2992" w:type="dxa"/>
            <w:tcBorders>
              <w:top w:val="single" w:color="auto" w:sz="4" w:space="0"/>
              <w:left w:val="single" w:color="auto" w:sz="4" w:space="0"/>
              <w:bottom w:val="single" w:color="auto" w:sz="12" w:space="0"/>
              <w:right w:val="single" w:color="auto" w:sz="4" w:space="0"/>
            </w:tcBorders>
            <w:vAlign w:val="center"/>
          </w:tcPr>
          <w:p w14:paraId="44D2CD8D">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夏季主导风向和频率</w:t>
            </w:r>
          </w:p>
        </w:tc>
        <w:tc>
          <w:tcPr>
            <w:tcW w:w="3087" w:type="dxa"/>
            <w:tcBorders>
              <w:top w:val="single" w:color="auto" w:sz="4" w:space="0"/>
              <w:left w:val="single" w:color="auto" w:sz="4" w:space="0"/>
              <w:bottom w:val="single" w:color="auto" w:sz="12" w:space="0"/>
              <w:right w:val="nil"/>
            </w:tcBorders>
            <w:vAlign w:val="center"/>
          </w:tcPr>
          <w:p w14:paraId="207EA613">
            <w:pPr>
              <w:widowControl w:val="0"/>
              <w:adjustRightInd w:val="0"/>
              <w:snapToGrid w:val="0"/>
              <w:spacing w:line="216" w:lineRule="auto"/>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SE15%</w:t>
            </w:r>
          </w:p>
        </w:tc>
      </w:tr>
      <w:bookmarkEnd w:id="307"/>
    </w:tbl>
    <w:p w14:paraId="3AC6DBC4">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09" w:name="_Toc60653530"/>
      <w:bookmarkStart w:id="310" w:name="_Toc474162980"/>
      <w:r>
        <w:rPr>
          <w:rFonts w:eastAsia="宋体"/>
          <w:color w:val="auto"/>
          <w:sz w:val="28"/>
          <w:szCs w:val="28"/>
          <w:highlight w:val="none"/>
        </w:rPr>
        <w:t>5.1.</w:t>
      </w:r>
      <w:r>
        <w:rPr>
          <w:rFonts w:hint="eastAsia" w:eastAsia="宋体"/>
          <w:color w:val="auto"/>
          <w:sz w:val="28"/>
          <w:szCs w:val="28"/>
          <w:highlight w:val="none"/>
        </w:rPr>
        <w:t>6</w:t>
      </w:r>
      <w:r>
        <w:rPr>
          <w:rFonts w:eastAsia="宋体"/>
          <w:color w:val="auto"/>
          <w:sz w:val="28"/>
          <w:szCs w:val="28"/>
          <w:highlight w:val="none"/>
        </w:rPr>
        <w:t>生态环境</w:t>
      </w:r>
      <w:bookmarkEnd w:id="309"/>
    </w:p>
    <w:p w14:paraId="2012EDC4">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由于多年的开发活动，本区自然生态环境已为人工生态环境所取代。长期的精耕细作，形成了本区良好的农业生态环境，区内土地肥沃，排灌条件良好，植被主要以三麦、水稻、蚕豌豆、玉米、大豆、薯类等粮食作物和油菜籽等经济作物为主，其他农作物包括蔬菜、瓜类、茶叶等。此外，道路、河道两旁及房前屋后栽种的各种绿化或经济林木也有效地改善了生态环境质量。</w:t>
      </w:r>
    </w:p>
    <w:p w14:paraId="2C37497B">
      <w:pPr>
        <w:spacing w:line="360" w:lineRule="auto"/>
        <w:ind w:left="-105" w:right="-105" w:firstLine="480"/>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olor w:val="auto"/>
          <w:highlight w:val="none"/>
        </w:rPr>
        <w:t>本区陆生动物除了人工饲养的牛、猪、鸡、兔、羊之外，还有少量的野生动物，包括乌、鼠、蛇、蛙、昆虫等。但已无大型野生哺乳动物；渔业主要是人工饲养的鲤、鲢、青、草、虾、蟹等，水生植物包括苇、芦、蒲、菱等。</w:t>
      </w:r>
    </w:p>
    <w:bookmarkEnd w:id="310"/>
    <w:p w14:paraId="52CB7770">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11" w:name="_Toc3642"/>
      <w:bookmarkStart w:id="312" w:name="_Toc21589"/>
      <w:bookmarkStart w:id="313" w:name="_Toc60653534"/>
      <w:bookmarkStart w:id="314" w:name="_Toc379798030"/>
      <w:bookmarkStart w:id="315" w:name="_Toc24942"/>
      <w:bookmarkStart w:id="316" w:name="_Toc24632"/>
      <w:bookmarkStart w:id="317" w:name="_Toc12545"/>
      <w:bookmarkStart w:id="318" w:name="_Toc29532"/>
      <w:bookmarkStart w:id="319" w:name="_Toc327968229"/>
      <w:bookmarkStart w:id="320" w:name="_Toc379799524"/>
      <w:bookmarkStart w:id="321" w:name="_Toc7758"/>
      <w:bookmarkStart w:id="322" w:name="_Toc25566"/>
      <w:bookmarkStart w:id="323" w:name="_Toc26055"/>
      <w:bookmarkStart w:id="324" w:name="_Toc23300"/>
      <w:bookmarkStart w:id="325" w:name="_Toc677"/>
      <w:bookmarkStart w:id="326" w:name="_Toc341825063"/>
      <w:bookmarkStart w:id="327" w:name="_Toc384725659"/>
      <w:bookmarkStart w:id="328" w:name="_Toc5969"/>
      <w:bookmarkStart w:id="329" w:name="_Toc379798381"/>
      <w:r>
        <w:rPr>
          <w:rFonts w:ascii="Times New Roman" w:eastAsia="宋体"/>
          <w:color w:val="auto"/>
          <w:sz w:val="28"/>
          <w:szCs w:val="28"/>
          <w:highlight w:val="none"/>
        </w:rPr>
        <w:t>区域污染源现状调查与评价</w:t>
      </w:r>
      <w:bookmarkEnd w:id="311"/>
      <w:bookmarkEnd w:id="312"/>
      <w:bookmarkEnd w:id="313"/>
    </w:p>
    <w:p w14:paraId="1A7D73EE">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30" w:name="_Toc60653536"/>
      <w:r>
        <w:rPr>
          <w:rFonts w:hint="eastAsia" w:eastAsia="宋体"/>
          <w:color w:val="auto"/>
          <w:sz w:val="28"/>
          <w:szCs w:val="28"/>
          <w:highlight w:val="none"/>
        </w:rPr>
        <w:t>5.2.1</w:t>
      </w:r>
      <w:r>
        <w:rPr>
          <w:rFonts w:eastAsia="宋体"/>
          <w:color w:val="auto"/>
          <w:sz w:val="28"/>
          <w:szCs w:val="28"/>
          <w:highlight w:val="none"/>
        </w:rPr>
        <w:t>评价区大气污染源调查</w:t>
      </w:r>
      <w:bookmarkEnd w:id="330"/>
      <w:r>
        <w:rPr>
          <w:rFonts w:eastAsia="宋体"/>
          <w:color w:val="auto"/>
          <w:sz w:val="28"/>
          <w:szCs w:val="28"/>
          <w:highlight w:val="none"/>
        </w:rPr>
        <w:t>与评价</w:t>
      </w:r>
    </w:p>
    <w:p w14:paraId="174DE5B2">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根据《环境影响评价技术导则大气环境》（HJ2.2-2018）章节7.1.2</w:t>
      </w:r>
      <w:r>
        <w:rPr>
          <w:rFonts w:hint="eastAsia" w:ascii="Times New Roman" w:hAnsi="Times New Roman"/>
          <w:color w:val="auto"/>
          <w:highlight w:val="none"/>
        </w:rPr>
        <w:t>“</w:t>
      </w:r>
      <w:r>
        <w:rPr>
          <w:rFonts w:ascii="Times New Roman" w:hAnsi="Times New Roman"/>
          <w:color w:val="auto"/>
          <w:highlight w:val="none"/>
        </w:rPr>
        <w:t>二级评价项目，参照7.1.1.1和7.1.1.2调查本项目现有及新增污染源和拟被替代的污染源</w:t>
      </w:r>
      <w:r>
        <w:rPr>
          <w:rFonts w:hint="eastAsia" w:ascii="Times New Roman" w:hAnsi="Times New Roman"/>
          <w:color w:val="auto"/>
          <w:highlight w:val="none"/>
        </w:rPr>
        <w:t>”</w:t>
      </w:r>
      <w:r>
        <w:rPr>
          <w:rFonts w:ascii="Times New Roman" w:hAnsi="Times New Roman"/>
          <w:color w:val="auto"/>
          <w:highlight w:val="none"/>
        </w:rPr>
        <w:t>。本项目为</w:t>
      </w:r>
      <w:r>
        <w:rPr>
          <w:rFonts w:hint="eastAsia" w:ascii="Times New Roman" w:hAnsi="Times New Roman"/>
          <w:color w:val="auto"/>
          <w:highlight w:val="none"/>
        </w:rPr>
        <w:t>扩建</w:t>
      </w:r>
      <w:r>
        <w:rPr>
          <w:rFonts w:ascii="Times New Roman" w:hAnsi="Times New Roman"/>
          <w:color w:val="auto"/>
          <w:highlight w:val="none"/>
        </w:rPr>
        <w:t>项目，大气评价等级为二级</w:t>
      </w:r>
      <w:r>
        <w:rPr>
          <w:rFonts w:hint="eastAsia" w:ascii="Times New Roman" w:hAnsi="Times New Roman"/>
          <w:color w:val="auto"/>
          <w:highlight w:val="none"/>
        </w:rPr>
        <w:t>，</w:t>
      </w:r>
      <w:r>
        <w:rPr>
          <w:rFonts w:ascii="Times New Roman" w:hAnsi="Times New Roman"/>
          <w:color w:val="auto"/>
          <w:highlight w:val="none"/>
        </w:rPr>
        <w:t>且无拟被替代的污染源，因此只需调查本项目现有及新增污染源排污概况。具体见第4章</w:t>
      </w:r>
      <w:r>
        <w:rPr>
          <w:rFonts w:hint="eastAsia" w:ascii="Times New Roman" w:hAnsi="Times New Roman"/>
          <w:color w:val="auto"/>
          <w:highlight w:val="none"/>
        </w:rPr>
        <w:t>本</w:t>
      </w:r>
      <w:r>
        <w:rPr>
          <w:rFonts w:ascii="Times New Roman" w:hAnsi="Times New Roman"/>
          <w:color w:val="auto"/>
          <w:highlight w:val="none"/>
        </w:rPr>
        <w:t>项目概况与工程分析。</w:t>
      </w:r>
    </w:p>
    <w:p w14:paraId="6B3D4C4B">
      <w:pPr>
        <w:pStyle w:val="5"/>
        <w:keepLines w:val="0"/>
        <w:numPr>
          <w:ilvl w:val="0"/>
          <w:numId w:val="0"/>
        </w:numPr>
        <w:tabs>
          <w:tab w:val="left" w:pos="-568"/>
          <w:tab w:val="left" w:pos="0"/>
          <w:tab w:val="left" w:pos="567"/>
          <w:tab w:val="left" w:pos="709"/>
        </w:tabs>
        <w:spacing w:before="120" w:beforeLines="50" w:after="120" w:afterLines="50" w:line="360" w:lineRule="auto"/>
        <w:ind w:right="-105"/>
        <w:rPr>
          <w:rFonts w:eastAsia="宋体"/>
          <w:color w:val="auto"/>
          <w:sz w:val="28"/>
          <w:szCs w:val="28"/>
          <w:highlight w:val="none"/>
        </w:rPr>
      </w:pPr>
      <w:bookmarkStart w:id="331" w:name="_Toc60653537"/>
      <w:r>
        <w:rPr>
          <w:rFonts w:hint="eastAsia" w:eastAsia="宋体"/>
          <w:color w:val="auto"/>
          <w:sz w:val="28"/>
          <w:szCs w:val="28"/>
          <w:highlight w:val="none"/>
        </w:rPr>
        <w:t>5.2.2</w:t>
      </w:r>
      <w:r>
        <w:rPr>
          <w:rFonts w:eastAsia="宋体"/>
          <w:color w:val="auto"/>
          <w:sz w:val="28"/>
          <w:szCs w:val="28"/>
          <w:highlight w:val="none"/>
        </w:rPr>
        <w:t>评价区水污染源调查</w:t>
      </w:r>
      <w:bookmarkEnd w:id="331"/>
      <w:r>
        <w:rPr>
          <w:rFonts w:eastAsia="宋体"/>
          <w:color w:val="auto"/>
          <w:sz w:val="28"/>
          <w:szCs w:val="28"/>
          <w:highlight w:val="none"/>
        </w:rPr>
        <w:t>与评价</w:t>
      </w:r>
    </w:p>
    <w:p w14:paraId="04CAA511">
      <w:pPr>
        <w:spacing w:line="360" w:lineRule="auto"/>
        <w:ind w:left="-105" w:right="-105" w:firstLine="480"/>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olor w:val="auto"/>
          <w:highlight w:val="none"/>
        </w:rPr>
        <w:t>根据《环境影响评价技术导则地表水环境》（HJ2.3-2018）章节6.6.2.1，</w:t>
      </w:r>
      <w:r>
        <w:rPr>
          <w:rFonts w:hint="eastAsia" w:ascii="Times New Roman" w:hAnsi="Times New Roman"/>
          <w:color w:val="auto"/>
          <w:highlight w:val="none"/>
        </w:rPr>
        <w:t>“</w:t>
      </w:r>
      <w:r>
        <w:rPr>
          <w:rFonts w:ascii="Times New Roman" w:hAnsi="Times New Roman"/>
          <w:color w:val="auto"/>
          <w:highlight w:val="none"/>
        </w:rPr>
        <w:t>水污染影响型三级B评价，可不开展区域污染源调查，主要调查依托污水处理设施的日处理能力、处理工艺、设计进水水质、处理后的废水稳定达标排放情况，同时应调查依托污水处理设施执行的排放标准是否涵盖建设项目排放的有毒有害的特征水污染物</w:t>
      </w:r>
      <w:r>
        <w:rPr>
          <w:rFonts w:hint="eastAsia" w:ascii="Times New Roman" w:hAnsi="Times New Roman"/>
          <w:color w:val="auto"/>
          <w:highlight w:val="none"/>
        </w:rPr>
        <w:t>”</w:t>
      </w:r>
      <w:r>
        <w:rPr>
          <w:rFonts w:ascii="Times New Roman" w:hAnsi="Times New Roman"/>
          <w:color w:val="auto"/>
          <w:highlight w:val="none"/>
        </w:rPr>
        <w:t>。本项目</w:t>
      </w:r>
      <w:r>
        <w:rPr>
          <w:rFonts w:hint="eastAsia" w:ascii="Times New Roman" w:hAnsi="Times New Roman"/>
          <w:color w:val="auto"/>
          <w:highlight w:val="none"/>
        </w:rPr>
        <w:t>不涉及废水排放变动，</w:t>
      </w:r>
      <w:r>
        <w:rPr>
          <w:rFonts w:ascii="Times New Roman" w:hAnsi="Times New Roman"/>
          <w:color w:val="auto"/>
          <w:highlight w:val="none"/>
        </w:rPr>
        <w:t>因此</w:t>
      </w:r>
      <w:r>
        <w:rPr>
          <w:rFonts w:hint="eastAsia" w:ascii="Times New Roman" w:hAnsi="Times New Roman"/>
          <w:color w:val="auto"/>
          <w:highlight w:val="none"/>
        </w:rPr>
        <w:t>，</w:t>
      </w:r>
      <w:r>
        <w:rPr>
          <w:rFonts w:ascii="Times New Roman" w:hAnsi="Times New Roman"/>
          <w:color w:val="auto"/>
          <w:highlight w:val="none"/>
        </w:rPr>
        <w:t>可不开展区域污染源调查。</w:t>
      </w:r>
    </w:p>
    <w:p w14:paraId="3BD6819A">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32" w:name="_Toc7514"/>
      <w:bookmarkStart w:id="333" w:name="_Toc60653538"/>
      <w:r>
        <w:rPr>
          <w:rFonts w:ascii="Times New Roman" w:eastAsia="宋体"/>
          <w:color w:val="auto"/>
          <w:sz w:val="28"/>
          <w:szCs w:val="28"/>
          <w:highlight w:val="none"/>
        </w:rPr>
        <w:t>环境质量现状调查与评价</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2"/>
      <w:bookmarkEnd w:id="333"/>
    </w:p>
    <w:p w14:paraId="586F8F6F">
      <w:pPr>
        <w:pStyle w:val="5"/>
        <w:keepLines w:val="0"/>
        <w:numPr>
          <w:ilvl w:val="2"/>
          <w:numId w:val="0"/>
        </w:numPr>
        <w:tabs>
          <w:tab w:val="left" w:pos="567"/>
          <w:tab w:val="left" w:pos="709"/>
        </w:tabs>
        <w:spacing w:before="120" w:beforeLines="50" w:after="120" w:afterLines="50" w:line="360" w:lineRule="auto"/>
        <w:ind w:right="-105"/>
        <w:rPr>
          <w:rFonts w:eastAsia="宋体"/>
          <w:color w:val="auto"/>
          <w:sz w:val="28"/>
          <w:szCs w:val="28"/>
          <w:highlight w:val="none"/>
        </w:rPr>
      </w:pPr>
      <w:bookmarkStart w:id="334" w:name="_Toc60653539"/>
      <w:bookmarkStart w:id="335" w:name="_Toc370313623"/>
      <w:bookmarkStart w:id="336" w:name="_Toc282417920"/>
      <w:bookmarkStart w:id="337" w:name="_Toc264206017"/>
      <w:bookmarkStart w:id="338" w:name="_Toc275889657"/>
      <w:r>
        <w:rPr>
          <w:rFonts w:hint="eastAsia" w:eastAsia="宋体"/>
          <w:color w:val="auto"/>
          <w:sz w:val="28"/>
          <w:szCs w:val="28"/>
          <w:highlight w:val="none"/>
        </w:rPr>
        <w:t>5.3.1</w:t>
      </w:r>
      <w:r>
        <w:rPr>
          <w:rFonts w:eastAsia="宋体"/>
          <w:color w:val="auto"/>
          <w:sz w:val="28"/>
          <w:szCs w:val="28"/>
          <w:highlight w:val="none"/>
        </w:rPr>
        <w:t>大气环境质量现状监测与评价</w:t>
      </w:r>
      <w:bookmarkEnd w:id="334"/>
      <w:bookmarkEnd w:id="335"/>
      <w:bookmarkEnd w:id="336"/>
      <w:bookmarkEnd w:id="337"/>
      <w:bookmarkEnd w:id="338"/>
    </w:p>
    <w:p w14:paraId="66CEE8D3">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ascii="Times New Roman" w:hAnsi="Times New Roman"/>
          <w:color w:val="auto"/>
          <w:sz w:val="24"/>
          <w:szCs w:val="24"/>
          <w:highlight w:val="none"/>
        </w:rPr>
        <w:t>5.</w:t>
      </w:r>
      <w:r>
        <w:rPr>
          <w:rFonts w:hint="eastAsia" w:ascii="Times New Roman" w:hAnsi="Times New Roman"/>
          <w:color w:val="auto"/>
          <w:sz w:val="24"/>
          <w:szCs w:val="24"/>
          <w:highlight w:val="none"/>
        </w:rPr>
        <w:t>3</w:t>
      </w:r>
      <w:r>
        <w:rPr>
          <w:rFonts w:ascii="Times New Roman" w:hAnsi="Times New Roman"/>
          <w:color w:val="auto"/>
          <w:sz w:val="24"/>
          <w:szCs w:val="24"/>
          <w:highlight w:val="none"/>
        </w:rPr>
        <w:t>.1.1基本污染物环境质量现状数据</w:t>
      </w:r>
    </w:p>
    <w:p w14:paraId="556AB3B2">
      <w:pPr>
        <w:spacing w:line="360" w:lineRule="auto"/>
        <w:ind w:left="-105" w:right="-105" w:firstLine="480"/>
        <w:rPr>
          <w:rFonts w:ascii="Times New Roman" w:hAnsi="Times New Roman" w:cs="Times New Roman"/>
          <w:color w:val="auto"/>
          <w:szCs w:val="21"/>
          <w:highlight w:val="none"/>
          <w:lang w:bidi="ar"/>
        </w:rPr>
      </w:pPr>
      <w:r>
        <w:rPr>
          <w:rFonts w:ascii="Times New Roman" w:hAnsi="Times New Roman" w:cs="Times New Roman"/>
          <w:color w:val="auto"/>
          <w:szCs w:val="21"/>
          <w:highlight w:val="none"/>
        </w:rPr>
        <w:t>根据《环境影响评价技术导则-大气环境》（HJ2.2-2018），项目所在区域达标判定，优先采用国家或地方生态环境主管部门公开发布的评价基准年环境质量公告或环境质量报告中的数据或结论。</w:t>
      </w:r>
      <w:r>
        <w:rPr>
          <w:rFonts w:ascii="Times New Roman" w:hAnsi="Times New Roman" w:cs="Times New Roman"/>
          <w:color w:val="auto"/>
          <w:szCs w:val="21"/>
          <w:highlight w:val="none"/>
          <w:lang w:bidi="ar"/>
        </w:rPr>
        <w:t>本次评价选取202</w:t>
      </w:r>
      <w:r>
        <w:rPr>
          <w:rFonts w:hint="eastAsia" w:ascii="Times New Roman" w:hAnsi="Times New Roman" w:cs="Times New Roman"/>
          <w:color w:val="auto"/>
          <w:szCs w:val="21"/>
          <w:highlight w:val="none"/>
          <w:lang w:val="en-US" w:eastAsia="zh-CN" w:bidi="ar"/>
        </w:rPr>
        <w:t>3</w:t>
      </w:r>
      <w:r>
        <w:rPr>
          <w:rFonts w:ascii="Times New Roman" w:hAnsi="Times New Roman" w:cs="Times New Roman"/>
          <w:color w:val="auto"/>
          <w:szCs w:val="21"/>
          <w:highlight w:val="none"/>
          <w:lang w:bidi="ar"/>
        </w:rPr>
        <w:t>年作为评价基准年，根据《202</w:t>
      </w:r>
      <w:r>
        <w:rPr>
          <w:rFonts w:hint="eastAsia" w:ascii="Times New Roman" w:hAnsi="Times New Roman" w:cs="Times New Roman"/>
          <w:color w:val="auto"/>
          <w:szCs w:val="21"/>
          <w:highlight w:val="none"/>
          <w:lang w:val="en-US" w:eastAsia="zh-CN" w:bidi="ar"/>
        </w:rPr>
        <w:t>3</w:t>
      </w:r>
      <w:r>
        <w:rPr>
          <w:rFonts w:ascii="Times New Roman" w:hAnsi="Times New Roman" w:cs="Times New Roman"/>
          <w:color w:val="auto"/>
          <w:szCs w:val="21"/>
          <w:highlight w:val="none"/>
          <w:lang w:bidi="ar"/>
        </w:rPr>
        <w:t>年度无锡市环境状况公报》：</w:t>
      </w:r>
    </w:p>
    <w:p w14:paraId="4922EA7E">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全市环境空气质量优良天数比率为</w:t>
      </w:r>
      <w:r>
        <w:rPr>
          <w:rFonts w:hint="eastAsia" w:ascii="Times New Roman" w:hAnsi="Times New Roman" w:cs="Times New Roman"/>
          <w:color w:val="auto"/>
          <w:highlight w:val="none"/>
          <w:lang w:val="en-US" w:eastAsia="zh-CN"/>
        </w:rPr>
        <w:t>82.5</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较2022年改善</w:t>
      </w:r>
      <w:r>
        <w:rPr>
          <w:rFonts w:ascii="Times New Roman" w:hAnsi="Times New Roman" w:cs="Times New Roman"/>
          <w:color w:val="auto"/>
          <w:highlight w:val="none"/>
        </w:rPr>
        <w:t>3.</w:t>
      </w:r>
      <w:r>
        <w:rPr>
          <w:rFonts w:hint="eastAsia" w:ascii="Times New Roman" w:hAnsi="Times New Roman" w:cs="Times New Roman"/>
          <w:color w:val="auto"/>
          <w:highlight w:val="none"/>
          <w:lang w:val="en-US" w:eastAsia="zh-CN"/>
        </w:rPr>
        <w:t>6</w:t>
      </w:r>
      <w:r>
        <w:rPr>
          <w:rFonts w:ascii="Times New Roman" w:hAnsi="Times New Roman" w:cs="Times New Roman"/>
          <w:color w:val="auto"/>
          <w:highlight w:val="none"/>
        </w:rPr>
        <w:t>个百分点；“二市六区”优良天数比率介于7</w:t>
      </w:r>
      <w:r>
        <w:rPr>
          <w:rFonts w:hint="eastAsia" w:ascii="Times New Roman" w:hAnsi="Times New Roman" w:cs="Times New Roman"/>
          <w:color w:val="auto"/>
          <w:highlight w:val="none"/>
          <w:lang w:val="en-US" w:eastAsia="zh-CN"/>
        </w:rPr>
        <w:t>8.7</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8</w:t>
      </w:r>
      <w:r>
        <w:rPr>
          <w:rFonts w:hint="eastAsia" w:ascii="Times New Roman" w:hAnsi="Times New Roman" w:cs="Times New Roman"/>
          <w:color w:val="auto"/>
          <w:highlight w:val="none"/>
          <w:lang w:val="en-US" w:eastAsia="zh-CN"/>
        </w:rPr>
        <w:t>2.8</w:t>
      </w:r>
      <w:r>
        <w:rPr>
          <w:rFonts w:ascii="Times New Roman" w:hAnsi="Times New Roman" w:cs="Times New Roman"/>
          <w:color w:val="auto"/>
          <w:highlight w:val="none"/>
        </w:rPr>
        <w:t>%之间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改善幅度介于0.3~4.4个百分点之间</w:t>
      </w:r>
      <w:r>
        <w:rPr>
          <w:rFonts w:ascii="Times New Roman" w:hAnsi="Times New Roman" w:cs="Times New Roman"/>
          <w:color w:val="auto"/>
          <w:highlight w:val="none"/>
        </w:rPr>
        <w:t>。</w:t>
      </w:r>
    </w:p>
    <w:p w14:paraId="295F83E1">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全市环境空气中</w:t>
      </w:r>
      <w:r>
        <w:rPr>
          <w:rFonts w:hint="eastAsia" w:ascii="Times New Roman" w:hAnsi="Times New Roman" w:cs="Times New Roman"/>
          <w:color w:val="auto"/>
          <w:highlight w:val="none"/>
          <w:lang w:val="en-US" w:eastAsia="zh-CN"/>
        </w:rPr>
        <w:t>臭氧最大8h第90百分位浓度（O</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lang w:val="en-US" w:eastAsia="zh-CN"/>
        </w:rPr>
        <w:t>-90Per）167微克/立方米，较2022年改善6.7%；细颗粒物（PM</w:t>
      </w:r>
      <w:r>
        <w:rPr>
          <w:rFonts w:hint="eastAsia" w:ascii="Times New Roman" w:hAnsi="Times New Roman" w:cs="Times New Roman"/>
          <w:color w:val="auto"/>
          <w:highlight w:val="none"/>
          <w:vertAlign w:val="subscript"/>
          <w:lang w:val="en-US" w:eastAsia="zh-CN"/>
        </w:rPr>
        <w:t>2.5</w:t>
      </w:r>
      <w:r>
        <w:rPr>
          <w:rFonts w:hint="eastAsia" w:ascii="Times New Roman" w:hAnsi="Times New Roman" w:cs="Times New Roman"/>
          <w:color w:val="auto"/>
          <w:highlight w:val="none"/>
          <w:lang w:val="en-US" w:eastAsia="zh-CN"/>
        </w:rPr>
        <w:t>）和二氧化硫（SO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）年均浓度分别为28微克/立方米和8微克/立方米，较2022年持平；可吸入颗粒物（PM</w:t>
      </w:r>
      <w:r>
        <w:rPr>
          <w:rFonts w:hint="eastAsia" w:ascii="Times New Roman" w:hAnsi="Times New Roman" w:cs="Times New Roman"/>
          <w:color w:val="auto"/>
          <w:highlight w:val="none"/>
          <w:vertAlign w:val="subscript"/>
          <w:lang w:val="en-US" w:eastAsia="zh-CN"/>
        </w:rPr>
        <w:t>10</w:t>
      </w:r>
      <w:r>
        <w:rPr>
          <w:rFonts w:hint="eastAsia" w:ascii="Times New Roman" w:hAnsi="Times New Roman" w:cs="Times New Roman"/>
          <w:color w:val="auto"/>
          <w:highlight w:val="none"/>
          <w:lang w:val="en-US" w:eastAsia="zh-CN"/>
        </w:rPr>
        <w:t>）、二氧化氮（NO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）和一氧化碳（CO）年均浓度分别为50微克/立方米、32微克/立方米和1.2毫克/立方米，较2022年分别恶化2.0%、23.1%和9.1%</w:t>
      </w:r>
      <w:r>
        <w:rPr>
          <w:rFonts w:ascii="Times New Roman" w:hAnsi="Times New Roman" w:cs="Times New Roman"/>
          <w:color w:val="auto"/>
          <w:highlight w:val="none"/>
        </w:rPr>
        <w:t>。</w:t>
      </w:r>
    </w:p>
    <w:p w14:paraId="416506BB">
      <w:pPr>
        <w:spacing w:line="360" w:lineRule="auto"/>
        <w:ind w:left="-105" w:right="-105" w:firstLine="480"/>
        <w:rPr>
          <w:rFonts w:ascii="Times New Roman" w:hAnsi="Times New Roman" w:cs="Times New Roman"/>
          <w:color w:val="auto"/>
          <w:sz w:val="21"/>
          <w:szCs w:val="18"/>
          <w:highlight w:val="none"/>
        </w:rPr>
      </w:pPr>
      <w:r>
        <w:rPr>
          <w:rFonts w:ascii="Times New Roman" w:hAnsi="Times New Roman" w:cs="Times New Roman"/>
          <w:color w:val="auto"/>
          <w:highlight w:val="none"/>
        </w:rPr>
        <w:t>按照《环境空气质量标准》（GB3095-2012）二级标准进行年度评价，所辖</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二市六区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环境空气质量六项指标中，细颗粒物、可吸入颗粒物、二氧化氮、二氧化硫和一氧化碳浓度均达标，</w:t>
      </w:r>
      <w:r>
        <w:rPr>
          <w:rFonts w:ascii="Times New Roman" w:hAnsi="Times New Roman" w:cs="Times New Roman"/>
          <w:color w:val="auto"/>
          <w:highlight w:val="none"/>
        </w:rPr>
        <w:t>臭氧浓度均未达标。</w:t>
      </w:r>
    </w:p>
    <w:p w14:paraId="16AD75BB">
      <w:pPr>
        <w:widowControl w:val="0"/>
        <w:spacing w:line="360" w:lineRule="auto"/>
        <w:ind w:left="-105" w:right="-105" w:firstLine="480"/>
        <w:jc w:val="both"/>
        <w:rPr>
          <w:rFonts w:ascii="Times New Roman" w:hAnsi="Times New Roman" w:cs="Times New Roman"/>
          <w:bCs/>
          <w:color w:val="auto"/>
          <w:kern w:val="2"/>
          <w:highlight w:val="none"/>
        </w:rPr>
      </w:pPr>
      <w:r>
        <w:rPr>
          <w:rFonts w:ascii="Times New Roman" w:hAnsi="Times New Roman" w:cs="Times New Roman"/>
          <w:bCs/>
          <w:color w:val="auto"/>
          <w:kern w:val="2"/>
          <w:highlight w:val="none"/>
        </w:rPr>
        <w:t>根据《中华人民共和国大气污染防治法》的要求，未达标城市需要编制限期达标规划，明确限期达标，制定有效的大气污染防治措施。无锡市已按要求开展限期达标规划。</w:t>
      </w:r>
    </w:p>
    <w:p w14:paraId="22936A9D">
      <w:pPr>
        <w:widowControl w:val="0"/>
        <w:spacing w:line="360" w:lineRule="auto"/>
        <w:ind w:left="-105" w:right="-105" w:firstLine="480"/>
        <w:jc w:val="both"/>
        <w:rPr>
          <w:rFonts w:ascii="Times New Roman" w:hAnsi="Times New Roman" w:cs="Times New Roman"/>
          <w:bCs/>
          <w:color w:val="auto"/>
          <w:kern w:val="2"/>
          <w:highlight w:val="none"/>
        </w:rPr>
      </w:pPr>
      <w:r>
        <w:rPr>
          <w:rFonts w:ascii="Times New Roman" w:hAnsi="Times New Roman" w:cs="Times New Roman"/>
          <w:bCs/>
          <w:color w:val="auto"/>
          <w:kern w:val="2"/>
          <w:highlight w:val="none"/>
        </w:rPr>
        <w:t>根据无锡市大气环境质量限期达标规划（2018-2025年），无锡市达标规划的规划范围为：整个无锡市全市范围（4650平方公里）。无锡市区面积1643.88平方公里，另有太湖水域397.8平方公里。下辖共5个区2个市（梁溪区、滨湖区、惠山区、锡山区、新吴区、江阴市、宜兴市）、7个镇、41个街道。</w:t>
      </w:r>
    </w:p>
    <w:p w14:paraId="5BD1405C">
      <w:pPr>
        <w:widowControl w:val="0"/>
        <w:spacing w:line="360" w:lineRule="auto"/>
        <w:ind w:left="-105" w:right="-105" w:firstLine="482"/>
        <w:jc w:val="both"/>
        <w:rPr>
          <w:rFonts w:ascii="Times New Roman" w:hAnsi="Times New Roman" w:cs="Times New Roman"/>
          <w:bCs/>
          <w:color w:val="auto"/>
          <w:kern w:val="2"/>
          <w:highlight w:val="none"/>
        </w:rPr>
      </w:pPr>
      <w:r>
        <w:rPr>
          <w:rFonts w:ascii="Times New Roman" w:hAnsi="Times New Roman" w:cs="Times New Roman"/>
          <w:b/>
          <w:bCs/>
          <w:color w:val="auto"/>
          <w:kern w:val="2"/>
          <w:highlight w:val="none"/>
        </w:rPr>
        <w:t>达标期限：</w:t>
      </w:r>
      <w:r>
        <w:rPr>
          <w:rFonts w:ascii="Times New Roman" w:hAnsi="Times New Roman" w:cs="Times New Roman"/>
          <w:bCs/>
          <w:color w:val="auto"/>
          <w:kern w:val="2"/>
          <w:highlight w:val="none"/>
        </w:rPr>
        <w:t>无锡市环境空气质量在2025年实现全面达标。</w:t>
      </w:r>
    </w:p>
    <w:p w14:paraId="54637AD3">
      <w:pPr>
        <w:widowControl w:val="0"/>
        <w:spacing w:line="360" w:lineRule="auto"/>
        <w:ind w:left="-105" w:right="-105" w:firstLine="482"/>
        <w:jc w:val="both"/>
        <w:rPr>
          <w:rFonts w:ascii="Times New Roman" w:hAnsi="Times New Roman" w:cs="Times New Roman"/>
          <w:bCs/>
          <w:color w:val="auto"/>
          <w:kern w:val="2"/>
          <w:highlight w:val="none"/>
        </w:rPr>
      </w:pPr>
      <w:r>
        <w:rPr>
          <w:rFonts w:ascii="Times New Roman" w:hAnsi="Times New Roman" w:cs="Times New Roman"/>
          <w:b/>
          <w:bCs/>
          <w:color w:val="auto"/>
          <w:kern w:val="2"/>
          <w:highlight w:val="none"/>
        </w:rPr>
        <w:t>远期目标：</w:t>
      </w:r>
      <w:r>
        <w:rPr>
          <w:rFonts w:ascii="Times New Roman" w:hAnsi="Times New Roman" w:cs="Times New Roman"/>
          <w:bCs/>
          <w:color w:val="auto"/>
          <w:kern w:val="2"/>
          <w:highlight w:val="none"/>
        </w:rPr>
        <w:t>力争到2025年，无锡市PM</w:t>
      </w:r>
      <w:r>
        <w:rPr>
          <w:rFonts w:ascii="Times New Roman" w:hAnsi="Times New Roman" w:cs="Times New Roman"/>
          <w:bCs/>
          <w:color w:val="auto"/>
          <w:kern w:val="2"/>
          <w:highlight w:val="none"/>
          <w:vertAlign w:val="subscript"/>
        </w:rPr>
        <w:t>2.5</w:t>
      </w:r>
      <w:r>
        <w:rPr>
          <w:rFonts w:ascii="Times New Roman" w:hAnsi="Times New Roman" w:cs="Times New Roman"/>
          <w:bCs/>
          <w:color w:val="auto"/>
          <w:kern w:val="2"/>
          <w:highlight w:val="none"/>
        </w:rPr>
        <w:t>浓度达到35ug/m</w:t>
      </w:r>
      <w:r>
        <w:rPr>
          <w:rFonts w:ascii="Times New Roman" w:hAnsi="Times New Roman" w:cs="Times New Roman"/>
          <w:bCs/>
          <w:color w:val="auto"/>
          <w:kern w:val="2"/>
          <w:highlight w:val="none"/>
          <w:vertAlign w:val="superscript"/>
        </w:rPr>
        <w:t>3</w:t>
      </w:r>
      <w:r>
        <w:rPr>
          <w:rFonts w:ascii="Times New Roman" w:hAnsi="Times New Roman" w:cs="Times New Roman"/>
          <w:bCs/>
          <w:color w:val="auto"/>
          <w:kern w:val="2"/>
          <w:highlight w:val="none"/>
        </w:rPr>
        <w:t>左右，O</w:t>
      </w:r>
      <w:r>
        <w:rPr>
          <w:rFonts w:ascii="Times New Roman" w:hAnsi="Times New Roman" w:cs="Times New Roman"/>
          <w:bCs/>
          <w:color w:val="auto"/>
          <w:kern w:val="2"/>
          <w:highlight w:val="none"/>
          <w:vertAlign w:val="subscript"/>
        </w:rPr>
        <w:t>3</w:t>
      </w:r>
      <w:r>
        <w:rPr>
          <w:rFonts w:ascii="Times New Roman" w:hAnsi="Times New Roman" w:cs="Times New Roman"/>
          <w:bCs/>
          <w:color w:val="auto"/>
          <w:kern w:val="2"/>
          <w:highlight w:val="none"/>
        </w:rPr>
        <w:t>浓度达到拐点，除O</w:t>
      </w:r>
      <w:r>
        <w:rPr>
          <w:rFonts w:ascii="Times New Roman" w:hAnsi="Times New Roman" w:cs="Times New Roman"/>
          <w:bCs/>
          <w:color w:val="auto"/>
          <w:kern w:val="2"/>
          <w:highlight w:val="none"/>
          <w:vertAlign w:val="subscript"/>
        </w:rPr>
        <w:t>3</w:t>
      </w:r>
      <w:r>
        <w:rPr>
          <w:rFonts w:ascii="Times New Roman" w:hAnsi="Times New Roman" w:cs="Times New Roman"/>
          <w:bCs/>
          <w:color w:val="auto"/>
          <w:kern w:val="2"/>
          <w:highlight w:val="none"/>
        </w:rPr>
        <w:t>以外的主要大气污染物浓度达到国家二级标准要求，空气质量优良天数比率达到80%。</w:t>
      </w:r>
    </w:p>
    <w:p w14:paraId="49A64B2B">
      <w:pPr>
        <w:spacing w:line="360" w:lineRule="auto"/>
        <w:ind w:left="-105" w:right="-105" w:firstLine="482"/>
        <w:rPr>
          <w:rFonts w:ascii="Times New Roman" w:hAnsi="Times New Roman"/>
          <w:color w:val="auto"/>
          <w:highlight w:val="none"/>
        </w:rPr>
      </w:pPr>
      <w:r>
        <w:rPr>
          <w:rFonts w:ascii="Times New Roman" w:hAnsi="Times New Roman" w:cs="Times New Roman"/>
          <w:b/>
          <w:bCs/>
          <w:color w:val="auto"/>
          <w:kern w:val="2"/>
          <w:highlight w:val="none"/>
        </w:rPr>
        <w:t>总体战略：</w:t>
      </w:r>
      <w:r>
        <w:rPr>
          <w:rFonts w:ascii="Times New Roman" w:hAnsi="Times New Roman" w:cs="Times New Roman"/>
          <w:bCs/>
          <w:color w:val="auto"/>
          <w:kern w:val="2"/>
          <w:highlight w:val="none"/>
        </w:rPr>
        <w:t>以不断降低PM</w:t>
      </w:r>
      <w:r>
        <w:rPr>
          <w:rFonts w:ascii="Times New Roman" w:hAnsi="Times New Roman" w:cs="Times New Roman"/>
          <w:bCs/>
          <w:color w:val="auto"/>
          <w:kern w:val="2"/>
          <w:highlight w:val="none"/>
          <w:vertAlign w:val="subscript"/>
        </w:rPr>
        <w:t>2.5</w:t>
      </w:r>
      <w:r>
        <w:rPr>
          <w:rFonts w:ascii="Times New Roman" w:hAnsi="Times New Roman" w:cs="Times New Roman"/>
          <w:bCs/>
          <w:color w:val="auto"/>
          <w:kern w:val="2"/>
          <w:highlight w:val="none"/>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ascii="Times New Roman" w:hAnsi="Times New Roman" w:cs="Times New Roman"/>
          <w:bCs/>
          <w:color w:val="auto"/>
          <w:kern w:val="2"/>
          <w:highlight w:val="none"/>
          <w:vertAlign w:val="subscript"/>
        </w:rPr>
        <w:t>2.5</w:t>
      </w:r>
      <w:r>
        <w:rPr>
          <w:rFonts w:ascii="Times New Roman" w:hAnsi="Times New Roman" w:cs="Times New Roman"/>
          <w:bCs/>
          <w:color w:val="auto"/>
          <w:kern w:val="2"/>
          <w:highlight w:val="none"/>
        </w:rPr>
        <w:t>和臭氧协同控制，推进区域联防联控，提升大气污染精细化防控能力。</w:t>
      </w:r>
    </w:p>
    <w:p w14:paraId="1E2C8DFD">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kern w:val="0"/>
          <w:sz w:val="24"/>
          <w:szCs w:val="24"/>
          <w:highlight w:val="none"/>
        </w:rPr>
      </w:pPr>
      <w:r>
        <w:rPr>
          <w:rFonts w:ascii="Times New Roman" w:hAnsi="Times New Roman"/>
          <w:color w:val="auto"/>
          <w:sz w:val="24"/>
          <w:szCs w:val="24"/>
          <w:highlight w:val="none"/>
        </w:rPr>
        <w:t>5.</w:t>
      </w:r>
      <w:r>
        <w:rPr>
          <w:rFonts w:hint="eastAsia" w:ascii="Times New Roman" w:hAnsi="Times New Roman"/>
          <w:color w:val="auto"/>
          <w:sz w:val="24"/>
          <w:szCs w:val="24"/>
          <w:highlight w:val="none"/>
        </w:rPr>
        <w:t>3</w:t>
      </w:r>
      <w:r>
        <w:rPr>
          <w:rFonts w:ascii="Times New Roman" w:hAnsi="Times New Roman"/>
          <w:color w:val="auto"/>
          <w:sz w:val="24"/>
          <w:szCs w:val="24"/>
          <w:highlight w:val="none"/>
        </w:rPr>
        <w:t>.1.2补充监测环境质量现状</w:t>
      </w:r>
    </w:p>
    <w:p w14:paraId="139A44FA">
      <w:pPr>
        <w:pStyle w:val="105"/>
        <w:numPr>
          <w:ilvl w:val="0"/>
          <w:numId w:val="30"/>
        </w:numPr>
        <w:adjustRightInd/>
        <w:spacing w:line="360" w:lineRule="auto"/>
        <w:ind w:left="425"/>
        <w:rPr>
          <w:rFonts w:ascii="Times New Roman" w:cs="Times New Roman"/>
          <w:color w:val="auto"/>
          <w:highlight w:val="none"/>
        </w:rPr>
      </w:pPr>
      <w:r>
        <w:rPr>
          <w:rFonts w:ascii="Times New Roman" w:cs="Times New Roman"/>
          <w:color w:val="auto"/>
          <w:highlight w:val="none"/>
        </w:rPr>
        <w:t>评价范围</w:t>
      </w:r>
    </w:p>
    <w:p w14:paraId="4981BAC7">
      <w:pPr>
        <w:pStyle w:val="105"/>
        <w:adjustRightInd/>
        <w:spacing w:line="360" w:lineRule="auto"/>
        <w:ind w:firstLine="480" w:firstLineChars="200"/>
        <w:jc w:val="both"/>
        <w:rPr>
          <w:rFonts w:ascii="Times New Roman" w:cs="Times New Roman"/>
          <w:color w:val="auto"/>
          <w:highlight w:val="none"/>
        </w:rPr>
      </w:pPr>
      <w:r>
        <w:rPr>
          <w:rFonts w:hint="eastAsia" w:ascii="Times New Roman" w:cs="Times New Roman"/>
          <w:color w:val="auto"/>
          <w:highlight w:val="none"/>
        </w:rPr>
        <w:t>本项目大气环境影响评价等级为二级，评价范围以本项目的所在地为中心，周边5km的区域</w:t>
      </w:r>
      <w:r>
        <w:rPr>
          <w:rFonts w:ascii="Times New Roman" w:cs="Times New Roman"/>
          <w:color w:val="auto"/>
          <w:highlight w:val="none"/>
        </w:rPr>
        <w:t>。</w:t>
      </w:r>
    </w:p>
    <w:p w14:paraId="6FCB1B01">
      <w:pPr>
        <w:pStyle w:val="105"/>
        <w:adjustRightInd/>
        <w:spacing w:line="360" w:lineRule="auto"/>
        <w:ind w:left="425"/>
        <w:rPr>
          <w:rFonts w:ascii="Times New Roman" w:cs="Times New Roman"/>
          <w:color w:val="auto"/>
          <w:highlight w:val="none"/>
        </w:rPr>
      </w:pPr>
      <w:r>
        <w:rPr>
          <w:rFonts w:ascii="Times New Roman" w:cs="Times New Roman"/>
          <w:color w:val="auto"/>
          <w:highlight w:val="none"/>
        </w:rPr>
        <w:t>（2）现状监测</w:t>
      </w:r>
    </w:p>
    <w:p w14:paraId="559F7545">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①</w:t>
      </w:r>
      <w:r>
        <w:rPr>
          <w:rFonts w:ascii="Times New Roman" w:hAnsi="Times New Roman"/>
          <w:color w:val="auto"/>
          <w:highlight w:val="none"/>
        </w:rPr>
        <w:t>监测项目：本项目监测因子为氮氧化物、非甲烷总烃、</w:t>
      </w:r>
      <w:r>
        <w:rPr>
          <w:rFonts w:hint="eastAsia" w:ascii="Times New Roman" w:hAnsi="Times New Roman"/>
          <w:color w:val="auto"/>
          <w:highlight w:val="none"/>
        </w:rPr>
        <w:t>甲醇</w:t>
      </w:r>
      <w:r>
        <w:rPr>
          <w:rFonts w:ascii="Times New Roman" w:hAnsi="Times New Roman"/>
          <w:color w:val="auto"/>
          <w:highlight w:val="none"/>
        </w:rPr>
        <w:t>及监测期间的气象资料。</w:t>
      </w:r>
    </w:p>
    <w:p w14:paraId="562B515C">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②</w:t>
      </w:r>
      <w:r>
        <w:rPr>
          <w:rFonts w:ascii="Times New Roman" w:hAnsi="Times New Roman"/>
          <w:color w:val="auto"/>
          <w:highlight w:val="none"/>
        </w:rPr>
        <w:t>监测方法：按环保部出版的《环境监测技术规范》和《环境空气质量标准》（GB3095-2012）表3中规定的分析方法中的有关规定进行，见下表。</w:t>
      </w:r>
    </w:p>
    <w:p w14:paraId="05C901DE">
      <w:pPr>
        <w:pStyle w:val="15"/>
        <w:spacing w:line="360" w:lineRule="auto"/>
        <w:ind w:left="-105" w:right="-105" w:firstLine="482"/>
        <w:rPr>
          <w:rFonts w:eastAsia="宋体" w:cs="Times New Roman"/>
          <w:color w:val="auto"/>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eastAsia="宋体" w:cs="Times New Roman"/>
          <w:color w:val="auto"/>
          <w:kern w:val="0"/>
          <w:sz w:val="24"/>
          <w:szCs w:val="24"/>
          <w:highlight w:val="none"/>
        </w:rPr>
        <w:t>各监测项目监测方法</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07"/>
        <w:gridCol w:w="6236"/>
      </w:tblGrid>
      <w:tr w14:paraId="13F5F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dxa"/>
            <w:tcBorders>
              <w:tl2br w:val="nil"/>
              <w:tr2bl w:val="nil"/>
            </w:tcBorders>
            <w:vAlign w:val="center"/>
          </w:tcPr>
          <w:p w14:paraId="1246CCCA">
            <w:pPr>
              <w:ind w:left="-105" w:right="-105"/>
              <w:jc w:val="center"/>
              <w:rPr>
                <w:rFonts w:ascii="Times New Roman" w:hAnsi="Times New Roman"/>
                <w:color w:val="auto"/>
                <w:sz w:val="21"/>
                <w:szCs w:val="21"/>
                <w:highlight w:val="none"/>
              </w:rPr>
            </w:pPr>
            <w:r>
              <w:rPr>
                <w:rFonts w:ascii="Times New Roman" w:hAnsi="Times New Roman"/>
                <w:b/>
                <w:bCs/>
                <w:color w:val="auto"/>
                <w:sz w:val="21"/>
                <w:szCs w:val="21"/>
                <w:highlight w:val="none"/>
              </w:rPr>
              <w:t>序号</w:t>
            </w:r>
          </w:p>
        </w:tc>
        <w:tc>
          <w:tcPr>
            <w:tcW w:w="1507" w:type="dxa"/>
            <w:tcBorders>
              <w:tl2br w:val="nil"/>
              <w:tr2bl w:val="nil"/>
            </w:tcBorders>
            <w:vAlign w:val="center"/>
          </w:tcPr>
          <w:p w14:paraId="3D3F07F1">
            <w:pPr>
              <w:ind w:left="-105" w:right="-105"/>
              <w:jc w:val="center"/>
              <w:rPr>
                <w:rFonts w:ascii="Times New Roman" w:hAnsi="Times New Roman"/>
                <w:color w:val="auto"/>
                <w:sz w:val="21"/>
                <w:szCs w:val="21"/>
                <w:highlight w:val="none"/>
              </w:rPr>
            </w:pPr>
            <w:r>
              <w:rPr>
                <w:rFonts w:ascii="Times New Roman" w:hAnsi="Times New Roman"/>
                <w:b/>
                <w:bCs/>
                <w:color w:val="auto"/>
                <w:sz w:val="21"/>
                <w:szCs w:val="21"/>
                <w:highlight w:val="none"/>
              </w:rPr>
              <w:t>项目</w:t>
            </w:r>
          </w:p>
        </w:tc>
        <w:tc>
          <w:tcPr>
            <w:tcW w:w="6236" w:type="dxa"/>
            <w:tcBorders>
              <w:tl2br w:val="nil"/>
              <w:tr2bl w:val="nil"/>
            </w:tcBorders>
            <w:vAlign w:val="center"/>
          </w:tcPr>
          <w:p w14:paraId="469D1591">
            <w:pPr>
              <w:ind w:left="-105" w:right="-105"/>
              <w:jc w:val="center"/>
              <w:rPr>
                <w:rFonts w:ascii="Times New Roman" w:hAnsi="Times New Roman"/>
                <w:color w:val="auto"/>
                <w:sz w:val="21"/>
                <w:szCs w:val="21"/>
                <w:highlight w:val="none"/>
              </w:rPr>
            </w:pPr>
            <w:r>
              <w:rPr>
                <w:rFonts w:ascii="Times New Roman" w:hAnsi="Times New Roman"/>
                <w:b/>
                <w:bCs/>
                <w:color w:val="auto"/>
                <w:sz w:val="21"/>
                <w:szCs w:val="21"/>
                <w:highlight w:val="none"/>
              </w:rPr>
              <w:t>监测依据</w:t>
            </w:r>
          </w:p>
        </w:tc>
      </w:tr>
      <w:tr w14:paraId="27D56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dxa"/>
            <w:tcBorders>
              <w:tl2br w:val="nil"/>
              <w:tr2bl w:val="nil"/>
            </w:tcBorders>
            <w:vAlign w:val="center"/>
          </w:tcPr>
          <w:p w14:paraId="2999D547">
            <w:pPr>
              <w:pStyle w:val="97"/>
              <w:numPr>
                <w:ilvl w:val="0"/>
                <w:numId w:val="31"/>
              </w:numPr>
              <w:ind w:left="-105" w:right="-105" w:firstLine="0" w:firstLineChars="0"/>
              <w:jc w:val="center"/>
              <w:rPr>
                <w:rFonts w:eastAsia="宋体"/>
                <w:color w:val="auto"/>
                <w:sz w:val="21"/>
                <w:szCs w:val="21"/>
                <w:highlight w:val="none"/>
              </w:rPr>
            </w:pPr>
          </w:p>
        </w:tc>
        <w:tc>
          <w:tcPr>
            <w:tcW w:w="1507" w:type="dxa"/>
            <w:tcBorders>
              <w:tl2br w:val="nil"/>
              <w:tr2bl w:val="nil"/>
            </w:tcBorders>
            <w:vAlign w:val="center"/>
          </w:tcPr>
          <w:p w14:paraId="31E17E67">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氮氧化物</w:t>
            </w:r>
          </w:p>
        </w:tc>
        <w:tc>
          <w:tcPr>
            <w:tcW w:w="6236" w:type="dxa"/>
            <w:tcBorders>
              <w:tl2br w:val="nil"/>
              <w:tr2bl w:val="nil"/>
            </w:tcBorders>
            <w:vAlign w:val="center"/>
          </w:tcPr>
          <w:p w14:paraId="7BC4EF10">
            <w:pPr>
              <w:pStyle w:val="97"/>
              <w:ind w:left="-105" w:right="-105" w:firstLine="0" w:firstLineChars="0"/>
              <w:jc w:val="center"/>
              <w:rPr>
                <w:rFonts w:eastAsia="宋体"/>
                <w:color w:val="auto"/>
                <w:sz w:val="21"/>
                <w:szCs w:val="21"/>
                <w:highlight w:val="none"/>
              </w:rPr>
            </w:pPr>
            <w:r>
              <w:rPr>
                <w:rFonts w:eastAsia="宋体"/>
                <w:color w:val="auto"/>
                <w:kern w:val="0"/>
                <w:sz w:val="21"/>
                <w:szCs w:val="21"/>
                <w:highlight w:val="none"/>
              </w:rPr>
              <w:t>《环境空气氮氧化物（一氧化氮和二氧化氮）的测定盐酸萘乙二胺分光光度法》（HJ479-2009）</w:t>
            </w:r>
          </w:p>
        </w:tc>
      </w:tr>
      <w:tr w14:paraId="4FAF4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dxa"/>
            <w:tcBorders>
              <w:tl2br w:val="nil"/>
              <w:tr2bl w:val="nil"/>
            </w:tcBorders>
            <w:vAlign w:val="center"/>
          </w:tcPr>
          <w:p w14:paraId="0A1C29DA">
            <w:pPr>
              <w:pStyle w:val="97"/>
              <w:numPr>
                <w:ilvl w:val="0"/>
                <w:numId w:val="31"/>
              </w:numPr>
              <w:ind w:left="-105" w:right="-105" w:firstLine="0" w:firstLineChars="0"/>
              <w:jc w:val="center"/>
              <w:rPr>
                <w:rFonts w:eastAsia="宋体"/>
                <w:color w:val="auto"/>
                <w:sz w:val="21"/>
                <w:szCs w:val="21"/>
                <w:highlight w:val="none"/>
              </w:rPr>
            </w:pPr>
          </w:p>
        </w:tc>
        <w:tc>
          <w:tcPr>
            <w:tcW w:w="1507" w:type="dxa"/>
            <w:tcBorders>
              <w:tl2br w:val="nil"/>
              <w:tr2bl w:val="nil"/>
            </w:tcBorders>
            <w:vAlign w:val="center"/>
          </w:tcPr>
          <w:p w14:paraId="6AC80587">
            <w:pPr>
              <w:pStyle w:val="97"/>
              <w:ind w:left="-105" w:right="-105" w:firstLine="0" w:firstLineChars="0"/>
              <w:jc w:val="center"/>
              <w:rPr>
                <w:rFonts w:eastAsia="宋体"/>
                <w:color w:val="auto"/>
                <w:sz w:val="21"/>
                <w:szCs w:val="21"/>
                <w:highlight w:val="none"/>
              </w:rPr>
            </w:pPr>
            <w:r>
              <w:rPr>
                <w:rFonts w:eastAsia="宋体"/>
                <w:color w:val="auto"/>
                <w:sz w:val="21"/>
                <w:szCs w:val="21"/>
                <w:highlight w:val="none"/>
              </w:rPr>
              <w:t>非甲烷总烃</w:t>
            </w:r>
          </w:p>
        </w:tc>
        <w:tc>
          <w:tcPr>
            <w:tcW w:w="6236" w:type="dxa"/>
            <w:tcBorders>
              <w:tl2br w:val="nil"/>
              <w:tr2bl w:val="nil"/>
            </w:tcBorders>
            <w:vAlign w:val="center"/>
          </w:tcPr>
          <w:p w14:paraId="32009ADE">
            <w:pPr>
              <w:pStyle w:val="97"/>
              <w:ind w:left="-105" w:right="-105" w:firstLine="0" w:firstLineChars="0"/>
              <w:jc w:val="center"/>
              <w:rPr>
                <w:rFonts w:eastAsia="宋体"/>
                <w:color w:val="auto"/>
                <w:sz w:val="21"/>
                <w:szCs w:val="21"/>
                <w:highlight w:val="none"/>
              </w:rPr>
            </w:pPr>
            <w:r>
              <w:rPr>
                <w:rFonts w:eastAsia="宋体"/>
                <w:color w:val="auto"/>
                <w:kern w:val="0"/>
                <w:sz w:val="21"/>
                <w:szCs w:val="21"/>
                <w:highlight w:val="none"/>
              </w:rPr>
              <w:t>《环境空气总烃、甲烷和非甲烷总烃的测定直接进样-气相色谱法》（HJ604-2017）</w:t>
            </w:r>
          </w:p>
        </w:tc>
      </w:tr>
      <w:tr w14:paraId="18829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1" w:type="dxa"/>
            <w:tcBorders>
              <w:tl2br w:val="nil"/>
              <w:tr2bl w:val="nil"/>
            </w:tcBorders>
            <w:vAlign w:val="center"/>
          </w:tcPr>
          <w:p w14:paraId="1E558953">
            <w:pPr>
              <w:pStyle w:val="97"/>
              <w:numPr>
                <w:ilvl w:val="0"/>
                <w:numId w:val="31"/>
              </w:numPr>
              <w:ind w:left="-105" w:right="-105" w:firstLine="0" w:firstLineChars="0"/>
              <w:jc w:val="center"/>
              <w:rPr>
                <w:rFonts w:eastAsia="宋体"/>
                <w:color w:val="auto"/>
                <w:sz w:val="21"/>
                <w:szCs w:val="21"/>
                <w:highlight w:val="none"/>
              </w:rPr>
            </w:pPr>
          </w:p>
        </w:tc>
        <w:tc>
          <w:tcPr>
            <w:tcW w:w="1507" w:type="dxa"/>
            <w:tcBorders>
              <w:tl2br w:val="nil"/>
              <w:tr2bl w:val="nil"/>
            </w:tcBorders>
            <w:vAlign w:val="center"/>
          </w:tcPr>
          <w:p w14:paraId="6FDE4676">
            <w:pPr>
              <w:pStyle w:val="97"/>
              <w:ind w:left="-105" w:right="-105" w:firstLine="0" w:firstLineChars="0"/>
              <w:jc w:val="center"/>
              <w:rPr>
                <w:rFonts w:eastAsia="宋体"/>
                <w:color w:val="auto"/>
                <w:sz w:val="21"/>
                <w:szCs w:val="21"/>
                <w:highlight w:val="none"/>
              </w:rPr>
            </w:pPr>
            <w:r>
              <w:rPr>
                <w:rFonts w:hint="eastAsia" w:eastAsia="宋体"/>
                <w:color w:val="auto"/>
                <w:sz w:val="21"/>
                <w:szCs w:val="21"/>
                <w:highlight w:val="none"/>
              </w:rPr>
              <w:t>甲醇</w:t>
            </w:r>
          </w:p>
        </w:tc>
        <w:tc>
          <w:tcPr>
            <w:tcW w:w="6236" w:type="dxa"/>
            <w:tcBorders>
              <w:tl2br w:val="nil"/>
              <w:tr2bl w:val="nil"/>
            </w:tcBorders>
            <w:vAlign w:val="center"/>
          </w:tcPr>
          <w:p w14:paraId="6CAF9AD6">
            <w:pPr>
              <w:pStyle w:val="97"/>
              <w:ind w:left="-105" w:right="-105" w:firstLine="0" w:firstLineChars="0"/>
              <w:jc w:val="center"/>
              <w:rPr>
                <w:rFonts w:eastAsia="宋体"/>
                <w:color w:val="auto"/>
                <w:sz w:val="21"/>
                <w:szCs w:val="21"/>
                <w:highlight w:val="none"/>
              </w:rPr>
            </w:pPr>
            <w:r>
              <w:rPr>
                <w:rFonts w:eastAsia="宋体"/>
                <w:color w:val="auto"/>
                <w:kern w:val="0"/>
                <w:sz w:val="21"/>
                <w:szCs w:val="21"/>
                <w:highlight w:val="none"/>
              </w:rPr>
              <w:t>《</w:t>
            </w:r>
            <w:r>
              <w:rPr>
                <w:rFonts w:hint="eastAsia" w:eastAsia="宋体"/>
                <w:color w:val="auto"/>
                <w:kern w:val="0"/>
                <w:sz w:val="21"/>
                <w:szCs w:val="21"/>
                <w:highlight w:val="none"/>
              </w:rPr>
              <w:t>固定污染源排气中甲醇的测定 气相色谱法</w:t>
            </w:r>
            <w:r>
              <w:rPr>
                <w:rFonts w:eastAsia="宋体"/>
                <w:color w:val="auto"/>
                <w:kern w:val="0"/>
                <w:sz w:val="21"/>
                <w:szCs w:val="21"/>
                <w:highlight w:val="none"/>
              </w:rPr>
              <w:t>》（HJ</w:t>
            </w:r>
            <w:r>
              <w:rPr>
                <w:rFonts w:hint="eastAsia" w:eastAsia="宋体"/>
                <w:color w:val="auto"/>
                <w:kern w:val="0"/>
                <w:sz w:val="21"/>
                <w:szCs w:val="21"/>
                <w:highlight w:val="none"/>
              </w:rPr>
              <w:t>/T33-1999</w:t>
            </w:r>
            <w:r>
              <w:rPr>
                <w:rFonts w:eastAsia="宋体"/>
                <w:color w:val="auto"/>
                <w:kern w:val="0"/>
                <w:sz w:val="21"/>
                <w:szCs w:val="21"/>
                <w:highlight w:val="none"/>
              </w:rPr>
              <w:t>）</w:t>
            </w:r>
          </w:p>
        </w:tc>
      </w:tr>
    </w:tbl>
    <w:p w14:paraId="36DBF68A">
      <w:pPr>
        <w:pStyle w:val="105"/>
        <w:adjustRightInd/>
        <w:spacing w:line="360" w:lineRule="auto"/>
        <w:ind w:firstLine="480" w:firstLineChars="200"/>
        <w:rPr>
          <w:rFonts w:ascii="Times New Roman" w:cs="Times New Roman"/>
          <w:color w:val="auto"/>
          <w:highlight w:val="none"/>
        </w:rPr>
      </w:pPr>
      <w:r>
        <w:rPr>
          <w:rFonts w:hint="eastAsia" w:ascii="Times New Roman"/>
          <w:color w:val="auto"/>
          <w:highlight w:val="none"/>
        </w:rPr>
        <w:t>③</w:t>
      </w:r>
      <w:r>
        <w:rPr>
          <w:rFonts w:ascii="Times New Roman" w:cs="Times New Roman"/>
          <w:color w:val="auto"/>
          <w:highlight w:val="none"/>
        </w:rPr>
        <w:t>监测布点</w:t>
      </w:r>
    </w:p>
    <w:p w14:paraId="5756FCBF">
      <w:pPr>
        <w:pStyle w:val="97"/>
        <w:spacing w:line="360" w:lineRule="auto"/>
        <w:ind w:left="-105" w:right="-105" w:firstLine="480"/>
        <w:rPr>
          <w:rFonts w:eastAsia="宋体"/>
          <w:color w:val="auto"/>
          <w:kern w:val="0"/>
          <w:sz w:val="24"/>
          <w:highlight w:val="none"/>
        </w:rPr>
      </w:pPr>
      <w:r>
        <w:rPr>
          <w:rFonts w:eastAsia="宋体"/>
          <w:color w:val="auto"/>
          <w:kern w:val="0"/>
          <w:sz w:val="24"/>
          <w:highlight w:val="none"/>
        </w:rPr>
        <w:t>结合评价区特点，在评价范围内布设2个大气监测点，具体位置见下表。</w:t>
      </w:r>
    </w:p>
    <w:p w14:paraId="744984C1">
      <w:pPr>
        <w:pStyle w:val="15"/>
        <w:spacing w:line="360" w:lineRule="auto"/>
        <w:ind w:left="-105" w:right="-105" w:firstLine="482"/>
        <w:rPr>
          <w:rFonts w:eastAsia="宋体" w:cs="Times New Roman"/>
          <w:bCs/>
          <w:color w:val="auto"/>
          <w:kern w:val="0"/>
          <w:sz w:val="24"/>
          <w:szCs w:val="24"/>
          <w:highlight w:val="none"/>
        </w:rPr>
      </w:pPr>
      <w:bookmarkStart w:id="339" w:name="_Ref36539471"/>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r>
        <w:rPr>
          <w:rFonts w:eastAsia="宋体" w:cs="Times New Roman"/>
          <w:color w:val="auto"/>
          <w:kern w:val="0"/>
          <w:sz w:val="24"/>
          <w:szCs w:val="24"/>
          <w:highlight w:val="none"/>
        </w:rPr>
        <w:t>大气监测现状布点表</w:t>
      </w:r>
      <w:bookmarkEnd w:id="339"/>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949"/>
        <w:gridCol w:w="729"/>
        <w:gridCol w:w="821"/>
        <w:gridCol w:w="1918"/>
        <w:gridCol w:w="2367"/>
        <w:gridCol w:w="619"/>
        <w:gridCol w:w="811"/>
      </w:tblGrid>
      <w:tr w14:paraId="718FB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0" w:type="pct"/>
            <w:vMerge w:val="restart"/>
            <w:tcBorders>
              <w:top w:val="single" w:color="auto" w:sz="12" w:space="0"/>
              <w:left w:val="nil"/>
              <w:bottom w:val="single" w:color="auto" w:sz="4" w:space="0"/>
              <w:right w:val="single" w:color="auto" w:sz="4" w:space="0"/>
            </w:tcBorders>
            <w:vAlign w:val="center"/>
          </w:tcPr>
          <w:p w14:paraId="6012887C">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序号</w:t>
            </w:r>
          </w:p>
        </w:tc>
        <w:tc>
          <w:tcPr>
            <w:tcW w:w="544" w:type="pct"/>
            <w:vMerge w:val="restart"/>
            <w:tcBorders>
              <w:top w:val="single" w:color="auto" w:sz="12" w:space="0"/>
              <w:left w:val="single" w:color="auto" w:sz="4" w:space="0"/>
              <w:bottom w:val="single" w:color="auto" w:sz="4" w:space="0"/>
              <w:right w:val="single" w:color="auto" w:sz="4" w:space="0"/>
            </w:tcBorders>
            <w:vAlign w:val="center"/>
          </w:tcPr>
          <w:p w14:paraId="1CFE073C">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监测点位置</w:t>
            </w:r>
          </w:p>
        </w:tc>
        <w:tc>
          <w:tcPr>
            <w:tcW w:w="889" w:type="pct"/>
            <w:gridSpan w:val="2"/>
            <w:tcBorders>
              <w:top w:val="single" w:color="auto" w:sz="12" w:space="0"/>
              <w:left w:val="single" w:color="auto" w:sz="4" w:space="0"/>
              <w:bottom w:val="single" w:color="auto" w:sz="4" w:space="0"/>
              <w:right w:val="single" w:color="auto" w:sz="4" w:space="0"/>
            </w:tcBorders>
            <w:vAlign w:val="center"/>
          </w:tcPr>
          <w:p w14:paraId="21531B37">
            <w:pPr>
              <w:ind w:left="-105" w:right="-105"/>
              <w:jc w:val="center"/>
              <w:rPr>
                <w:rFonts w:ascii="Times New Roman" w:hAnsi="Times New Roman"/>
                <w:b/>
                <w:color w:val="auto"/>
                <w:sz w:val="21"/>
                <w:szCs w:val="21"/>
                <w:highlight w:val="none"/>
                <w:vertAlign w:val="superscript"/>
              </w:rPr>
            </w:pPr>
            <w:r>
              <w:rPr>
                <w:rFonts w:ascii="Times New Roman" w:hAnsi="Times New Roman"/>
                <w:b/>
                <w:color w:val="auto"/>
                <w:sz w:val="21"/>
                <w:szCs w:val="21"/>
                <w:highlight w:val="none"/>
              </w:rPr>
              <w:t>监测点坐标/m</w:t>
            </w:r>
            <w:r>
              <w:rPr>
                <w:rFonts w:hint="eastAsia" w:ascii="Times New Roman" w:hAnsi="Times New Roman"/>
                <w:b/>
                <w:color w:val="auto"/>
                <w:sz w:val="21"/>
                <w:szCs w:val="21"/>
                <w:highlight w:val="none"/>
                <w:vertAlign w:val="superscript"/>
              </w:rPr>
              <w:t>[1]</w:t>
            </w:r>
          </w:p>
        </w:tc>
        <w:tc>
          <w:tcPr>
            <w:tcW w:w="1100" w:type="pct"/>
            <w:vMerge w:val="restart"/>
            <w:tcBorders>
              <w:top w:val="single" w:color="auto" w:sz="12" w:space="0"/>
              <w:left w:val="single" w:color="auto" w:sz="4" w:space="0"/>
              <w:bottom w:val="single" w:color="auto" w:sz="4" w:space="0"/>
              <w:right w:val="single" w:color="auto" w:sz="4" w:space="0"/>
            </w:tcBorders>
            <w:vAlign w:val="center"/>
          </w:tcPr>
          <w:p w14:paraId="36808974">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监测因子</w:t>
            </w:r>
          </w:p>
        </w:tc>
        <w:tc>
          <w:tcPr>
            <w:tcW w:w="1357" w:type="pct"/>
            <w:vMerge w:val="restart"/>
            <w:tcBorders>
              <w:top w:val="single" w:color="auto" w:sz="12" w:space="0"/>
              <w:left w:val="single" w:color="auto" w:sz="4" w:space="0"/>
              <w:bottom w:val="single" w:color="auto" w:sz="4" w:space="0"/>
              <w:right w:val="single" w:color="auto" w:sz="4" w:space="0"/>
            </w:tcBorders>
            <w:vAlign w:val="center"/>
          </w:tcPr>
          <w:p w14:paraId="425F1FD8">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监测时段</w:t>
            </w:r>
          </w:p>
        </w:tc>
        <w:tc>
          <w:tcPr>
            <w:tcW w:w="820" w:type="pct"/>
            <w:gridSpan w:val="2"/>
            <w:tcBorders>
              <w:top w:val="single" w:color="auto" w:sz="12" w:space="0"/>
              <w:left w:val="single" w:color="auto" w:sz="4" w:space="0"/>
              <w:bottom w:val="single" w:color="auto" w:sz="4" w:space="0"/>
              <w:right w:val="nil"/>
            </w:tcBorders>
            <w:vAlign w:val="center"/>
          </w:tcPr>
          <w:p w14:paraId="0FF9F08C">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相对厂界位置</w:t>
            </w:r>
          </w:p>
        </w:tc>
      </w:tr>
      <w:tr w14:paraId="63B13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tcBorders>
              <w:top w:val="single" w:color="auto" w:sz="12" w:space="0"/>
              <w:left w:val="nil"/>
              <w:bottom w:val="single" w:color="auto" w:sz="4" w:space="0"/>
              <w:right w:val="single" w:color="auto" w:sz="4" w:space="0"/>
            </w:tcBorders>
            <w:vAlign w:val="center"/>
          </w:tcPr>
          <w:p w14:paraId="286E485A">
            <w:pPr>
              <w:ind w:left="-105" w:right="-105"/>
              <w:rPr>
                <w:rFonts w:ascii="Times New Roman" w:hAnsi="Times New Roman"/>
                <w:b/>
                <w:color w:val="auto"/>
                <w:sz w:val="21"/>
                <w:szCs w:val="21"/>
                <w:highlight w:val="none"/>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5BF954E9">
            <w:pPr>
              <w:ind w:left="-105" w:right="-105"/>
              <w:rPr>
                <w:rFonts w:ascii="Times New Roman" w:hAnsi="Times New Roman"/>
                <w:b/>
                <w:color w:val="auto"/>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vAlign w:val="center"/>
          </w:tcPr>
          <w:p w14:paraId="04AD4E89">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X</w:t>
            </w:r>
          </w:p>
        </w:tc>
        <w:tc>
          <w:tcPr>
            <w:tcW w:w="471" w:type="pct"/>
            <w:tcBorders>
              <w:top w:val="single" w:color="auto" w:sz="4" w:space="0"/>
              <w:left w:val="single" w:color="auto" w:sz="4" w:space="0"/>
              <w:bottom w:val="single" w:color="auto" w:sz="4" w:space="0"/>
              <w:right w:val="single" w:color="auto" w:sz="4" w:space="0"/>
            </w:tcBorders>
            <w:vAlign w:val="center"/>
          </w:tcPr>
          <w:p w14:paraId="240754EA">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Y</w:t>
            </w: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5CE3AD8C">
            <w:pPr>
              <w:ind w:left="-105" w:right="-105"/>
              <w:rPr>
                <w:rFonts w:ascii="Times New Roman" w:hAnsi="Times New Roman"/>
                <w:b/>
                <w:color w:val="auto"/>
                <w:sz w:val="21"/>
                <w:szCs w:val="21"/>
                <w:highlight w:val="none"/>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7F3C1D70">
            <w:pPr>
              <w:ind w:left="-105" w:right="-105"/>
              <w:rPr>
                <w:rFonts w:ascii="Times New Roman" w:hAnsi="Times New Roman"/>
                <w:b/>
                <w:color w:val="auto"/>
                <w:sz w:val="21"/>
                <w:szCs w:val="21"/>
                <w:highlight w:val="none"/>
              </w:rPr>
            </w:pPr>
          </w:p>
        </w:tc>
        <w:tc>
          <w:tcPr>
            <w:tcW w:w="355" w:type="pct"/>
            <w:tcBorders>
              <w:top w:val="single" w:color="auto" w:sz="4" w:space="0"/>
              <w:left w:val="single" w:color="auto" w:sz="4" w:space="0"/>
              <w:bottom w:val="single" w:color="auto" w:sz="4" w:space="0"/>
              <w:right w:val="single" w:color="auto" w:sz="4" w:space="0"/>
            </w:tcBorders>
            <w:vAlign w:val="center"/>
          </w:tcPr>
          <w:p w14:paraId="26819742">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方位</w:t>
            </w:r>
          </w:p>
        </w:tc>
        <w:tc>
          <w:tcPr>
            <w:tcW w:w="465" w:type="pct"/>
            <w:tcBorders>
              <w:top w:val="single" w:color="auto" w:sz="4" w:space="0"/>
              <w:left w:val="single" w:color="auto" w:sz="4" w:space="0"/>
              <w:bottom w:val="single" w:color="auto" w:sz="4" w:space="0"/>
              <w:right w:val="nil"/>
            </w:tcBorders>
            <w:vAlign w:val="center"/>
          </w:tcPr>
          <w:p w14:paraId="7CB7E0DB">
            <w:pPr>
              <w:ind w:left="-105" w:right="-105"/>
              <w:jc w:val="center"/>
              <w:rPr>
                <w:rFonts w:ascii="Times New Roman" w:hAnsi="Times New Roman"/>
                <w:b/>
                <w:color w:val="auto"/>
                <w:sz w:val="21"/>
                <w:szCs w:val="21"/>
                <w:highlight w:val="none"/>
              </w:rPr>
            </w:pPr>
            <w:r>
              <w:rPr>
                <w:rFonts w:ascii="Times New Roman" w:hAnsi="Times New Roman"/>
                <w:b/>
                <w:color w:val="auto"/>
                <w:sz w:val="21"/>
                <w:szCs w:val="21"/>
                <w:highlight w:val="none"/>
              </w:rPr>
              <w:t>距离/m</w:t>
            </w:r>
          </w:p>
        </w:tc>
      </w:tr>
      <w:tr w14:paraId="20C27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290" w:type="pct"/>
            <w:tcBorders>
              <w:top w:val="single" w:color="auto" w:sz="4" w:space="0"/>
              <w:left w:val="nil"/>
              <w:bottom w:val="single" w:color="auto" w:sz="4" w:space="0"/>
              <w:right w:val="single" w:color="auto" w:sz="4" w:space="0"/>
            </w:tcBorders>
            <w:vAlign w:val="center"/>
          </w:tcPr>
          <w:p w14:paraId="1162912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G1</w:t>
            </w:r>
          </w:p>
        </w:tc>
        <w:tc>
          <w:tcPr>
            <w:tcW w:w="544" w:type="pct"/>
            <w:tcBorders>
              <w:top w:val="single" w:color="auto" w:sz="4" w:space="0"/>
              <w:left w:val="single" w:color="auto" w:sz="4" w:space="0"/>
              <w:bottom w:val="single" w:color="auto" w:sz="4" w:space="0"/>
              <w:right w:val="single" w:color="auto" w:sz="4" w:space="0"/>
            </w:tcBorders>
            <w:vAlign w:val="center"/>
          </w:tcPr>
          <w:p w14:paraId="0100618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项目拟建地</w:t>
            </w:r>
          </w:p>
        </w:tc>
        <w:tc>
          <w:tcPr>
            <w:tcW w:w="418" w:type="pct"/>
            <w:tcBorders>
              <w:top w:val="single" w:color="auto" w:sz="4" w:space="0"/>
              <w:left w:val="single" w:color="auto" w:sz="4" w:space="0"/>
              <w:bottom w:val="single" w:color="auto" w:sz="4" w:space="0"/>
              <w:right w:val="single" w:color="auto" w:sz="4" w:space="0"/>
            </w:tcBorders>
            <w:vAlign w:val="center"/>
          </w:tcPr>
          <w:p w14:paraId="4F8737A5">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68</w:t>
            </w:r>
          </w:p>
        </w:tc>
        <w:tc>
          <w:tcPr>
            <w:tcW w:w="471" w:type="pct"/>
            <w:tcBorders>
              <w:top w:val="single" w:color="auto" w:sz="4" w:space="0"/>
              <w:left w:val="single" w:color="auto" w:sz="4" w:space="0"/>
              <w:bottom w:val="single" w:color="auto" w:sz="4" w:space="0"/>
              <w:right w:val="single" w:color="auto" w:sz="4" w:space="0"/>
            </w:tcBorders>
            <w:vAlign w:val="center"/>
          </w:tcPr>
          <w:p w14:paraId="19BE437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0</w:t>
            </w:r>
          </w:p>
        </w:tc>
        <w:tc>
          <w:tcPr>
            <w:tcW w:w="1100" w:type="pct"/>
            <w:vMerge w:val="restart"/>
            <w:tcBorders>
              <w:top w:val="single" w:color="auto" w:sz="4" w:space="0"/>
              <w:left w:val="single" w:color="auto" w:sz="4" w:space="0"/>
              <w:bottom w:val="single" w:color="auto" w:sz="12" w:space="0"/>
              <w:right w:val="single" w:color="auto" w:sz="4" w:space="0"/>
            </w:tcBorders>
            <w:vAlign w:val="center"/>
          </w:tcPr>
          <w:p w14:paraId="753A8216">
            <w:pPr>
              <w:pStyle w:val="105"/>
              <w:adjustRightInd/>
              <w:jc w:val="center"/>
              <w:rPr>
                <w:rFonts w:ascii="Times New Roman" w:cs="Times New Roman"/>
                <w:color w:val="auto"/>
                <w:sz w:val="21"/>
                <w:szCs w:val="21"/>
                <w:highlight w:val="none"/>
              </w:rPr>
            </w:pPr>
            <w:r>
              <w:rPr>
                <w:rFonts w:ascii="Times New Roman" w:cs="Times New Roman"/>
                <w:color w:val="auto"/>
                <w:sz w:val="21"/>
                <w:szCs w:val="21"/>
                <w:highlight w:val="none"/>
              </w:rPr>
              <w:t>氮氧化物、非甲烷总烃、</w:t>
            </w:r>
            <w:r>
              <w:rPr>
                <w:rFonts w:hint="eastAsia" w:ascii="Times New Roman" w:cs="Times New Roman"/>
                <w:color w:val="auto"/>
                <w:sz w:val="21"/>
                <w:szCs w:val="21"/>
                <w:highlight w:val="none"/>
              </w:rPr>
              <w:t>甲醇</w:t>
            </w:r>
          </w:p>
        </w:tc>
        <w:tc>
          <w:tcPr>
            <w:tcW w:w="1357" w:type="pct"/>
            <w:vMerge w:val="restart"/>
            <w:tcBorders>
              <w:top w:val="single" w:color="auto" w:sz="4" w:space="0"/>
              <w:left w:val="single" w:color="auto" w:sz="4" w:space="0"/>
              <w:bottom w:val="single" w:color="auto" w:sz="12" w:space="0"/>
              <w:right w:val="single" w:color="auto" w:sz="4" w:space="0"/>
            </w:tcBorders>
            <w:vAlign w:val="center"/>
          </w:tcPr>
          <w:p w14:paraId="11452E2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所有监测因子每天监测4次，每次采样时间45分钟。并收集气象资料，包括天气、风速、风向、气温、湿度、大气压力等气象参数</w:t>
            </w:r>
          </w:p>
        </w:tc>
        <w:tc>
          <w:tcPr>
            <w:tcW w:w="355" w:type="pct"/>
            <w:tcBorders>
              <w:top w:val="single" w:color="auto" w:sz="4" w:space="0"/>
              <w:left w:val="single" w:color="auto" w:sz="4" w:space="0"/>
              <w:bottom w:val="single" w:color="auto" w:sz="4" w:space="0"/>
              <w:right w:val="single" w:color="auto" w:sz="4" w:space="0"/>
            </w:tcBorders>
            <w:vAlign w:val="center"/>
          </w:tcPr>
          <w:p w14:paraId="0712EB6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465" w:type="pct"/>
            <w:tcBorders>
              <w:top w:val="single" w:color="auto" w:sz="4" w:space="0"/>
              <w:left w:val="single" w:color="auto" w:sz="4" w:space="0"/>
              <w:bottom w:val="single" w:color="auto" w:sz="4" w:space="0"/>
              <w:right w:val="nil"/>
            </w:tcBorders>
            <w:vAlign w:val="center"/>
          </w:tcPr>
          <w:p w14:paraId="0F165DF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r>
      <w:tr w14:paraId="02F8C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tcBorders>
              <w:top w:val="single" w:color="auto" w:sz="4" w:space="0"/>
              <w:left w:val="nil"/>
              <w:bottom w:val="single" w:color="auto" w:sz="12" w:space="0"/>
              <w:right w:val="single" w:color="auto" w:sz="4" w:space="0"/>
            </w:tcBorders>
            <w:vAlign w:val="center"/>
          </w:tcPr>
          <w:p w14:paraId="4DB6589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G2</w:t>
            </w:r>
          </w:p>
        </w:tc>
        <w:tc>
          <w:tcPr>
            <w:tcW w:w="544" w:type="pct"/>
            <w:tcBorders>
              <w:top w:val="single" w:color="auto" w:sz="4" w:space="0"/>
              <w:left w:val="single" w:color="auto" w:sz="4" w:space="0"/>
              <w:bottom w:val="single" w:color="auto" w:sz="12" w:space="0"/>
              <w:right w:val="single" w:color="auto" w:sz="4" w:space="0"/>
            </w:tcBorders>
            <w:vAlign w:val="center"/>
          </w:tcPr>
          <w:p w14:paraId="2254D06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鸿景华庭</w:t>
            </w:r>
          </w:p>
        </w:tc>
        <w:tc>
          <w:tcPr>
            <w:tcW w:w="418" w:type="pct"/>
            <w:tcBorders>
              <w:top w:val="single" w:color="auto" w:sz="4" w:space="0"/>
              <w:left w:val="single" w:color="auto" w:sz="4" w:space="0"/>
              <w:bottom w:val="single" w:color="auto" w:sz="12" w:space="0"/>
              <w:right w:val="single" w:color="auto" w:sz="4" w:space="0"/>
            </w:tcBorders>
            <w:vAlign w:val="center"/>
          </w:tcPr>
          <w:p w14:paraId="35361FD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471" w:type="pct"/>
            <w:tcBorders>
              <w:top w:val="single" w:color="auto" w:sz="4" w:space="0"/>
              <w:left w:val="single" w:color="auto" w:sz="4" w:space="0"/>
              <w:bottom w:val="single" w:color="auto" w:sz="12" w:space="0"/>
              <w:right w:val="single" w:color="auto" w:sz="4" w:space="0"/>
            </w:tcBorders>
            <w:vAlign w:val="center"/>
          </w:tcPr>
          <w:p w14:paraId="61B9A5FE">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358</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76C28E99">
            <w:pPr>
              <w:ind w:left="-105" w:right="-105"/>
              <w:rPr>
                <w:rFonts w:ascii="Times New Roman" w:hAnsi="Times New Roman"/>
                <w:color w:val="auto"/>
                <w:sz w:val="21"/>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C3DBE27">
            <w:pPr>
              <w:ind w:left="-105" w:right="-105"/>
              <w:rPr>
                <w:rFonts w:ascii="Times New Roman" w:hAnsi="Times New Roman"/>
                <w:color w:val="auto"/>
                <w:sz w:val="21"/>
                <w:szCs w:val="21"/>
                <w:highlight w:val="none"/>
              </w:rPr>
            </w:pPr>
          </w:p>
        </w:tc>
        <w:tc>
          <w:tcPr>
            <w:tcW w:w="355" w:type="pct"/>
            <w:tcBorders>
              <w:top w:val="single" w:color="auto" w:sz="4" w:space="0"/>
              <w:left w:val="single" w:color="auto" w:sz="4" w:space="0"/>
              <w:bottom w:val="single" w:color="auto" w:sz="12" w:space="0"/>
              <w:right w:val="single" w:color="auto" w:sz="4" w:space="0"/>
            </w:tcBorders>
            <w:vAlign w:val="center"/>
          </w:tcPr>
          <w:p w14:paraId="7EF9F323">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N</w:t>
            </w:r>
          </w:p>
        </w:tc>
        <w:tc>
          <w:tcPr>
            <w:tcW w:w="465" w:type="pct"/>
            <w:tcBorders>
              <w:top w:val="single" w:color="auto" w:sz="4" w:space="0"/>
              <w:left w:val="single" w:color="auto" w:sz="4" w:space="0"/>
              <w:bottom w:val="single" w:color="auto" w:sz="12" w:space="0"/>
              <w:right w:val="nil"/>
            </w:tcBorders>
            <w:vAlign w:val="center"/>
          </w:tcPr>
          <w:p w14:paraId="565FFCB9">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w:t>
            </w:r>
          </w:p>
        </w:tc>
      </w:tr>
    </w:tbl>
    <w:p w14:paraId="51BC4321">
      <w:pPr>
        <w:spacing w:line="360" w:lineRule="auto"/>
        <w:ind w:left="-105" w:right="-105"/>
        <w:rPr>
          <w:rFonts w:ascii="Times New Roman" w:hAnsi="Times New Roman"/>
          <w:b/>
          <w:bCs/>
          <w:color w:val="auto"/>
          <w:highlight w:val="none"/>
        </w:rPr>
      </w:pPr>
      <w:r>
        <w:rPr>
          <w:rFonts w:ascii="Times New Roman" w:hAnsi="Times New Roman" w:cs="Times New Roman"/>
          <w:b/>
          <w:bCs/>
          <w:color w:val="auto"/>
          <w:sz w:val="21"/>
          <w:szCs w:val="21"/>
          <w:highlight w:val="none"/>
        </w:rPr>
        <w:t>[1]注：本项目坐标原点</w:t>
      </w:r>
      <w:r>
        <w:rPr>
          <w:rFonts w:hint="eastAsia" w:ascii="Times New Roman" w:hAnsi="Times New Roman" w:cs="Times New Roman"/>
          <w:b/>
          <w:bCs/>
          <w:color w:val="auto"/>
          <w:sz w:val="21"/>
          <w:szCs w:val="21"/>
          <w:highlight w:val="none"/>
        </w:rPr>
        <w:t>西南角</w:t>
      </w:r>
      <w:r>
        <w:rPr>
          <w:rFonts w:ascii="Times New Roman" w:hAnsi="Times New Roman" w:cs="Times New Roman"/>
          <w:b/>
          <w:bCs/>
          <w:color w:val="auto"/>
          <w:sz w:val="21"/>
          <w:szCs w:val="21"/>
          <w:highlight w:val="none"/>
        </w:rPr>
        <w:t>的位置（0，0），X、Y坐标为距离本项目最近点坐标。</w:t>
      </w:r>
    </w:p>
    <w:p w14:paraId="2190661D">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（3）气象条件</w:t>
      </w:r>
    </w:p>
    <w:p w14:paraId="5C1D5227">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监测期间的气象条件见下表。</w:t>
      </w:r>
    </w:p>
    <w:p w14:paraId="6ED03B47">
      <w:pPr>
        <w:pStyle w:val="15"/>
        <w:ind w:left="-105" w:right="-105" w:firstLine="482"/>
        <w:rPr>
          <w:rFonts w:eastAsia="宋体" w:cs="Times New Roman"/>
          <w:color w:val="auto"/>
          <w:kern w:val="0"/>
          <w:sz w:val="24"/>
          <w:szCs w:val="24"/>
          <w:highlight w:val="none"/>
        </w:rPr>
      </w:pPr>
      <w:bookmarkStart w:id="340" w:name="_Ref3653959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w:t>
      </w:r>
      <w:r>
        <w:rPr>
          <w:rFonts w:eastAsia="宋体" w:cs="Times New Roman"/>
          <w:color w:val="auto"/>
          <w:sz w:val="24"/>
          <w:szCs w:val="18"/>
          <w:highlight w:val="none"/>
        </w:rPr>
        <w:fldChar w:fldCharType="end"/>
      </w:r>
      <w:r>
        <w:rPr>
          <w:rFonts w:eastAsia="宋体" w:cs="Times New Roman"/>
          <w:color w:val="auto"/>
          <w:kern w:val="0"/>
          <w:sz w:val="24"/>
          <w:szCs w:val="24"/>
          <w:highlight w:val="none"/>
        </w:rPr>
        <w:t>监测期间气象条件</w:t>
      </w:r>
      <w:bookmarkEnd w:id="340"/>
    </w:p>
    <w:tbl>
      <w:tblPr>
        <w:tblStyle w:val="45"/>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04"/>
        <w:gridCol w:w="1382"/>
        <w:gridCol w:w="871"/>
        <w:gridCol w:w="1086"/>
        <w:gridCol w:w="1087"/>
        <w:gridCol w:w="1087"/>
        <w:gridCol w:w="1087"/>
      </w:tblGrid>
      <w:tr w14:paraId="6DA48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tcBorders>
              <w:tl2br w:val="nil"/>
              <w:tr2bl w:val="nil"/>
            </w:tcBorders>
            <w:vAlign w:val="center"/>
          </w:tcPr>
          <w:p w14:paraId="2061D171">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点位</w:t>
            </w:r>
          </w:p>
        </w:tc>
        <w:tc>
          <w:tcPr>
            <w:tcW w:w="1004" w:type="dxa"/>
            <w:tcBorders>
              <w:tl2br w:val="nil"/>
              <w:tr2bl w:val="nil"/>
            </w:tcBorders>
            <w:vAlign w:val="center"/>
          </w:tcPr>
          <w:p w14:paraId="04166D13">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检测日期</w:t>
            </w:r>
          </w:p>
        </w:tc>
        <w:tc>
          <w:tcPr>
            <w:tcW w:w="1382" w:type="dxa"/>
            <w:tcBorders>
              <w:tl2br w:val="nil"/>
              <w:tr2bl w:val="nil"/>
            </w:tcBorders>
            <w:vAlign w:val="center"/>
          </w:tcPr>
          <w:p w14:paraId="7F511DAA">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采样时间</w:t>
            </w:r>
          </w:p>
        </w:tc>
        <w:tc>
          <w:tcPr>
            <w:tcW w:w="871" w:type="dxa"/>
            <w:tcBorders>
              <w:tl2br w:val="nil"/>
              <w:tr2bl w:val="nil"/>
            </w:tcBorders>
            <w:vAlign w:val="center"/>
          </w:tcPr>
          <w:p w14:paraId="059CEC57">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温度（℃）</w:t>
            </w:r>
          </w:p>
        </w:tc>
        <w:tc>
          <w:tcPr>
            <w:tcW w:w="1086" w:type="dxa"/>
            <w:tcBorders>
              <w:tl2br w:val="nil"/>
              <w:tr2bl w:val="nil"/>
            </w:tcBorders>
            <w:vAlign w:val="center"/>
          </w:tcPr>
          <w:p w14:paraId="19AEDA1D">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大气压（kPa）</w:t>
            </w:r>
          </w:p>
        </w:tc>
        <w:tc>
          <w:tcPr>
            <w:tcW w:w="1087" w:type="dxa"/>
            <w:tcBorders>
              <w:tl2br w:val="nil"/>
              <w:tr2bl w:val="nil"/>
            </w:tcBorders>
            <w:vAlign w:val="center"/>
          </w:tcPr>
          <w:p w14:paraId="5041DD9A">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湿度（%）</w:t>
            </w:r>
          </w:p>
        </w:tc>
        <w:tc>
          <w:tcPr>
            <w:tcW w:w="1087" w:type="dxa"/>
            <w:tcBorders>
              <w:tl2br w:val="nil"/>
              <w:tr2bl w:val="nil"/>
            </w:tcBorders>
            <w:vAlign w:val="center"/>
          </w:tcPr>
          <w:p w14:paraId="1F18DFA4">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风向</w:t>
            </w:r>
          </w:p>
        </w:tc>
        <w:tc>
          <w:tcPr>
            <w:tcW w:w="1087" w:type="dxa"/>
            <w:tcBorders>
              <w:tl2br w:val="nil"/>
              <w:tr2bl w:val="nil"/>
            </w:tcBorders>
            <w:vAlign w:val="center"/>
          </w:tcPr>
          <w:p w14:paraId="7F13FE99">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风速（m/s）</w:t>
            </w:r>
          </w:p>
        </w:tc>
      </w:tr>
      <w:tr w14:paraId="3FCF4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restart"/>
            <w:tcBorders>
              <w:tl2br w:val="nil"/>
              <w:tr2bl w:val="nil"/>
            </w:tcBorders>
            <w:vAlign w:val="center"/>
          </w:tcPr>
          <w:p w14:paraId="3E6B21A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G1</w:t>
            </w:r>
          </w:p>
        </w:tc>
        <w:tc>
          <w:tcPr>
            <w:tcW w:w="1004" w:type="dxa"/>
            <w:vMerge w:val="restart"/>
            <w:tcBorders>
              <w:tl2br w:val="nil"/>
              <w:tr2bl w:val="nil"/>
            </w:tcBorders>
            <w:vAlign w:val="center"/>
          </w:tcPr>
          <w:p w14:paraId="2B90A2C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2024年04月22日</w:t>
            </w:r>
          </w:p>
        </w:tc>
        <w:tc>
          <w:tcPr>
            <w:tcW w:w="1382" w:type="dxa"/>
            <w:tcBorders>
              <w:tl2br w:val="nil"/>
              <w:tr2bl w:val="nil"/>
            </w:tcBorders>
            <w:vAlign w:val="center"/>
          </w:tcPr>
          <w:p w14:paraId="0408474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3E87A03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15.2</w:t>
            </w:r>
          </w:p>
        </w:tc>
        <w:tc>
          <w:tcPr>
            <w:tcW w:w="1086" w:type="dxa"/>
            <w:tcBorders>
              <w:tl2br w:val="nil"/>
              <w:tr2bl w:val="nil"/>
            </w:tcBorders>
            <w:vAlign w:val="center"/>
          </w:tcPr>
          <w:p w14:paraId="23009DA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102.43</w:t>
            </w:r>
          </w:p>
        </w:tc>
        <w:tc>
          <w:tcPr>
            <w:tcW w:w="1087" w:type="dxa"/>
            <w:tcBorders>
              <w:tl2br w:val="nil"/>
              <w:tr2bl w:val="nil"/>
            </w:tcBorders>
            <w:vAlign w:val="center"/>
          </w:tcPr>
          <w:p w14:paraId="7B0CA63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53.2</w:t>
            </w:r>
          </w:p>
        </w:tc>
        <w:tc>
          <w:tcPr>
            <w:tcW w:w="1087" w:type="dxa"/>
            <w:tcBorders>
              <w:tl2br w:val="nil"/>
              <w:tr2bl w:val="nil"/>
            </w:tcBorders>
            <w:vAlign w:val="center"/>
          </w:tcPr>
          <w:p w14:paraId="1864C77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1715A7E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10FE3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533DC24">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2F0AF90">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228661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58BFCAE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18.5</w:t>
            </w:r>
          </w:p>
        </w:tc>
        <w:tc>
          <w:tcPr>
            <w:tcW w:w="1086" w:type="dxa"/>
            <w:tcBorders>
              <w:tl2br w:val="nil"/>
              <w:tr2bl w:val="nil"/>
            </w:tcBorders>
            <w:vAlign w:val="center"/>
          </w:tcPr>
          <w:p w14:paraId="12F07EE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102.29</w:t>
            </w:r>
          </w:p>
        </w:tc>
        <w:tc>
          <w:tcPr>
            <w:tcW w:w="1087" w:type="dxa"/>
            <w:tcBorders>
              <w:tl2br w:val="nil"/>
              <w:tr2bl w:val="nil"/>
            </w:tcBorders>
            <w:vAlign w:val="center"/>
          </w:tcPr>
          <w:p w14:paraId="72A8E37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51.6</w:t>
            </w:r>
          </w:p>
        </w:tc>
        <w:tc>
          <w:tcPr>
            <w:tcW w:w="1087" w:type="dxa"/>
            <w:tcBorders>
              <w:tl2br w:val="nil"/>
              <w:tr2bl w:val="nil"/>
            </w:tcBorders>
            <w:vAlign w:val="center"/>
          </w:tcPr>
          <w:p w14:paraId="003C01E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066E526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56515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9C91EA7">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36014DD">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581B72A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026AC36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23.7</w:t>
            </w:r>
          </w:p>
        </w:tc>
        <w:tc>
          <w:tcPr>
            <w:tcW w:w="1086" w:type="dxa"/>
            <w:tcBorders>
              <w:tl2br w:val="nil"/>
              <w:tr2bl w:val="nil"/>
            </w:tcBorders>
            <w:vAlign w:val="center"/>
          </w:tcPr>
          <w:p w14:paraId="767BC57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101.87</w:t>
            </w:r>
          </w:p>
        </w:tc>
        <w:tc>
          <w:tcPr>
            <w:tcW w:w="1087" w:type="dxa"/>
            <w:tcBorders>
              <w:tl2br w:val="nil"/>
              <w:tr2bl w:val="nil"/>
            </w:tcBorders>
            <w:vAlign w:val="center"/>
          </w:tcPr>
          <w:p w14:paraId="7F4D1D2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48.7</w:t>
            </w:r>
          </w:p>
        </w:tc>
        <w:tc>
          <w:tcPr>
            <w:tcW w:w="1087" w:type="dxa"/>
            <w:tcBorders>
              <w:tl2br w:val="nil"/>
              <w:tr2bl w:val="nil"/>
            </w:tcBorders>
            <w:vAlign w:val="center"/>
          </w:tcPr>
          <w:p w14:paraId="20426FF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2E1678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1.8 </w:t>
            </w:r>
          </w:p>
        </w:tc>
      </w:tr>
      <w:tr w14:paraId="4826B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B5BBC34">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434E1DAF">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30C24B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53470F8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19.1</w:t>
            </w:r>
          </w:p>
        </w:tc>
        <w:tc>
          <w:tcPr>
            <w:tcW w:w="1086" w:type="dxa"/>
            <w:tcBorders>
              <w:tl2br w:val="nil"/>
              <w:tr2bl w:val="nil"/>
            </w:tcBorders>
            <w:vAlign w:val="center"/>
          </w:tcPr>
          <w:p w14:paraId="691A8AF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102.21</w:t>
            </w:r>
          </w:p>
        </w:tc>
        <w:tc>
          <w:tcPr>
            <w:tcW w:w="1087" w:type="dxa"/>
            <w:tcBorders>
              <w:tl2br w:val="nil"/>
              <w:tr2bl w:val="nil"/>
            </w:tcBorders>
            <w:vAlign w:val="center"/>
          </w:tcPr>
          <w:p w14:paraId="6B22B94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50.9</w:t>
            </w:r>
          </w:p>
        </w:tc>
        <w:tc>
          <w:tcPr>
            <w:tcW w:w="1087" w:type="dxa"/>
            <w:tcBorders>
              <w:tl2br w:val="nil"/>
              <w:tr2bl w:val="nil"/>
            </w:tcBorders>
            <w:vAlign w:val="center"/>
          </w:tcPr>
          <w:p w14:paraId="076C915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3A57A32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0C25C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14910DE7">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78261FE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2024年04月23日</w:t>
            </w:r>
          </w:p>
        </w:tc>
        <w:tc>
          <w:tcPr>
            <w:tcW w:w="1382" w:type="dxa"/>
            <w:tcBorders>
              <w:tl2br w:val="nil"/>
              <w:tr2bl w:val="nil"/>
            </w:tcBorders>
            <w:vAlign w:val="center"/>
          </w:tcPr>
          <w:p w14:paraId="63AF31F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4237C37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13.6</w:t>
            </w:r>
          </w:p>
        </w:tc>
        <w:tc>
          <w:tcPr>
            <w:tcW w:w="1086" w:type="dxa"/>
            <w:tcBorders>
              <w:tl2br w:val="nil"/>
              <w:tr2bl w:val="nil"/>
            </w:tcBorders>
            <w:vAlign w:val="center"/>
          </w:tcPr>
          <w:p w14:paraId="1C3ECED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102.47</w:t>
            </w:r>
          </w:p>
        </w:tc>
        <w:tc>
          <w:tcPr>
            <w:tcW w:w="1087" w:type="dxa"/>
            <w:tcBorders>
              <w:tl2br w:val="nil"/>
              <w:tr2bl w:val="nil"/>
            </w:tcBorders>
            <w:vAlign w:val="center"/>
          </w:tcPr>
          <w:p w14:paraId="699CA37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57.9</w:t>
            </w:r>
          </w:p>
        </w:tc>
        <w:tc>
          <w:tcPr>
            <w:tcW w:w="1087" w:type="dxa"/>
            <w:tcBorders>
              <w:tl2br w:val="nil"/>
              <w:tr2bl w:val="nil"/>
            </w:tcBorders>
            <w:vAlign w:val="center"/>
          </w:tcPr>
          <w:p w14:paraId="63967AA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2233741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2890F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C4F201A">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4AF17BAD">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01483B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4F63C1E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17.3</w:t>
            </w:r>
          </w:p>
        </w:tc>
        <w:tc>
          <w:tcPr>
            <w:tcW w:w="1086" w:type="dxa"/>
            <w:tcBorders>
              <w:tl2br w:val="nil"/>
              <w:tr2bl w:val="nil"/>
            </w:tcBorders>
            <w:vAlign w:val="center"/>
          </w:tcPr>
          <w:p w14:paraId="455BEED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102.32</w:t>
            </w:r>
          </w:p>
        </w:tc>
        <w:tc>
          <w:tcPr>
            <w:tcW w:w="1087" w:type="dxa"/>
            <w:tcBorders>
              <w:tl2br w:val="nil"/>
              <w:tr2bl w:val="nil"/>
            </w:tcBorders>
            <w:vAlign w:val="center"/>
          </w:tcPr>
          <w:p w14:paraId="099B9B2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55.3</w:t>
            </w:r>
          </w:p>
        </w:tc>
        <w:tc>
          <w:tcPr>
            <w:tcW w:w="1087" w:type="dxa"/>
            <w:tcBorders>
              <w:tl2br w:val="nil"/>
              <w:tr2bl w:val="nil"/>
            </w:tcBorders>
            <w:vAlign w:val="center"/>
          </w:tcPr>
          <w:p w14:paraId="27EBE54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7F1F44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3E63A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8F0464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FEFA8F5">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17EB61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2901D45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22.9</w:t>
            </w:r>
          </w:p>
        </w:tc>
        <w:tc>
          <w:tcPr>
            <w:tcW w:w="1086" w:type="dxa"/>
            <w:tcBorders>
              <w:tl2br w:val="nil"/>
              <w:tr2bl w:val="nil"/>
            </w:tcBorders>
            <w:vAlign w:val="center"/>
          </w:tcPr>
          <w:p w14:paraId="6E5572A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101.99</w:t>
            </w:r>
          </w:p>
        </w:tc>
        <w:tc>
          <w:tcPr>
            <w:tcW w:w="1087" w:type="dxa"/>
            <w:tcBorders>
              <w:tl2br w:val="nil"/>
              <w:tr2bl w:val="nil"/>
            </w:tcBorders>
            <w:vAlign w:val="center"/>
          </w:tcPr>
          <w:p w14:paraId="20EEFC8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49.8</w:t>
            </w:r>
          </w:p>
        </w:tc>
        <w:tc>
          <w:tcPr>
            <w:tcW w:w="1087" w:type="dxa"/>
            <w:tcBorders>
              <w:tl2br w:val="nil"/>
              <w:tr2bl w:val="nil"/>
            </w:tcBorders>
            <w:vAlign w:val="center"/>
          </w:tcPr>
          <w:p w14:paraId="1043742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38F2DEE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1.9 </w:t>
            </w:r>
          </w:p>
        </w:tc>
      </w:tr>
      <w:tr w14:paraId="6B374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76A8D83">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CA6BE2E">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F2BEBC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29F1C3D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17.8</w:t>
            </w:r>
          </w:p>
        </w:tc>
        <w:tc>
          <w:tcPr>
            <w:tcW w:w="1086" w:type="dxa"/>
            <w:tcBorders>
              <w:tl2br w:val="nil"/>
              <w:tr2bl w:val="nil"/>
            </w:tcBorders>
            <w:vAlign w:val="center"/>
          </w:tcPr>
          <w:p w14:paraId="59D197A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102.27</w:t>
            </w:r>
          </w:p>
        </w:tc>
        <w:tc>
          <w:tcPr>
            <w:tcW w:w="1087" w:type="dxa"/>
            <w:tcBorders>
              <w:tl2br w:val="nil"/>
              <w:tr2bl w:val="nil"/>
            </w:tcBorders>
            <w:vAlign w:val="center"/>
          </w:tcPr>
          <w:p w14:paraId="72DC534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51.4</w:t>
            </w:r>
          </w:p>
        </w:tc>
        <w:tc>
          <w:tcPr>
            <w:tcW w:w="1087" w:type="dxa"/>
            <w:tcBorders>
              <w:tl2br w:val="nil"/>
              <w:tr2bl w:val="nil"/>
            </w:tcBorders>
            <w:vAlign w:val="center"/>
          </w:tcPr>
          <w:p w14:paraId="39BA2EC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5A9F5C2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02CB4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6314746">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21505B9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2024年04月24日</w:t>
            </w:r>
          </w:p>
        </w:tc>
        <w:tc>
          <w:tcPr>
            <w:tcW w:w="1382" w:type="dxa"/>
            <w:tcBorders>
              <w:tl2br w:val="nil"/>
              <w:tr2bl w:val="nil"/>
            </w:tcBorders>
            <w:vAlign w:val="center"/>
          </w:tcPr>
          <w:p w14:paraId="5FF4598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6AF034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13.9</w:t>
            </w:r>
          </w:p>
        </w:tc>
        <w:tc>
          <w:tcPr>
            <w:tcW w:w="1086" w:type="dxa"/>
            <w:tcBorders>
              <w:tl2br w:val="nil"/>
              <w:tr2bl w:val="nil"/>
            </w:tcBorders>
            <w:vAlign w:val="center"/>
          </w:tcPr>
          <w:p w14:paraId="24EEA0F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102.41</w:t>
            </w:r>
          </w:p>
        </w:tc>
        <w:tc>
          <w:tcPr>
            <w:tcW w:w="1087" w:type="dxa"/>
            <w:tcBorders>
              <w:tl2br w:val="nil"/>
              <w:tr2bl w:val="nil"/>
            </w:tcBorders>
            <w:vAlign w:val="center"/>
          </w:tcPr>
          <w:p w14:paraId="7E2A063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54.3</w:t>
            </w:r>
          </w:p>
        </w:tc>
        <w:tc>
          <w:tcPr>
            <w:tcW w:w="1087" w:type="dxa"/>
            <w:tcBorders>
              <w:tl2br w:val="nil"/>
              <w:tr2bl w:val="nil"/>
            </w:tcBorders>
            <w:vAlign w:val="center"/>
          </w:tcPr>
          <w:p w14:paraId="772E898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09A2C42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5536F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5FF3527E">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2D059AAC">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A99F91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2254BCC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18.2</w:t>
            </w:r>
          </w:p>
        </w:tc>
        <w:tc>
          <w:tcPr>
            <w:tcW w:w="1086" w:type="dxa"/>
            <w:tcBorders>
              <w:tl2br w:val="nil"/>
              <w:tr2bl w:val="nil"/>
            </w:tcBorders>
            <w:vAlign w:val="center"/>
          </w:tcPr>
          <w:p w14:paraId="1F20633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102.24</w:t>
            </w:r>
          </w:p>
        </w:tc>
        <w:tc>
          <w:tcPr>
            <w:tcW w:w="1087" w:type="dxa"/>
            <w:tcBorders>
              <w:tl2br w:val="nil"/>
              <w:tr2bl w:val="nil"/>
            </w:tcBorders>
            <w:vAlign w:val="center"/>
          </w:tcPr>
          <w:p w14:paraId="42F8C27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51.9</w:t>
            </w:r>
          </w:p>
        </w:tc>
        <w:tc>
          <w:tcPr>
            <w:tcW w:w="1087" w:type="dxa"/>
            <w:tcBorders>
              <w:tl2br w:val="nil"/>
              <w:tr2bl w:val="nil"/>
            </w:tcBorders>
            <w:vAlign w:val="center"/>
          </w:tcPr>
          <w:p w14:paraId="0EBAA70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792D5E0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52978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9CC1EAE">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7EED270">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2CA1DFA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38A321D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25.4</w:t>
            </w:r>
          </w:p>
        </w:tc>
        <w:tc>
          <w:tcPr>
            <w:tcW w:w="1086" w:type="dxa"/>
            <w:tcBorders>
              <w:tl2br w:val="nil"/>
              <w:tr2bl w:val="nil"/>
            </w:tcBorders>
            <w:vAlign w:val="center"/>
          </w:tcPr>
          <w:p w14:paraId="5C8F882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101.85</w:t>
            </w:r>
          </w:p>
        </w:tc>
        <w:tc>
          <w:tcPr>
            <w:tcW w:w="1087" w:type="dxa"/>
            <w:tcBorders>
              <w:tl2br w:val="nil"/>
              <w:tr2bl w:val="nil"/>
            </w:tcBorders>
            <w:vAlign w:val="center"/>
          </w:tcPr>
          <w:p w14:paraId="7BB1AD7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48.5</w:t>
            </w:r>
          </w:p>
        </w:tc>
        <w:tc>
          <w:tcPr>
            <w:tcW w:w="1087" w:type="dxa"/>
            <w:tcBorders>
              <w:tl2br w:val="nil"/>
              <w:tr2bl w:val="nil"/>
            </w:tcBorders>
            <w:vAlign w:val="center"/>
          </w:tcPr>
          <w:p w14:paraId="562E66D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35F856A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w:t>
            </w:r>
          </w:p>
        </w:tc>
      </w:tr>
      <w:tr w14:paraId="74890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1B27458">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BCAA701">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6ECC85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0CCEE18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w:t>
            </w:r>
          </w:p>
        </w:tc>
        <w:tc>
          <w:tcPr>
            <w:tcW w:w="1086" w:type="dxa"/>
            <w:tcBorders>
              <w:tl2br w:val="nil"/>
              <w:tr2bl w:val="nil"/>
            </w:tcBorders>
            <w:vAlign w:val="center"/>
          </w:tcPr>
          <w:p w14:paraId="02E4E4D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102.22</w:t>
            </w:r>
          </w:p>
        </w:tc>
        <w:tc>
          <w:tcPr>
            <w:tcW w:w="1087" w:type="dxa"/>
            <w:tcBorders>
              <w:tl2br w:val="nil"/>
              <w:tr2bl w:val="nil"/>
            </w:tcBorders>
            <w:vAlign w:val="center"/>
          </w:tcPr>
          <w:p w14:paraId="6FCBCE8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51.3</w:t>
            </w:r>
          </w:p>
        </w:tc>
        <w:tc>
          <w:tcPr>
            <w:tcW w:w="1087" w:type="dxa"/>
            <w:tcBorders>
              <w:tl2br w:val="nil"/>
              <w:tr2bl w:val="nil"/>
            </w:tcBorders>
            <w:vAlign w:val="center"/>
          </w:tcPr>
          <w:p w14:paraId="4EF329F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6C38ED1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31DA8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22212ED">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468EE05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2024年04月25日</w:t>
            </w:r>
          </w:p>
        </w:tc>
        <w:tc>
          <w:tcPr>
            <w:tcW w:w="1382" w:type="dxa"/>
            <w:tcBorders>
              <w:tl2br w:val="nil"/>
              <w:tr2bl w:val="nil"/>
            </w:tcBorders>
            <w:vAlign w:val="center"/>
          </w:tcPr>
          <w:p w14:paraId="49A0349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2E4B2EE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15.7</w:t>
            </w:r>
          </w:p>
        </w:tc>
        <w:tc>
          <w:tcPr>
            <w:tcW w:w="1086" w:type="dxa"/>
            <w:tcBorders>
              <w:tl2br w:val="nil"/>
              <w:tr2bl w:val="nil"/>
            </w:tcBorders>
            <w:vAlign w:val="center"/>
          </w:tcPr>
          <w:p w14:paraId="7145D7F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102.34</w:t>
            </w:r>
          </w:p>
        </w:tc>
        <w:tc>
          <w:tcPr>
            <w:tcW w:w="1087" w:type="dxa"/>
            <w:tcBorders>
              <w:tl2br w:val="nil"/>
              <w:tr2bl w:val="nil"/>
            </w:tcBorders>
            <w:vAlign w:val="center"/>
          </w:tcPr>
          <w:p w14:paraId="7CE30F4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53.5</w:t>
            </w:r>
          </w:p>
        </w:tc>
        <w:tc>
          <w:tcPr>
            <w:tcW w:w="1087" w:type="dxa"/>
            <w:tcBorders>
              <w:tl2br w:val="nil"/>
              <w:tr2bl w:val="nil"/>
            </w:tcBorders>
            <w:vAlign w:val="center"/>
          </w:tcPr>
          <w:p w14:paraId="1CC4F02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25BCFEA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w:t>
            </w:r>
          </w:p>
        </w:tc>
      </w:tr>
      <w:tr w14:paraId="3FF27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33A64D8A">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D0259B4">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CA0E55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71D69EB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w:t>
            </w:r>
          </w:p>
        </w:tc>
        <w:tc>
          <w:tcPr>
            <w:tcW w:w="1086" w:type="dxa"/>
            <w:tcBorders>
              <w:tl2br w:val="nil"/>
              <w:tr2bl w:val="nil"/>
            </w:tcBorders>
            <w:vAlign w:val="center"/>
          </w:tcPr>
          <w:p w14:paraId="104D88B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101.98</w:t>
            </w:r>
          </w:p>
        </w:tc>
        <w:tc>
          <w:tcPr>
            <w:tcW w:w="1087" w:type="dxa"/>
            <w:tcBorders>
              <w:tl2br w:val="nil"/>
              <w:tr2bl w:val="nil"/>
            </w:tcBorders>
            <w:vAlign w:val="center"/>
          </w:tcPr>
          <w:p w14:paraId="5A8E0D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51.5</w:t>
            </w:r>
          </w:p>
        </w:tc>
        <w:tc>
          <w:tcPr>
            <w:tcW w:w="1087" w:type="dxa"/>
            <w:tcBorders>
              <w:tl2br w:val="nil"/>
              <w:tr2bl w:val="nil"/>
            </w:tcBorders>
            <w:vAlign w:val="center"/>
          </w:tcPr>
          <w:p w14:paraId="1F4C5B1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18A8977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7EB3D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814BB32">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3180DD8">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6103A7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1BB36B6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23.6</w:t>
            </w:r>
          </w:p>
        </w:tc>
        <w:tc>
          <w:tcPr>
            <w:tcW w:w="1086" w:type="dxa"/>
            <w:tcBorders>
              <w:tl2br w:val="nil"/>
              <w:tr2bl w:val="nil"/>
            </w:tcBorders>
            <w:vAlign w:val="center"/>
          </w:tcPr>
          <w:p w14:paraId="7D0980F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101.72</w:t>
            </w:r>
          </w:p>
        </w:tc>
        <w:tc>
          <w:tcPr>
            <w:tcW w:w="1087" w:type="dxa"/>
            <w:tcBorders>
              <w:tl2br w:val="nil"/>
              <w:tr2bl w:val="nil"/>
            </w:tcBorders>
            <w:vAlign w:val="center"/>
          </w:tcPr>
          <w:p w14:paraId="013512A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47.5</w:t>
            </w:r>
          </w:p>
        </w:tc>
        <w:tc>
          <w:tcPr>
            <w:tcW w:w="1087" w:type="dxa"/>
            <w:tcBorders>
              <w:tl2br w:val="nil"/>
              <w:tr2bl w:val="nil"/>
            </w:tcBorders>
            <w:vAlign w:val="center"/>
          </w:tcPr>
          <w:p w14:paraId="1C07C38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0A24418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1.9 </w:t>
            </w:r>
          </w:p>
        </w:tc>
      </w:tr>
      <w:tr w14:paraId="0A8FB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7C8F9ED">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156FABA5">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068340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7CDAE03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19.4</w:t>
            </w:r>
          </w:p>
        </w:tc>
        <w:tc>
          <w:tcPr>
            <w:tcW w:w="1086" w:type="dxa"/>
            <w:tcBorders>
              <w:tl2br w:val="nil"/>
              <w:tr2bl w:val="nil"/>
            </w:tcBorders>
            <w:vAlign w:val="center"/>
          </w:tcPr>
          <w:p w14:paraId="6A2EE9C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101.94</w:t>
            </w:r>
          </w:p>
        </w:tc>
        <w:tc>
          <w:tcPr>
            <w:tcW w:w="1087" w:type="dxa"/>
            <w:tcBorders>
              <w:tl2br w:val="nil"/>
              <w:tr2bl w:val="nil"/>
            </w:tcBorders>
            <w:vAlign w:val="center"/>
          </w:tcPr>
          <w:p w14:paraId="37B1159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50.2</w:t>
            </w:r>
          </w:p>
        </w:tc>
        <w:tc>
          <w:tcPr>
            <w:tcW w:w="1087" w:type="dxa"/>
            <w:tcBorders>
              <w:tl2br w:val="nil"/>
              <w:tr2bl w:val="nil"/>
            </w:tcBorders>
            <w:vAlign w:val="center"/>
          </w:tcPr>
          <w:p w14:paraId="7680DE3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2C30503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48247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172641F9">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5223236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2024年04月26日</w:t>
            </w:r>
          </w:p>
        </w:tc>
        <w:tc>
          <w:tcPr>
            <w:tcW w:w="1382" w:type="dxa"/>
            <w:tcBorders>
              <w:tl2br w:val="nil"/>
              <w:tr2bl w:val="nil"/>
            </w:tcBorders>
            <w:vAlign w:val="center"/>
          </w:tcPr>
          <w:p w14:paraId="072EC66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787E119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17.4</w:t>
            </w:r>
          </w:p>
        </w:tc>
        <w:tc>
          <w:tcPr>
            <w:tcW w:w="1086" w:type="dxa"/>
            <w:tcBorders>
              <w:tl2br w:val="nil"/>
              <w:tr2bl w:val="nil"/>
            </w:tcBorders>
            <w:vAlign w:val="center"/>
          </w:tcPr>
          <w:p w14:paraId="0557E5D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102.32</w:t>
            </w:r>
          </w:p>
        </w:tc>
        <w:tc>
          <w:tcPr>
            <w:tcW w:w="1087" w:type="dxa"/>
            <w:tcBorders>
              <w:tl2br w:val="nil"/>
              <w:tr2bl w:val="nil"/>
            </w:tcBorders>
            <w:vAlign w:val="center"/>
          </w:tcPr>
          <w:p w14:paraId="2A4ED42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52.4</w:t>
            </w:r>
          </w:p>
        </w:tc>
        <w:tc>
          <w:tcPr>
            <w:tcW w:w="1087" w:type="dxa"/>
            <w:tcBorders>
              <w:tl2br w:val="nil"/>
              <w:tr2bl w:val="nil"/>
            </w:tcBorders>
            <w:vAlign w:val="center"/>
          </w:tcPr>
          <w:p w14:paraId="0604B5D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6655B20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w:t>
            </w:r>
          </w:p>
        </w:tc>
      </w:tr>
      <w:tr w14:paraId="29467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54D1D466">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27D8CD32">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178506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65C04A8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19.6</w:t>
            </w:r>
          </w:p>
        </w:tc>
        <w:tc>
          <w:tcPr>
            <w:tcW w:w="1086" w:type="dxa"/>
            <w:tcBorders>
              <w:tl2br w:val="nil"/>
              <w:tr2bl w:val="nil"/>
            </w:tcBorders>
            <w:vAlign w:val="center"/>
          </w:tcPr>
          <w:p w14:paraId="33D3F9C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101.94</w:t>
            </w:r>
          </w:p>
        </w:tc>
        <w:tc>
          <w:tcPr>
            <w:tcW w:w="1087" w:type="dxa"/>
            <w:tcBorders>
              <w:tl2br w:val="nil"/>
              <w:tr2bl w:val="nil"/>
            </w:tcBorders>
            <w:vAlign w:val="center"/>
          </w:tcPr>
          <w:p w14:paraId="3E6EFE5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49.6</w:t>
            </w:r>
          </w:p>
        </w:tc>
        <w:tc>
          <w:tcPr>
            <w:tcW w:w="1087" w:type="dxa"/>
            <w:tcBorders>
              <w:tl2br w:val="nil"/>
              <w:tr2bl w:val="nil"/>
            </w:tcBorders>
            <w:vAlign w:val="center"/>
          </w:tcPr>
          <w:p w14:paraId="67EC5D0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1E1461E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67842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5C261B6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03D7837">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4C09B6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36C85A1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22.3</w:t>
            </w:r>
          </w:p>
        </w:tc>
        <w:tc>
          <w:tcPr>
            <w:tcW w:w="1086" w:type="dxa"/>
            <w:tcBorders>
              <w:tl2br w:val="nil"/>
              <w:tr2bl w:val="nil"/>
            </w:tcBorders>
            <w:vAlign w:val="center"/>
          </w:tcPr>
          <w:p w14:paraId="269C2E3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101.67</w:t>
            </w:r>
          </w:p>
        </w:tc>
        <w:tc>
          <w:tcPr>
            <w:tcW w:w="1087" w:type="dxa"/>
            <w:tcBorders>
              <w:tl2br w:val="nil"/>
              <w:tr2bl w:val="nil"/>
            </w:tcBorders>
            <w:vAlign w:val="center"/>
          </w:tcPr>
          <w:p w14:paraId="6CBB9A5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46.9</w:t>
            </w:r>
          </w:p>
        </w:tc>
        <w:tc>
          <w:tcPr>
            <w:tcW w:w="1087" w:type="dxa"/>
            <w:tcBorders>
              <w:tl2br w:val="nil"/>
              <w:tr2bl w:val="nil"/>
            </w:tcBorders>
            <w:vAlign w:val="center"/>
          </w:tcPr>
          <w:p w14:paraId="0505B71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697D3DB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17900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3CFD2E9D">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15F980A7">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5831C53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58C500C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19.9</w:t>
            </w:r>
          </w:p>
        </w:tc>
        <w:tc>
          <w:tcPr>
            <w:tcW w:w="1086" w:type="dxa"/>
            <w:tcBorders>
              <w:tl2br w:val="nil"/>
              <w:tr2bl w:val="nil"/>
            </w:tcBorders>
            <w:vAlign w:val="center"/>
          </w:tcPr>
          <w:p w14:paraId="0DA424E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101.97</w:t>
            </w:r>
          </w:p>
        </w:tc>
        <w:tc>
          <w:tcPr>
            <w:tcW w:w="1087" w:type="dxa"/>
            <w:tcBorders>
              <w:tl2br w:val="nil"/>
              <w:tr2bl w:val="nil"/>
            </w:tcBorders>
            <w:vAlign w:val="center"/>
          </w:tcPr>
          <w:p w14:paraId="7EBEF8D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48.8</w:t>
            </w:r>
          </w:p>
        </w:tc>
        <w:tc>
          <w:tcPr>
            <w:tcW w:w="1087" w:type="dxa"/>
            <w:tcBorders>
              <w:tl2br w:val="nil"/>
              <w:tr2bl w:val="nil"/>
            </w:tcBorders>
            <w:vAlign w:val="center"/>
          </w:tcPr>
          <w:p w14:paraId="7D67102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15C7EDB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70903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48B5A6E">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25A4A62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2024年04月27日</w:t>
            </w:r>
          </w:p>
        </w:tc>
        <w:tc>
          <w:tcPr>
            <w:tcW w:w="1382" w:type="dxa"/>
            <w:tcBorders>
              <w:tl2br w:val="nil"/>
              <w:tr2bl w:val="nil"/>
            </w:tcBorders>
            <w:vAlign w:val="center"/>
          </w:tcPr>
          <w:p w14:paraId="566E744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34E19A1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19.4</w:t>
            </w:r>
          </w:p>
        </w:tc>
        <w:tc>
          <w:tcPr>
            <w:tcW w:w="1086" w:type="dxa"/>
            <w:tcBorders>
              <w:tl2br w:val="nil"/>
              <w:tr2bl w:val="nil"/>
            </w:tcBorders>
            <w:vAlign w:val="center"/>
          </w:tcPr>
          <w:p w14:paraId="49A76D3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102.35</w:t>
            </w:r>
          </w:p>
        </w:tc>
        <w:tc>
          <w:tcPr>
            <w:tcW w:w="1087" w:type="dxa"/>
            <w:tcBorders>
              <w:tl2br w:val="nil"/>
              <w:tr2bl w:val="nil"/>
            </w:tcBorders>
            <w:vAlign w:val="center"/>
          </w:tcPr>
          <w:p w14:paraId="0767B2A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52.5</w:t>
            </w:r>
          </w:p>
        </w:tc>
        <w:tc>
          <w:tcPr>
            <w:tcW w:w="1087" w:type="dxa"/>
            <w:tcBorders>
              <w:tl2br w:val="nil"/>
              <w:tr2bl w:val="nil"/>
            </w:tcBorders>
            <w:vAlign w:val="center"/>
          </w:tcPr>
          <w:p w14:paraId="1D2DED0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46C4967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268B5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122A71C">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D4B146B">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66CA74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361907C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21.3</w:t>
            </w:r>
          </w:p>
        </w:tc>
        <w:tc>
          <w:tcPr>
            <w:tcW w:w="1086" w:type="dxa"/>
            <w:tcBorders>
              <w:tl2br w:val="nil"/>
              <w:tr2bl w:val="nil"/>
            </w:tcBorders>
            <w:vAlign w:val="center"/>
          </w:tcPr>
          <w:p w14:paraId="2AFBE67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101.82</w:t>
            </w:r>
          </w:p>
        </w:tc>
        <w:tc>
          <w:tcPr>
            <w:tcW w:w="1087" w:type="dxa"/>
            <w:tcBorders>
              <w:tl2br w:val="nil"/>
              <w:tr2bl w:val="nil"/>
            </w:tcBorders>
            <w:vAlign w:val="center"/>
          </w:tcPr>
          <w:p w14:paraId="1D81346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49.7</w:t>
            </w:r>
          </w:p>
        </w:tc>
        <w:tc>
          <w:tcPr>
            <w:tcW w:w="1087" w:type="dxa"/>
            <w:tcBorders>
              <w:tl2br w:val="nil"/>
              <w:tr2bl w:val="nil"/>
            </w:tcBorders>
            <w:vAlign w:val="center"/>
          </w:tcPr>
          <w:p w14:paraId="3355A18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089D135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11E4C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6901E86">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C677E04">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D9D9A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2D740A5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25.1</w:t>
            </w:r>
          </w:p>
        </w:tc>
        <w:tc>
          <w:tcPr>
            <w:tcW w:w="1086" w:type="dxa"/>
            <w:tcBorders>
              <w:tl2br w:val="nil"/>
              <w:tr2bl w:val="nil"/>
            </w:tcBorders>
            <w:vAlign w:val="center"/>
          </w:tcPr>
          <w:p w14:paraId="6835152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101.63</w:t>
            </w:r>
          </w:p>
        </w:tc>
        <w:tc>
          <w:tcPr>
            <w:tcW w:w="1087" w:type="dxa"/>
            <w:tcBorders>
              <w:tl2br w:val="nil"/>
              <w:tr2bl w:val="nil"/>
            </w:tcBorders>
            <w:vAlign w:val="center"/>
          </w:tcPr>
          <w:p w14:paraId="5E78FF5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47.4</w:t>
            </w:r>
          </w:p>
        </w:tc>
        <w:tc>
          <w:tcPr>
            <w:tcW w:w="1087" w:type="dxa"/>
            <w:tcBorders>
              <w:tl2br w:val="nil"/>
              <w:tr2bl w:val="nil"/>
            </w:tcBorders>
            <w:vAlign w:val="center"/>
          </w:tcPr>
          <w:p w14:paraId="50A6683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51D9251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1.9 </w:t>
            </w:r>
          </w:p>
        </w:tc>
      </w:tr>
      <w:tr w14:paraId="5B6A5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2B07FC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D44B382">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21B4C89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083D858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20.4</w:t>
            </w:r>
          </w:p>
        </w:tc>
        <w:tc>
          <w:tcPr>
            <w:tcW w:w="1086" w:type="dxa"/>
            <w:tcBorders>
              <w:tl2br w:val="nil"/>
              <w:tr2bl w:val="nil"/>
            </w:tcBorders>
            <w:vAlign w:val="center"/>
          </w:tcPr>
          <w:p w14:paraId="619EEEB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101.87</w:t>
            </w:r>
          </w:p>
        </w:tc>
        <w:tc>
          <w:tcPr>
            <w:tcW w:w="1087" w:type="dxa"/>
            <w:tcBorders>
              <w:tl2br w:val="nil"/>
              <w:tr2bl w:val="nil"/>
            </w:tcBorders>
            <w:vAlign w:val="center"/>
          </w:tcPr>
          <w:p w14:paraId="7A3CCE8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49.5</w:t>
            </w:r>
          </w:p>
        </w:tc>
        <w:tc>
          <w:tcPr>
            <w:tcW w:w="1087" w:type="dxa"/>
            <w:tcBorders>
              <w:tl2br w:val="nil"/>
              <w:tr2bl w:val="nil"/>
            </w:tcBorders>
            <w:vAlign w:val="center"/>
          </w:tcPr>
          <w:p w14:paraId="7A96B43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257C0BF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2.0 </w:t>
            </w:r>
          </w:p>
        </w:tc>
      </w:tr>
      <w:tr w14:paraId="352FE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4F81753">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1EA3110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2024年04月28日</w:t>
            </w:r>
          </w:p>
        </w:tc>
        <w:tc>
          <w:tcPr>
            <w:tcW w:w="1382" w:type="dxa"/>
            <w:tcBorders>
              <w:tl2br w:val="nil"/>
              <w:tr2bl w:val="nil"/>
            </w:tcBorders>
            <w:vAlign w:val="center"/>
          </w:tcPr>
          <w:p w14:paraId="42CCAB4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6E5E9B9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18.7</w:t>
            </w:r>
          </w:p>
        </w:tc>
        <w:tc>
          <w:tcPr>
            <w:tcW w:w="1086" w:type="dxa"/>
            <w:tcBorders>
              <w:tl2br w:val="nil"/>
              <w:tr2bl w:val="nil"/>
            </w:tcBorders>
            <w:vAlign w:val="center"/>
          </w:tcPr>
          <w:p w14:paraId="1E6EC2F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102.27</w:t>
            </w:r>
          </w:p>
        </w:tc>
        <w:tc>
          <w:tcPr>
            <w:tcW w:w="1087" w:type="dxa"/>
            <w:tcBorders>
              <w:tl2br w:val="nil"/>
              <w:tr2bl w:val="nil"/>
            </w:tcBorders>
            <w:vAlign w:val="center"/>
          </w:tcPr>
          <w:p w14:paraId="7891AEA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61.4</w:t>
            </w:r>
          </w:p>
        </w:tc>
        <w:tc>
          <w:tcPr>
            <w:tcW w:w="1087" w:type="dxa"/>
            <w:tcBorders>
              <w:tl2br w:val="nil"/>
              <w:tr2bl w:val="nil"/>
            </w:tcBorders>
            <w:vAlign w:val="center"/>
          </w:tcPr>
          <w:p w14:paraId="2C717AB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748F011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44CB2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0CF1295">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5402462A">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F0CDFF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0F036C4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20.7</w:t>
            </w:r>
          </w:p>
        </w:tc>
        <w:tc>
          <w:tcPr>
            <w:tcW w:w="1086" w:type="dxa"/>
            <w:tcBorders>
              <w:tl2br w:val="nil"/>
              <w:tr2bl w:val="nil"/>
            </w:tcBorders>
            <w:vAlign w:val="center"/>
          </w:tcPr>
          <w:p w14:paraId="6413E14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101.83</w:t>
            </w:r>
          </w:p>
        </w:tc>
        <w:tc>
          <w:tcPr>
            <w:tcW w:w="1087" w:type="dxa"/>
            <w:tcBorders>
              <w:tl2br w:val="nil"/>
              <w:tr2bl w:val="nil"/>
            </w:tcBorders>
            <w:vAlign w:val="center"/>
          </w:tcPr>
          <w:p w14:paraId="4720EE1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58.9</w:t>
            </w:r>
          </w:p>
        </w:tc>
        <w:tc>
          <w:tcPr>
            <w:tcW w:w="1087" w:type="dxa"/>
            <w:tcBorders>
              <w:tl2br w:val="nil"/>
              <w:tr2bl w:val="nil"/>
            </w:tcBorders>
            <w:vAlign w:val="center"/>
          </w:tcPr>
          <w:p w14:paraId="3B87FB7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1B08598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48C9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43F4363">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3F801C1">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B0A728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4498CD3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22.3</w:t>
            </w:r>
          </w:p>
        </w:tc>
        <w:tc>
          <w:tcPr>
            <w:tcW w:w="1086" w:type="dxa"/>
            <w:tcBorders>
              <w:tl2br w:val="nil"/>
              <w:tr2bl w:val="nil"/>
            </w:tcBorders>
            <w:vAlign w:val="center"/>
          </w:tcPr>
          <w:p w14:paraId="0B60FAC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101.74</w:t>
            </w:r>
          </w:p>
        </w:tc>
        <w:tc>
          <w:tcPr>
            <w:tcW w:w="1087" w:type="dxa"/>
            <w:tcBorders>
              <w:tl2br w:val="nil"/>
              <w:tr2bl w:val="nil"/>
            </w:tcBorders>
            <w:vAlign w:val="center"/>
          </w:tcPr>
          <w:p w14:paraId="6B83239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56.4</w:t>
            </w:r>
          </w:p>
        </w:tc>
        <w:tc>
          <w:tcPr>
            <w:tcW w:w="1087" w:type="dxa"/>
            <w:tcBorders>
              <w:tl2br w:val="nil"/>
              <w:tr2bl w:val="nil"/>
            </w:tcBorders>
            <w:vAlign w:val="center"/>
          </w:tcPr>
          <w:p w14:paraId="68BBF32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0E9BEF7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76540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3615F99A">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F017B10">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D0DC2D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6E93140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19.4</w:t>
            </w:r>
          </w:p>
        </w:tc>
        <w:tc>
          <w:tcPr>
            <w:tcW w:w="1086" w:type="dxa"/>
            <w:tcBorders>
              <w:tl2br w:val="nil"/>
              <w:tr2bl w:val="nil"/>
            </w:tcBorders>
            <w:vAlign w:val="center"/>
          </w:tcPr>
          <w:p w14:paraId="68F1FB8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101.87</w:t>
            </w:r>
          </w:p>
        </w:tc>
        <w:tc>
          <w:tcPr>
            <w:tcW w:w="1087" w:type="dxa"/>
            <w:tcBorders>
              <w:tl2br w:val="nil"/>
              <w:tr2bl w:val="nil"/>
            </w:tcBorders>
            <w:vAlign w:val="center"/>
          </w:tcPr>
          <w:p w14:paraId="12333EC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59.2</w:t>
            </w:r>
          </w:p>
        </w:tc>
        <w:tc>
          <w:tcPr>
            <w:tcW w:w="1087" w:type="dxa"/>
            <w:tcBorders>
              <w:tl2br w:val="nil"/>
              <w:tr2bl w:val="nil"/>
            </w:tcBorders>
            <w:vAlign w:val="center"/>
          </w:tcPr>
          <w:p w14:paraId="51790CF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0A472C7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3ABF5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restart"/>
            <w:tcBorders>
              <w:tl2br w:val="nil"/>
              <w:tr2bl w:val="nil"/>
            </w:tcBorders>
            <w:vAlign w:val="center"/>
          </w:tcPr>
          <w:p w14:paraId="678EF10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G2</w:t>
            </w:r>
          </w:p>
        </w:tc>
        <w:tc>
          <w:tcPr>
            <w:tcW w:w="1004" w:type="dxa"/>
            <w:vMerge w:val="restart"/>
            <w:tcBorders>
              <w:tl2br w:val="nil"/>
              <w:tr2bl w:val="nil"/>
            </w:tcBorders>
            <w:vAlign w:val="center"/>
          </w:tcPr>
          <w:p w14:paraId="34B3352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2024年04月22日</w:t>
            </w:r>
          </w:p>
        </w:tc>
        <w:tc>
          <w:tcPr>
            <w:tcW w:w="1382" w:type="dxa"/>
            <w:tcBorders>
              <w:tl2br w:val="nil"/>
              <w:tr2bl w:val="nil"/>
            </w:tcBorders>
            <w:vAlign w:val="center"/>
          </w:tcPr>
          <w:p w14:paraId="156C884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7EEEBF1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15.3</w:t>
            </w:r>
          </w:p>
        </w:tc>
        <w:tc>
          <w:tcPr>
            <w:tcW w:w="1086" w:type="dxa"/>
            <w:tcBorders>
              <w:tl2br w:val="nil"/>
              <w:tr2bl w:val="nil"/>
            </w:tcBorders>
            <w:vAlign w:val="center"/>
          </w:tcPr>
          <w:p w14:paraId="46A5460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102.41</w:t>
            </w:r>
          </w:p>
        </w:tc>
        <w:tc>
          <w:tcPr>
            <w:tcW w:w="1087" w:type="dxa"/>
            <w:tcBorders>
              <w:tl2br w:val="nil"/>
              <w:tr2bl w:val="nil"/>
            </w:tcBorders>
            <w:vAlign w:val="center"/>
          </w:tcPr>
          <w:p w14:paraId="584753D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53.2</w:t>
            </w:r>
          </w:p>
        </w:tc>
        <w:tc>
          <w:tcPr>
            <w:tcW w:w="1087" w:type="dxa"/>
            <w:tcBorders>
              <w:tl2br w:val="nil"/>
              <w:tr2bl w:val="nil"/>
            </w:tcBorders>
            <w:vAlign w:val="center"/>
          </w:tcPr>
          <w:p w14:paraId="2B744DF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54D5AFB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0953E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441F839">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CEF6E26">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B122C8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0862A9B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18.3</w:t>
            </w:r>
          </w:p>
        </w:tc>
        <w:tc>
          <w:tcPr>
            <w:tcW w:w="1086" w:type="dxa"/>
            <w:tcBorders>
              <w:tl2br w:val="nil"/>
              <w:tr2bl w:val="nil"/>
            </w:tcBorders>
            <w:vAlign w:val="center"/>
          </w:tcPr>
          <w:p w14:paraId="667FC2D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102.30</w:t>
            </w:r>
          </w:p>
        </w:tc>
        <w:tc>
          <w:tcPr>
            <w:tcW w:w="1087" w:type="dxa"/>
            <w:tcBorders>
              <w:tl2br w:val="nil"/>
              <w:tr2bl w:val="nil"/>
            </w:tcBorders>
            <w:vAlign w:val="center"/>
          </w:tcPr>
          <w:p w14:paraId="6F69487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51.7</w:t>
            </w:r>
          </w:p>
        </w:tc>
        <w:tc>
          <w:tcPr>
            <w:tcW w:w="1087" w:type="dxa"/>
            <w:tcBorders>
              <w:tl2br w:val="nil"/>
              <w:tr2bl w:val="nil"/>
            </w:tcBorders>
            <w:vAlign w:val="center"/>
          </w:tcPr>
          <w:p w14:paraId="1C1E1DA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A481A1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48183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67D8DC8">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44D348A7">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9DABCB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2C12BF9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23.6</w:t>
            </w:r>
          </w:p>
        </w:tc>
        <w:tc>
          <w:tcPr>
            <w:tcW w:w="1086" w:type="dxa"/>
            <w:tcBorders>
              <w:tl2br w:val="nil"/>
              <w:tr2bl w:val="nil"/>
            </w:tcBorders>
            <w:vAlign w:val="center"/>
          </w:tcPr>
          <w:p w14:paraId="61282A4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101.87</w:t>
            </w:r>
          </w:p>
        </w:tc>
        <w:tc>
          <w:tcPr>
            <w:tcW w:w="1087" w:type="dxa"/>
            <w:tcBorders>
              <w:tl2br w:val="nil"/>
              <w:tr2bl w:val="nil"/>
            </w:tcBorders>
            <w:vAlign w:val="center"/>
          </w:tcPr>
          <w:p w14:paraId="250ED7E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48.9</w:t>
            </w:r>
          </w:p>
        </w:tc>
        <w:tc>
          <w:tcPr>
            <w:tcW w:w="1087" w:type="dxa"/>
            <w:tcBorders>
              <w:tl2br w:val="nil"/>
              <w:tr2bl w:val="nil"/>
            </w:tcBorders>
            <w:vAlign w:val="center"/>
          </w:tcPr>
          <w:p w14:paraId="1E6609A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E115C0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w:t>
            </w:r>
          </w:p>
        </w:tc>
      </w:tr>
      <w:tr w14:paraId="45ACE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66BE0F9">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28D4C7D">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20DA746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078AF63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w:t>
            </w:r>
          </w:p>
        </w:tc>
        <w:tc>
          <w:tcPr>
            <w:tcW w:w="1086" w:type="dxa"/>
            <w:tcBorders>
              <w:tl2br w:val="nil"/>
              <w:tr2bl w:val="nil"/>
            </w:tcBorders>
            <w:vAlign w:val="center"/>
          </w:tcPr>
          <w:p w14:paraId="4CB236E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102.18</w:t>
            </w:r>
          </w:p>
        </w:tc>
        <w:tc>
          <w:tcPr>
            <w:tcW w:w="1087" w:type="dxa"/>
            <w:tcBorders>
              <w:tl2br w:val="nil"/>
              <w:tr2bl w:val="nil"/>
            </w:tcBorders>
            <w:vAlign w:val="center"/>
          </w:tcPr>
          <w:p w14:paraId="183D4D5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50.9</w:t>
            </w:r>
          </w:p>
        </w:tc>
        <w:tc>
          <w:tcPr>
            <w:tcW w:w="1087" w:type="dxa"/>
            <w:tcBorders>
              <w:tl2br w:val="nil"/>
              <w:tr2bl w:val="nil"/>
            </w:tcBorders>
            <w:vAlign w:val="center"/>
          </w:tcPr>
          <w:p w14:paraId="19EE15B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46115FA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2B581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6E1486E">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6BC1597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2024年04月23日</w:t>
            </w:r>
          </w:p>
        </w:tc>
        <w:tc>
          <w:tcPr>
            <w:tcW w:w="1382" w:type="dxa"/>
            <w:tcBorders>
              <w:tl2br w:val="nil"/>
              <w:tr2bl w:val="nil"/>
            </w:tcBorders>
            <w:vAlign w:val="center"/>
          </w:tcPr>
          <w:p w14:paraId="1639725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70E0F89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13.4</w:t>
            </w:r>
          </w:p>
        </w:tc>
        <w:tc>
          <w:tcPr>
            <w:tcW w:w="1086" w:type="dxa"/>
            <w:tcBorders>
              <w:tl2br w:val="nil"/>
              <w:tr2bl w:val="nil"/>
            </w:tcBorders>
            <w:vAlign w:val="center"/>
          </w:tcPr>
          <w:p w14:paraId="69D16B8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102.49</w:t>
            </w:r>
          </w:p>
        </w:tc>
        <w:tc>
          <w:tcPr>
            <w:tcW w:w="1087" w:type="dxa"/>
            <w:tcBorders>
              <w:tl2br w:val="nil"/>
              <w:tr2bl w:val="nil"/>
            </w:tcBorders>
            <w:vAlign w:val="center"/>
          </w:tcPr>
          <w:p w14:paraId="39DC84E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57.9</w:t>
            </w:r>
          </w:p>
        </w:tc>
        <w:tc>
          <w:tcPr>
            <w:tcW w:w="1087" w:type="dxa"/>
            <w:tcBorders>
              <w:tl2br w:val="nil"/>
              <w:tr2bl w:val="nil"/>
            </w:tcBorders>
            <w:vAlign w:val="center"/>
          </w:tcPr>
          <w:p w14:paraId="19821FA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4B7492D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1A3EC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2C50C3F">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D2BAB63">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53D8C3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294C816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17.2</w:t>
            </w:r>
          </w:p>
        </w:tc>
        <w:tc>
          <w:tcPr>
            <w:tcW w:w="1086" w:type="dxa"/>
            <w:tcBorders>
              <w:tl2br w:val="nil"/>
              <w:tr2bl w:val="nil"/>
            </w:tcBorders>
            <w:vAlign w:val="center"/>
          </w:tcPr>
          <w:p w14:paraId="66C5602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102.34</w:t>
            </w:r>
          </w:p>
        </w:tc>
        <w:tc>
          <w:tcPr>
            <w:tcW w:w="1087" w:type="dxa"/>
            <w:tcBorders>
              <w:tl2br w:val="nil"/>
              <w:tr2bl w:val="nil"/>
            </w:tcBorders>
            <w:vAlign w:val="center"/>
          </w:tcPr>
          <w:p w14:paraId="1A5F9FA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55.5</w:t>
            </w:r>
          </w:p>
        </w:tc>
        <w:tc>
          <w:tcPr>
            <w:tcW w:w="1087" w:type="dxa"/>
            <w:tcBorders>
              <w:tl2br w:val="nil"/>
              <w:tr2bl w:val="nil"/>
            </w:tcBorders>
            <w:vAlign w:val="center"/>
          </w:tcPr>
          <w:p w14:paraId="6D5AABE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2D0395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3535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C9C1B2F">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C0DAC4A">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2B7326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734866F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22.9</w:t>
            </w:r>
          </w:p>
        </w:tc>
        <w:tc>
          <w:tcPr>
            <w:tcW w:w="1086" w:type="dxa"/>
            <w:tcBorders>
              <w:tl2br w:val="nil"/>
              <w:tr2bl w:val="nil"/>
            </w:tcBorders>
            <w:vAlign w:val="center"/>
          </w:tcPr>
          <w:p w14:paraId="1106004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101.98</w:t>
            </w:r>
          </w:p>
        </w:tc>
        <w:tc>
          <w:tcPr>
            <w:tcW w:w="1087" w:type="dxa"/>
            <w:tcBorders>
              <w:tl2br w:val="nil"/>
              <w:tr2bl w:val="nil"/>
            </w:tcBorders>
            <w:vAlign w:val="center"/>
          </w:tcPr>
          <w:p w14:paraId="0819071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49.9</w:t>
            </w:r>
          </w:p>
        </w:tc>
        <w:tc>
          <w:tcPr>
            <w:tcW w:w="1087" w:type="dxa"/>
            <w:tcBorders>
              <w:tl2br w:val="nil"/>
              <w:tr2bl w:val="nil"/>
            </w:tcBorders>
            <w:vAlign w:val="center"/>
          </w:tcPr>
          <w:p w14:paraId="4F553B6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6D6C8F7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w:t>
            </w:r>
          </w:p>
        </w:tc>
      </w:tr>
      <w:tr w14:paraId="2545C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500EDC8">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44078A6">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26DDBA6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5A2D43F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17.5</w:t>
            </w:r>
          </w:p>
        </w:tc>
        <w:tc>
          <w:tcPr>
            <w:tcW w:w="1086" w:type="dxa"/>
            <w:tcBorders>
              <w:tl2br w:val="nil"/>
              <w:tr2bl w:val="nil"/>
            </w:tcBorders>
            <w:vAlign w:val="center"/>
          </w:tcPr>
          <w:p w14:paraId="192E1B3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102.29</w:t>
            </w:r>
          </w:p>
        </w:tc>
        <w:tc>
          <w:tcPr>
            <w:tcW w:w="1087" w:type="dxa"/>
            <w:tcBorders>
              <w:tl2br w:val="nil"/>
              <w:tr2bl w:val="nil"/>
            </w:tcBorders>
            <w:vAlign w:val="center"/>
          </w:tcPr>
          <w:p w14:paraId="40C8FDD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51.7</w:t>
            </w:r>
          </w:p>
        </w:tc>
        <w:tc>
          <w:tcPr>
            <w:tcW w:w="1087" w:type="dxa"/>
            <w:tcBorders>
              <w:tl2br w:val="nil"/>
              <w:tr2bl w:val="nil"/>
            </w:tcBorders>
            <w:vAlign w:val="center"/>
          </w:tcPr>
          <w:p w14:paraId="6BB4377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西南风</w:t>
            </w:r>
          </w:p>
        </w:tc>
        <w:tc>
          <w:tcPr>
            <w:tcW w:w="1087" w:type="dxa"/>
            <w:tcBorders>
              <w:tl2br w:val="nil"/>
              <w:tr2bl w:val="nil"/>
            </w:tcBorders>
            <w:vAlign w:val="center"/>
          </w:tcPr>
          <w:p w14:paraId="448A9D2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14578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7063C12">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2FB63AE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2024年04月24日</w:t>
            </w:r>
          </w:p>
        </w:tc>
        <w:tc>
          <w:tcPr>
            <w:tcW w:w="1382" w:type="dxa"/>
            <w:tcBorders>
              <w:tl2br w:val="nil"/>
              <w:tr2bl w:val="nil"/>
            </w:tcBorders>
            <w:vAlign w:val="center"/>
          </w:tcPr>
          <w:p w14:paraId="3F8815D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4AC034D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13.7</w:t>
            </w:r>
          </w:p>
        </w:tc>
        <w:tc>
          <w:tcPr>
            <w:tcW w:w="1086" w:type="dxa"/>
            <w:tcBorders>
              <w:tl2br w:val="nil"/>
              <w:tr2bl w:val="nil"/>
            </w:tcBorders>
            <w:vAlign w:val="center"/>
          </w:tcPr>
          <w:p w14:paraId="5980A00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102.44</w:t>
            </w:r>
          </w:p>
        </w:tc>
        <w:tc>
          <w:tcPr>
            <w:tcW w:w="1087" w:type="dxa"/>
            <w:tcBorders>
              <w:tl2br w:val="nil"/>
              <w:tr2bl w:val="nil"/>
            </w:tcBorders>
            <w:vAlign w:val="center"/>
          </w:tcPr>
          <w:p w14:paraId="5DDE129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54.4</w:t>
            </w:r>
          </w:p>
        </w:tc>
        <w:tc>
          <w:tcPr>
            <w:tcW w:w="1087" w:type="dxa"/>
            <w:tcBorders>
              <w:tl2br w:val="nil"/>
              <w:tr2bl w:val="nil"/>
            </w:tcBorders>
            <w:vAlign w:val="center"/>
          </w:tcPr>
          <w:p w14:paraId="6234D6C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6939FD3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32F89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3E5D7A6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B79FFEF">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B674EE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0F4683E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18.5</w:t>
            </w:r>
          </w:p>
        </w:tc>
        <w:tc>
          <w:tcPr>
            <w:tcW w:w="1086" w:type="dxa"/>
            <w:tcBorders>
              <w:tl2br w:val="nil"/>
              <w:tr2bl w:val="nil"/>
            </w:tcBorders>
            <w:vAlign w:val="center"/>
          </w:tcPr>
          <w:p w14:paraId="13141E8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102.29</w:t>
            </w:r>
          </w:p>
        </w:tc>
        <w:tc>
          <w:tcPr>
            <w:tcW w:w="1087" w:type="dxa"/>
            <w:tcBorders>
              <w:tl2br w:val="nil"/>
              <w:tr2bl w:val="nil"/>
            </w:tcBorders>
            <w:vAlign w:val="center"/>
          </w:tcPr>
          <w:p w14:paraId="5A62ED6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51.7</w:t>
            </w:r>
          </w:p>
        </w:tc>
        <w:tc>
          <w:tcPr>
            <w:tcW w:w="1087" w:type="dxa"/>
            <w:tcBorders>
              <w:tl2br w:val="nil"/>
              <w:tr2bl w:val="nil"/>
            </w:tcBorders>
            <w:vAlign w:val="center"/>
          </w:tcPr>
          <w:p w14:paraId="7513734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2E9B715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66340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144FF3F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1087EF3">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5C54233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1520F5C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25.2</w:t>
            </w:r>
          </w:p>
        </w:tc>
        <w:tc>
          <w:tcPr>
            <w:tcW w:w="1086" w:type="dxa"/>
            <w:tcBorders>
              <w:tl2br w:val="nil"/>
              <w:tr2bl w:val="nil"/>
            </w:tcBorders>
            <w:vAlign w:val="center"/>
          </w:tcPr>
          <w:p w14:paraId="4D4573C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101.85</w:t>
            </w:r>
          </w:p>
        </w:tc>
        <w:tc>
          <w:tcPr>
            <w:tcW w:w="1087" w:type="dxa"/>
            <w:tcBorders>
              <w:tl2br w:val="nil"/>
              <w:tr2bl w:val="nil"/>
            </w:tcBorders>
            <w:vAlign w:val="center"/>
          </w:tcPr>
          <w:p w14:paraId="4BDB4C8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48.6</w:t>
            </w:r>
          </w:p>
        </w:tc>
        <w:tc>
          <w:tcPr>
            <w:tcW w:w="1087" w:type="dxa"/>
            <w:tcBorders>
              <w:tl2br w:val="nil"/>
              <w:tr2bl w:val="nil"/>
            </w:tcBorders>
            <w:vAlign w:val="center"/>
          </w:tcPr>
          <w:p w14:paraId="1493AD6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1F82560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w:t>
            </w:r>
          </w:p>
        </w:tc>
      </w:tr>
      <w:tr w14:paraId="4FDE3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DD95CF3">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BE25D67">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7F4073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3401B16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w:t>
            </w:r>
          </w:p>
        </w:tc>
        <w:tc>
          <w:tcPr>
            <w:tcW w:w="1086" w:type="dxa"/>
            <w:tcBorders>
              <w:tl2br w:val="nil"/>
              <w:tr2bl w:val="nil"/>
            </w:tcBorders>
            <w:vAlign w:val="center"/>
          </w:tcPr>
          <w:p w14:paraId="039784F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102.23</w:t>
            </w:r>
          </w:p>
        </w:tc>
        <w:tc>
          <w:tcPr>
            <w:tcW w:w="1087" w:type="dxa"/>
            <w:tcBorders>
              <w:tl2br w:val="nil"/>
              <w:tr2bl w:val="nil"/>
            </w:tcBorders>
            <w:vAlign w:val="center"/>
          </w:tcPr>
          <w:p w14:paraId="3A41559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51.6</w:t>
            </w:r>
          </w:p>
        </w:tc>
        <w:tc>
          <w:tcPr>
            <w:tcW w:w="1087" w:type="dxa"/>
            <w:tcBorders>
              <w:tl2br w:val="nil"/>
              <w:tr2bl w:val="nil"/>
            </w:tcBorders>
            <w:vAlign w:val="center"/>
          </w:tcPr>
          <w:p w14:paraId="5075224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70A2563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69BDB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3A568246">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443988F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2024年04月25日</w:t>
            </w:r>
          </w:p>
        </w:tc>
        <w:tc>
          <w:tcPr>
            <w:tcW w:w="1382" w:type="dxa"/>
            <w:tcBorders>
              <w:tl2br w:val="nil"/>
              <w:tr2bl w:val="nil"/>
            </w:tcBorders>
            <w:vAlign w:val="center"/>
          </w:tcPr>
          <w:p w14:paraId="63677BC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004E461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15.8</w:t>
            </w:r>
          </w:p>
        </w:tc>
        <w:tc>
          <w:tcPr>
            <w:tcW w:w="1086" w:type="dxa"/>
            <w:tcBorders>
              <w:tl2br w:val="nil"/>
              <w:tr2bl w:val="nil"/>
            </w:tcBorders>
            <w:vAlign w:val="center"/>
          </w:tcPr>
          <w:p w14:paraId="285DB76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102.37</w:t>
            </w:r>
          </w:p>
        </w:tc>
        <w:tc>
          <w:tcPr>
            <w:tcW w:w="1087" w:type="dxa"/>
            <w:tcBorders>
              <w:tl2br w:val="nil"/>
              <w:tr2bl w:val="nil"/>
            </w:tcBorders>
            <w:vAlign w:val="center"/>
          </w:tcPr>
          <w:p w14:paraId="1A6CF1E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53.3</w:t>
            </w:r>
          </w:p>
        </w:tc>
        <w:tc>
          <w:tcPr>
            <w:tcW w:w="1087" w:type="dxa"/>
            <w:tcBorders>
              <w:tl2br w:val="nil"/>
              <w:tr2bl w:val="nil"/>
            </w:tcBorders>
            <w:vAlign w:val="center"/>
          </w:tcPr>
          <w:p w14:paraId="594838D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0A06527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w:t>
            </w:r>
          </w:p>
        </w:tc>
      </w:tr>
      <w:tr w14:paraId="3C904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54E87B70">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25C4EC9">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0B979C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20FD1C7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19.5</w:t>
            </w:r>
          </w:p>
        </w:tc>
        <w:tc>
          <w:tcPr>
            <w:tcW w:w="1086" w:type="dxa"/>
            <w:tcBorders>
              <w:tl2br w:val="nil"/>
              <w:tr2bl w:val="nil"/>
            </w:tcBorders>
            <w:vAlign w:val="center"/>
          </w:tcPr>
          <w:p w14:paraId="21F2C3C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101.99</w:t>
            </w:r>
          </w:p>
        </w:tc>
        <w:tc>
          <w:tcPr>
            <w:tcW w:w="1087" w:type="dxa"/>
            <w:tcBorders>
              <w:tl2br w:val="nil"/>
              <w:tr2bl w:val="nil"/>
            </w:tcBorders>
            <w:vAlign w:val="center"/>
          </w:tcPr>
          <w:p w14:paraId="20EFB2B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51.3</w:t>
            </w:r>
          </w:p>
        </w:tc>
        <w:tc>
          <w:tcPr>
            <w:tcW w:w="1087" w:type="dxa"/>
            <w:tcBorders>
              <w:tl2br w:val="nil"/>
              <w:tr2bl w:val="nil"/>
            </w:tcBorders>
            <w:vAlign w:val="center"/>
          </w:tcPr>
          <w:p w14:paraId="0297F27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5CDA763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4E793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97FE3F5">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7E25CA8">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1060F0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141B7AA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23.6</w:t>
            </w:r>
          </w:p>
        </w:tc>
        <w:tc>
          <w:tcPr>
            <w:tcW w:w="1086" w:type="dxa"/>
            <w:tcBorders>
              <w:tl2br w:val="nil"/>
              <w:tr2bl w:val="nil"/>
            </w:tcBorders>
            <w:vAlign w:val="center"/>
          </w:tcPr>
          <w:p w14:paraId="0CA591F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101.73</w:t>
            </w:r>
          </w:p>
        </w:tc>
        <w:tc>
          <w:tcPr>
            <w:tcW w:w="1087" w:type="dxa"/>
            <w:tcBorders>
              <w:tl2br w:val="nil"/>
              <w:tr2bl w:val="nil"/>
            </w:tcBorders>
            <w:vAlign w:val="center"/>
          </w:tcPr>
          <w:p w14:paraId="1A7391D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47.7</w:t>
            </w:r>
          </w:p>
        </w:tc>
        <w:tc>
          <w:tcPr>
            <w:tcW w:w="1087" w:type="dxa"/>
            <w:tcBorders>
              <w:tl2br w:val="nil"/>
              <w:tr2bl w:val="nil"/>
            </w:tcBorders>
            <w:vAlign w:val="center"/>
          </w:tcPr>
          <w:p w14:paraId="19E8871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0FEA4F9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58AF7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4AB47F4">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535B0AEF">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EEE1D1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430F1AE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19.7</w:t>
            </w:r>
          </w:p>
        </w:tc>
        <w:tc>
          <w:tcPr>
            <w:tcW w:w="1086" w:type="dxa"/>
            <w:tcBorders>
              <w:tl2br w:val="nil"/>
              <w:tr2bl w:val="nil"/>
            </w:tcBorders>
            <w:vAlign w:val="center"/>
          </w:tcPr>
          <w:p w14:paraId="21B6CE4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101.95</w:t>
            </w:r>
          </w:p>
        </w:tc>
        <w:tc>
          <w:tcPr>
            <w:tcW w:w="1087" w:type="dxa"/>
            <w:tcBorders>
              <w:tl2br w:val="nil"/>
              <w:tr2bl w:val="nil"/>
            </w:tcBorders>
            <w:vAlign w:val="center"/>
          </w:tcPr>
          <w:p w14:paraId="204643C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50.5</w:t>
            </w:r>
          </w:p>
        </w:tc>
        <w:tc>
          <w:tcPr>
            <w:tcW w:w="1087" w:type="dxa"/>
            <w:tcBorders>
              <w:tl2br w:val="nil"/>
              <w:tr2bl w:val="nil"/>
            </w:tcBorders>
            <w:vAlign w:val="center"/>
          </w:tcPr>
          <w:p w14:paraId="25DBD30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10E8BA9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4D8C0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6F02366">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1C4ADA6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2024年04月26日</w:t>
            </w:r>
          </w:p>
        </w:tc>
        <w:tc>
          <w:tcPr>
            <w:tcW w:w="1382" w:type="dxa"/>
            <w:tcBorders>
              <w:tl2br w:val="nil"/>
              <w:tr2bl w:val="nil"/>
            </w:tcBorders>
            <w:vAlign w:val="center"/>
          </w:tcPr>
          <w:p w14:paraId="5C02E1D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109D690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17.2</w:t>
            </w:r>
          </w:p>
        </w:tc>
        <w:tc>
          <w:tcPr>
            <w:tcW w:w="1086" w:type="dxa"/>
            <w:tcBorders>
              <w:tl2br w:val="nil"/>
              <w:tr2bl w:val="nil"/>
            </w:tcBorders>
            <w:vAlign w:val="center"/>
          </w:tcPr>
          <w:p w14:paraId="7DCB770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102.33</w:t>
            </w:r>
          </w:p>
        </w:tc>
        <w:tc>
          <w:tcPr>
            <w:tcW w:w="1087" w:type="dxa"/>
            <w:tcBorders>
              <w:tl2br w:val="nil"/>
              <w:tr2bl w:val="nil"/>
            </w:tcBorders>
            <w:vAlign w:val="center"/>
          </w:tcPr>
          <w:p w14:paraId="3D49F40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52.6</w:t>
            </w:r>
          </w:p>
        </w:tc>
        <w:tc>
          <w:tcPr>
            <w:tcW w:w="1087" w:type="dxa"/>
            <w:tcBorders>
              <w:tl2br w:val="nil"/>
              <w:tr2bl w:val="nil"/>
            </w:tcBorders>
            <w:vAlign w:val="center"/>
          </w:tcPr>
          <w:p w14:paraId="64D4641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326FDA9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3EE99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788AC0AF">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7DFFF4FB">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FADB6F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3628E5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19.4</w:t>
            </w:r>
          </w:p>
        </w:tc>
        <w:tc>
          <w:tcPr>
            <w:tcW w:w="1086" w:type="dxa"/>
            <w:tcBorders>
              <w:tl2br w:val="nil"/>
              <w:tr2bl w:val="nil"/>
            </w:tcBorders>
            <w:vAlign w:val="center"/>
          </w:tcPr>
          <w:p w14:paraId="2E70C77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101.95</w:t>
            </w:r>
          </w:p>
        </w:tc>
        <w:tc>
          <w:tcPr>
            <w:tcW w:w="1087" w:type="dxa"/>
            <w:tcBorders>
              <w:tl2br w:val="nil"/>
              <w:tr2bl w:val="nil"/>
            </w:tcBorders>
            <w:vAlign w:val="center"/>
          </w:tcPr>
          <w:p w14:paraId="0FB35A9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49.9</w:t>
            </w:r>
          </w:p>
        </w:tc>
        <w:tc>
          <w:tcPr>
            <w:tcW w:w="1087" w:type="dxa"/>
            <w:tcBorders>
              <w:tl2br w:val="nil"/>
              <w:tr2bl w:val="nil"/>
            </w:tcBorders>
            <w:vAlign w:val="center"/>
          </w:tcPr>
          <w:p w14:paraId="355EFBF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72BB20D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3FEAB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0525B36">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05DA816F">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7F11E05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78A7EDE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22.4</w:t>
            </w:r>
          </w:p>
        </w:tc>
        <w:tc>
          <w:tcPr>
            <w:tcW w:w="1086" w:type="dxa"/>
            <w:tcBorders>
              <w:tl2br w:val="nil"/>
              <w:tr2bl w:val="nil"/>
            </w:tcBorders>
            <w:vAlign w:val="center"/>
          </w:tcPr>
          <w:p w14:paraId="01C17AC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101.65</w:t>
            </w:r>
          </w:p>
        </w:tc>
        <w:tc>
          <w:tcPr>
            <w:tcW w:w="1087" w:type="dxa"/>
            <w:tcBorders>
              <w:tl2br w:val="nil"/>
              <w:tr2bl w:val="nil"/>
            </w:tcBorders>
            <w:vAlign w:val="center"/>
          </w:tcPr>
          <w:p w14:paraId="19B46BD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46.8</w:t>
            </w:r>
          </w:p>
        </w:tc>
        <w:tc>
          <w:tcPr>
            <w:tcW w:w="1087" w:type="dxa"/>
            <w:tcBorders>
              <w:tl2br w:val="nil"/>
              <w:tr2bl w:val="nil"/>
            </w:tcBorders>
            <w:vAlign w:val="center"/>
          </w:tcPr>
          <w:p w14:paraId="6165A66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4BC7FE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1BC7A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14D99864">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5589329">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1FA6DF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0840082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19.8</w:t>
            </w:r>
          </w:p>
        </w:tc>
        <w:tc>
          <w:tcPr>
            <w:tcW w:w="1086" w:type="dxa"/>
            <w:tcBorders>
              <w:tl2br w:val="nil"/>
              <w:tr2bl w:val="nil"/>
            </w:tcBorders>
            <w:vAlign w:val="center"/>
          </w:tcPr>
          <w:p w14:paraId="777EEBF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101.97</w:t>
            </w:r>
          </w:p>
        </w:tc>
        <w:tc>
          <w:tcPr>
            <w:tcW w:w="1087" w:type="dxa"/>
            <w:tcBorders>
              <w:tl2br w:val="nil"/>
              <w:tr2bl w:val="nil"/>
            </w:tcBorders>
            <w:vAlign w:val="center"/>
          </w:tcPr>
          <w:p w14:paraId="360C2C7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48.8</w:t>
            </w:r>
          </w:p>
        </w:tc>
        <w:tc>
          <w:tcPr>
            <w:tcW w:w="1087" w:type="dxa"/>
            <w:tcBorders>
              <w:tl2br w:val="nil"/>
              <w:tr2bl w:val="nil"/>
            </w:tcBorders>
            <w:vAlign w:val="center"/>
          </w:tcPr>
          <w:p w14:paraId="46C2D91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7CF8043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13370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904FD38">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09E726C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2024年04月27日</w:t>
            </w:r>
          </w:p>
        </w:tc>
        <w:tc>
          <w:tcPr>
            <w:tcW w:w="1382" w:type="dxa"/>
            <w:tcBorders>
              <w:tl2br w:val="nil"/>
              <w:tr2bl w:val="nil"/>
            </w:tcBorders>
            <w:vAlign w:val="center"/>
          </w:tcPr>
          <w:p w14:paraId="33DE809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679819C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19.2</w:t>
            </w:r>
          </w:p>
        </w:tc>
        <w:tc>
          <w:tcPr>
            <w:tcW w:w="1086" w:type="dxa"/>
            <w:tcBorders>
              <w:tl2br w:val="nil"/>
              <w:tr2bl w:val="nil"/>
            </w:tcBorders>
            <w:vAlign w:val="center"/>
          </w:tcPr>
          <w:p w14:paraId="01A53F5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102.33</w:t>
            </w:r>
          </w:p>
        </w:tc>
        <w:tc>
          <w:tcPr>
            <w:tcW w:w="1087" w:type="dxa"/>
            <w:tcBorders>
              <w:tl2br w:val="nil"/>
              <w:tr2bl w:val="nil"/>
            </w:tcBorders>
            <w:vAlign w:val="center"/>
          </w:tcPr>
          <w:p w14:paraId="0D88668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52.6</w:t>
            </w:r>
          </w:p>
        </w:tc>
        <w:tc>
          <w:tcPr>
            <w:tcW w:w="1087" w:type="dxa"/>
            <w:tcBorders>
              <w:tl2br w:val="nil"/>
              <w:tr2bl w:val="nil"/>
            </w:tcBorders>
            <w:vAlign w:val="center"/>
          </w:tcPr>
          <w:p w14:paraId="7D799E1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5B976AD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w:t>
            </w:r>
          </w:p>
        </w:tc>
      </w:tr>
      <w:tr w14:paraId="542FF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29300161">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583DBE6A">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14B3A1F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0BBACD5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21.2</w:t>
            </w:r>
          </w:p>
        </w:tc>
        <w:tc>
          <w:tcPr>
            <w:tcW w:w="1086" w:type="dxa"/>
            <w:tcBorders>
              <w:tl2br w:val="nil"/>
              <w:tr2bl w:val="nil"/>
            </w:tcBorders>
            <w:vAlign w:val="center"/>
          </w:tcPr>
          <w:p w14:paraId="534C7E0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101.84</w:t>
            </w:r>
          </w:p>
        </w:tc>
        <w:tc>
          <w:tcPr>
            <w:tcW w:w="1087" w:type="dxa"/>
            <w:tcBorders>
              <w:tl2br w:val="nil"/>
              <w:tr2bl w:val="nil"/>
            </w:tcBorders>
            <w:vAlign w:val="center"/>
          </w:tcPr>
          <w:p w14:paraId="327C524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49.4</w:t>
            </w:r>
          </w:p>
        </w:tc>
        <w:tc>
          <w:tcPr>
            <w:tcW w:w="1087" w:type="dxa"/>
            <w:tcBorders>
              <w:tl2br w:val="nil"/>
              <w:tr2bl w:val="nil"/>
            </w:tcBorders>
            <w:vAlign w:val="center"/>
          </w:tcPr>
          <w:p w14:paraId="66F7434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559BEE4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69B76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50AF60B7">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1AA037EA">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303D29F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4AB7A69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25.4</w:t>
            </w:r>
          </w:p>
        </w:tc>
        <w:tc>
          <w:tcPr>
            <w:tcW w:w="1086" w:type="dxa"/>
            <w:tcBorders>
              <w:tl2br w:val="nil"/>
              <w:tr2bl w:val="nil"/>
            </w:tcBorders>
            <w:vAlign w:val="center"/>
          </w:tcPr>
          <w:p w14:paraId="475F05D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101.61</w:t>
            </w:r>
          </w:p>
        </w:tc>
        <w:tc>
          <w:tcPr>
            <w:tcW w:w="1087" w:type="dxa"/>
            <w:tcBorders>
              <w:tl2br w:val="nil"/>
              <w:tr2bl w:val="nil"/>
            </w:tcBorders>
            <w:vAlign w:val="center"/>
          </w:tcPr>
          <w:p w14:paraId="470B30D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47.7</w:t>
            </w:r>
          </w:p>
        </w:tc>
        <w:tc>
          <w:tcPr>
            <w:tcW w:w="1087" w:type="dxa"/>
            <w:tcBorders>
              <w:tl2br w:val="nil"/>
              <w:tr2bl w:val="nil"/>
            </w:tcBorders>
            <w:vAlign w:val="center"/>
          </w:tcPr>
          <w:p w14:paraId="5ED42A7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4985731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r>
      <w:tr w14:paraId="75536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3A93AC1">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243104A">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4E6C13D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0750F01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21.0</w:t>
            </w:r>
          </w:p>
        </w:tc>
        <w:tc>
          <w:tcPr>
            <w:tcW w:w="1086" w:type="dxa"/>
            <w:tcBorders>
              <w:tl2br w:val="nil"/>
              <w:tr2bl w:val="nil"/>
            </w:tcBorders>
            <w:vAlign w:val="center"/>
          </w:tcPr>
          <w:p w14:paraId="3327EA45">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101.86</w:t>
            </w:r>
          </w:p>
        </w:tc>
        <w:tc>
          <w:tcPr>
            <w:tcW w:w="1087" w:type="dxa"/>
            <w:tcBorders>
              <w:tl2br w:val="nil"/>
              <w:tr2bl w:val="nil"/>
            </w:tcBorders>
            <w:vAlign w:val="center"/>
          </w:tcPr>
          <w:p w14:paraId="27A0D56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49.7</w:t>
            </w:r>
          </w:p>
        </w:tc>
        <w:tc>
          <w:tcPr>
            <w:tcW w:w="1087" w:type="dxa"/>
            <w:tcBorders>
              <w:tl2br w:val="nil"/>
              <w:tr2bl w:val="nil"/>
            </w:tcBorders>
            <w:vAlign w:val="center"/>
          </w:tcPr>
          <w:p w14:paraId="25A36DD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东南风</w:t>
            </w:r>
          </w:p>
        </w:tc>
        <w:tc>
          <w:tcPr>
            <w:tcW w:w="1087" w:type="dxa"/>
            <w:tcBorders>
              <w:tl2br w:val="nil"/>
              <w:tr2bl w:val="nil"/>
            </w:tcBorders>
            <w:vAlign w:val="center"/>
          </w:tcPr>
          <w:p w14:paraId="631D091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4C966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E77D0AC">
            <w:pPr>
              <w:ind w:left="-105" w:right="-105"/>
              <w:jc w:val="center"/>
              <w:rPr>
                <w:rFonts w:ascii="Times New Roman" w:hAnsi="Times New Roman" w:cs="Times New Roman"/>
                <w:color w:val="auto"/>
                <w:sz w:val="21"/>
                <w:szCs w:val="21"/>
                <w:highlight w:val="none"/>
              </w:rPr>
            </w:pPr>
          </w:p>
        </w:tc>
        <w:tc>
          <w:tcPr>
            <w:tcW w:w="1004" w:type="dxa"/>
            <w:vMerge w:val="restart"/>
            <w:tcBorders>
              <w:tl2br w:val="nil"/>
              <w:tr2bl w:val="nil"/>
            </w:tcBorders>
            <w:vAlign w:val="center"/>
          </w:tcPr>
          <w:p w14:paraId="021F4EB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2024年04月28日</w:t>
            </w:r>
          </w:p>
        </w:tc>
        <w:tc>
          <w:tcPr>
            <w:tcW w:w="1382" w:type="dxa"/>
            <w:tcBorders>
              <w:tl2br w:val="nil"/>
              <w:tr2bl w:val="nil"/>
            </w:tcBorders>
            <w:vAlign w:val="center"/>
          </w:tcPr>
          <w:p w14:paraId="40A8C4C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871" w:type="dxa"/>
            <w:tcBorders>
              <w:tl2br w:val="nil"/>
              <w:tr2bl w:val="nil"/>
            </w:tcBorders>
            <w:vAlign w:val="center"/>
          </w:tcPr>
          <w:p w14:paraId="6CA6406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18.5</w:t>
            </w:r>
          </w:p>
        </w:tc>
        <w:tc>
          <w:tcPr>
            <w:tcW w:w="1086" w:type="dxa"/>
            <w:tcBorders>
              <w:tl2br w:val="nil"/>
              <w:tr2bl w:val="nil"/>
            </w:tcBorders>
            <w:vAlign w:val="center"/>
          </w:tcPr>
          <w:p w14:paraId="3A1E6BF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102.27</w:t>
            </w:r>
          </w:p>
        </w:tc>
        <w:tc>
          <w:tcPr>
            <w:tcW w:w="1087" w:type="dxa"/>
            <w:tcBorders>
              <w:tl2br w:val="nil"/>
              <w:tr2bl w:val="nil"/>
            </w:tcBorders>
            <w:vAlign w:val="center"/>
          </w:tcPr>
          <w:p w14:paraId="37FFE3C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61.5</w:t>
            </w:r>
          </w:p>
        </w:tc>
        <w:tc>
          <w:tcPr>
            <w:tcW w:w="1087" w:type="dxa"/>
            <w:tcBorders>
              <w:tl2br w:val="nil"/>
              <w:tr2bl w:val="nil"/>
            </w:tcBorders>
            <w:vAlign w:val="center"/>
          </w:tcPr>
          <w:p w14:paraId="0334112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513F770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w:t>
            </w:r>
          </w:p>
        </w:tc>
      </w:tr>
      <w:tr w14:paraId="65273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684A56F5">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6B501ED5">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6A92A1E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8:00</w:t>
            </w:r>
          </w:p>
        </w:tc>
        <w:tc>
          <w:tcPr>
            <w:tcW w:w="871" w:type="dxa"/>
            <w:tcBorders>
              <w:tl2br w:val="nil"/>
              <w:tr2bl w:val="nil"/>
            </w:tcBorders>
            <w:vAlign w:val="center"/>
          </w:tcPr>
          <w:p w14:paraId="06EE2C5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20.5</w:t>
            </w:r>
          </w:p>
        </w:tc>
        <w:tc>
          <w:tcPr>
            <w:tcW w:w="1086" w:type="dxa"/>
            <w:tcBorders>
              <w:tl2br w:val="nil"/>
              <w:tr2bl w:val="nil"/>
            </w:tcBorders>
            <w:vAlign w:val="center"/>
          </w:tcPr>
          <w:p w14:paraId="3E162CA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101.84</w:t>
            </w:r>
          </w:p>
        </w:tc>
        <w:tc>
          <w:tcPr>
            <w:tcW w:w="1087" w:type="dxa"/>
            <w:tcBorders>
              <w:tl2br w:val="nil"/>
              <w:tr2bl w:val="nil"/>
            </w:tcBorders>
            <w:vAlign w:val="center"/>
          </w:tcPr>
          <w:p w14:paraId="126286F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59.1</w:t>
            </w:r>
          </w:p>
        </w:tc>
        <w:tc>
          <w:tcPr>
            <w:tcW w:w="1087" w:type="dxa"/>
            <w:tcBorders>
              <w:tl2br w:val="nil"/>
              <w:tr2bl w:val="nil"/>
            </w:tcBorders>
            <w:vAlign w:val="center"/>
          </w:tcPr>
          <w:p w14:paraId="380ED15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2A54185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4E8DF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04D64661">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A73D8C3">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2D25619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w:t>
            </w:r>
          </w:p>
        </w:tc>
        <w:tc>
          <w:tcPr>
            <w:tcW w:w="871" w:type="dxa"/>
            <w:tcBorders>
              <w:tl2br w:val="nil"/>
              <w:tr2bl w:val="nil"/>
            </w:tcBorders>
            <w:vAlign w:val="center"/>
          </w:tcPr>
          <w:p w14:paraId="1AB0F72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22.3</w:t>
            </w:r>
          </w:p>
        </w:tc>
        <w:tc>
          <w:tcPr>
            <w:tcW w:w="1086" w:type="dxa"/>
            <w:tcBorders>
              <w:tl2br w:val="nil"/>
              <w:tr2bl w:val="nil"/>
            </w:tcBorders>
            <w:vAlign w:val="center"/>
          </w:tcPr>
          <w:p w14:paraId="424AC22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101.74</w:t>
            </w:r>
          </w:p>
        </w:tc>
        <w:tc>
          <w:tcPr>
            <w:tcW w:w="1087" w:type="dxa"/>
            <w:tcBorders>
              <w:tl2br w:val="nil"/>
              <w:tr2bl w:val="nil"/>
            </w:tcBorders>
            <w:vAlign w:val="center"/>
          </w:tcPr>
          <w:p w14:paraId="6F17506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56.5</w:t>
            </w:r>
          </w:p>
        </w:tc>
        <w:tc>
          <w:tcPr>
            <w:tcW w:w="1087" w:type="dxa"/>
            <w:tcBorders>
              <w:tl2br w:val="nil"/>
              <w:tr2bl w:val="nil"/>
            </w:tcBorders>
            <w:vAlign w:val="center"/>
          </w:tcPr>
          <w:p w14:paraId="3AD8824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2C5A72D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r w14:paraId="036CD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4" w:type="dxa"/>
            <w:vMerge w:val="continue"/>
            <w:tcBorders>
              <w:tl2br w:val="nil"/>
              <w:tr2bl w:val="nil"/>
            </w:tcBorders>
            <w:vAlign w:val="center"/>
          </w:tcPr>
          <w:p w14:paraId="47AE95AF">
            <w:pPr>
              <w:ind w:left="-105" w:right="-105"/>
              <w:jc w:val="center"/>
              <w:rPr>
                <w:rFonts w:ascii="Times New Roman" w:hAnsi="Times New Roman" w:cs="Times New Roman"/>
                <w:color w:val="auto"/>
                <w:sz w:val="21"/>
                <w:szCs w:val="21"/>
                <w:highlight w:val="none"/>
              </w:rPr>
            </w:pPr>
          </w:p>
        </w:tc>
        <w:tc>
          <w:tcPr>
            <w:tcW w:w="1004" w:type="dxa"/>
            <w:vMerge w:val="continue"/>
            <w:tcBorders>
              <w:tl2br w:val="nil"/>
              <w:tr2bl w:val="nil"/>
            </w:tcBorders>
            <w:vAlign w:val="center"/>
          </w:tcPr>
          <w:p w14:paraId="363491CF">
            <w:pPr>
              <w:ind w:left="-105" w:right="-105"/>
              <w:jc w:val="center"/>
              <w:rPr>
                <w:rFonts w:ascii="Times New Roman" w:hAnsi="Times New Roman" w:cs="Times New Roman"/>
                <w:color w:val="auto"/>
                <w:sz w:val="21"/>
                <w:szCs w:val="21"/>
                <w:highlight w:val="none"/>
              </w:rPr>
            </w:pPr>
          </w:p>
        </w:tc>
        <w:tc>
          <w:tcPr>
            <w:tcW w:w="1382" w:type="dxa"/>
            <w:tcBorders>
              <w:tl2br w:val="nil"/>
              <w:tr2bl w:val="nil"/>
            </w:tcBorders>
            <w:vAlign w:val="center"/>
          </w:tcPr>
          <w:p w14:paraId="08C7E73B">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w:t>
            </w:r>
          </w:p>
        </w:tc>
        <w:tc>
          <w:tcPr>
            <w:tcW w:w="871" w:type="dxa"/>
            <w:tcBorders>
              <w:tl2br w:val="nil"/>
              <w:tr2bl w:val="nil"/>
            </w:tcBorders>
            <w:vAlign w:val="center"/>
          </w:tcPr>
          <w:p w14:paraId="1EC9EB0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w:t>
            </w:r>
          </w:p>
        </w:tc>
        <w:tc>
          <w:tcPr>
            <w:tcW w:w="1086" w:type="dxa"/>
            <w:tcBorders>
              <w:tl2br w:val="nil"/>
              <w:tr2bl w:val="nil"/>
            </w:tcBorders>
            <w:vAlign w:val="center"/>
          </w:tcPr>
          <w:p w14:paraId="3DAF978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101.88</w:t>
            </w:r>
          </w:p>
        </w:tc>
        <w:tc>
          <w:tcPr>
            <w:tcW w:w="1087" w:type="dxa"/>
            <w:tcBorders>
              <w:tl2br w:val="nil"/>
              <w:tr2bl w:val="nil"/>
            </w:tcBorders>
            <w:vAlign w:val="center"/>
          </w:tcPr>
          <w:p w14:paraId="70C0C56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59.2</w:t>
            </w:r>
          </w:p>
        </w:tc>
        <w:tc>
          <w:tcPr>
            <w:tcW w:w="1087" w:type="dxa"/>
            <w:tcBorders>
              <w:tl2br w:val="nil"/>
              <w:tr2bl w:val="nil"/>
            </w:tcBorders>
            <w:vAlign w:val="center"/>
          </w:tcPr>
          <w:p w14:paraId="6F80CDC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东北风</w:t>
            </w:r>
          </w:p>
        </w:tc>
        <w:tc>
          <w:tcPr>
            <w:tcW w:w="1087" w:type="dxa"/>
            <w:tcBorders>
              <w:tl2br w:val="nil"/>
              <w:tr2bl w:val="nil"/>
            </w:tcBorders>
            <w:vAlign w:val="center"/>
          </w:tcPr>
          <w:p w14:paraId="06E938E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w:t>
            </w:r>
          </w:p>
        </w:tc>
      </w:tr>
    </w:tbl>
    <w:p w14:paraId="6071D1AC">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（4）监测结果</w:t>
      </w:r>
    </w:p>
    <w:p w14:paraId="585CE0E2">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本次委托无锡市恒信安全技术服务有限公司进行检测，根据出具的检测报告（报告编号：恒信（环）字第HXHJ202404054号），</w:t>
      </w:r>
      <w:r>
        <w:rPr>
          <w:rFonts w:ascii="Times New Roman" w:hAnsi="Times New Roman"/>
          <w:color w:val="auto"/>
          <w:highlight w:val="none"/>
        </w:rPr>
        <w:t>监测点环境空气质量监测结果统计表详见下表。</w:t>
      </w:r>
    </w:p>
    <w:p w14:paraId="593AEB64">
      <w:pPr>
        <w:pStyle w:val="15"/>
        <w:ind w:left="-105" w:right="-105" w:firstLine="482"/>
        <w:rPr>
          <w:rFonts w:eastAsia="宋体" w:cs="Times New Roman"/>
          <w:color w:val="auto"/>
          <w:kern w:val="0"/>
          <w:sz w:val="24"/>
          <w:szCs w:val="24"/>
          <w:highlight w:val="none"/>
        </w:rPr>
      </w:pPr>
      <w:bookmarkStart w:id="341" w:name="_Ref3654293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w:t>
      </w:r>
      <w:r>
        <w:rPr>
          <w:rFonts w:eastAsia="宋体" w:cs="Times New Roman"/>
          <w:color w:val="auto"/>
          <w:sz w:val="24"/>
          <w:szCs w:val="18"/>
          <w:highlight w:val="none"/>
        </w:rPr>
        <w:fldChar w:fldCharType="end"/>
      </w:r>
      <w:r>
        <w:rPr>
          <w:rFonts w:eastAsia="宋体" w:cs="Times New Roman"/>
          <w:color w:val="auto"/>
          <w:kern w:val="0"/>
          <w:sz w:val="24"/>
          <w:szCs w:val="24"/>
          <w:highlight w:val="none"/>
        </w:rPr>
        <w:t>环境空气监测结果统计表</w:t>
      </w:r>
      <w:bookmarkEnd w:id="341"/>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4"/>
        <w:gridCol w:w="1489"/>
        <w:gridCol w:w="1462"/>
        <w:gridCol w:w="1464"/>
        <w:gridCol w:w="1481"/>
        <w:gridCol w:w="1052"/>
        <w:gridCol w:w="1052"/>
      </w:tblGrid>
      <w:tr w14:paraId="49FD9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97" w:type="pct"/>
            <w:vMerge w:val="restart"/>
            <w:tcBorders>
              <w:tl2br w:val="nil"/>
              <w:tr2bl w:val="nil"/>
            </w:tcBorders>
            <w:vAlign w:val="center"/>
          </w:tcPr>
          <w:p w14:paraId="49606BD2">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测点名称</w:t>
            </w:r>
          </w:p>
        </w:tc>
        <w:tc>
          <w:tcPr>
            <w:tcW w:w="875" w:type="pct"/>
            <w:vMerge w:val="restart"/>
            <w:tcBorders>
              <w:tl2br w:val="nil"/>
              <w:tr2bl w:val="nil"/>
            </w:tcBorders>
            <w:vAlign w:val="center"/>
          </w:tcPr>
          <w:p w14:paraId="62407819">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名称</w:t>
            </w:r>
          </w:p>
        </w:tc>
        <w:tc>
          <w:tcPr>
            <w:tcW w:w="2589" w:type="pct"/>
            <w:gridSpan w:val="3"/>
            <w:tcBorders>
              <w:tl2br w:val="nil"/>
              <w:tr2bl w:val="nil"/>
            </w:tcBorders>
            <w:vAlign w:val="center"/>
          </w:tcPr>
          <w:p w14:paraId="048722D0">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小时浓度（mg/m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618" w:type="pct"/>
            <w:vMerge w:val="restart"/>
            <w:tcBorders>
              <w:tl2br w:val="nil"/>
              <w:tr2bl w:val="nil"/>
            </w:tcBorders>
            <w:vAlign w:val="center"/>
          </w:tcPr>
          <w:p w14:paraId="3FC23A30">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标准值（一次值）</w:t>
            </w:r>
          </w:p>
        </w:tc>
        <w:tc>
          <w:tcPr>
            <w:tcW w:w="618" w:type="pct"/>
            <w:vMerge w:val="restart"/>
            <w:tcBorders>
              <w:tl2br w:val="nil"/>
              <w:tr2bl w:val="nil"/>
            </w:tcBorders>
            <w:vAlign w:val="center"/>
          </w:tcPr>
          <w:p w14:paraId="1191096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lang w:eastAsia="en-US"/>
              </w:rPr>
            </w:pPr>
            <w:r>
              <w:rPr>
                <w:rFonts w:ascii="Times New Roman" w:hAnsi="Times New Roman"/>
                <w:b/>
                <w:bCs/>
                <w:color w:val="auto"/>
                <w:sz w:val="21"/>
                <w:szCs w:val="21"/>
                <w:highlight w:val="none"/>
              </w:rPr>
              <w:t>达标情况</w:t>
            </w:r>
          </w:p>
        </w:tc>
      </w:tr>
      <w:tr w14:paraId="24D181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0" w:type="auto"/>
            <w:vMerge w:val="continue"/>
            <w:tcBorders>
              <w:tl2br w:val="nil"/>
              <w:tr2bl w:val="nil"/>
            </w:tcBorders>
            <w:vAlign w:val="center"/>
          </w:tcPr>
          <w:p w14:paraId="512691E1">
            <w:pPr>
              <w:keepNext w:val="0"/>
              <w:keepLines w:val="0"/>
              <w:pageBreakBefore w:val="0"/>
              <w:widowControl/>
              <w:kinsoku/>
              <w:wordWrap/>
              <w:overflowPunct/>
              <w:topLinePunct w:val="0"/>
              <w:bidi w:val="0"/>
              <w:adjustRightInd/>
              <w:snapToGrid/>
              <w:ind w:left="0" w:right="0"/>
              <w:textAlignment w:val="auto"/>
              <w:rPr>
                <w:rFonts w:ascii="Times New Roman" w:hAnsi="Times New Roman"/>
                <w:b/>
                <w:bCs/>
                <w:color w:val="auto"/>
                <w:sz w:val="21"/>
                <w:szCs w:val="21"/>
                <w:highlight w:val="none"/>
              </w:rPr>
            </w:pPr>
          </w:p>
        </w:tc>
        <w:tc>
          <w:tcPr>
            <w:tcW w:w="0" w:type="auto"/>
            <w:vMerge w:val="continue"/>
            <w:tcBorders>
              <w:tl2br w:val="nil"/>
              <w:tr2bl w:val="nil"/>
            </w:tcBorders>
            <w:vAlign w:val="center"/>
          </w:tcPr>
          <w:p w14:paraId="39DE32AE">
            <w:pPr>
              <w:keepNext w:val="0"/>
              <w:keepLines w:val="0"/>
              <w:pageBreakBefore w:val="0"/>
              <w:widowControl/>
              <w:kinsoku/>
              <w:wordWrap/>
              <w:overflowPunct/>
              <w:topLinePunct w:val="0"/>
              <w:bidi w:val="0"/>
              <w:adjustRightInd/>
              <w:snapToGrid/>
              <w:ind w:left="0" w:right="0"/>
              <w:textAlignment w:val="auto"/>
              <w:rPr>
                <w:rFonts w:ascii="Times New Roman" w:hAnsi="Times New Roman"/>
                <w:b/>
                <w:bCs/>
                <w:color w:val="auto"/>
                <w:sz w:val="21"/>
                <w:szCs w:val="21"/>
                <w:highlight w:val="none"/>
              </w:rPr>
            </w:pPr>
          </w:p>
        </w:tc>
        <w:tc>
          <w:tcPr>
            <w:tcW w:w="859" w:type="pct"/>
            <w:tcBorders>
              <w:tl2br w:val="nil"/>
              <w:tr2bl w:val="nil"/>
            </w:tcBorders>
            <w:vAlign w:val="center"/>
          </w:tcPr>
          <w:p w14:paraId="3698EB4E">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浓度范围</w:t>
            </w:r>
          </w:p>
        </w:tc>
        <w:tc>
          <w:tcPr>
            <w:tcW w:w="860" w:type="pct"/>
            <w:tcBorders>
              <w:tl2br w:val="nil"/>
              <w:tr2bl w:val="nil"/>
            </w:tcBorders>
            <w:vAlign w:val="center"/>
          </w:tcPr>
          <w:p w14:paraId="47FD0B23">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最大浓度占标率（%）</w:t>
            </w:r>
          </w:p>
        </w:tc>
        <w:tc>
          <w:tcPr>
            <w:tcW w:w="869" w:type="pct"/>
            <w:tcBorders>
              <w:tl2br w:val="nil"/>
              <w:tr2bl w:val="nil"/>
            </w:tcBorders>
            <w:vAlign w:val="center"/>
          </w:tcPr>
          <w:p w14:paraId="74585FA2">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超标率</w:t>
            </w:r>
          </w:p>
        </w:tc>
        <w:tc>
          <w:tcPr>
            <w:tcW w:w="0" w:type="auto"/>
            <w:vMerge w:val="continue"/>
            <w:tcBorders>
              <w:tl2br w:val="nil"/>
              <w:tr2bl w:val="nil"/>
            </w:tcBorders>
            <w:vAlign w:val="center"/>
          </w:tcPr>
          <w:p w14:paraId="480A1F16">
            <w:pPr>
              <w:keepNext w:val="0"/>
              <w:keepLines w:val="0"/>
              <w:pageBreakBefore w:val="0"/>
              <w:widowControl/>
              <w:kinsoku/>
              <w:wordWrap/>
              <w:overflowPunct/>
              <w:topLinePunct w:val="0"/>
              <w:bidi w:val="0"/>
              <w:adjustRightInd/>
              <w:snapToGrid/>
              <w:ind w:left="0" w:right="0"/>
              <w:textAlignment w:val="auto"/>
              <w:rPr>
                <w:rFonts w:ascii="Times New Roman" w:hAnsi="Times New Roman"/>
                <w:b/>
                <w:bCs/>
                <w:color w:val="auto"/>
                <w:sz w:val="21"/>
                <w:szCs w:val="21"/>
                <w:highlight w:val="none"/>
              </w:rPr>
            </w:pPr>
          </w:p>
        </w:tc>
        <w:tc>
          <w:tcPr>
            <w:tcW w:w="0" w:type="auto"/>
            <w:vMerge w:val="continue"/>
            <w:tcBorders>
              <w:tl2br w:val="nil"/>
              <w:tr2bl w:val="nil"/>
            </w:tcBorders>
            <w:vAlign w:val="center"/>
          </w:tcPr>
          <w:p w14:paraId="37655A93">
            <w:pPr>
              <w:keepNext w:val="0"/>
              <w:keepLines w:val="0"/>
              <w:pageBreakBefore w:val="0"/>
              <w:widowControl/>
              <w:kinsoku/>
              <w:wordWrap/>
              <w:overflowPunct/>
              <w:topLinePunct w:val="0"/>
              <w:bidi w:val="0"/>
              <w:adjustRightInd/>
              <w:snapToGrid/>
              <w:ind w:left="0" w:right="0"/>
              <w:textAlignment w:val="auto"/>
              <w:rPr>
                <w:rFonts w:ascii="Times New Roman" w:hAnsi="Times New Roman"/>
                <w:b/>
                <w:bCs/>
                <w:color w:val="auto"/>
                <w:sz w:val="21"/>
                <w:szCs w:val="21"/>
                <w:highlight w:val="none"/>
                <w:lang w:eastAsia="en-US"/>
              </w:rPr>
            </w:pPr>
          </w:p>
        </w:tc>
      </w:tr>
      <w:tr w14:paraId="63E80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57" w:hRule="atLeast"/>
          <w:jc w:val="center"/>
        </w:trPr>
        <w:tc>
          <w:tcPr>
            <w:tcW w:w="297" w:type="pct"/>
            <w:vMerge w:val="restart"/>
            <w:tcBorders>
              <w:tl2br w:val="nil"/>
              <w:tr2bl w:val="nil"/>
            </w:tcBorders>
            <w:vAlign w:val="center"/>
          </w:tcPr>
          <w:p w14:paraId="667B531D">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G1项目所在地</w:t>
            </w:r>
          </w:p>
        </w:tc>
        <w:tc>
          <w:tcPr>
            <w:tcW w:w="875" w:type="pct"/>
            <w:tcBorders>
              <w:tl2br w:val="nil"/>
              <w:tr2bl w:val="nil"/>
            </w:tcBorders>
            <w:vAlign w:val="center"/>
          </w:tcPr>
          <w:p w14:paraId="08DCEC0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lang w:eastAsia="en-US"/>
              </w:rPr>
              <w:t>氮氧化物</w:t>
            </w:r>
          </w:p>
        </w:tc>
        <w:tc>
          <w:tcPr>
            <w:tcW w:w="859" w:type="pct"/>
            <w:tcBorders>
              <w:tl2br w:val="nil"/>
              <w:tr2bl w:val="nil"/>
            </w:tcBorders>
            <w:vAlign w:val="center"/>
          </w:tcPr>
          <w:p w14:paraId="68BED34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0.018~0.073</w:t>
            </w:r>
          </w:p>
        </w:tc>
        <w:tc>
          <w:tcPr>
            <w:tcW w:w="860" w:type="pct"/>
            <w:tcBorders>
              <w:tl2br w:val="nil"/>
              <w:tr2bl w:val="nil"/>
            </w:tcBorders>
            <w:vAlign w:val="center"/>
          </w:tcPr>
          <w:p w14:paraId="576A825D">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29.2</w:t>
            </w:r>
          </w:p>
        </w:tc>
        <w:tc>
          <w:tcPr>
            <w:tcW w:w="869" w:type="pct"/>
            <w:tcBorders>
              <w:tl2br w:val="nil"/>
              <w:tr2bl w:val="nil"/>
            </w:tcBorders>
            <w:vAlign w:val="center"/>
          </w:tcPr>
          <w:p w14:paraId="0CAA7D1D">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618" w:type="pct"/>
            <w:tcBorders>
              <w:tl2br w:val="nil"/>
              <w:tr2bl w:val="nil"/>
            </w:tcBorders>
            <w:vAlign w:val="center"/>
          </w:tcPr>
          <w:p w14:paraId="60E075D2">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0.25</w:t>
            </w:r>
          </w:p>
        </w:tc>
        <w:tc>
          <w:tcPr>
            <w:tcW w:w="618" w:type="pct"/>
            <w:tcBorders>
              <w:tl2br w:val="nil"/>
              <w:tr2bl w:val="nil"/>
            </w:tcBorders>
            <w:vAlign w:val="center"/>
          </w:tcPr>
          <w:p w14:paraId="5AFDF1EA">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rPr>
              <w:t>达标</w:t>
            </w:r>
          </w:p>
        </w:tc>
      </w:tr>
      <w:tr w14:paraId="70744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0" w:type="auto"/>
            <w:vMerge w:val="continue"/>
            <w:tcBorders>
              <w:tl2br w:val="nil"/>
              <w:tr2bl w:val="nil"/>
            </w:tcBorders>
            <w:vAlign w:val="center"/>
          </w:tcPr>
          <w:p w14:paraId="2AE2FFCC">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875" w:type="pct"/>
            <w:tcBorders>
              <w:tl2br w:val="nil"/>
              <w:tr2bl w:val="nil"/>
            </w:tcBorders>
            <w:vAlign w:val="center"/>
          </w:tcPr>
          <w:p w14:paraId="3082F97F">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非甲烷总烃</w:t>
            </w:r>
          </w:p>
        </w:tc>
        <w:tc>
          <w:tcPr>
            <w:tcW w:w="859" w:type="pct"/>
            <w:tcBorders>
              <w:tl2br w:val="nil"/>
              <w:tr2bl w:val="nil"/>
            </w:tcBorders>
            <w:vAlign w:val="center"/>
          </w:tcPr>
          <w:p w14:paraId="365BB7F4">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0.32~0.64</w:t>
            </w:r>
          </w:p>
        </w:tc>
        <w:tc>
          <w:tcPr>
            <w:tcW w:w="860" w:type="pct"/>
            <w:tcBorders>
              <w:tl2br w:val="nil"/>
              <w:tr2bl w:val="nil"/>
            </w:tcBorders>
            <w:vAlign w:val="center"/>
          </w:tcPr>
          <w:p w14:paraId="4334C5C0">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32</w:t>
            </w:r>
          </w:p>
        </w:tc>
        <w:tc>
          <w:tcPr>
            <w:tcW w:w="869" w:type="pct"/>
            <w:tcBorders>
              <w:tl2br w:val="nil"/>
              <w:tr2bl w:val="nil"/>
            </w:tcBorders>
            <w:vAlign w:val="center"/>
          </w:tcPr>
          <w:p w14:paraId="4ED17C07">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618" w:type="pct"/>
            <w:tcBorders>
              <w:tl2br w:val="nil"/>
              <w:tr2bl w:val="nil"/>
            </w:tcBorders>
            <w:vAlign w:val="center"/>
          </w:tcPr>
          <w:p w14:paraId="709E16B0">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618" w:type="pct"/>
            <w:tcBorders>
              <w:tl2br w:val="nil"/>
              <w:tr2bl w:val="nil"/>
            </w:tcBorders>
            <w:vAlign w:val="center"/>
          </w:tcPr>
          <w:p w14:paraId="5078EE3B">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达标</w:t>
            </w:r>
          </w:p>
        </w:tc>
      </w:tr>
      <w:tr w14:paraId="0EA2F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0" w:type="auto"/>
            <w:vMerge w:val="continue"/>
            <w:tcBorders>
              <w:tl2br w:val="nil"/>
              <w:tr2bl w:val="nil"/>
            </w:tcBorders>
            <w:vAlign w:val="center"/>
          </w:tcPr>
          <w:p w14:paraId="571C845B">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875" w:type="pct"/>
            <w:tcBorders>
              <w:tl2br w:val="nil"/>
              <w:tr2bl w:val="nil"/>
            </w:tcBorders>
            <w:vAlign w:val="center"/>
          </w:tcPr>
          <w:p w14:paraId="6A44DBC7">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甲醇</w:t>
            </w:r>
          </w:p>
        </w:tc>
        <w:tc>
          <w:tcPr>
            <w:tcW w:w="859" w:type="pct"/>
            <w:tcBorders>
              <w:tl2br w:val="nil"/>
              <w:tr2bl w:val="nil"/>
            </w:tcBorders>
            <w:vAlign w:val="center"/>
          </w:tcPr>
          <w:p w14:paraId="5524C30E">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ND</w:t>
            </w:r>
          </w:p>
        </w:tc>
        <w:tc>
          <w:tcPr>
            <w:tcW w:w="860" w:type="pct"/>
            <w:tcBorders>
              <w:tl2br w:val="nil"/>
              <w:tr2bl w:val="nil"/>
            </w:tcBorders>
            <w:vAlign w:val="center"/>
          </w:tcPr>
          <w:p w14:paraId="18C16750">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869" w:type="pct"/>
            <w:tcBorders>
              <w:tl2br w:val="nil"/>
              <w:tr2bl w:val="nil"/>
            </w:tcBorders>
            <w:vAlign w:val="center"/>
          </w:tcPr>
          <w:p w14:paraId="05F2E3C1">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618" w:type="pct"/>
            <w:tcBorders>
              <w:tl2br w:val="nil"/>
              <w:tr2bl w:val="nil"/>
            </w:tcBorders>
            <w:vAlign w:val="center"/>
          </w:tcPr>
          <w:p w14:paraId="1949C3A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3</w:t>
            </w:r>
          </w:p>
        </w:tc>
        <w:tc>
          <w:tcPr>
            <w:tcW w:w="618" w:type="pct"/>
            <w:tcBorders>
              <w:tl2br w:val="nil"/>
              <w:tr2bl w:val="nil"/>
            </w:tcBorders>
            <w:vAlign w:val="center"/>
          </w:tcPr>
          <w:p w14:paraId="59BE4253">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达标</w:t>
            </w:r>
          </w:p>
        </w:tc>
      </w:tr>
      <w:tr w14:paraId="19FE1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297" w:type="pct"/>
            <w:vMerge w:val="restart"/>
            <w:tcBorders>
              <w:tl2br w:val="nil"/>
              <w:tr2bl w:val="nil"/>
            </w:tcBorders>
            <w:vAlign w:val="center"/>
          </w:tcPr>
          <w:p w14:paraId="6FEE7071">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G2</w:t>
            </w:r>
            <w:r>
              <w:rPr>
                <w:rFonts w:hint="eastAsia" w:ascii="Times New Roman" w:hAnsi="Times New Roman"/>
                <w:color w:val="auto"/>
                <w:sz w:val="21"/>
                <w:szCs w:val="21"/>
                <w:highlight w:val="none"/>
              </w:rPr>
              <w:t>鸿景华庭</w:t>
            </w:r>
          </w:p>
        </w:tc>
        <w:tc>
          <w:tcPr>
            <w:tcW w:w="1489" w:type="dxa"/>
            <w:tcBorders>
              <w:tl2br w:val="nil"/>
              <w:tr2bl w:val="nil"/>
            </w:tcBorders>
            <w:vAlign w:val="center"/>
          </w:tcPr>
          <w:p w14:paraId="20CD241E">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氮氧化物</w:t>
            </w:r>
          </w:p>
        </w:tc>
        <w:tc>
          <w:tcPr>
            <w:tcW w:w="859" w:type="pct"/>
            <w:tcBorders>
              <w:tl2br w:val="nil"/>
              <w:tr2bl w:val="nil"/>
            </w:tcBorders>
            <w:vAlign w:val="center"/>
          </w:tcPr>
          <w:p w14:paraId="22FB4D66">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0.021~0.085</w:t>
            </w:r>
          </w:p>
        </w:tc>
        <w:tc>
          <w:tcPr>
            <w:tcW w:w="860" w:type="pct"/>
            <w:tcBorders>
              <w:tl2br w:val="nil"/>
              <w:tr2bl w:val="nil"/>
            </w:tcBorders>
            <w:vAlign w:val="center"/>
          </w:tcPr>
          <w:p w14:paraId="1D14A29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34</w:t>
            </w:r>
          </w:p>
        </w:tc>
        <w:tc>
          <w:tcPr>
            <w:tcW w:w="869" w:type="pct"/>
            <w:tcBorders>
              <w:tl2br w:val="nil"/>
              <w:tr2bl w:val="nil"/>
            </w:tcBorders>
            <w:vAlign w:val="center"/>
          </w:tcPr>
          <w:p w14:paraId="1FEE4C2B">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052" w:type="dxa"/>
            <w:tcBorders>
              <w:tl2br w:val="nil"/>
              <w:tr2bl w:val="nil"/>
            </w:tcBorders>
            <w:vAlign w:val="center"/>
          </w:tcPr>
          <w:p w14:paraId="56922E1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hint="eastAsia" w:ascii="Times New Roman" w:hAnsi="Times New Roman"/>
                <w:color w:val="auto"/>
                <w:sz w:val="21"/>
                <w:szCs w:val="21"/>
                <w:highlight w:val="none"/>
              </w:rPr>
              <w:t>0.25</w:t>
            </w:r>
          </w:p>
        </w:tc>
        <w:tc>
          <w:tcPr>
            <w:tcW w:w="618" w:type="pct"/>
            <w:tcBorders>
              <w:tl2br w:val="nil"/>
              <w:tr2bl w:val="nil"/>
            </w:tcBorders>
            <w:vAlign w:val="center"/>
          </w:tcPr>
          <w:p w14:paraId="31B5FAC7">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达标</w:t>
            </w:r>
          </w:p>
        </w:tc>
      </w:tr>
      <w:tr w14:paraId="3CE488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0" w:type="auto"/>
            <w:vMerge w:val="continue"/>
            <w:tcBorders>
              <w:tl2br w:val="nil"/>
              <w:tr2bl w:val="nil"/>
            </w:tcBorders>
            <w:vAlign w:val="center"/>
          </w:tcPr>
          <w:p w14:paraId="590D7464">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lang w:eastAsia="en-US"/>
              </w:rPr>
            </w:pPr>
          </w:p>
        </w:tc>
        <w:tc>
          <w:tcPr>
            <w:tcW w:w="1489" w:type="dxa"/>
            <w:tcBorders>
              <w:tl2br w:val="nil"/>
              <w:tr2bl w:val="nil"/>
            </w:tcBorders>
            <w:vAlign w:val="center"/>
          </w:tcPr>
          <w:p w14:paraId="0881826D">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非甲烷总烃</w:t>
            </w:r>
          </w:p>
        </w:tc>
        <w:tc>
          <w:tcPr>
            <w:tcW w:w="859" w:type="pct"/>
            <w:tcBorders>
              <w:tl2br w:val="nil"/>
              <w:tr2bl w:val="nil"/>
            </w:tcBorders>
            <w:vAlign w:val="center"/>
          </w:tcPr>
          <w:p w14:paraId="75F631F3">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0.44~0.86</w:t>
            </w:r>
          </w:p>
        </w:tc>
        <w:tc>
          <w:tcPr>
            <w:tcW w:w="860" w:type="pct"/>
            <w:tcBorders>
              <w:tl2br w:val="nil"/>
              <w:tr2bl w:val="nil"/>
            </w:tcBorders>
            <w:vAlign w:val="center"/>
          </w:tcPr>
          <w:p w14:paraId="4F9601BA">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43</w:t>
            </w:r>
          </w:p>
        </w:tc>
        <w:tc>
          <w:tcPr>
            <w:tcW w:w="869" w:type="pct"/>
            <w:tcBorders>
              <w:tl2br w:val="nil"/>
              <w:tr2bl w:val="nil"/>
            </w:tcBorders>
          </w:tcPr>
          <w:p w14:paraId="4713080A">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052" w:type="dxa"/>
            <w:tcBorders>
              <w:tl2br w:val="nil"/>
              <w:tr2bl w:val="nil"/>
            </w:tcBorders>
            <w:vAlign w:val="center"/>
          </w:tcPr>
          <w:p w14:paraId="6520513C">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rPr>
              <w:t>2</w:t>
            </w:r>
          </w:p>
        </w:tc>
        <w:tc>
          <w:tcPr>
            <w:tcW w:w="618" w:type="pct"/>
            <w:tcBorders>
              <w:tl2br w:val="nil"/>
              <w:tr2bl w:val="nil"/>
            </w:tcBorders>
            <w:vAlign w:val="center"/>
          </w:tcPr>
          <w:p w14:paraId="4FEF292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达标</w:t>
            </w:r>
          </w:p>
        </w:tc>
      </w:tr>
      <w:tr w14:paraId="6DA538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0" w:type="auto"/>
            <w:vMerge w:val="continue"/>
            <w:tcBorders>
              <w:tl2br w:val="nil"/>
              <w:tr2bl w:val="nil"/>
            </w:tcBorders>
            <w:vAlign w:val="center"/>
          </w:tcPr>
          <w:p w14:paraId="47526795">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lang w:eastAsia="en-US"/>
              </w:rPr>
            </w:pPr>
          </w:p>
        </w:tc>
        <w:tc>
          <w:tcPr>
            <w:tcW w:w="1489" w:type="dxa"/>
            <w:tcBorders>
              <w:tl2br w:val="nil"/>
              <w:tr2bl w:val="nil"/>
            </w:tcBorders>
            <w:vAlign w:val="center"/>
          </w:tcPr>
          <w:p w14:paraId="632EB963">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hint="eastAsia" w:ascii="Times New Roman" w:hAnsi="Times New Roman"/>
                <w:color w:val="auto"/>
                <w:sz w:val="21"/>
                <w:szCs w:val="21"/>
                <w:highlight w:val="none"/>
              </w:rPr>
              <w:t>甲醇</w:t>
            </w:r>
          </w:p>
        </w:tc>
        <w:tc>
          <w:tcPr>
            <w:tcW w:w="859" w:type="pct"/>
            <w:tcBorders>
              <w:tl2br w:val="nil"/>
              <w:tr2bl w:val="nil"/>
            </w:tcBorders>
            <w:vAlign w:val="center"/>
          </w:tcPr>
          <w:p w14:paraId="2CC47E89">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ND</w:t>
            </w:r>
          </w:p>
        </w:tc>
        <w:tc>
          <w:tcPr>
            <w:tcW w:w="860" w:type="pct"/>
            <w:tcBorders>
              <w:tl2br w:val="nil"/>
              <w:tr2bl w:val="nil"/>
            </w:tcBorders>
            <w:vAlign w:val="center"/>
          </w:tcPr>
          <w:p w14:paraId="6277C4DC">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869" w:type="pct"/>
            <w:tcBorders>
              <w:tl2br w:val="nil"/>
              <w:tr2bl w:val="nil"/>
            </w:tcBorders>
            <w:vAlign w:val="center"/>
          </w:tcPr>
          <w:p w14:paraId="067F4FB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618" w:type="pct"/>
            <w:tcBorders>
              <w:tl2br w:val="nil"/>
              <w:tr2bl w:val="nil"/>
            </w:tcBorders>
            <w:vAlign w:val="center"/>
          </w:tcPr>
          <w:p w14:paraId="7510564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3</w:t>
            </w:r>
          </w:p>
        </w:tc>
        <w:tc>
          <w:tcPr>
            <w:tcW w:w="618" w:type="pct"/>
            <w:tcBorders>
              <w:tl2br w:val="nil"/>
              <w:tr2bl w:val="nil"/>
            </w:tcBorders>
            <w:vAlign w:val="center"/>
          </w:tcPr>
          <w:p w14:paraId="424660C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lang w:eastAsia="en-US"/>
              </w:rPr>
            </w:pPr>
            <w:r>
              <w:rPr>
                <w:rFonts w:ascii="Times New Roman" w:hAnsi="Times New Roman"/>
                <w:color w:val="auto"/>
                <w:sz w:val="21"/>
                <w:szCs w:val="21"/>
                <w:highlight w:val="none"/>
                <w:lang w:eastAsia="en-US"/>
              </w:rPr>
              <w:t>达标</w:t>
            </w:r>
          </w:p>
        </w:tc>
      </w:tr>
    </w:tbl>
    <w:p w14:paraId="64B4D844">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监测结果表明：各个监测点氮氧化物监测浓度可满足《环境空气质量标准》（GB3095-2012）表1中二级标准要求；</w:t>
      </w:r>
      <w:r>
        <w:rPr>
          <w:rFonts w:hint="eastAsia" w:ascii="Times New Roman" w:hAnsi="Times New Roman"/>
          <w:color w:val="auto"/>
          <w:highlight w:val="none"/>
        </w:rPr>
        <w:t>甲醇</w:t>
      </w:r>
      <w:r>
        <w:rPr>
          <w:rFonts w:ascii="Times New Roman" w:hAnsi="Times New Roman"/>
          <w:color w:val="auto"/>
          <w:highlight w:val="none"/>
        </w:rPr>
        <w:t>监测浓度可满足《环境影响评价技术导则大气环境》（HJ2.2-2018）附录D其他污染物空气质量浓度参考限值；非甲烷总烃监测浓度均可满足《大气污染物综合排放标准详解》中的推荐值，该区域环境空气质量较好。</w:t>
      </w:r>
    </w:p>
    <w:p w14:paraId="494D0532">
      <w:pPr>
        <w:pStyle w:val="5"/>
        <w:keepLines w:val="0"/>
        <w:numPr>
          <w:ilvl w:val="2"/>
          <w:numId w:val="0"/>
        </w:numPr>
        <w:tabs>
          <w:tab w:val="left" w:pos="567"/>
          <w:tab w:val="left" w:pos="709"/>
        </w:tabs>
        <w:spacing w:before="120" w:beforeLines="50" w:after="120" w:afterLines="50" w:line="360" w:lineRule="auto"/>
        <w:ind w:right="-105"/>
        <w:rPr>
          <w:rFonts w:eastAsia="宋体"/>
          <w:color w:val="auto"/>
          <w:sz w:val="28"/>
          <w:szCs w:val="28"/>
          <w:highlight w:val="none"/>
        </w:rPr>
      </w:pPr>
      <w:bookmarkStart w:id="342" w:name="_Toc60653540"/>
      <w:bookmarkStart w:id="343" w:name="_Toc370313624"/>
      <w:r>
        <w:rPr>
          <w:rFonts w:hint="eastAsia" w:eastAsia="宋体"/>
          <w:color w:val="auto"/>
          <w:sz w:val="28"/>
          <w:szCs w:val="28"/>
          <w:highlight w:val="none"/>
        </w:rPr>
        <w:t>5.3.2</w:t>
      </w:r>
      <w:r>
        <w:rPr>
          <w:rFonts w:eastAsia="宋体"/>
          <w:color w:val="auto"/>
          <w:sz w:val="28"/>
          <w:szCs w:val="28"/>
          <w:highlight w:val="none"/>
        </w:rPr>
        <w:t>地表水环境质量现状监测与评价</w:t>
      </w:r>
      <w:bookmarkEnd w:id="342"/>
      <w:bookmarkEnd w:id="343"/>
    </w:p>
    <w:p w14:paraId="56812EC6">
      <w:pPr>
        <w:pStyle w:val="97"/>
        <w:spacing w:line="360" w:lineRule="auto"/>
        <w:ind w:left="-105" w:right="-105" w:firstLine="480"/>
        <w:jc w:val="left"/>
        <w:rPr>
          <w:rFonts w:eastAsia="宋体"/>
          <w:color w:val="auto"/>
          <w:sz w:val="24"/>
          <w:highlight w:val="none"/>
        </w:rPr>
      </w:pPr>
      <w:r>
        <w:rPr>
          <w:rFonts w:hint="eastAsia" w:eastAsia="宋体"/>
          <w:color w:val="auto"/>
          <w:sz w:val="24"/>
          <w:highlight w:val="none"/>
        </w:rPr>
        <w:t>本项目废水排入无锡市锡山云林污水处理有限公司，尾水排入北兴塘河。本次评价引用无锡盛鑫氢能科技有限公司《年产100公斤燃料电池催化剂项目环境影响报告书》中委托江苏国舜检测技术有限公司对北兴塘河地表水环境质量进行现状监测（报告编号：GS2310054017），监测时间为2023年10月9日~10月11日。</w:t>
      </w:r>
    </w:p>
    <w:p w14:paraId="6C1DE297">
      <w:pPr>
        <w:pStyle w:val="97"/>
        <w:spacing w:line="360" w:lineRule="auto"/>
        <w:ind w:left="-105" w:right="-105" w:firstLine="480"/>
        <w:jc w:val="left"/>
        <w:rPr>
          <w:rFonts w:eastAsia="宋体"/>
          <w:color w:val="auto"/>
          <w:sz w:val="24"/>
          <w:highlight w:val="none"/>
        </w:rPr>
      </w:pPr>
      <w:r>
        <w:rPr>
          <w:rFonts w:eastAsia="宋体"/>
          <w:color w:val="auto"/>
          <w:sz w:val="24"/>
          <w:highlight w:val="none"/>
        </w:rPr>
        <w:t>（1）断面布设：监测因子：</w:t>
      </w:r>
      <w:r>
        <w:rPr>
          <w:rFonts w:hint="eastAsia" w:eastAsia="宋体"/>
          <w:bCs/>
          <w:color w:val="auto"/>
          <w:sz w:val="24"/>
          <w:highlight w:val="none"/>
        </w:rPr>
        <w:t>溶解氧、pH、COD、悬浮物、氨氮、总磷、总氮</w:t>
      </w:r>
      <w:r>
        <w:rPr>
          <w:rFonts w:eastAsia="宋体"/>
          <w:color w:val="auto"/>
          <w:sz w:val="24"/>
          <w:highlight w:val="none"/>
        </w:rPr>
        <w:t>。</w:t>
      </w:r>
    </w:p>
    <w:p w14:paraId="777F2C18">
      <w:pPr>
        <w:pStyle w:val="97"/>
        <w:spacing w:line="360" w:lineRule="auto"/>
        <w:ind w:left="-105" w:right="-105" w:firstLine="480"/>
        <w:rPr>
          <w:rFonts w:eastAsia="宋体"/>
          <w:color w:val="auto"/>
          <w:sz w:val="24"/>
          <w:highlight w:val="none"/>
        </w:rPr>
      </w:pPr>
      <w:r>
        <w:rPr>
          <w:rFonts w:eastAsia="宋体"/>
          <w:color w:val="auto"/>
          <w:sz w:val="24"/>
          <w:highlight w:val="none"/>
        </w:rPr>
        <w:t>监测时间和频次：连续监测三天，每天二次。</w:t>
      </w:r>
    </w:p>
    <w:p w14:paraId="209FAC6B">
      <w:pPr>
        <w:pStyle w:val="97"/>
        <w:spacing w:line="360" w:lineRule="auto"/>
        <w:ind w:left="-105" w:right="-105" w:firstLine="480"/>
        <w:rPr>
          <w:rFonts w:eastAsia="宋体"/>
          <w:color w:val="auto"/>
          <w:sz w:val="24"/>
          <w:highlight w:val="none"/>
        </w:rPr>
      </w:pPr>
      <w:r>
        <w:rPr>
          <w:rFonts w:eastAsia="宋体"/>
          <w:color w:val="auto"/>
          <w:sz w:val="24"/>
          <w:highlight w:val="none"/>
        </w:rPr>
        <w:t>监测断面设置：共布设3个监测断面，具体位置见</w:t>
      </w:r>
      <w:r>
        <w:rPr>
          <w:rFonts w:hint="eastAsia" w:eastAsia="宋体"/>
          <w:color w:val="auto"/>
          <w:sz w:val="24"/>
          <w:highlight w:val="none"/>
        </w:rPr>
        <w:t>附图</w:t>
      </w:r>
      <w:r>
        <w:rPr>
          <w:rFonts w:eastAsia="宋体"/>
          <w:color w:val="auto"/>
          <w:sz w:val="24"/>
          <w:highlight w:val="none"/>
        </w:rPr>
        <w:t>、见</w:t>
      </w:r>
      <w:r>
        <w:rPr>
          <w:rFonts w:eastAsia="宋体"/>
          <w:color w:val="auto"/>
          <w:sz w:val="24"/>
          <w:highlight w:val="none"/>
        </w:rPr>
        <w:fldChar w:fldCharType="begin"/>
      </w:r>
      <w:r>
        <w:rPr>
          <w:rFonts w:eastAsia="宋体"/>
          <w:color w:val="auto"/>
          <w:sz w:val="24"/>
          <w:highlight w:val="none"/>
        </w:rPr>
        <w:instrText xml:space="preserve"> REF _Ref40985267 \h  \* MERGEFORMAT </w:instrText>
      </w:r>
      <w:r>
        <w:rPr>
          <w:rFonts w:eastAsia="宋体"/>
          <w:color w:val="auto"/>
          <w:sz w:val="24"/>
          <w:highlight w:val="none"/>
        </w:rPr>
        <w:fldChar w:fldCharType="separate"/>
      </w:r>
      <w:r>
        <w:rPr>
          <w:rFonts w:eastAsia="宋体"/>
          <w:color w:val="auto"/>
          <w:sz w:val="24"/>
          <w:highlight w:val="none"/>
        </w:rPr>
        <w:t>表</w:t>
      </w:r>
      <w:r>
        <w:rPr>
          <w:rFonts w:eastAsia="宋体"/>
          <w:color w:val="auto"/>
          <w:sz w:val="24"/>
          <w:highlight w:val="none"/>
        </w:rPr>
        <w:fldChar w:fldCharType="begin"/>
      </w:r>
      <w:r>
        <w:rPr>
          <w:rFonts w:eastAsia="宋体"/>
          <w:color w:val="auto"/>
          <w:sz w:val="24"/>
          <w:highlight w:val="none"/>
        </w:rPr>
        <w:instrText xml:space="preserve"> STYLEREF</w:instrText>
      </w:r>
      <w:r>
        <w:rPr>
          <w:color w:val="auto"/>
          <w:sz w:val="24"/>
          <w:highlight w:val="none"/>
        </w:rPr>
        <w:instrText xml:space="preserve"> 2 \s </w:instrText>
      </w:r>
      <w:r>
        <w:rPr>
          <w:color w:val="auto"/>
          <w:sz w:val="24"/>
          <w:highlight w:val="none"/>
        </w:rPr>
        <w:fldChar w:fldCharType="separate"/>
      </w:r>
      <w:r>
        <w:rPr>
          <w:color w:val="auto"/>
          <w:sz w:val="24"/>
          <w:highlight w:val="none"/>
        </w:rPr>
        <w:t>5.3</w:t>
      </w:r>
      <w:r>
        <w:rPr>
          <w:color w:val="auto"/>
          <w:sz w:val="24"/>
          <w:highlight w:val="none"/>
        </w:rPr>
        <w:fldChar w:fldCharType="end"/>
      </w:r>
      <w:r>
        <w:rPr>
          <w:color w:val="auto"/>
          <w:sz w:val="24"/>
          <w:highlight w:val="none"/>
        </w:rPr>
        <w:noBreakHyphen/>
      </w:r>
      <w:r>
        <w:rPr>
          <w:color w:val="auto"/>
          <w:sz w:val="24"/>
          <w:highlight w:val="none"/>
        </w:rPr>
        <w:t>5</w:t>
      </w:r>
      <w:r>
        <w:rPr>
          <w:rFonts w:eastAsia="宋体"/>
          <w:color w:val="auto"/>
          <w:sz w:val="24"/>
          <w:highlight w:val="none"/>
        </w:rPr>
        <w:fldChar w:fldCharType="end"/>
      </w:r>
      <w:r>
        <w:rPr>
          <w:rFonts w:eastAsia="宋体"/>
          <w:color w:val="auto"/>
          <w:sz w:val="24"/>
          <w:highlight w:val="none"/>
        </w:rPr>
        <w:t>。</w:t>
      </w:r>
    </w:p>
    <w:p w14:paraId="2ED7025B">
      <w:pPr>
        <w:pStyle w:val="15"/>
        <w:spacing w:line="360" w:lineRule="auto"/>
        <w:ind w:left="-105" w:right="-105" w:firstLine="482"/>
        <w:rPr>
          <w:rFonts w:eastAsia="宋体" w:cs="Times New Roman"/>
          <w:b w:val="0"/>
          <w:bCs/>
          <w:color w:val="auto"/>
          <w:kern w:val="0"/>
          <w:sz w:val="24"/>
          <w:szCs w:val="24"/>
          <w:highlight w:val="none"/>
        </w:rPr>
      </w:pPr>
      <w:bookmarkStart w:id="344" w:name="_Ref40985267"/>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w:t>
      </w:r>
      <w:r>
        <w:rPr>
          <w:rFonts w:eastAsia="宋体" w:cs="Times New Roman"/>
          <w:color w:val="auto"/>
          <w:sz w:val="24"/>
          <w:szCs w:val="18"/>
          <w:highlight w:val="none"/>
        </w:rPr>
        <w:fldChar w:fldCharType="end"/>
      </w:r>
      <w:bookmarkEnd w:id="344"/>
      <w:r>
        <w:rPr>
          <w:rFonts w:eastAsia="宋体" w:cs="Times New Roman"/>
          <w:color w:val="auto"/>
          <w:kern w:val="0"/>
          <w:sz w:val="24"/>
          <w:szCs w:val="24"/>
          <w:highlight w:val="none"/>
        </w:rPr>
        <w:t>水环境现状监测断面及监测项目一览表</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17"/>
        <w:gridCol w:w="1426"/>
        <w:gridCol w:w="2862"/>
        <w:gridCol w:w="3399"/>
      </w:tblGrid>
      <w:tr w14:paraId="68496F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0" w:type="pct"/>
            <w:tcBorders>
              <w:top w:val="single" w:color="000000" w:sz="12" w:space="0"/>
              <w:left w:val="nil"/>
              <w:bottom w:val="single" w:color="000000" w:sz="4" w:space="0"/>
              <w:right w:val="single" w:color="000000" w:sz="4" w:space="0"/>
            </w:tcBorders>
            <w:vAlign w:val="center"/>
          </w:tcPr>
          <w:p w14:paraId="50C05018">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河流</w:t>
            </w:r>
          </w:p>
        </w:tc>
        <w:tc>
          <w:tcPr>
            <w:tcW w:w="838" w:type="pct"/>
            <w:tcBorders>
              <w:top w:val="single" w:color="000000" w:sz="12" w:space="0"/>
              <w:left w:val="single" w:color="000000" w:sz="4" w:space="0"/>
              <w:bottom w:val="single" w:color="000000" w:sz="4" w:space="0"/>
              <w:right w:val="single" w:color="000000" w:sz="4" w:space="0"/>
            </w:tcBorders>
            <w:vAlign w:val="center"/>
          </w:tcPr>
          <w:p w14:paraId="56F22D8D">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断面编号</w:t>
            </w:r>
          </w:p>
        </w:tc>
        <w:tc>
          <w:tcPr>
            <w:tcW w:w="1682" w:type="pct"/>
            <w:tcBorders>
              <w:top w:val="single" w:color="000000" w:sz="12" w:space="0"/>
              <w:left w:val="single" w:color="000000" w:sz="4" w:space="0"/>
              <w:bottom w:val="single" w:color="000000" w:sz="4" w:space="0"/>
              <w:right w:val="single" w:color="000000" w:sz="4" w:space="0"/>
            </w:tcBorders>
            <w:vAlign w:val="center"/>
          </w:tcPr>
          <w:p w14:paraId="0E8FED30">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断面位置</w:t>
            </w:r>
          </w:p>
        </w:tc>
        <w:tc>
          <w:tcPr>
            <w:tcW w:w="1998" w:type="pct"/>
            <w:tcBorders>
              <w:top w:val="single" w:color="000000" w:sz="12" w:space="0"/>
              <w:left w:val="single" w:color="000000" w:sz="4" w:space="0"/>
              <w:bottom w:val="single" w:color="000000" w:sz="4" w:space="0"/>
              <w:right w:val="nil"/>
            </w:tcBorders>
            <w:vAlign w:val="center"/>
          </w:tcPr>
          <w:p w14:paraId="21FC6444">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监测因子</w:t>
            </w:r>
          </w:p>
        </w:tc>
      </w:tr>
      <w:tr w14:paraId="5678EC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0" w:type="pct"/>
            <w:vMerge w:val="restart"/>
            <w:tcBorders>
              <w:top w:val="single" w:color="000000" w:sz="4" w:space="0"/>
              <w:left w:val="nil"/>
              <w:right w:val="single" w:color="000000" w:sz="4" w:space="0"/>
            </w:tcBorders>
            <w:vAlign w:val="center"/>
          </w:tcPr>
          <w:p w14:paraId="7B0395C2">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北兴塘</w:t>
            </w:r>
            <w:r>
              <w:rPr>
                <w:rFonts w:ascii="Times New Roman" w:hAnsi="Times New Roman"/>
                <w:color w:val="auto"/>
                <w:sz w:val="21"/>
                <w:szCs w:val="21"/>
                <w:highlight w:val="none"/>
              </w:rPr>
              <w:t>河</w:t>
            </w:r>
          </w:p>
        </w:tc>
        <w:tc>
          <w:tcPr>
            <w:tcW w:w="838" w:type="pct"/>
            <w:tcBorders>
              <w:top w:val="single" w:color="000000" w:sz="4" w:space="0"/>
              <w:left w:val="single" w:color="000000" w:sz="4" w:space="0"/>
              <w:bottom w:val="single" w:color="000000" w:sz="4" w:space="0"/>
              <w:right w:val="single" w:color="000000" w:sz="4" w:space="0"/>
            </w:tcBorders>
            <w:vAlign w:val="center"/>
          </w:tcPr>
          <w:p w14:paraId="0AA960E4">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W1</w:t>
            </w:r>
          </w:p>
        </w:tc>
        <w:tc>
          <w:tcPr>
            <w:tcW w:w="1682" w:type="pct"/>
            <w:tcBorders>
              <w:top w:val="single" w:color="000000" w:sz="4" w:space="0"/>
              <w:left w:val="single" w:color="000000" w:sz="4" w:space="0"/>
              <w:bottom w:val="single" w:color="000000" w:sz="4" w:space="0"/>
              <w:right w:val="single" w:color="000000" w:sz="4" w:space="0"/>
            </w:tcBorders>
            <w:vAlign w:val="center"/>
          </w:tcPr>
          <w:p w14:paraId="4FA8CFB2">
            <w:pPr>
              <w:pStyle w:val="105"/>
              <w:keepNext w:val="0"/>
              <w:keepLines w:val="0"/>
              <w:pageBreakBefore w:val="0"/>
              <w:kinsoku/>
              <w:wordWrap/>
              <w:overflowPunct/>
              <w:topLinePunct w:val="0"/>
              <w:bidi w:val="0"/>
              <w:adjustRightInd/>
              <w:snapToGrid/>
              <w:ind w:left="0" w:right="0"/>
              <w:jc w:val="center"/>
              <w:textAlignment w:val="auto"/>
              <w:rPr>
                <w:rFonts w:ascii="Times New Roman" w:cs="Times New Roman"/>
                <w:color w:val="auto"/>
                <w:kern w:val="2"/>
                <w:sz w:val="21"/>
                <w:szCs w:val="21"/>
                <w:highlight w:val="none"/>
              </w:rPr>
            </w:pPr>
            <w:r>
              <w:rPr>
                <w:rFonts w:hint="eastAsia" w:ascii="Times New Roman" w:cs="Times New Roman"/>
                <w:color w:val="auto"/>
                <w:kern w:val="2"/>
                <w:sz w:val="21"/>
                <w:szCs w:val="21"/>
                <w:highlight w:val="none"/>
              </w:rPr>
              <w:t>无锡市锡山云林污水处理有限公司</w:t>
            </w:r>
            <w:r>
              <w:rPr>
                <w:rFonts w:ascii="Times New Roman" w:cs="Times New Roman"/>
                <w:color w:val="auto"/>
                <w:kern w:val="2"/>
                <w:sz w:val="21"/>
                <w:szCs w:val="21"/>
                <w:highlight w:val="none"/>
              </w:rPr>
              <w:t>排污口上游500m处</w:t>
            </w:r>
          </w:p>
        </w:tc>
        <w:tc>
          <w:tcPr>
            <w:tcW w:w="1998" w:type="pct"/>
            <w:vMerge w:val="restart"/>
            <w:tcBorders>
              <w:top w:val="single" w:color="000000" w:sz="4" w:space="0"/>
              <w:left w:val="single" w:color="000000" w:sz="4" w:space="0"/>
              <w:bottom w:val="single" w:color="000000" w:sz="12" w:space="0"/>
              <w:right w:val="nil"/>
            </w:tcBorders>
            <w:vAlign w:val="center"/>
          </w:tcPr>
          <w:p w14:paraId="7A3EF81A">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溶解氧、pH、COD、悬浮物、氨氮、总磷、总氮</w:t>
            </w:r>
          </w:p>
        </w:tc>
      </w:tr>
      <w:tr w14:paraId="2CD48B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0" w:type="pct"/>
            <w:vMerge w:val="continue"/>
            <w:tcBorders>
              <w:left w:val="nil"/>
              <w:right w:val="single" w:color="000000" w:sz="4" w:space="0"/>
            </w:tcBorders>
            <w:vAlign w:val="center"/>
          </w:tcPr>
          <w:p w14:paraId="2261A324">
            <w:pPr>
              <w:keepNext w:val="0"/>
              <w:keepLines w:val="0"/>
              <w:pageBreakBefore w:val="0"/>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677697A2">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W2</w:t>
            </w:r>
          </w:p>
        </w:tc>
        <w:tc>
          <w:tcPr>
            <w:tcW w:w="1682" w:type="pct"/>
            <w:tcBorders>
              <w:top w:val="single" w:color="000000" w:sz="4" w:space="0"/>
              <w:left w:val="single" w:color="000000" w:sz="4" w:space="0"/>
              <w:bottom w:val="single" w:color="000000" w:sz="4" w:space="0"/>
              <w:right w:val="single" w:color="000000" w:sz="4" w:space="0"/>
            </w:tcBorders>
            <w:vAlign w:val="center"/>
          </w:tcPr>
          <w:p w14:paraId="12F238E9">
            <w:pPr>
              <w:pStyle w:val="105"/>
              <w:keepNext w:val="0"/>
              <w:keepLines w:val="0"/>
              <w:pageBreakBefore w:val="0"/>
              <w:kinsoku/>
              <w:wordWrap/>
              <w:overflowPunct/>
              <w:topLinePunct w:val="0"/>
              <w:bidi w:val="0"/>
              <w:adjustRightInd/>
              <w:snapToGrid/>
              <w:ind w:left="0" w:right="0"/>
              <w:jc w:val="center"/>
              <w:textAlignment w:val="auto"/>
              <w:rPr>
                <w:rFonts w:ascii="Times New Roman" w:cs="Times New Roman"/>
                <w:color w:val="auto"/>
                <w:kern w:val="2"/>
                <w:sz w:val="21"/>
                <w:szCs w:val="21"/>
                <w:highlight w:val="none"/>
              </w:rPr>
            </w:pPr>
            <w:r>
              <w:rPr>
                <w:rFonts w:hint="eastAsia" w:ascii="Times New Roman" w:cs="Times New Roman"/>
                <w:color w:val="auto"/>
                <w:kern w:val="2"/>
                <w:sz w:val="21"/>
                <w:szCs w:val="21"/>
                <w:highlight w:val="none"/>
              </w:rPr>
              <w:t>无锡市锡山云林污水处理有限公司</w:t>
            </w:r>
            <w:r>
              <w:rPr>
                <w:rFonts w:ascii="Times New Roman" w:cs="Times New Roman"/>
                <w:color w:val="auto"/>
                <w:kern w:val="2"/>
                <w:sz w:val="21"/>
                <w:szCs w:val="21"/>
                <w:highlight w:val="none"/>
              </w:rPr>
              <w:t>厂排污口</w:t>
            </w:r>
          </w:p>
        </w:tc>
        <w:tc>
          <w:tcPr>
            <w:tcW w:w="0" w:type="auto"/>
            <w:vMerge w:val="continue"/>
            <w:tcBorders>
              <w:top w:val="single" w:color="000000" w:sz="4" w:space="0"/>
              <w:left w:val="single" w:color="000000" w:sz="4" w:space="0"/>
              <w:bottom w:val="single" w:color="000000" w:sz="12" w:space="0"/>
              <w:right w:val="nil"/>
            </w:tcBorders>
            <w:vAlign w:val="center"/>
          </w:tcPr>
          <w:p w14:paraId="28E3289F">
            <w:pPr>
              <w:keepNext w:val="0"/>
              <w:keepLines w:val="0"/>
              <w:pageBreakBefore w:val="0"/>
              <w:kinsoku/>
              <w:wordWrap/>
              <w:overflowPunct/>
              <w:topLinePunct w:val="0"/>
              <w:bidi w:val="0"/>
              <w:adjustRightInd/>
              <w:snapToGrid/>
              <w:ind w:left="0" w:right="0"/>
              <w:textAlignment w:val="auto"/>
              <w:rPr>
                <w:rFonts w:ascii="Times New Roman" w:hAnsi="Times New Roman"/>
                <w:color w:val="auto"/>
                <w:sz w:val="21"/>
                <w:szCs w:val="21"/>
                <w:highlight w:val="none"/>
              </w:rPr>
            </w:pPr>
          </w:p>
        </w:tc>
      </w:tr>
      <w:tr w14:paraId="381C8D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0" w:type="pct"/>
            <w:vMerge w:val="continue"/>
            <w:tcBorders>
              <w:left w:val="nil"/>
              <w:bottom w:val="single" w:color="000000" w:sz="12" w:space="0"/>
              <w:right w:val="single" w:color="000000" w:sz="4" w:space="0"/>
            </w:tcBorders>
            <w:vAlign w:val="center"/>
          </w:tcPr>
          <w:p w14:paraId="5294AC43">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p>
        </w:tc>
        <w:tc>
          <w:tcPr>
            <w:tcW w:w="838" w:type="pct"/>
            <w:tcBorders>
              <w:top w:val="single" w:color="000000" w:sz="4" w:space="0"/>
              <w:left w:val="single" w:color="000000" w:sz="4" w:space="0"/>
              <w:bottom w:val="single" w:color="000000" w:sz="12" w:space="0"/>
              <w:right w:val="single" w:color="000000" w:sz="4" w:space="0"/>
            </w:tcBorders>
            <w:vAlign w:val="center"/>
          </w:tcPr>
          <w:p w14:paraId="0C0A6A23">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W3</w:t>
            </w:r>
          </w:p>
        </w:tc>
        <w:tc>
          <w:tcPr>
            <w:tcW w:w="1682" w:type="pct"/>
            <w:tcBorders>
              <w:top w:val="single" w:color="000000" w:sz="4" w:space="0"/>
              <w:left w:val="single" w:color="000000" w:sz="4" w:space="0"/>
              <w:bottom w:val="single" w:color="000000" w:sz="12" w:space="0"/>
              <w:right w:val="single" w:color="000000" w:sz="4" w:space="0"/>
            </w:tcBorders>
            <w:vAlign w:val="center"/>
          </w:tcPr>
          <w:p w14:paraId="2126D87F">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cs="Times New Roman"/>
                <w:color w:val="auto"/>
                <w:kern w:val="2"/>
                <w:sz w:val="21"/>
                <w:szCs w:val="21"/>
                <w:highlight w:val="none"/>
              </w:rPr>
              <w:t>无锡市锡山云林污水处理有限公司</w:t>
            </w:r>
            <w:r>
              <w:rPr>
                <w:rFonts w:ascii="Times New Roman" w:cs="Times New Roman"/>
                <w:color w:val="auto"/>
                <w:kern w:val="2"/>
                <w:sz w:val="21"/>
                <w:szCs w:val="21"/>
                <w:highlight w:val="none"/>
              </w:rPr>
              <w:t>厂排污口</w:t>
            </w:r>
            <w:r>
              <w:rPr>
                <w:rFonts w:hint="eastAsia" w:ascii="Times New Roman" w:cs="Times New Roman"/>
                <w:color w:val="auto"/>
                <w:kern w:val="2"/>
                <w:sz w:val="21"/>
                <w:szCs w:val="21"/>
                <w:highlight w:val="none"/>
              </w:rPr>
              <w:t>下</w:t>
            </w:r>
            <w:r>
              <w:rPr>
                <w:rFonts w:ascii="Times New Roman" w:cs="Times New Roman"/>
                <w:color w:val="auto"/>
                <w:kern w:val="2"/>
                <w:sz w:val="21"/>
                <w:szCs w:val="21"/>
                <w:highlight w:val="none"/>
              </w:rPr>
              <w:t>游1000m处</w:t>
            </w:r>
          </w:p>
        </w:tc>
        <w:tc>
          <w:tcPr>
            <w:tcW w:w="0" w:type="auto"/>
            <w:vMerge w:val="continue"/>
            <w:tcBorders>
              <w:top w:val="single" w:color="000000" w:sz="4" w:space="0"/>
              <w:left w:val="single" w:color="000000" w:sz="4" w:space="0"/>
              <w:bottom w:val="single" w:color="000000" w:sz="12" w:space="0"/>
              <w:right w:val="nil"/>
            </w:tcBorders>
            <w:vAlign w:val="center"/>
          </w:tcPr>
          <w:p w14:paraId="72C27564">
            <w:pPr>
              <w:keepNext w:val="0"/>
              <w:keepLines w:val="0"/>
              <w:pageBreakBefore w:val="0"/>
              <w:kinsoku/>
              <w:wordWrap/>
              <w:overflowPunct/>
              <w:topLinePunct w:val="0"/>
              <w:bidi w:val="0"/>
              <w:adjustRightInd/>
              <w:snapToGrid/>
              <w:ind w:left="0" w:right="0"/>
              <w:textAlignment w:val="auto"/>
              <w:rPr>
                <w:rFonts w:ascii="Times New Roman" w:hAnsi="Times New Roman"/>
                <w:color w:val="auto"/>
                <w:sz w:val="21"/>
                <w:szCs w:val="21"/>
                <w:highlight w:val="none"/>
              </w:rPr>
            </w:pPr>
          </w:p>
        </w:tc>
      </w:tr>
    </w:tbl>
    <w:p w14:paraId="5CF98D13">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（2）监测方法见下表。</w:t>
      </w:r>
    </w:p>
    <w:p w14:paraId="69C77A93">
      <w:pPr>
        <w:pStyle w:val="15"/>
        <w:spacing w:line="360" w:lineRule="auto"/>
        <w:ind w:left="-105" w:right="-105" w:firstLine="482"/>
        <w:rPr>
          <w:rFonts w:eastAsia="宋体" w:cs="Times New Roman"/>
          <w:b w:val="0"/>
          <w:bCs/>
          <w:color w:val="auto"/>
          <w:kern w:val="0"/>
          <w:sz w:val="24"/>
          <w:szCs w:val="24"/>
          <w:highlight w:val="none"/>
        </w:rPr>
      </w:pPr>
      <w:bookmarkStart w:id="345" w:name="_Ref36567959"/>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w:t>
      </w:r>
      <w:r>
        <w:rPr>
          <w:rFonts w:eastAsia="宋体" w:cs="Times New Roman"/>
          <w:color w:val="auto"/>
          <w:sz w:val="24"/>
          <w:szCs w:val="18"/>
          <w:highlight w:val="none"/>
        </w:rPr>
        <w:fldChar w:fldCharType="end"/>
      </w:r>
      <w:r>
        <w:rPr>
          <w:rFonts w:eastAsia="宋体" w:cs="Times New Roman"/>
          <w:color w:val="auto"/>
          <w:kern w:val="0"/>
          <w:sz w:val="24"/>
          <w:szCs w:val="24"/>
          <w:highlight w:val="none"/>
        </w:rPr>
        <w:t>地表水环境质量现状监测分析方法</w:t>
      </w:r>
      <w:bookmarkEnd w:id="345"/>
    </w:p>
    <w:tbl>
      <w:tblPr>
        <w:tblStyle w:val="4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65"/>
        <w:gridCol w:w="1339"/>
        <w:gridCol w:w="6400"/>
      </w:tblGrid>
      <w:tr w14:paraId="3C28AA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7" w:type="pct"/>
            <w:gridSpan w:val="2"/>
            <w:tcBorders>
              <w:tl2br w:val="nil"/>
              <w:tr2bl w:val="nil"/>
            </w:tcBorders>
            <w:vAlign w:val="center"/>
          </w:tcPr>
          <w:p w14:paraId="015560AB">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项目</w:t>
            </w:r>
          </w:p>
        </w:tc>
        <w:tc>
          <w:tcPr>
            <w:tcW w:w="3762" w:type="pct"/>
            <w:tcBorders>
              <w:tl2br w:val="nil"/>
              <w:tr2bl w:val="nil"/>
            </w:tcBorders>
            <w:vAlign w:val="center"/>
          </w:tcPr>
          <w:p w14:paraId="1DDF5A54">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b/>
                <w:color w:val="auto"/>
                <w:sz w:val="21"/>
                <w:szCs w:val="21"/>
                <w:highlight w:val="none"/>
              </w:rPr>
              <w:t>监测方法</w:t>
            </w:r>
          </w:p>
        </w:tc>
      </w:tr>
      <w:tr w14:paraId="3ED9B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restart"/>
            <w:tcBorders>
              <w:tl2br w:val="nil"/>
              <w:tr2bl w:val="nil"/>
            </w:tcBorders>
            <w:vAlign w:val="center"/>
          </w:tcPr>
          <w:p w14:paraId="6FBEA081">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地表水</w:t>
            </w:r>
          </w:p>
        </w:tc>
        <w:tc>
          <w:tcPr>
            <w:tcW w:w="786" w:type="pct"/>
            <w:tcBorders>
              <w:tl2br w:val="nil"/>
              <w:tr2bl w:val="nil"/>
            </w:tcBorders>
            <w:vAlign w:val="center"/>
          </w:tcPr>
          <w:p w14:paraId="2B6EDE4F">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pH</w:t>
            </w:r>
          </w:p>
        </w:tc>
        <w:tc>
          <w:tcPr>
            <w:tcW w:w="3762" w:type="pct"/>
            <w:tcBorders>
              <w:tl2br w:val="nil"/>
              <w:tr2bl w:val="nil"/>
            </w:tcBorders>
            <w:vAlign w:val="center"/>
          </w:tcPr>
          <w:p w14:paraId="652DAFCB">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《水质pH值的测定玻璃电极法》（GB/T6920-1986）</w:t>
            </w:r>
          </w:p>
        </w:tc>
      </w:tr>
      <w:tr w14:paraId="61FA7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6ACAE6C3">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7B3979C9">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COD</w:t>
            </w:r>
          </w:p>
        </w:tc>
        <w:tc>
          <w:tcPr>
            <w:tcW w:w="3762" w:type="pct"/>
            <w:tcBorders>
              <w:tl2br w:val="nil"/>
              <w:tr2bl w:val="nil"/>
            </w:tcBorders>
            <w:vAlign w:val="center"/>
          </w:tcPr>
          <w:p w14:paraId="30510851">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水质化学需氧量的测定重铬酸盐法HJ828-2017</w:t>
            </w:r>
          </w:p>
        </w:tc>
      </w:tr>
      <w:tr w14:paraId="52DCB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691B3FC3">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4E0166E5">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SS</w:t>
            </w:r>
          </w:p>
        </w:tc>
        <w:tc>
          <w:tcPr>
            <w:tcW w:w="3762" w:type="pct"/>
            <w:tcBorders>
              <w:tl2br w:val="nil"/>
              <w:tr2bl w:val="nil"/>
            </w:tcBorders>
            <w:vAlign w:val="center"/>
          </w:tcPr>
          <w:p w14:paraId="2A673834">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《水质悬浮物的测定重量法》GB/T11901-1989</w:t>
            </w:r>
          </w:p>
        </w:tc>
      </w:tr>
      <w:tr w14:paraId="0BBB9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09610269">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4AC39D83">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NH</w:t>
            </w:r>
            <w:r>
              <w:rPr>
                <w:rFonts w:ascii="Times New Roman" w:hAnsi="Times New Roman"/>
                <w:color w:val="auto"/>
                <w:sz w:val="21"/>
                <w:szCs w:val="21"/>
                <w:highlight w:val="none"/>
                <w:vertAlign w:val="subscript"/>
              </w:rPr>
              <w:t>3</w:t>
            </w:r>
            <w:r>
              <w:rPr>
                <w:rFonts w:ascii="Times New Roman" w:hAnsi="Times New Roman"/>
                <w:color w:val="auto"/>
                <w:sz w:val="21"/>
                <w:szCs w:val="21"/>
                <w:highlight w:val="none"/>
              </w:rPr>
              <w:t>-N</w:t>
            </w:r>
          </w:p>
        </w:tc>
        <w:tc>
          <w:tcPr>
            <w:tcW w:w="3762" w:type="pct"/>
            <w:tcBorders>
              <w:tl2br w:val="nil"/>
              <w:tr2bl w:val="nil"/>
            </w:tcBorders>
            <w:vAlign w:val="center"/>
          </w:tcPr>
          <w:p w14:paraId="48B45D66">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《水质氨氮的测定纳氏试剂分光光度法》HJ535-2009</w:t>
            </w:r>
          </w:p>
        </w:tc>
      </w:tr>
      <w:tr w14:paraId="552F3D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2CC5DCFA">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38D069E4">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TP</w:t>
            </w:r>
          </w:p>
        </w:tc>
        <w:tc>
          <w:tcPr>
            <w:tcW w:w="3762" w:type="pct"/>
            <w:tcBorders>
              <w:tl2br w:val="nil"/>
              <w:tr2bl w:val="nil"/>
            </w:tcBorders>
            <w:vAlign w:val="center"/>
          </w:tcPr>
          <w:p w14:paraId="21D830CF">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《水质总磷的测定钼酸铵分光光度法》（GB/T11893-1989）</w:t>
            </w:r>
          </w:p>
        </w:tc>
      </w:tr>
      <w:tr w14:paraId="6ADAF8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10DB9200">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7E75B9E9">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总氮</w:t>
            </w:r>
          </w:p>
        </w:tc>
        <w:tc>
          <w:tcPr>
            <w:tcW w:w="3762" w:type="pct"/>
            <w:tcBorders>
              <w:tl2br w:val="nil"/>
              <w:tr2bl w:val="nil"/>
            </w:tcBorders>
            <w:vAlign w:val="center"/>
          </w:tcPr>
          <w:p w14:paraId="017B2D38">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《碱性过硫酸钾消解紫外分光光度法》（GB11894-89）</w:t>
            </w:r>
          </w:p>
        </w:tc>
      </w:tr>
      <w:tr w14:paraId="416139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pct"/>
            <w:vMerge w:val="continue"/>
            <w:tcBorders>
              <w:tl2br w:val="nil"/>
              <w:tr2bl w:val="nil"/>
            </w:tcBorders>
            <w:vAlign w:val="center"/>
          </w:tcPr>
          <w:p w14:paraId="3FF2DC66">
            <w:pPr>
              <w:keepNext w:val="0"/>
              <w:keepLines w:val="0"/>
              <w:pageBreakBefore w:val="0"/>
              <w:widowControl/>
              <w:kinsoku/>
              <w:wordWrap/>
              <w:overflowPunct/>
              <w:topLinePunct w:val="0"/>
              <w:bidi w:val="0"/>
              <w:adjustRightInd/>
              <w:snapToGrid/>
              <w:ind w:left="0" w:right="0"/>
              <w:textAlignment w:val="auto"/>
              <w:rPr>
                <w:rFonts w:ascii="Times New Roman" w:hAnsi="Times New Roman"/>
                <w:color w:val="auto"/>
                <w:sz w:val="21"/>
                <w:szCs w:val="21"/>
                <w:highlight w:val="none"/>
              </w:rPr>
            </w:pPr>
          </w:p>
        </w:tc>
        <w:tc>
          <w:tcPr>
            <w:tcW w:w="786" w:type="pct"/>
            <w:tcBorders>
              <w:tl2br w:val="nil"/>
              <w:tr2bl w:val="nil"/>
            </w:tcBorders>
            <w:vAlign w:val="center"/>
          </w:tcPr>
          <w:p w14:paraId="12C86A79">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DO</w:t>
            </w:r>
          </w:p>
        </w:tc>
        <w:tc>
          <w:tcPr>
            <w:tcW w:w="3762" w:type="pct"/>
            <w:tcBorders>
              <w:tl2br w:val="nil"/>
              <w:tr2bl w:val="nil"/>
            </w:tcBorders>
            <w:vAlign w:val="center"/>
          </w:tcPr>
          <w:p w14:paraId="578CEBB1">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水质溶解氧的测定碘量法GB7489-87</w:t>
            </w:r>
          </w:p>
        </w:tc>
      </w:tr>
    </w:tbl>
    <w:p w14:paraId="30401168">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）地表水现状评价</w:t>
      </w:r>
    </w:p>
    <w:p w14:paraId="3AD4161B">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按照</w:t>
      </w:r>
      <w:r>
        <w:rPr>
          <w:rFonts w:hint="eastAsia" w:ascii="Times New Roman" w:hAnsi="Times New Roman"/>
          <w:color w:val="auto"/>
          <w:highlight w:val="none"/>
        </w:rPr>
        <w:t>《江苏省地表水（环境）功能区划（2021-2030年）》</w:t>
      </w:r>
      <w:r>
        <w:rPr>
          <w:rFonts w:hint="eastAsia" w:ascii="Times New Roman" w:hAnsi="Times New Roman"/>
          <w:color w:val="auto"/>
          <w:highlight w:val="none"/>
          <w:lang w:eastAsia="zh-CN"/>
        </w:rPr>
        <w:t>（苏政复〔2022〕13号）</w:t>
      </w:r>
      <w:r>
        <w:rPr>
          <w:rFonts w:ascii="Times New Roman" w:hAnsi="Times New Roman"/>
          <w:color w:val="auto"/>
          <w:highlight w:val="none"/>
        </w:rPr>
        <w:t>的要求，锡北运河执行《地表水环境质量标准》（GB3838-2002）中的Ⅲ类标准。</w:t>
      </w:r>
    </w:p>
    <w:p w14:paraId="4C075E1B">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采用单项水质参数评价模式，按各项水质参数逐项计算后，评价其污染水平，单因子污染指数计算公式为：</w:t>
      </w:r>
    </w:p>
    <w:p w14:paraId="4E943150">
      <w:pPr>
        <w:spacing w:line="360" w:lineRule="auto"/>
        <w:ind w:left="-105" w:right="-105" w:firstLine="480"/>
        <w:jc w:val="center"/>
        <w:rPr>
          <w:rFonts w:ascii="Times New Roman" w:hAnsi="Times New Roman"/>
          <w:color w:val="auto"/>
          <w:highlight w:val="none"/>
        </w:rPr>
      </w:pPr>
      <w:r>
        <w:rPr>
          <w:rFonts w:ascii="Times New Roman" w:hAnsi="Times New Roman"/>
          <w:bCs/>
          <w:color w:val="auto"/>
          <w:position w:val="-14"/>
          <w:szCs w:val="20"/>
          <w:highlight w:val="none"/>
        </w:rPr>
        <w:object>
          <v:shape id="_x0000_i1034" o:spt="75" type="#_x0000_t75" style="height:26.85pt;width:93.4pt;" o:ole="t" filled="f" coordsize="21600,21600">
            <v:path/>
            <v:fill on="f" focussize="0,0"/>
            <v:stroke/>
            <v:imagedata r:id="rId36" o:title=""/>
            <o:lock v:ext="edit" aspectratio="t"/>
            <w10:wrap type="none"/>
            <w10:anchorlock/>
          </v:shape>
          <o:OLEObject Type="Embed" ProgID="Equation.3" ShapeID="_x0000_i1034" DrawAspect="Content" ObjectID="_1468075725" r:id="rId35">
            <o:LockedField>false</o:LockedField>
          </o:OLEObject>
        </w:object>
      </w:r>
    </w:p>
    <w:p w14:paraId="437B6E13">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式中：S</w:t>
      </w:r>
      <w:r>
        <w:rPr>
          <w:rFonts w:ascii="Times New Roman" w:hAnsi="Times New Roman"/>
          <w:color w:val="auto"/>
          <w:highlight w:val="none"/>
          <w:vertAlign w:val="subscript"/>
        </w:rPr>
        <w:t>i,j</w:t>
      </w:r>
      <w:r>
        <w:rPr>
          <w:rFonts w:ascii="Times New Roman" w:hAnsi="Times New Roman"/>
          <w:color w:val="auto"/>
          <w:highlight w:val="none"/>
        </w:rPr>
        <w:t>：第i种污染物在第j点的标准指数；</w:t>
      </w:r>
    </w:p>
    <w:p w14:paraId="116EF030">
      <w:pPr>
        <w:spacing w:line="360" w:lineRule="auto"/>
        <w:ind w:left="-105" w:right="-105" w:firstLine="1200" w:firstLineChars="500"/>
        <w:rPr>
          <w:rFonts w:ascii="Times New Roman" w:hAnsi="Times New Roman"/>
          <w:color w:val="auto"/>
          <w:highlight w:val="none"/>
        </w:rPr>
      </w:pPr>
      <w:r>
        <w:rPr>
          <w:rFonts w:ascii="Times New Roman" w:hAnsi="Times New Roman"/>
          <w:color w:val="auto"/>
          <w:highlight w:val="none"/>
        </w:rPr>
        <w:t>C</w:t>
      </w:r>
      <w:r>
        <w:rPr>
          <w:rFonts w:ascii="Times New Roman" w:hAnsi="Times New Roman"/>
          <w:color w:val="auto"/>
          <w:highlight w:val="none"/>
          <w:vertAlign w:val="subscript"/>
        </w:rPr>
        <w:t>i,j</w:t>
      </w:r>
      <w:r>
        <w:rPr>
          <w:rFonts w:ascii="Times New Roman" w:hAnsi="Times New Roman"/>
          <w:color w:val="auto"/>
          <w:highlight w:val="none"/>
        </w:rPr>
        <w:t>：第i种污染物在第j点的监测平均浓度值，mg/L；</w:t>
      </w:r>
    </w:p>
    <w:p w14:paraId="52B5AC30">
      <w:pPr>
        <w:spacing w:line="360" w:lineRule="auto"/>
        <w:ind w:left="-105" w:right="-105" w:firstLine="1176" w:firstLineChars="490"/>
        <w:rPr>
          <w:rFonts w:ascii="Times New Roman" w:hAnsi="Times New Roman"/>
          <w:color w:val="auto"/>
          <w:highlight w:val="none"/>
        </w:rPr>
      </w:pPr>
      <w:r>
        <w:rPr>
          <w:rFonts w:ascii="Times New Roman" w:hAnsi="Times New Roman"/>
          <w:color w:val="auto"/>
          <w:highlight w:val="none"/>
        </w:rPr>
        <w:t>C</w:t>
      </w:r>
      <w:r>
        <w:rPr>
          <w:rFonts w:ascii="Times New Roman" w:hAnsi="Times New Roman"/>
          <w:color w:val="auto"/>
          <w:highlight w:val="none"/>
          <w:vertAlign w:val="subscript"/>
        </w:rPr>
        <w:t>si</w:t>
      </w:r>
      <w:r>
        <w:rPr>
          <w:rFonts w:ascii="Times New Roman" w:hAnsi="Times New Roman"/>
          <w:color w:val="auto"/>
          <w:highlight w:val="none"/>
        </w:rPr>
        <w:t>：第i种污染物的地表水水质标准值，mg/L；</w:t>
      </w:r>
    </w:p>
    <w:p w14:paraId="236DE21E">
      <w:pPr>
        <w:spacing w:line="360" w:lineRule="auto"/>
        <w:ind w:left="-105" w:right="-105"/>
        <w:rPr>
          <w:rFonts w:ascii="Times New Roman" w:hAnsi="Times New Roman"/>
          <w:color w:val="auto"/>
          <w:highlight w:val="none"/>
        </w:rPr>
      </w:pPr>
      <w:r>
        <w:rPr>
          <w:rFonts w:ascii="Times New Roman" w:hAnsi="Times New Roman"/>
          <w:color w:val="auto"/>
          <w:highlight w:val="none"/>
        </w:rPr>
        <w:t>其中溶解氧(DO)的标准指数计算公式：</w:t>
      </w:r>
    </w:p>
    <w:p w14:paraId="29CE6273">
      <w:pPr>
        <w:spacing w:line="360" w:lineRule="auto"/>
        <w:ind w:left="-105" w:right="-105" w:firstLine="480"/>
        <w:jc w:val="center"/>
        <w:rPr>
          <w:rFonts w:ascii="Times New Roman" w:hAnsi="Times New Roman"/>
          <w:color w:val="auto"/>
          <w:highlight w:val="none"/>
          <w:vertAlign w:val="subscript"/>
        </w:rPr>
      </w:pPr>
      <w:r>
        <w:rPr>
          <w:rFonts w:ascii="Times New Roman" w:hAnsi="Times New Roman"/>
          <w:color w:val="auto"/>
          <w:position w:val="-14"/>
          <w:highlight w:val="none"/>
        </w:rPr>
        <w:object>
          <v:shape id="_x0000_i1035" o:spt="75" type="#_x0000_t75" style="height:24.15pt;width:114.05pt;" o:ole="t" filled="f" coordsize="21600,21600">
            <v:path/>
            <v:fill on="f" focussize="0,0"/>
            <v:stroke/>
            <v:imagedata r:id="rId38" o:title=""/>
            <o:lock v:ext="edit" aspectratio="t"/>
            <w10:wrap type="none"/>
            <w10:anchorlock/>
          </v:shape>
          <o:OLEObject Type="Embed" ProgID="Equation.3" ShapeID="_x0000_i1035" DrawAspect="Content" ObjectID="_1468075726" r:id="rId37">
            <o:LockedField>false</o:LockedField>
          </o:OLEObject>
        </w:object>
      </w:r>
      <w:r>
        <w:rPr>
          <w:rFonts w:ascii="Times New Roman" w:hAnsi="Times New Roman"/>
          <w:color w:val="auto"/>
          <w:highlight w:val="none"/>
        </w:rPr>
        <w:t>DO</w:t>
      </w:r>
      <w:r>
        <w:rPr>
          <w:rFonts w:ascii="Times New Roman" w:hAnsi="Times New Roman"/>
          <w:color w:val="auto"/>
          <w:highlight w:val="none"/>
          <w:vertAlign w:val="subscript"/>
        </w:rPr>
        <w:t>j</w:t>
      </w:r>
      <w:r>
        <w:rPr>
          <w:rFonts w:ascii="Times New Roman" w:hAnsi="Times New Roman"/>
          <w:color w:val="auto"/>
          <w:highlight w:val="none"/>
        </w:rPr>
        <w:t>≤DO</w:t>
      </w:r>
      <w:r>
        <w:rPr>
          <w:rFonts w:ascii="Times New Roman" w:hAnsi="Times New Roman"/>
          <w:color w:val="auto"/>
          <w:highlight w:val="none"/>
          <w:vertAlign w:val="subscript"/>
        </w:rPr>
        <w:t>f</w:t>
      </w:r>
    </w:p>
    <w:p w14:paraId="60946CA4">
      <w:pPr>
        <w:spacing w:line="360" w:lineRule="auto"/>
        <w:ind w:left="-105" w:right="-105" w:firstLine="480"/>
        <w:jc w:val="center"/>
        <w:rPr>
          <w:rFonts w:ascii="Times New Roman" w:hAnsi="Times New Roman"/>
          <w:color w:val="auto"/>
          <w:highlight w:val="none"/>
          <w:vertAlign w:val="subscript"/>
        </w:rPr>
      </w:pPr>
      <w:r>
        <w:rPr>
          <w:rFonts w:ascii="Times New Roman" w:hAnsi="Times New Roman"/>
          <w:color w:val="auto"/>
          <w:position w:val="-30"/>
          <w:highlight w:val="none"/>
          <w:vertAlign w:val="subscript"/>
        </w:rPr>
        <w:object>
          <v:shape id="_x0000_i1036" o:spt="75" type="#_x0000_t75" style="height:56.8pt;width:121.05pt;" o:ole="t" filled="f" coordsize="21600,21600">
            <v:path/>
            <v:fill on="f" focussize="0,0"/>
            <v:stroke/>
            <v:imagedata r:id="rId40" o:title=""/>
            <o:lock v:ext="edit" aspectratio="t"/>
            <w10:wrap type="none"/>
            <w10:anchorlock/>
          </v:shape>
          <o:OLEObject Type="Embed" ProgID="Equation.3" ShapeID="_x0000_i1036" DrawAspect="Content" ObjectID="_1468075727" r:id="rId39">
            <o:LockedField>false</o:LockedField>
          </o:OLEObject>
        </w:object>
      </w:r>
      <w:r>
        <w:rPr>
          <w:rFonts w:ascii="Times New Roman" w:hAnsi="Times New Roman"/>
          <w:color w:val="auto"/>
          <w:highlight w:val="none"/>
        </w:rPr>
        <w:t>DO</w:t>
      </w:r>
      <w:r>
        <w:rPr>
          <w:rFonts w:ascii="Times New Roman" w:hAnsi="Times New Roman"/>
          <w:color w:val="auto"/>
          <w:highlight w:val="none"/>
          <w:vertAlign w:val="subscript"/>
        </w:rPr>
        <w:t>j</w:t>
      </w:r>
      <w:r>
        <w:rPr>
          <w:rFonts w:ascii="Times New Roman" w:hAnsi="Times New Roman"/>
          <w:color w:val="auto"/>
          <w:highlight w:val="none"/>
        </w:rPr>
        <w:t>&gt;DO</w:t>
      </w:r>
      <w:r>
        <w:rPr>
          <w:rFonts w:ascii="Times New Roman" w:hAnsi="Times New Roman"/>
          <w:color w:val="auto"/>
          <w:highlight w:val="none"/>
          <w:vertAlign w:val="subscript"/>
        </w:rPr>
        <w:t>f</w:t>
      </w:r>
    </w:p>
    <w:p w14:paraId="135056BF">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式中：S</w:t>
      </w:r>
      <w:r>
        <w:rPr>
          <w:rFonts w:ascii="Times New Roman" w:hAnsi="Times New Roman"/>
          <w:color w:val="auto"/>
          <w:highlight w:val="none"/>
          <w:vertAlign w:val="subscript"/>
        </w:rPr>
        <w:t>DO,j</w:t>
      </w:r>
      <w:r>
        <w:rPr>
          <w:rFonts w:ascii="Times New Roman" w:hAnsi="Times New Roman"/>
          <w:color w:val="auto"/>
          <w:highlight w:val="none"/>
        </w:rPr>
        <w:t>:溶解氧的标准指数，大于1表明该水质因子超标；</w:t>
      </w:r>
    </w:p>
    <w:p w14:paraId="00D8104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DO</w:t>
      </w:r>
      <w:r>
        <w:rPr>
          <w:rFonts w:ascii="Times New Roman" w:hAnsi="Times New Roman"/>
          <w:color w:val="auto"/>
          <w:highlight w:val="none"/>
          <w:vertAlign w:val="subscript"/>
        </w:rPr>
        <w:t>S</w:t>
      </w:r>
      <w:r>
        <w:rPr>
          <w:rFonts w:ascii="Times New Roman" w:hAnsi="Times New Roman"/>
          <w:color w:val="auto"/>
          <w:highlight w:val="none"/>
        </w:rPr>
        <w:t>：溶解氧的水质评价标准限值，mg/L；</w:t>
      </w:r>
    </w:p>
    <w:p w14:paraId="0A066BBD">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DO</w:t>
      </w:r>
      <w:r>
        <w:rPr>
          <w:rFonts w:ascii="Times New Roman" w:hAnsi="Times New Roman"/>
          <w:color w:val="auto"/>
          <w:highlight w:val="none"/>
          <w:vertAlign w:val="subscript"/>
        </w:rPr>
        <w:t>j</w:t>
      </w:r>
      <w:r>
        <w:rPr>
          <w:rFonts w:ascii="Times New Roman" w:hAnsi="Times New Roman"/>
          <w:color w:val="auto"/>
          <w:highlight w:val="none"/>
        </w:rPr>
        <w:t>：溶解氧在j点的实测统计代表值，mg/L；</w:t>
      </w:r>
    </w:p>
    <w:p w14:paraId="11505387">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DO</w:t>
      </w:r>
      <w:r>
        <w:rPr>
          <w:rFonts w:ascii="Times New Roman" w:hAnsi="Times New Roman"/>
          <w:color w:val="auto"/>
          <w:highlight w:val="none"/>
          <w:vertAlign w:val="subscript"/>
        </w:rPr>
        <w:t>f</w:t>
      </w:r>
      <w:r>
        <w:rPr>
          <w:rFonts w:ascii="Times New Roman" w:hAnsi="Times New Roman"/>
          <w:color w:val="auto"/>
          <w:highlight w:val="none"/>
        </w:rPr>
        <w:t>：饱和溶解氧浓度，mg/L，对于河流，DO</w:t>
      </w:r>
      <w:r>
        <w:rPr>
          <w:rFonts w:ascii="Times New Roman" w:hAnsi="Times New Roman"/>
          <w:color w:val="auto"/>
          <w:highlight w:val="none"/>
          <w:vertAlign w:val="subscript"/>
        </w:rPr>
        <w:t>f</w:t>
      </w:r>
      <w:r>
        <w:rPr>
          <w:rFonts w:ascii="Times New Roman" w:hAnsi="Times New Roman"/>
          <w:color w:val="auto"/>
          <w:highlight w:val="none"/>
        </w:rPr>
        <w:t>=468/（31.6+T）；对于盐度比较高的湖泊、水库及入海河口、近岸海域：DO</w:t>
      </w:r>
      <w:r>
        <w:rPr>
          <w:rFonts w:ascii="Times New Roman" w:hAnsi="Times New Roman"/>
          <w:color w:val="auto"/>
          <w:highlight w:val="none"/>
          <w:vertAlign w:val="subscript"/>
        </w:rPr>
        <w:t>f</w:t>
      </w:r>
      <w:r>
        <w:rPr>
          <w:rFonts w:ascii="Times New Roman" w:hAnsi="Times New Roman"/>
          <w:color w:val="auto"/>
          <w:highlight w:val="none"/>
        </w:rPr>
        <w:t>=（491-2.65S）/（33.5+T）；</w:t>
      </w:r>
    </w:p>
    <w:p w14:paraId="0AD617EC">
      <w:pPr>
        <w:spacing w:line="360" w:lineRule="auto"/>
        <w:ind w:left="-105" w:right="-105" w:firstLine="1176" w:firstLineChars="490"/>
        <w:rPr>
          <w:rFonts w:ascii="Times New Roman" w:hAnsi="Times New Roman"/>
          <w:color w:val="auto"/>
          <w:highlight w:val="none"/>
        </w:rPr>
      </w:pPr>
      <w:r>
        <w:rPr>
          <w:rFonts w:ascii="Times New Roman" w:hAnsi="Times New Roman"/>
          <w:color w:val="auto"/>
          <w:highlight w:val="none"/>
        </w:rPr>
        <w:t>S——实用盐度符号，量纲为1；</w:t>
      </w:r>
    </w:p>
    <w:p w14:paraId="67D068DB">
      <w:pPr>
        <w:spacing w:line="360" w:lineRule="auto"/>
        <w:ind w:left="-105" w:right="-105" w:firstLine="1176" w:firstLineChars="490"/>
        <w:rPr>
          <w:rFonts w:ascii="Times New Roman" w:hAnsi="Times New Roman"/>
          <w:color w:val="auto"/>
          <w:highlight w:val="none"/>
        </w:rPr>
      </w:pPr>
      <w:r>
        <w:rPr>
          <w:rFonts w:ascii="Times New Roman" w:hAnsi="Times New Roman"/>
          <w:color w:val="auto"/>
          <w:highlight w:val="none"/>
        </w:rPr>
        <w:t>T——水温，℃。</w:t>
      </w:r>
    </w:p>
    <w:p w14:paraId="0C37AB38">
      <w:pPr>
        <w:spacing w:line="360" w:lineRule="auto"/>
        <w:ind w:left="-105" w:right="-105"/>
        <w:rPr>
          <w:rFonts w:ascii="Times New Roman" w:hAnsi="Times New Roman"/>
          <w:color w:val="auto"/>
          <w:highlight w:val="none"/>
        </w:rPr>
      </w:pPr>
      <w:r>
        <w:rPr>
          <w:rFonts w:ascii="Times New Roman" w:hAnsi="Times New Roman"/>
          <w:color w:val="auto"/>
          <w:highlight w:val="none"/>
        </w:rPr>
        <w:t>pH为：</w:t>
      </w:r>
    </w:p>
    <w:p w14:paraId="0F7E8939">
      <w:pPr>
        <w:spacing w:line="360" w:lineRule="auto"/>
        <w:ind w:left="-105" w:right="-105"/>
        <w:jc w:val="center"/>
        <w:rPr>
          <w:rFonts w:ascii="Times New Roman" w:hAnsi="Times New Roman"/>
          <w:color w:val="auto"/>
          <w:highlight w:val="none"/>
        </w:rPr>
      </w:pPr>
      <w:r>
        <w:rPr>
          <w:rFonts w:ascii="Times New Roman" w:hAnsi="Times New Roman"/>
          <w:color w:val="auto"/>
          <w:highlight w:val="none"/>
        </w:rPr>
        <w:t>pH</w:t>
      </w:r>
      <w:r>
        <w:rPr>
          <w:rFonts w:ascii="Times New Roman" w:hAnsi="Times New Roman"/>
          <w:color w:val="auto"/>
          <w:highlight w:val="none"/>
          <w:vertAlign w:val="subscript"/>
        </w:rPr>
        <w:t>j</w:t>
      </w:r>
      <w:r>
        <w:rPr>
          <w:rFonts w:ascii="Times New Roman" w:hAnsi="Times New Roman"/>
          <w:color w:val="auto"/>
          <w:highlight w:val="none"/>
        </w:rPr>
        <w:t>≤7.0</w:t>
      </w:r>
      <w:r>
        <w:rPr>
          <w:rFonts w:ascii="Times New Roman" w:hAnsi="Times New Roman"/>
          <w:color w:val="auto"/>
          <w:position w:val="-30"/>
          <w:highlight w:val="none"/>
        </w:rPr>
        <w:object>
          <v:shape id="_x0000_i1037" o:spt="75" type="#_x0000_t75" style="height:44pt;width:114.8pt;" o:ole="t" filled="f" coordsize="21600,21600">
            <v:path/>
            <v:fill on="f" focussize="0,0"/>
            <v:stroke/>
            <v:imagedata r:id="rId42" o:title=""/>
            <o:lock v:ext="edit" aspectratio="t"/>
            <w10:wrap type="none"/>
            <w10:anchorlock/>
          </v:shape>
          <o:OLEObject Type="Embed" ProgID="Equation.3" ShapeID="_x0000_i1037" DrawAspect="Content" ObjectID="_1468075728" r:id="rId41">
            <o:LockedField>false</o:LockedField>
          </o:OLEObject>
        </w:object>
      </w:r>
    </w:p>
    <w:p w14:paraId="3F04540D">
      <w:pPr>
        <w:spacing w:line="360" w:lineRule="auto"/>
        <w:ind w:left="-105" w:right="-105"/>
        <w:jc w:val="center"/>
        <w:rPr>
          <w:rFonts w:ascii="Times New Roman" w:hAnsi="Times New Roman"/>
          <w:color w:val="auto"/>
          <w:highlight w:val="none"/>
        </w:rPr>
      </w:pPr>
      <w:r>
        <w:rPr>
          <w:rFonts w:ascii="Times New Roman" w:hAnsi="Times New Roman"/>
          <w:color w:val="auto"/>
          <w:highlight w:val="none"/>
        </w:rPr>
        <w:t>pH</w:t>
      </w:r>
      <w:r>
        <w:rPr>
          <w:rFonts w:ascii="Times New Roman" w:hAnsi="Times New Roman"/>
          <w:color w:val="auto"/>
          <w:highlight w:val="none"/>
          <w:vertAlign w:val="subscript"/>
        </w:rPr>
        <w:t>j</w:t>
      </w:r>
      <w:r>
        <w:rPr>
          <w:rFonts w:ascii="Times New Roman" w:hAnsi="Times New Roman"/>
          <w:color w:val="auto"/>
          <w:highlight w:val="none"/>
        </w:rPr>
        <w:t>&gt;7.0</w:t>
      </w:r>
      <w:r>
        <w:rPr>
          <w:rFonts w:ascii="Times New Roman" w:hAnsi="Times New Roman"/>
          <w:color w:val="auto"/>
          <w:position w:val="-30"/>
          <w:highlight w:val="none"/>
        </w:rPr>
        <w:object>
          <v:shape id="_x0000_i1038" o:spt="75" type="#_x0000_t75" style="height:41.25pt;width:106.25pt;" o:ole="t" filled="f" coordsize="21600,21600">
            <v:path/>
            <v:fill on="f" focussize="0,0"/>
            <v:stroke/>
            <v:imagedata r:id="rId44" o:title=""/>
            <o:lock v:ext="edit" aspectratio="t"/>
            <w10:wrap type="none"/>
            <w10:anchorlock/>
          </v:shape>
          <o:OLEObject Type="Embed" ProgID="Equation.3" ShapeID="_x0000_i1038" DrawAspect="Content" ObjectID="_1468075729" r:id="rId43">
            <o:LockedField>false</o:LockedField>
          </o:OLEObject>
        </w:object>
      </w:r>
    </w:p>
    <w:p w14:paraId="3A9F35D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式中：S</w:t>
      </w:r>
      <w:r>
        <w:rPr>
          <w:rFonts w:ascii="Times New Roman" w:hAnsi="Times New Roman"/>
          <w:color w:val="auto"/>
          <w:highlight w:val="none"/>
          <w:vertAlign w:val="subscript"/>
        </w:rPr>
        <w:t>pH,j</w:t>
      </w:r>
      <w:r>
        <w:rPr>
          <w:rFonts w:ascii="Times New Roman" w:hAnsi="Times New Roman"/>
          <w:color w:val="auto"/>
          <w:highlight w:val="none"/>
        </w:rPr>
        <w:t>：为水质参数pH在j点的标准指数；</w:t>
      </w:r>
    </w:p>
    <w:p w14:paraId="27695D28">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pH</w:t>
      </w:r>
      <w:r>
        <w:rPr>
          <w:rFonts w:ascii="Times New Roman" w:hAnsi="Times New Roman"/>
          <w:color w:val="auto"/>
          <w:highlight w:val="none"/>
          <w:vertAlign w:val="subscript"/>
        </w:rPr>
        <w:t>j</w:t>
      </w:r>
      <w:r>
        <w:rPr>
          <w:rFonts w:ascii="Times New Roman" w:hAnsi="Times New Roman"/>
          <w:color w:val="auto"/>
          <w:highlight w:val="none"/>
        </w:rPr>
        <w:t>：为j点的pH值；</w:t>
      </w:r>
    </w:p>
    <w:p w14:paraId="61510CD4">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pH</w:t>
      </w:r>
      <w:r>
        <w:rPr>
          <w:rFonts w:ascii="Times New Roman" w:hAnsi="Times New Roman"/>
          <w:color w:val="auto"/>
          <w:highlight w:val="none"/>
          <w:vertAlign w:val="subscript"/>
        </w:rPr>
        <w:t>Sd</w:t>
      </w:r>
      <w:r>
        <w:rPr>
          <w:rFonts w:ascii="Times New Roman" w:hAnsi="Times New Roman"/>
          <w:color w:val="auto"/>
          <w:highlight w:val="none"/>
        </w:rPr>
        <w:t>：为地表水水质标准中规定的pH值下限</w:t>
      </w:r>
    </w:p>
    <w:p w14:paraId="57B69EEC">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pH</w:t>
      </w:r>
      <w:r>
        <w:rPr>
          <w:rFonts w:ascii="Times New Roman" w:hAnsi="Times New Roman"/>
          <w:color w:val="auto"/>
          <w:highlight w:val="none"/>
          <w:vertAlign w:val="subscript"/>
        </w:rPr>
        <w:t>Su</w:t>
      </w:r>
      <w:r>
        <w:rPr>
          <w:rFonts w:ascii="Times New Roman" w:hAnsi="Times New Roman"/>
          <w:color w:val="auto"/>
          <w:highlight w:val="none"/>
        </w:rPr>
        <w:t>：为地表水水质标准中规定的pH值上限</w:t>
      </w:r>
      <w:r>
        <w:rPr>
          <w:rFonts w:hint="eastAsia" w:ascii="Times New Roman" w:hAnsi="Times New Roman"/>
          <w:color w:val="auto"/>
          <w:highlight w:val="none"/>
        </w:rPr>
        <w:t>。</w:t>
      </w:r>
    </w:p>
    <w:p w14:paraId="4F64EEB2">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）监测结果：</w:t>
      </w:r>
    </w:p>
    <w:p w14:paraId="190A624E">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监测结果见下表。</w:t>
      </w:r>
    </w:p>
    <w:p w14:paraId="6DE6F809">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监测期间水环境质量监测结果列于下表。</w:t>
      </w:r>
    </w:p>
    <w:p w14:paraId="7EE369C8">
      <w:pPr>
        <w:pStyle w:val="15"/>
        <w:spacing w:line="360" w:lineRule="auto"/>
        <w:ind w:left="-105" w:right="-105" w:firstLine="482"/>
        <w:rPr>
          <w:rFonts w:eastAsia="宋体" w:cs="Times New Roman"/>
          <w:color w:val="auto"/>
          <w:sz w:val="24"/>
          <w:szCs w:val="18"/>
          <w:highlight w:val="none"/>
        </w:rPr>
      </w:pPr>
    </w:p>
    <w:p w14:paraId="30F7950D">
      <w:pPr>
        <w:pStyle w:val="15"/>
        <w:spacing w:line="360" w:lineRule="auto"/>
        <w:ind w:left="-105" w:right="-105" w:firstLine="482"/>
        <w:rPr>
          <w:rFonts w:eastAsia="宋体" w:cs="Times New Roman"/>
          <w:b w:val="0"/>
          <w:bCs/>
          <w:color w:val="auto"/>
          <w:kern w:val="0"/>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w:t>
      </w:r>
      <w:r>
        <w:rPr>
          <w:rFonts w:eastAsia="宋体" w:cs="Times New Roman"/>
          <w:color w:val="auto"/>
          <w:sz w:val="24"/>
          <w:szCs w:val="18"/>
          <w:highlight w:val="none"/>
        </w:rPr>
        <w:fldChar w:fldCharType="end"/>
      </w:r>
      <w:r>
        <w:rPr>
          <w:rFonts w:eastAsia="宋体" w:cs="Times New Roman"/>
          <w:color w:val="auto"/>
          <w:sz w:val="24"/>
          <w:szCs w:val="18"/>
          <w:highlight w:val="none"/>
        </w:rPr>
        <w:t>地表水环境质量监测结果表</w:t>
      </w:r>
      <w:r>
        <w:rPr>
          <w:rFonts w:hint="eastAsia" w:eastAsia="宋体" w:cs="Times New Roman"/>
          <w:color w:val="auto"/>
          <w:sz w:val="24"/>
          <w:szCs w:val="18"/>
          <w:highlight w:val="none"/>
        </w:rPr>
        <w:t>（单位：mg/L。pH无量纲）</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415"/>
        <w:gridCol w:w="879"/>
        <w:gridCol w:w="895"/>
        <w:gridCol w:w="930"/>
        <w:gridCol w:w="797"/>
        <w:gridCol w:w="816"/>
        <w:gridCol w:w="816"/>
        <w:gridCol w:w="818"/>
      </w:tblGrid>
      <w:tr w14:paraId="3B401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56" w:type="dxa"/>
            <w:tcBorders>
              <w:tl2br w:val="nil"/>
              <w:tr2bl w:val="nil"/>
            </w:tcBorders>
            <w:vAlign w:val="center"/>
          </w:tcPr>
          <w:p w14:paraId="58B1259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断面名称</w:t>
            </w:r>
          </w:p>
        </w:tc>
        <w:tc>
          <w:tcPr>
            <w:tcW w:w="1419" w:type="dxa"/>
            <w:tcBorders>
              <w:tl2br w:val="nil"/>
              <w:tr2bl w:val="nil"/>
            </w:tcBorders>
            <w:vAlign w:val="center"/>
          </w:tcPr>
          <w:p w14:paraId="1F66CA5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项目</w:t>
            </w:r>
          </w:p>
        </w:tc>
        <w:tc>
          <w:tcPr>
            <w:tcW w:w="878" w:type="dxa"/>
            <w:tcBorders>
              <w:tl2br w:val="nil"/>
              <w:tr2bl w:val="nil"/>
            </w:tcBorders>
            <w:vAlign w:val="center"/>
          </w:tcPr>
          <w:p w14:paraId="34B84A7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pH值</w:t>
            </w:r>
          </w:p>
        </w:tc>
        <w:tc>
          <w:tcPr>
            <w:tcW w:w="895" w:type="dxa"/>
            <w:tcBorders>
              <w:tl2br w:val="nil"/>
              <w:tr2bl w:val="nil"/>
            </w:tcBorders>
            <w:vAlign w:val="center"/>
          </w:tcPr>
          <w:p w14:paraId="3EF7A7A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溶解氧</w:t>
            </w:r>
          </w:p>
        </w:tc>
        <w:tc>
          <w:tcPr>
            <w:tcW w:w="930" w:type="dxa"/>
            <w:tcBorders>
              <w:tl2br w:val="nil"/>
              <w:tr2bl w:val="nil"/>
            </w:tcBorders>
            <w:vAlign w:val="center"/>
          </w:tcPr>
          <w:p w14:paraId="67FEBFE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化学需氧量</w:t>
            </w:r>
          </w:p>
        </w:tc>
        <w:tc>
          <w:tcPr>
            <w:tcW w:w="795" w:type="dxa"/>
            <w:tcBorders>
              <w:tl2br w:val="nil"/>
              <w:tr2bl w:val="nil"/>
            </w:tcBorders>
            <w:vAlign w:val="center"/>
          </w:tcPr>
          <w:p w14:paraId="25B1FDC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悬浮物</w:t>
            </w:r>
            <w:r>
              <w:rPr>
                <w:rFonts w:hint="eastAsia" w:ascii="Times New Roman" w:hAnsi="Times New Roman" w:cs="Times New Roman"/>
                <w:b/>
                <w:bCs/>
                <w:color w:val="auto"/>
                <w:sz w:val="21"/>
                <w:szCs w:val="21"/>
                <w:highlight w:val="none"/>
              </w:rPr>
              <w:t>*</w:t>
            </w:r>
          </w:p>
        </w:tc>
        <w:tc>
          <w:tcPr>
            <w:tcW w:w="815" w:type="dxa"/>
            <w:tcBorders>
              <w:tl2br w:val="nil"/>
              <w:tr2bl w:val="nil"/>
            </w:tcBorders>
            <w:vAlign w:val="center"/>
          </w:tcPr>
          <w:p w14:paraId="71D77DC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氨氮</w:t>
            </w:r>
          </w:p>
        </w:tc>
        <w:tc>
          <w:tcPr>
            <w:tcW w:w="815" w:type="dxa"/>
            <w:tcBorders>
              <w:tl2br w:val="nil"/>
              <w:tr2bl w:val="nil"/>
            </w:tcBorders>
            <w:vAlign w:val="center"/>
          </w:tcPr>
          <w:p w14:paraId="5C2C9AA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总磷</w:t>
            </w:r>
          </w:p>
        </w:tc>
        <w:tc>
          <w:tcPr>
            <w:tcW w:w="817" w:type="dxa"/>
            <w:tcBorders>
              <w:tl2br w:val="nil"/>
              <w:tr2bl w:val="nil"/>
            </w:tcBorders>
            <w:vAlign w:val="center"/>
          </w:tcPr>
          <w:p w14:paraId="67A7CA4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总氮</w:t>
            </w:r>
          </w:p>
        </w:tc>
      </w:tr>
      <w:tr w14:paraId="6D2D4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restart"/>
            <w:tcBorders>
              <w:tl2br w:val="nil"/>
              <w:tr2bl w:val="nil"/>
            </w:tcBorders>
            <w:vAlign w:val="center"/>
          </w:tcPr>
          <w:p w14:paraId="735464D6">
            <w:pPr>
              <w:pStyle w:val="105"/>
              <w:keepNext w:val="0"/>
              <w:keepLines w:val="0"/>
              <w:pageBreakBefore w:val="0"/>
              <w:kinsoku/>
              <w:wordWrap/>
              <w:overflowPunct/>
              <w:topLinePunct w:val="0"/>
              <w:bidi w:val="0"/>
              <w:adjustRightInd/>
              <w:snapToGrid/>
              <w:ind w:left="0" w:right="0"/>
              <w:jc w:val="center"/>
              <w:textAlignment w:val="auto"/>
              <w:rPr>
                <w:rFonts w:ascii="Times New Roman" w:cs="Times New Roman"/>
                <w:color w:val="auto"/>
                <w:sz w:val="21"/>
                <w:szCs w:val="21"/>
                <w:highlight w:val="none"/>
              </w:rPr>
            </w:pPr>
            <w:r>
              <w:rPr>
                <w:rFonts w:ascii="Times New Roman" w:cs="Times New Roman"/>
                <w:color w:val="auto"/>
                <w:kern w:val="2"/>
                <w:sz w:val="21"/>
                <w:szCs w:val="21"/>
                <w:highlight w:val="none"/>
              </w:rPr>
              <w:t>W1无锡市锡山云林污水处理有限公司排污口上游500m处</w:t>
            </w:r>
          </w:p>
        </w:tc>
        <w:tc>
          <w:tcPr>
            <w:tcW w:w="1419" w:type="dxa"/>
            <w:tcBorders>
              <w:tl2br w:val="nil"/>
              <w:tr2bl w:val="nil"/>
            </w:tcBorders>
            <w:vAlign w:val="center"/>
          </w:tcPr>
          <w:p w14:paraId="51D1BAB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监测范围</w:t>
            </w:r>
          </w:p>
        </w:tc>
        <w:tc>
          <w:tcPr>
            <w:tcW w:w="878" w:type="dxa"/>
            <w:tcBorders>
              <w:tl2br w:val="nil"/>
              <w:tr2bl w:val="nil"/>
            </w:tcBorders>
            <w:vAlign w:val="center"/>
          </w:tcPr>
          <w:p w14:paraId="0F46054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7.4-7.6</w:t>
            </w:r>
          </w:p>
        </w:tc>
        <w:tc>
          <w:tcPr>
            <w:tcW w:w="895" w:type="dxa"/>
            <w:tcBorders>
              <w:tl2br w:val="nil"/>
              <w:tr2bl w:val="nil"/>
            </w:tcBorders>
            <w:vAlign w:val="center"/>
          </w:tcPr>
          <w:p w14:paraId="78A61B7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6.3-6.5</w:t>
            </w:r>
          </w:p>
        </w:tc>
        <w:tc>
          <w:tcPr>
            <w:tcW w:w="930" w:type="dxa"/>
            <w:tcBorders>
              <w:tl2br w:val="nil"/>
              <w:tr2bl w:val="nil"/>
            </w:tcBorders>
            <w:vAlign w:val="center"/>
          </w:tcPr>
          <w:p w14:paraId="1B12123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16-19</w:t>
            </w:r>
          </w:p>
        </w:tc>
        <w:tc>
          <w:tcPr>
            <w:tcW w:w="795" w:type="dxa"/>
            <w:tcBorders>
              <w:tl2br w:val="nil"/>
              <w:tr2bl w:val="nil"/>
            </w:tcBorders>
            <w:vAlign w:val="center"/>
          </w:tcPr>
          <w:p w14:paraId="0EB4960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17-21</w:t>
            </w:r>
          </w:p>
        </w:tc>
        <w:tc>
          <w:tcPr>
            <w:tcW w:w="815" w:type="dxa"/>
            <w:tcBorders>
              <w:tl2br w:val="nil"/>
              <w:tr2bl w:val="nil"/>
            </w:tcBorders>
            <w:vAlign w:val="center"/>
          </w:tcPr>
          <w:p w14:paraId="69F7A0A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0.291-0.69</w:t>
            </w:r>
          </w:p>
        </w:tc>
        <w:tc>
          <w:tcPr>
            <w:tcW w:w="815" w:type="dxa"/>
            <w:tcBorders>
              <w:tl2br w:val="nil"/>
              <w:tr2bl w:val="nil"/>
            </w:tcBorders>
            <w:vAlign w:val="center"/>
          </w:tcPr>
          <w:p w14:paraId="2CF5B32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0.1-0.13</w:t>
            </w:r>
          </w:p>
        </w:tc>
        <w:tc>
          <w:tcPr>
            <w:tcW w:w="817" w:type="dxa"/>
            <w:tcBorders>
              <w:tl2br w:val="nil"/>
              <w:tr2bl w:val="nil"/>
            </w:tcBorders>
            <w:vAlign w:val="center"/>
          </w:tcPr>
          <w:p w14:paraId="043E342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2.11-3.04</w:t>
            </w:r>
          </w:p>
        </w:tc>
      </w:tr>
      <w:tr w14:paraId="32DF7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6394702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1653179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平均值</w:t>
            </w:r>
          </w:p>
        </w:tc>
        <w:tc>
          <w:tcPr>
            <w:tcW w:w="878" w:type="dxa"/>
            <w:tcBorders>
              <w:tl2br w:val="nil"/>
              <w:tr2bl w:val="nil"/>
            </w:tcBorders>
            <w:vAlign w:val="center"/>
          </w:tcPr>
          <w:p w14:paraId="606AE56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7.48</w:t>
            </w:r>
          </w:p>
        </w:tc>
        <w:tc>
          <w:tcPr>
            <w:tcW w:w="895" w:type="dxa"/>
            <w:tcBorders>
              <w:tl2br w:val="nil"/>
              <w:tr2bl w:val="nil"/>
            </w:tcBorders>
            <w:vAlign w:val="center"/>
          </w:tcPr>
          <w:p w14:paraId="01B5EB0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6.41</w:t>
            </w:r>
          </w:p>
        </w:tc>
        <w:tc>
          <w:tcPr>
            <w:tcW w:w="930" w:type="dxa"/>
            <w:tcBorders>
              <w:tl2br w:val="nil"/>
              <w:tr2bl w:val="nil"/>
            </w:tcBorders>
            <w:vAlign w:val="center"/>
          </w:tcPr>
          <w:p w14:paraId="4F5D328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17</w:t>
            </w:r>
          </w:p>
        </w:tc>
        <w:tc>
          <w:tcPr>
            <w:tcW w:w="795" w:type="dxa"/>
            <w:tcBorders>
              <w:tl2br w:val="nil"/>
              <w:tr2bl w:val="nil"/>
            </w:tcBorders>
            <w:vAlign w:val="center"/>
          </w:tcPr>
          <w:p w14:paraId="1CDF4CA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19</w:t>
            </w:r>
          </w:p>
        </w:tc>
        <w:tc>
          <w:tcPr>
            <w:tcW w:w="815" w:type="dxa"/>
            <w:tcBorders>
              <w:tl2br w:val="nil"/>
              <w:tr2bl w:val="nil"/>
            </w:tcBorders>
            <w:vAlign w:val="center"/>
          </w:tcPr>
          <w:p w14:paraId="1D474A6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0.46</w:t>
            </w:r>
          </w:p>
        </w:tc>
        <w:tc>
          <w:tcPr>
            <w:tcW w:w="815" w:type="dxa"/>
            <w:tcBorders>
              <w:tl2br w:val="nil"/>
              <w:tr2bl w:val="nil"/>
            </w:tcBorders>
            <w:vAlign w:val="center"/>
          </w:tcPr>
          <w:p w14:paraId="26E2308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0.11</w:t>
            </w:r>
          </w:p>
        </w:tc>
        <w:tc>
          <w:tcPr>
            <w:tcW w:w="817" w:type="dxa"/>
            <w:tcBorders>
              <w:tl2br w:val="nil"/>
              <w:tr2bl w:val="nil"/>
            </w:tcBorders>
            <w:vAlign w:val="center"/>
          </w:tcPr>
          <w:p w14:paraId="503F997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2.44</w:t>
            </w:r>
          </w:p>
        </w:tc>
      </w:tr>
      <w:tr w14:paraId="0179C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0B167E3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44DE7F9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Ⅲ类标准</w:t>
            </w:r>
          </w:p>
        </w:tc>
        <w:tc>
          <w:tcPr>
            <w:tcW w:w="878" w:type="dxa"/>
            <w:tcBorders>
              <w:tl2br w:val="nil"/>
              <w:tr2bl w:val="nil"/>
            </w:tcBorders>
            <w:vAlign w:val="center"/>
          </w:tcPr>
          <w:p w14:paraId="5900F9C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6~9</w:t>
            </w:r>
          </w:p>
        </w:tc>
        <w:tc>
          <w:tcPr>
            <w:tcW w:w="895" w:type="dxa"/>
            <w:tcBorders>
              <w:tl2br w:val="nil"/>
              <w:tr2bl w:val="nil"/>
            </w:tcBorders>
            <w:vAlign w:val="center"/>
          </w:tcPr>
          <w:p w14:paraId="2727185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c>
          <w:tcPr>
            <w:tcW w:w="930" w:type="dxa"/>
            <w:tcBorders>
              <w:tl2br w:val="nil"/>
              <w:tr2bl w:val="nil"/>
            </w:tcBorders>
            <w:vAlign w:val="center"/>
          </w:tcPr>
          <w:p w14:paraId="528DB8E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w:t>
            </w:r>
          </w:p>
        </w:tc>
        <w:tc>
          <w:tcPr>
            <w:tcW w:w="795" w:type="dxa"/>
            <w:tcBorders>
              <w:tl2br w:val="nil"/>
              <w:tr2bl w:val="nil"/>
            </w:tcBorders>
            <w:vAlign w:val="center"/>
          </w:tcPr>
          <w:p w14:paraId="5F87347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w:t>
            </w:r>
          </w:p>
        </w:tc>
        <w:tc>
          <w:tcPr>
            <w:tcW w:w="815" w:type="dxa"/>
            <w:tcBorders>
              <w:tl2br w:val="nil"/>
              <w:tr2bl w:val="nil"/>
            </w:tcBorders>
            <w:vAlign w:val="center"/>
          </w:tcPr>
          <w:p w14:paraId="17E6E52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c>
          <w:tcPr>
            <w:tcW w:w="815" w:type="dxa"/>
            <w:tcBorders>
              <w:tl2br w:val="nil"/>
              <w:tr2bl w:val="nil"/>
            </w:tcBorders>
            <w:vAlign w:val="center"/>
          </w:tcPr>
          <w:p w14:paraId="2D8E395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817" w:type="dxa"/>
            <w:tcBorders>
              <w:tl2br w:val="nil"/>
              <w:tr2bl w:val="nil"/>
            </w:tcBorders>
            <w:vAlign w:val="center"/>
          </w:tcPr>
          <w:p w14:paraId="674AB9E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r>
      <w:tr w14:paraId="2898D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299A7D2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50A2DCD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标准指数</w:t>
            </w:r>
          </w:p>
        </w:tc>
        <w:tc>
          <w:tcPr>
            <w:tcW w:w="878" w:type="dxa"/>
            <w:tcBorders>
              <w:tl2br w:val="nil"/>
              <w:tr2bl w:val="nil"/>
            </w:tcBorders>
            <w:vAlign w:val="center"/>
          </w:tcPr>
          <w:p w14:paraId="189C970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0.24</w:t>
            </w:r>
          </w:p>
        </w:tc>
        <w:tc>
          <w:tcPr>
            <w:tcW w:w="895" w:type="dxa"/>
            <w:tcBorders>
              <w:tl2br w:val="nil"/>
              <w:tr2bl w:val="nil"/>
            </w:tcBorders>
            <w:vAlign w:val="center"/>
          </w:tcPr>
          <w:p w14:paraId="2510A2B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0.26</w:t>
            </w:r>
          </w:p>
        </w:tc>
        <w:tc>
          <w:tcPr>
            <w:tcW w:w="930" w:type="dxa"/>
            <w:tcBorders>
              <w:tl2br w:val="nil"/>
              <w:tr2bl w:val="nil"/>
            </w:tcBorders>
            <w:vAlign w:val="center"/>
          </w:tcPr>
          <w:p w14:paraId="701E73E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0.85</w:t>
            </w:r>
          </w:p>
        </w:tc>
        <w:tc>
          <w:tcPr>
            <w:tcW w:w="795" w:type="dxa"/>
            <w:tcBorders>
              <w:tl2br w:val="nil"/>
              <w:tr2bl w:val="nil"/>
            </w:tcBorders>
            <w:vAlign w:val="center"/>
          </w:tcPr>
          <w:p w14:paraId="6E74F3B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0.63</w:t>
            </w:r>
          </w:p>
        </w:tc>
        <w:tc>
          <w:tcPr>
            <w:tcW w:w="815" w:type="dxa"/>
            <w:tcBorders>
              <w:tl2br w:val="nil"/>
              <w:tr2bl w:val="nil"/>
            </w:tcBorders>
            <w:vAlign w:val="center"/>
          </w:tcPr>
          <w:p w14:paraId="547574D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0.46</w:t>
            </w:r>
          </w:p>
        </w:tc>
        <w:tc>
          <w:tcPr>
            <w:tcW w:w="815" w:type="dxa"/>
            <w:tcBorders>
              <w:tl2br w:val="nil"/>
              <w:tr2bl w:val="nil"/>
            </w:tcBorders>
            <w:vAlign w:val="center"/>
          </w:tcPr>
          <w:p w14:paraId="7E1D57D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0.59</w:t>
            </w:r>
          </w:p>
        </w:tc>
        <w:tc>
          <w:tcPr>
            <w:tcW w:w="817" w:type="dxa"/>
            <w:tcBorders>
              <w:tl2br w:val="nil"/>
              <w:tr2bl w:val="nil"/>
            </w:tcBorders>
            <w:vAlign w:val="center"/>
          </w:tcPr>
          <w:p w14:paraId="3F53F2B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2.44</w:t>
            </w:r>
          </w:p>
        </w:tc>
      </w:tr>
      <w:tr w14:paraId="0A8E8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15A948A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712EFB7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超标率（%）</w:t>
            </w:r>
          </w:p>
        </w:tc>
        <w:tc>
          <w:tcPr>
            <w:tcW w:w="878" w:type="dxa"/>
            <w:tcBorders>
              <w:tl2br w:val="nil"/>
              <w:tr2bl w:val="nil"/>
            </w:tcBorders>
            <w:vAlign w:val="center"/>
          </w:tcPr>
          <w:p w14:paraId="7777764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895" w:type="dxa"/>
            <w:tcBorders>
              <w:tl2br w:val="nil"/>
              <w:tr2bl w:val="nil"/>
            </w:tcBorders>
            <w:vAlign w:val="center"/>
          </w:tcPr>
          <w:p w14:paraId="3DFEF1F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930" w:type="dxa"/>
            <w:tcBorders>
              <w:tl2br w:val="nil"/>
              <w:tr2bl w:val="nil"/>
            </w:tcBorders>
            <w:vAlign w:val="center"/>
          </w:tcPr>
          <w:p w14:paraId="61EB5B4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795" w:type="dxa"/>
            <w:tcBorders>
              <w:tl2br w:val="nil"/>
              <w:tr2bl w:val="nil"/>
            </w:tcBorders>
            <w:vAlign w:val="center"/>
          </w:tcPr>
          <w:p w14:paraId="7E3E9D8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815" w:type="dxa"/>
            <w:tcBorders>
              <w:tl2br w:val="nil"/>
              <w:tr2bl w:val="nil"/>
            </w:tcBorders>
            <w:vAlign w:val="center"/>
          </w:tcPr>
          <w:p w14:paraId="1B96BE7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815" w:type="dxa"/>
            <w:tcBorders>
              <w:tl2br w:val="nil"/>
              <w:tr2bl w:val="nil"/>
            </w:tcBorders>
            <w:vAlign w:val="center"/>
          </w:tcPr>
          <w:p w14:paraId="2F3A1A6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817" w:type="dxa"/>
            <w:tcBorders>
              <w:tl2br w:val="nil"/>
              <w:tr2bl w:val="nil"/>
            </w:tcBorders>
            <w:vAlign w:val="center"/>
          </w:tcPr>
          <w:p w14:paraId="64BA1FC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100</w:t>
            </w:r>
          </w:p>
        </w:tc>
      </w:tr>
      <w:tr w14:paraId="79743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restart"/>
            <w:tcBorders>
              <w:tl2br w:val="nil"/>
              <w:tr2bl w:val="nil"/>
            </w:tcBorders>
            <w:vAlign w:val="center"/>
          </w:tcPr>
          <w:p w14:paraId="770523A8">
            <w:pPr>
              <w:pStyle w:val="105"/>
              <w:keepNext w:val="0"/>
              <w:keepLines w:val="0"/>
              <w:pageBreakBefore w:val="0"/>
              <w:kinsoku/>
              <w:wordWrap/>
              <w:overflowPunct/>
              <w:topLinePunct w:val="0"/>
              <w:bidi w:val="0"/>
              <w:adjustRightInd/>
              <w:snapToGrid/>
              <w:ind w:left="0" w:right="0"/>
              <w:jc w:val="center"/>
              <w:textAlignment w:val="auto"/>
              <w:rPr>
                <w:rFonts w:ascii="Times New Roman" w:cs="Times New Roman"/>
                <w:color w:val="auto"/>
                <w:sz w:val="21"/>
                <w:szCs w:val="21"/>
                <w:highlight w:val="none"/>
              </w:rPr>
            </w:pPr>
            <w:r>
              <w:rPr>
                <w:rFonts w:ascii="Times New Roman" w:cs="Times New Roman"/>
                <w:color w:val="auto"/>
                <w:kern w:val="2"/>
                <w:sz w:val="21"/>
                <w:szCs w:val="21"/>
                <w:highlight w:val="none"/>
              </w:rPr>
              <w:t>W2无锡市锡山云林污水处理有限公司厂排污口</w:t>
            </w:r>
          </w:p>
        </w:tc>
        <w:tc>
          <w:tcPr>
            <w:tcW w:w="1419" w:type="dxa"/>
            <w:tcBorders>
              <w:tl2br w:val="nil"/>
              <w:tr2bl w:val="nil"/>
            </w:tcBorders>
            <w:vAlign w:val="center"/>
          </w:tcPr>
          <w:p w14:paraId="5D0522A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监测范围</w:t>
            </w:r>
          </w:p>
        </w:tc>
        <w:tc>
          <w:tcPr>
            <w:tcW w:w="878" w:type="dxa"/>
            <w:tcBorders>
              <w:tl2br w:val="nil"/>
              <w:tr2bl w:val="nil"/>
            </w:tcBorders>
            <w:vAlign w:val="center"/>
          </w:tcPr>
          <w:p w14:paraId="725465C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7.3-7.5</w:t>
            </w:r>
          </w:p>
        </w:tc>
        <w:tc>
          <w:tcPr>
            <w:tcW w:w="895" w:type="dxa"/>
            <w:tcBorders>
              <w:tl2br w:val="nil"/>
              <w:tr2bl w:val="nil"/>
            </w:tcBorders>
            <w:vAlign w:val="center"/>
          </w:tcPr>
          <w:p w14:paraId="76D93E7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6.3-6.6</w:t>
            </w:r>
          </w:p>
        </w:tc>
        <w:tc>
          <w:tcPr>
            <w:tcW w:w="930" w:type="dxa"/>
            <w:tcBorders>
              <w:tl2br w:val="nil"/>
              <w:tr2bl w:val="nil"/>
            </w:tcBorders>
            <w:vAlign w:val="center"/>
          </w:tcPr>
          <w:p w14:paraId="5A4EABB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14-17</w:t>
            </w:r>
          </w:p>
        </w:tc>
        <w:tc>
          <w:tcPr>
            <w:tcW w:w="795" w:type="dxa"/>
            <w:tcBorders>
              <w:tl2br w:val="nil"/>
              <w:tr2bl w:val="nil"/>
            </w:tcBorders>
            <w:vAlign w:val="center"/>
          </w:tcPr>
          <w:p w14:paraId="7BF897E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18-20</w:t>
            </w:r>
          </w:p>
        </w:tc>
        <w:tc>
          <w:tcPr>
            <w:tcW w:w="815" w:type="dxa"/>
            <w:tcBorders>
              <w:tl2br w:val="nil"/>
              <w:tr2bl w:val="nil"/>
            </w:tcBorders>
            <w:vAlign w:val="center"/>
          </w:tcPr>
          <w:p w14:paraId="3700A65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0.315-0.593</w:t>
            </w:r>
          </w:p>
        </w:tc>
        <w:tc>
          <w:tcPr>
            <w:tcW w:w="815" w:type="dxa"/>
            <w:tcBorders>
              <w:tl2br w:val="nil"/>
              <w:tr2bl w:val="nil"/>
            </w:tcBorders>
            <w:vAlign w:val="center"/>
          </w:tcPr>
          <w:p w14:paraId="525E7CC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0.1-0.15</w:t>
            </w:r>
          </w:p>
        </w:tc>
        <w:tc>
          <w:tcPr>
            <w:tcW w:w="817" w:type="dxa"/>
            <w:tcBorders>
              <w:tl2br w:val="nil"/>
              <w:tr2bl w:val="nil"/>
            </w:tcBorders>
            <w:vAlign w:val="center"/>
          </w:tcPr>
          <w:p w14:paraId="32BE5D1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1.52-3.15</w:t>
            </w:r>
          </w:p>
        </w:tc>
      </w:tr>
      <w:tr w14:paraId="6FEDD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01B678F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75B2A1E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平均值</w:t>
            </w:r>
          </w:p>
        </w:tc>
        <w:tc>
          <w:tcPr>
            <w:tcW w:w="878" w:type="dxa"/>
            <w:tcBorders>
              <w:tl2br w:val="nil"/>
              <w:tr2bl w:val="nil"/>
            </w:tcBorders>
            <w:vAlign w:val="center"/>
          </w:tcPr>
          <w:p w14:paraId="7D5E9B7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7.38</w:t>
            </w:r>
          </w:p>
        </w:tc>
        <w:tc>
          <w:tcPr>
            <w:tcW w:w="895" w:type="dxa"/>
            <w:tcBorders>
              <w:tl2br w:val="nil"/>
              <w:tr2bl w:val="nil"/>
            </w:tcBorders>
            <w:vAlign w:val="center"/>
          </w:tcPr>
          <w:p w14:paraId="7C51243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6.48</w:t>
            </w:r>
          </w:p>
        </w:tc>
        <w:tc>
          <w:tcPr>
            <w:tcW w:w="930" w:type="dxa"/>
            <w:tcBorders>
              <w:tl2br w:val="nil"/>
              <w:tr2bl w:val="nil"/>
            </w:tcBorders>
            <w:vAlign w:val="center"/>
          </w:tcPr>
          <w:p w14:paraId="299D7D6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15.5</w:t>
            </w:r>
          </w:p>
        </w:tc>
        <w:tc>
          <w:tcPr>
            <w:tcW w:w="795" w:type="dxa"/>
            <w:tcBorders>
              <w:tl2br w:val="nil"/>
              <w:tr2bl w:val="nil"/>
            </w:tcBorders>
            <w:vAlign w:val="center"/>
          </w:tcPr>
          <w:p w14:paraId="768784D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19</w:t>
            </w:r>
          </w:p>
        </w:tc>
        <w:tc>
          <w:tcPr>
            <w:tcW w:w="815" w:type="dxa"/>
            <w:tcBorders>
              <w:tl2br w:val="nil"/>
              <w:tr2bl w:val="nil"/>
            </w:tcBorders>
            <w:vAlign w:val="center"/>
          </w:tcPr>
          <w:p w14:paraId="6A3AD52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0.45</w:t>
            </w:r>
          </w:p>
        </w:tc>
        <w:tc>
          <w:tcPr>
            <w:tcW w:w="815" w:type="dxa"/>
            <w:tcBorders>
              <w:tl2br w:val="nil"/>
              <w:tr2bl w:val="nil"/>
            </w:tcBorders>
            <w:vAlign w:val="center"/>
          </w:tcPr>
          <w:p w14:paraId="42121F3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0.12</w:t>
            </w:r>
          </w:p>
        </w:tc>
        <w:tc>
          <w:tcPr>
            <w:tcW w:w="817" w:type="dxa"/>
            <w:tcBorders>
              <w:tl2br w:val="nil"/>
              <w:tr2bl w:val="nil"/>
            </w:tcBorders>
            <w:vAlign w:val="center"/>
          </w:tcPr>
          <w:p w14:paraId="1ECA2F9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2.19</w:t>
            </w:r>
          </w:p>
        </w:tc>
      </w:tr>
      <w:tr w14:paraId="441F6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7757E1D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755295C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Ⅲ类标准</w:t>
            </w:r>
          </w:p>
        </w:tc>
        <w:tc>
          <w:tcPr>
            <w:tcW w:w="878" w:type="dxa"/>
            <w:tcBorders>
              <w:tl2br w:val="nil"/>
              <w:tr2bl w:val="nil"/>
            </w:tcBorders>
            <w:vAlign w:val="center"/>
          </w:tcPr>
          <w:p w14:paraId="4553428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6~9</w:t>
            </w:r>
          </w:p>
        </w:tc>
        <w:tc>
          <w:tcPr>
            <w:tcW w:w="895" w:type="dxa"/>
            <w:tcBorders>
              <w:tl2br w:val="nil"/>
              <w:tr2bl w:val="nil"/>
            </w:tcBorders>
            <w:vAlign w:val="center"/>
          </w:tcPr>
          <w:p w14:paraId="1BFD782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5</w:t>
            </w:r>
          </w:p>
        </w:tc>
        <w:tc>
          <w:tcPr>
            <w:tcW w:w="930" w:type="dxa"/>
            <w:tcBorders>
              <w:tl2br w:val="nil"/>
              <w:tr2bl w:val="nil"/>
            </w:tcBorders>
            <w:vAlign w:val="center"/>
          </w:tcPr>
          <w:p w14:paraId="33AFF47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20</w:t>
            </w:r>
          </w:p>
        </w:tc>
        <w:tc>
          <w:tcPr>
            <w:tcW w:w="795" w:type="dxa"/>
            <w:tcBorders>
              <w:tl2br w:val="nil"/>
              <w:tr2bl w:val="nil"/>
            </w:tcBorders>
            <w:vAlign w:val="center"/>
          </w:tcPr>
          <w:p w14:paraId="1EE3598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30</w:t>
            </w:r>
          </w:p>
        </w:tc>
        <w:tc>
          <w:tcPr>
            <w:tcW w:w="815" w:type="dxa"/>
            <w:tcBorders>
              <w:tl2br w:val="nil"/>
              <w:tr2bl w:val="nil"/>
            </w:tcBorders>
            <w:vAlign w:val="center"/>
          </w:tcPr>
          <w:p w14:paraId="309F545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w:t>
            </w:r>
          </w:p>
        </w:tc>
        <w:tc>
          <w:tcPr>
            <w:tcW w:w="815" w:type="dxa"/>
            <w:tcBorders>
              <w:tl2br w:val="nil"/>
              <w:tr2bl w:val="nil"/>
            </w:tcBorders>
            <w:vAlign w:val="center"/>
          </w:tcPr>
          <w:p w14:paraId="4AB3577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0.2</w:t>
            </w:r>
          </w:p>
        </w:tc>
        <w:tc>
          <w:tcPr>
            <w:tcW w:w="817" w:type="dxa"/>
            <w:tcBorders>
              <w:tl2br w:val="nil"/>
              <w:tr2bl w:val="nil"/>
            </w:tcBorders>
            <w:vAlign w:val="center"/>
          </w:tcPr>
          <w:p w14:paraId="365F47B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w:t>
            </w:r>
          </w:p>
        </w:tc>
      </w:tr>
      <w:tr w14:paraId="05E06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015DEAD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5527F48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标准指数</w:t>
            </w:r>
          </w:p>
        </w:tc>
        <w:tc>
          <w:tcPr>
            <w:tcW w:w="878" w:type="dxa"/>
            <w:tcBorders>
              <w:tl2br w:val="nil"/>
              <w:tr2bl w:val="nil"/>
            </w:tcBorders>
            <w:vAlign w:val="center"/>
          </w:tcPr>
          <w:p w14:paraId="1C971BC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0.19</w:t>
            </w:r>
          </w:p>
        </w:tc>
        <w:tc>
          <w:tcPr>
            <w:tcW w:w="895" w:type="dxa"/>
            <w:tcBorders>
              <w:tl2br w:val="nil"/>
              <w:tr2bl w:val="nil"/>
            </w:tcBorders>
            <w:vAlign w:val="center"/>
          </w:tcPr>
          <w:p w14:paraId="5E2187E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0.26</w:t>
            </w:r>
          </w:p>
        </w:tc>
        <w:tc>
          <w:tcPr>
            <w:tcW w:w="930" w:type="dxa"/>
            <w:tcBorders>
              <w:tl2br w:val="nil"/>
              <w:tr2bl w:val="nil"/>
            </w:tcBorders>
            <w:vAlign w:val="center"/>
          </w:tcPr>
          <w:p w14:paraId="5DA1FB6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0.78</w:t>
            </w:r>
          </w:p>
        </w:tc>
        <w:tc>
          <w:tcPr>
            <w:tcW w:w="795" w:type="dxa"/>
            <w:tcBorders>
              <w:tl2br w:val="nil"/>
              <w:tr2bl w:val="nil"/>
            </w:tcBorders>
            <w:vAlign w:val="center"/>
          </w:tcPr>
          <w:p w14:paraId="500F690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0.63</w:t>
            </w:r>
          </w:p>
        </w:tc>
        <w:tc>
          <w:tcPr>
            <w:tcW w:w="815" w:type="dxa"/>
            <w:tcBorders>
              <w:tl2br w:val="nil"/>
              <w:tr2bl w:val="nil"/>
            </w:tcBorders>
            <w:vAlign w:val="center"/>
          </w:tcPr>
          <w:p w14:paraId="225AF60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0.45</w:t>
            </w:r>
          </w:p>
        </w:tc>
        <w:tc>
          <w:tcPr>
            <w:tcW w:w="815" w:type="dxa"/>
            <w:tcBorders>
              <w:tl2br w:val="nil"/>
              <w:tr2bl w:val="nil"/>
            </w:tcBorders>
            <w:vAlign w:val="center"/>
          </w:tcPr>
          <w:p w14:paraId="0C6DCDF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0.62</w:t>
            </w:r>
          </w:p>
        </w:tc>
        <w:tc>
          <w:tcPr>
            <w:tcW w:w="817" w:type="dxa"/>
            <w:tcBorders>
              <w:tl2br w:val="nil"/>
              <w:tr2bl w:val="nil"/>
            </w:tcBorders>
            <w:vAlign w:val="center"/>
          </w:tcPr>
          <w:p w14:paraId="260810C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2.19</w:t>
            </w:r>
          </w:p>
        </w:tc>
      </w:tr>
      <w:tr w14:paraId="70C84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1304A61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2AAA62C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超标率（%）</w:t>
            </w:r>
          </w:p>
        </w:tc>
        <w:tc>
          <w:tcPr>
            <w:tcW w:w="878" w:type="dxa"/>
            <w:tcBorders>
              <w:tl2br w:val="nil"/>
              <w:tr2bl w:val="nil"/>
            </w:tcBorders>
            <w:vAlign w:val="center"/>
          </w:tcPr>
          <w:p w14:paraId="288F259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95" w:type="dxa"/>
            <w:tcBorders>
              <w:tl2br w:val="nil"/>
              <w:tr2bl w:val="nil"/>
            </w:tcBorders>
            <w:vAlign w:val="center"/>
          </w:tcPr>
          <w:p w14:paraId="107F3FB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930" w:type="dxa"/>
            <w:tcBorders>
              <w:tl2br w:val="nil"/>
              <w:tr2bl w:val="nil"/>
            </w:tcBorders>
            <w:vAlign w:val="center"/>
          </w:tcPr>
          <w:p w14:paraId="44C23D4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795" w:type="dxa"/>
            <w:tcBorders>
              <w:tl2br w:val="nil"/>
              <w:tr2bl w:val="nil"/>
            </w:tcBorders>
            <w:vAlign w:val="center"/>
          </w:tcPr>
          <w:p w14:paraId="6A7EE1F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5" w:type="dxa"/>
            <w:tcBorders>
              <w:tl2br w:val="nil"/>
              <w:tr2bl w:val="nil"/>
            </w:tcBorders>
            <w:vAlign w:val="center"/>
          </w:tcPr>
          <w:p w14:paraId="68943C8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5" w:type="dxa"/>
            <w:tcBorders>
              <w:tl2br w:val="nil"/>
              <w:tr2bl w:val="nil"/>
            </w:tcBorders>
            <w:vAlign w:val="center"/>
          </w:tcPr>
          <w:p w14:paraId="3E02622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7" w:type="dxa"/>
            <w:tcBorders>
              <w:tl2br w:val="nil"/>
              <w:tr2bl w:val="nil"/>
            </w:tcBorders>
            <w:vAlign w:val="center"/>
          </w:tcPr>
          <w:p w14:paraId="754BE27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100</w:t>
            </w:r>
          </w:p>
        </w:tc>
      </w:tr>
      <w:tr w14:paraId="25593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restart"/>
            <w:tcBorders>
              <w:tl2br w:val="nil"/>
              <w:tr2bl w:val="nil"/>
            </w:tcBorders>
            <w:vAlign w:val="center"/>
          </w:tcPr>
          <w:p w14:paraId="2F4AA6C5">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kern w:val="2"/>
                <w:sz w:val="21"/>
                <w:szCs w:val="21"/>
                <w:highlight w:val="none"/>
              </w:rPr>
              <w:t>W3无锡市锡山云林污水处理有限公司厂排污口下游1000m处</w:t>
            </w:r>
          </w:p>
        </w:tc>
        <w:tc>
          <w:tcPr>
            <w:tcW w:w="1419" w:type="dxa"/>
            <w:tcBorders>
              <w:tl2br w:val="nil"/>
              <w:tr2bl w:val="nil"/>
            </w:tcBorders>
            <w:vAlign w:val="center"/>
          </w:tcPr>
          <w:p w14:paraId="6056BFE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监测范围</w:t>
            </w:r>
          </w:p>
        </w:tc>
        <w:tc>
          <w:tcPr>
            <w:tcW w:w="878" w:type="dxa"/>
            <w:tcBorders>
              <w:tl2br w:val="nil"/>
              <w:tr2bl w:val="nil"/>
            </w:tcBorders>
            <w:vAlign w:val="center"/>
          </w:tcPr>
          <w:p w14:paraId="38302B7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7.4-7.6</w:t>
            </w:r>
          </w:p>
        </w:tc>
        <w:tc>
          <w:tcPr>
            <w:tcW w:w="895" w:type="dxa"/>
            <w:tcBorders>
              <w:tl2br w:val="nil"/>
              <w:tr2bl w:val="nil"/>
            </w:tcBorders>
            <w:vAlign w:val="center"/>
          </w:tcPr>
          <w:p w14:paraId="0BD88EB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6.5-6.8</w:t>
            </w:r>
          </w:p>
        </w:tc>
        <w:tc>
          <w:tcPr>
            <w:tcW w:w="930" w:type="dxa"/>
            <w:tcBorders>
              <w:tl2br w:val="nil"/>
              <w:tr2bl w:val="nil"/>
            </w:tcBorders>
            <w:vAlign w:val="center"/>
          </w:tcPr>
          <w:p w14:paraId="4F2FFCD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16-19</w:t>
            </w:r>
          </w:p>
        </w:tc>
        <w:tc>
          <w:tcPr>
            <w:tcW w:w="795" w:type="dxa"/>
            <w:tcBorders>
              <w:tl2br w:val="nil"/>
              <w:tr2bl w:val="nil"/>
            </w:tcBorders>
            <w:vAlign w:val="center"/>
          </w:tcPr>
          <w:p w14:paraId="5C38FA0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15-20</w:t>
            </w:r>
          </w:p>
        </w:tc>
        <w:tc>
          <w:tcPr>
            <w:tcW w:w="815" w:type="dxa"/>
            <w:tcBorders>
              <w:tl2br w:val="nil"/>
              <w:tr2bl w:val="nil"/>
            </w:tcBorders>
            <w:vAlign w:val="center"/>
          </w:tcPr>
          <w:p w14:paraId="641F362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0.283-0.596</w:t>
            </w:r>
          </w:p>
        </w:tc>
        <w:tc>
          <w:tcPr>
            <w:tcW w:w="815" w:type="dxa"/>
            <w:tcBorders>
              <w:tl2br w:val="nil"/>
              <w:tr2bl w:val="nil"/>
            </w:tcBorders>
            <w:vAlign w:val="center"/>
          </w:tcPr>
          <w:p w14:paraId="467D98B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0.09-0.13</w:t>
            </w:r>
          </w:p>
        </w:tc>
        <w:tc>
          <w:tcPr>
            <w:tcW w:w="817" w:type="dxa"/>
            <w:tcBorders>
              <w:tl2br w:val="nil"/>
              <w:tr2bl w:val="nil"/>
            </w:tcBorders>
            <w:vAlign w:val="center"/>
          </w:tcPr>
          <w:p w14:paraId="29E59A1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1.6-3.33</w:t>
            </w:r>
          </w:p>
        </w:tc>
      </w:tr>
      <w:tr w14:paraId="4E219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5428BBD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3DEF79A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平均值</w:t>
            </w:r>
          </w:p>
        </w:tc>
        <w:tc>
          <w:tcPr>
            <w:tcW w:w="878" w:type="dxa"/>
            <w:tcBorders>
              <w:tl2br w:val="nil"/>
              <w:tr2bl w:val="nil"/>
            </w:tcBorders>
            <w:vAlign w:val="center"/>
          </w:tcPr>
          <w:p w14:paraId="3D5400A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7.52</w:t>
            </w:r>
          </w:p>
        </w:tc>
        <w:tc>
          <w:tcPr>
            <w:tcW w:w="895" w:type="dxa"/>
            <w:tcBorders>
              <w:tl2br w:val="nil"/>
              <w:tr2bl w:val="nil"/>
            </w:tcBorders>
            <w:vAlign w:val="center"/>
          </w:tcPr>
          <w:p w14:paraId="7238470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6.63</w:t>
            </w:r>
          </w:p>
        </w:tc>
        <w:tc>
          <w:tcPr>
            <w:tcW w:w="930" w:type="dxa"/>
            <w:tcBorders>
              <w:tl2br w:val="nil"/>
              <w:tr2bl w:val="nil"/>
            </w:tcBorders>
            <w:vAlign w:val="center"/>
          </w:tcPr>
          <w:p w14:paraId="5364504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17</w:t>
            </w:r>
          </w:p>
        </w:tc>
        <w:tc>
          <w:tcPr>
            <w:tcW w:w="795" w:type="dxa"/>
            <w:tcBorders>
              <w:tl2br w:val="nil"/>
              <w:tr2bl w:val="nil"/>
            </w:tcBorders>
            <w:vAlign w:val="center"/>
          </w:tcPr>
          <w:p w14:paraId="664EE1C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16.67</w:t>
            </w:r>
          </w:p>
        </w:tc>
        <w:tc>
          <w:tcPr>
            <w:tcW w:w="815" w:type="dxa"/>
            <w:tcBorders>
              <w:tl2br w:val="nil"/>
              <w:tr2bl w:val="nil"/>
            </w:tcBorders>
            <w:vAlign w:val="center"/>
          </w:tcPr>
          <w:p w14:paraId="7C47030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0.45</w:t>
            </w:r>
          </w:p>
        </w:tc>
        <w:tc>
          <w:tcPr>
            <w:tcW w:w="815" w:type="dxa"/>
            <w:tcBorders>
              <w:tl2br w:val="nil"/>
              <w:tr2bl w:val="nil"/>
            </w:tcBorders>
            <w:vAlign w:val="center"/>
          </w:tcPr>
          <w:p w14:paraId="58C1EBB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0.11</w:t>
            </w:r>
          </w:p>
        </w:tc>
        <w:tc>
          <w:tcPr>
            <w:tcW w:w="817" w:type="dxa"/>
            <w:tcBorders>
              <w:tl2br w:val="nil"/>
              <w:tr2bl w:val="nil"/>
            </w:tcBorders>
            <w:vAlign w:val="center"/>
          </w:tcPr>
          <w:p w14:paraId="5AFA1F1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2.38</w:t>
            </w:r>
          </w:p>
        </w:tc>
      </w:tr>
      <w:tr w14:paraId="3874A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31E046E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7C0BA13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Ⅲ类标准</w:t>
            </w:r>
          </w:p>
        </w:tc>
        <w:tc>
          <w:tcPr>
            <w:tcW w:w="878" w:type="dxa"/>
            <w:tcBorders>
              <w:tl2br w:val="nil"/>
              <w:tr2bl w:val="nil"/>
            </w:tcBorders>
            <w:vAlign w:val="center"/>
          </w:tcPr>
          <w:p w14:paraId="3E5A468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6~9</w:t>
            </w:r>
          </w:p>
        </w:tc>
        <w:tc>
          <w:tcPr>
            <w:tcW w:w="895" w:type="dxa"/>
            <w:tcBorders>
              <w:tl2br w:val="nil"/>
              <w:tr2bl w:val="nil"/>
            </w:tcBorders>
            <w:vAlign w:val="center"/>
          </w:tcPr>
          <w:p w14:paraId="02BE94C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5</w:t>
            </w:r>
          </w:p>
        </w:tc>
        <w:tc>
          <w:tcPr>
            <w:tcW w:w="930" w:type="dxa"/>
            <w:tcBorders>
              <w:tl2br w:val="nil"/>
              <w:tr2bl w:val="nil"/>
            </w:tcBorders>
            <w:vAlign w:val="center"/>
          </w:tcPr>
          <w:p w14:paraId="7FD68D6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20</w:t>
            </w:r>
          </w:p>
        </w:tc>
        <w:tc>
          <w:tcPr>
            <w:tcW w:w="795" w:type="dxa"/>
            <w:tcBorders>
              <w:tl2br w:val="nil"/>
              <w:tr2bl w:val="nil"/>
            </w:tcBorders>
            <w:vAlign w:val="center"/>
          </w:tcPr>
          <w:p w14:paraId="3CA6B7F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30</w:t>
            </w:r>
          </w:p>
        </w:tc>
        <w:tc>
          <w:tcPr>
            <w:tcW w:w="815" w:type="dxa"/>
            <w:tcBorders>
              <w:tl2br w:val="nil"/>
              <w:tr2bl w:val="nil"/>
            </w:tcBorders>
            <w:vAlign w:val="center"/>
          </w:tcPr>
          <w:p w14:paraId="347EA04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w:t>
            </w:r>
          </w:p>
        </w:tc>
        <w:tc>
          <w:tcPr>
            <w:tcW w:w="815" w:type="dxa"/>
            <w:tcBorders>
              <w:tl2br w:val="nil"/>
              <w:tr2bl w:val="nil"/>
            </w:tcBorders>
            <w:vAlign w:val="center"/>
          </w:tcPr>
          <w:p w14:paraId="56A2128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0.2</w:t>
            </w:r>
          </w:p>
        </w:tc>
        <w:tc>
          <w:tcPr>
            <w:tcW w:w="817" w:type="dxa"/>
            <w:tcBorders>
              <w:tl2br w:val="nil"/>
              <w:tr2bl w:val="nil"/>
            </w:tcBorders>
            <w:vAlign w:val="center"/>
          </w:tcPr>
          <w:p w14:paraId="062DDC2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w:t>
            </w:r>
          </w:p>
        </w:tc>
      </w:tr>
      <w:tr w14:paraId="6C0B5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40FAE99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11AF234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标准指数</w:t>
            </w:r>
          </w:p>
        </w:tc>
        <w:tc>
          <w:tcPr>
            <w:tcW w:w="878" w:type="dxa"/>
            <w:tcBorders>
              <w:tl2br w:val="nil"/>
              <w:tr2bl w:val="nil"/>
            </w:tcBorders>
            <w:vAlign w:val="center"/>
          </w:tcPr>
          <w:p w14:paraId="6D57753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0.25</w:t>
            </w:r>
          </w:p>
        </w:tc>
        <w:tc>
          <w:tcPr>
            <w:tcW w:w="895" w:type="dxa"/>
            <w:tcBorders>
              <w:tl2br w:val="nil"/>
              <w:tr2bl w:val="nil"/>
            </w:tcBorders>
            <w:vAlign w:val="center"/>
          </w:tcPr>
          <w:p w14:paraId="05BDD0B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0.3</w:t>
            </w:r>
          </w:p>
        </w:tc>
        <w:tc>
          <w:tcPr>
            <w:tcW w:w="930" w:type="dxa"/>
            <w:tcBorders>
              <w:tl2br w:val="nil"/>
              <w:tr2bl w:val="nil"/>
            </w:tcBorders>
            <w:vAlign w:val="center"/>
          </w:tcPr>
          <w:p w14:paraId="408C97D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0.85</w:t>
            </w:r>
          </w:p>
        </w:tc>
        <w:tc>
          <w:tcPr>
            <w:tcW w:w="795" w:type="dxa"/>
            <w:tcBorders>
              <w:tl2br w:val="nil"/>
              <w:tr2bl w:val="nil"/>
            </w:tcBorders>
            <w:vAlign w:val="center"/>
          </w:tcPr>
          <w:p w14:paraId="775802A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0.56</w:t>
            </w:r>
          </w:p>
        </w:tc>
        <w:tc>
          <w:tcPr>
            <w:tcW w:w="815" w:type="dxa"/>
            <w:tcBorders>
              <w:tl2br w:val="nil"/>
              <w:tr2bl w:val="nil"/>
            </w:tcBorders>
            <w:vAlign w:val="center"/>
          </w:tcPr>
          <w:p w14:paraId="3AF7CF3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0.45</w:t>
            </w:r>
          </w:p>
        </w:tc>
        <w:tc>
          <w:tcPr>
            <w:tcW w:w="815" w:type="dxa"/>
            <w:tcBorders>
              <w:tl2br w:val="nil"/>
              <w:tr2bl w:val="nil"/>
            </w:tcBorders>
            <w:vAlign w:val="center"/>
          </w:tcPr>
          <w:p w14:paraId="61D40B5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0.55</w:t>
            </w:r>
          </w:p>
        </w:tc>
        <w:tc>
          <w:tcPr>
            <w:tcW w:w="817" w:type="dxa"/>
            <w:tcBorders>
              <w:tl2br w:val="nil"/>
              <w:tr2bl w:val="nil"/>
            </w:tcBorders>
            <w:vAlign w:val="center"/>
          </w:tcPr>
          <w:p w14:paraId="00B0DF9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2.38</w:t>
            </w:r>
          </w:p>
        </w:tc>
      </w:tr>
      <w:tr w14:paraId="6FE9E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vMerge w:val="continue"/>
            <w:tcBorders>
              <w:tl2br w:val="nil"/>
              <w:tr2bl w:val="nil"/>
            </w:tcBorders>
            <w:vAlign w:val="center"/>
          </w:tcPr>
          <w:p w14:paraId="75CE52FA">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1419" w:type="dxa"/>
            <w:tcBorders>
              <w:tl2br w:val="nil"/>
              <w:tr2bl w:val="nil"/>
            </w:tcBorders>
            <w:vAlign w:val="center"/>
          </w:tcPr>
          <w:p w14:paraId="5AE09C6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超标率（%）</w:t>
            </w:r>
          </w:p>
        </w:tc>
        <w:tc>
          <w:tcPr>
            <w:tcW w:w="878" w:type="dxa"/>
            <w:tcBorders>
              <w:tl2br w:val="nil"/>
              <w:tr2bl w:val="nil"/>
            </w:tcBorders>
            <w:vAlign w:val="center"/>
          </w:tcPr>
          <w:p w14:paraId="4998E38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95" w:type="dxa"/>
            <w:tcBorders>
              <w:tl2br w:val="nil"/>
              <w:tr2bl w:val="nil"/>
            </w:tcBorders>
            <w:vAlign w:val="center"/>
          </w:tcPr>
          <w:p w14:paraId="74F3156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930" w:type="dxa"/>
            <w:tcBorders>
              <w:tl2br w:val="nil"/>
              <w:tr2bl w:val="nil"/>
            </w:tcBorders>
            <w:vAlign w:val="center"/>
          </w:tcPr>
          <w:p w14:paraId="4C6C965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795" w:type="dxa"/>
            <w:tcBorders>
              <w:tl2br w:val="nil"/>
              <w:tr2bl w:val="nil"/>
            </w:tcBorders>
            <w:vAlign w:val="center"/>
          </w:tcPr>
          <w:p w14:paraId="04F4393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5" w:type="dxa"/>
            <w:tcBorders>
              <w:tl2br w:val="nil"/>
              <w:tr2bl w:val="nil"/>
            </w:tcBorders>
            <w:vAlign w:val="center"/>
          </w:tcPr>
          <w:p w14:paraId="61176EE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5" w:type="dxa"/>
            <w:tcBorders>
              <w:tl2br w:val="nil"/>
              <w:tr2bl w:val="nil"/>
            </w:tcBorders>
            <w:vAlign w:val="center"/>
          </w:tcPr>
          <w:p w14:paraId="1BC20C1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0</w:t>
            </w:r>
          </w:p>
        </w:tc>
        <w:tc>
          <w:tcPr>
            <w:tcW w:w="817" w:type="dxa"/>
            <w:tcBorders>
              <w:tl2br w:val="nil"/>
              <w:tr2bl w:val="nil"/>
            </w:tcBorders>
            <w:vAlign w:val="center"/>
          </w:tcPr>
          <w:p w14:paraId="4DA0F24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bidi="ar"/>
              </w:rPr>
              <w:t>100</w:t>
            </w:r>
          </w:p>
        </w:tc>
      </w:tr>
    </w:tbl>
    <w:p w14:paraId="77B2EC06">
      <w:pPr>
        <w:spacing w:line="360" w:lineRule="auto"/>
        <w:ind w:left="-105" w:right="-105" w:firstLine="442"/>
        <w:rPr>
          <w:rFonts w:ascii="Times New Roman" w:hAnsi="Times New Roman"/>
          <w:b/>
          <w:bCs/>
          <w:color w:val="auto"/>
          <w:sz w:val="22"/>
          <w:highlight w:val="none"/>
        </w:rPr>
      </w:pPr>
      <w:r>
        <w:rPr>
          <w:rFonts w:hint="eastAsia" w:ascii="Times New Roman" w:hAnsi="Times New Roman"/>
          <w:b/>
          <w:bCs/>
          <w:color w:val="auto"/>
          <w:sz w:val="22"/>
          <w:highlight w:val="none"/>
        </w:rPr>
        <w:t>注：《地表水环境质量标准》(GB3838-2002)无悬浮物标准限值要求，本次参考《地表水资源质量标准》（征求意见稿）中“工业用水功能水资源质量标准限值”30mg/L。</w:t>
      </w:r>
    </w:p>
    <w:p w14:paraId="51A1905E">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（5）</w:t>
      </w:r>
      <w:r>
        <w:rPr>
          <w:rFonts w:ascii="Times New Roman" w:hAnsi="Times New Roman"/>
          <w:color w:val="auto"/>
          <w:highlight w:val="none"/>
        </w:rPr>
        <w:t>评价结果</w:t>
      </w:r>
    </w:p>
    <w:p w14:paraId="12189FC2">
      <w:pPr>
        <w:spacing w:line="360" w:lineRule="auto"/>
        <w:ind w:left="-105" w:right="-105" w:firstLine="480"/>
        <w:jc w:val="both"/>
        <w:rPr>
          <w:rFonts w:ascii="Times New Roman" w:hAnsi="Times New Roman"/>
          <w:color w:val="auto"/>
          <w:highlight w:val="none"/>
        </w:rPr>
      </w:pPr>
      <w:r>
        <w:rPr>
          <w:rFonts w:hint="eastAsia" w:ascii="Times New Roman" w:hAnsi="Times New Roman"/>
          <w:color w:val="auto"/>
          <w:highlight w:val="none"/>
        </w:rPr>
        <w:t>由上表可知，北兴塘河监测断面中TN未达到《地表水环境质量标准》(GB3838-2002)中III类水质标准，其余因子均达标。根据《无锡市生态环境基础治理能力提升三年行动计划（2022—2024年）》、锡山区《区政府办公室关于印发锡山区河道环境综合整治工作方案的通知》（锡政办（2016）30号）等文件，以河流水质改善、断面水质达标为核心，以各镇（街道）为责任主体，以控源截污、清淤活水、调水引流、河岸整治和生态修复为主要工程手段，整治范围涵盖全区域。因此，通过项目所在地政府大力开展的污染防治攻坚战，北兴塘河部分环境质量因子不达标的现象有望尽快得到解决</w:t>
      </w:r>
      <w:r>
        <w:rPr>
          <w:rFonts w:ascii="Times New Roman" w:hAnsi="Times New Roman"/>
          <w:color w:val="auto"/>
          <w:highlight w:val="none"/>
        </w:rPr>
        <w:t>。</w:t>
      </w:r>
    </w:p>
    <w:p w14:paraId="4C0BDC71">
      <w:pPr>
        <w:pStyle w:val="5"/>
        <w:keepLines w:val="0"/>
        <w:numPr>
          <w:ilvl w:val="2"/>
          <w:numId w:val="0"/>
        </w:numPr>
        <w:tabs>
          <w:tab w:val="left" w:pos="567"/>
          <w:tab w:val="left" w:pos="709"/>
        </w:tabs>
        <w:spacing w:before="120" w:beforeLines="50" w:after="120" w:afterLines="50" w:line="360" w:lineRule="auto"/>
        <w:ind w:right="-105"/>
        <w:rPr>
          <w:rFonts w:eastAsia="宋体"/>
          <w:color w:val="auto"/>
          <w:sz w:val="28"/>
          <w:szCs w:val="28"/>
          <w:highlight w:val="none"/>
        </w:rPr>
      </w:pPr>
      <w:bookmarkStart w:id="346" w:name="_Toc370313625"/>
      <w:bookmarkStart w:id="347" w:name="_Toc60653541"/>
      <w:r>
        <w:rPr>
          <w:rFonts w:hint="eastAsia" w:eastAsia="宋体"/>
          <w:color w:val="auto"/>
          <w:sz w:val="28"/>
          <w:szCs w:val="28"/>
          <w:highlight w:val="none"/>
        </w:rPr>
        <w:t>5.3.3</w:t>
      </w:r>
      <w:r>
        <w:rPr>
          <w:rFonts w:eastAsia="宋体"/>
          <w:color w:val="auto"/>
          <w:sz w:val="28"/>
          <w:szCs w:val="28"/>
          <w:highlight w:val="none"/>
        </w:rPr>
        <w:t>噪声环境质量现状监测与评价</w:t>
      </w:r>
      <w:bookmarkEnd w:id="346"/>
      <w:bookmarkEnd w:id="347"/>
    </w:p>
    <w:p w14:paraId="6468F6EB">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（1）监测布设：根据《环境影响评价技术导则声环境》(HJ2.4-2009)，布点应覆盖整个评价范围，包括厂界和敏</w:t>
      </w:r>
      <w:r>
        <w:rPr>
          <w:rFonts w:ascii="Times New Roman" w:hAnsi="Times New Roman"/>
          <w:color w:val="auto"/>
          <w:highlight w:val="none"/>
        </w:rPr>
        <w:t>感目标，本项目周边200m范围内</w:t>
      </w:r>
      <w:r>
        <w:rPr>
          <w:rFonts w:hint="eastAsia" w:ascii="Times New Roman" w:hAnsi="Times New Roman"/>
          <w:color w:val="auto"/>
          <w:highlight w:val="none"/>
        </w:rPr>
        <w:t>有</w:t>
      </w:r>
      <w:r>
        <w:rPr>
          <w:rFonts w:ascii="Times New Roman" w:hAnsi="Times New Roman"/>
          <w:color w:val="auto"/>
          <w:highlight w:val="none"/>
        </w:rPr>
        <w:t>敏感目标。根据声源的位置和周围环境特点，在项目厂界均匀设置4个测点</w:t>
      </w:r>
      <w:r>
        <w:rPr>
          <w:rFonts w:hint="eastAsia" w:ascii="Times New Roman" w:hAnsi="Times New Roman"/>
          <w:color w:val="auto"/>
          <w:highlight w:val="none"/>
        </w:rPr>
        <w:t>及200m范围内声环境保护目标处</w:t>
      </w:r>
      <w:r>
        <w:rPr>
          <w:rFonts w:ascii="Times New Roman" w:hAnsi="Times New Roman"/>
          <w:color w:val="auto"/>
          <w:highlight w:val="none"/>
        </w:rPr>
        <w:t>设置测点，测点位置见下表；</w:t>
      </w:r>
    </w:p>
    <w:p w14:paraId="4CB5044F">
      <w:pPr>
        <w:pStyle w:val="15"/>
        <w:spacing w:line="360" w:lineRule="auto"/>
        <w:ind w:left="-105" w:right="-105" w:firstLine="482"/>
        <w:rPr>
          <w:rFonts w:eastAsia="宋体" w:cs="Times New Roman"/>
          <w:bCs/>
          <w:color w:val="auto"/>
          <w:sz w:val="24"/>
          <w:szCs w:val="22"/>
          <w:highlight w:val="none"/>
        </w:rPr>
      </w:pPr>
      <w:bookmarkStart w:id="348" w:name="_Ref3656936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8</w:t>
      </w:r>
      <w:r>
        <w:rPr>
          <w:rFonts w:eastAsia="宋体" w:cs="Times New Roman"/>
          <w:color w:val="auto"/>
          <w:sz w:val="24"/>
          <w:szCs w:val="18"/>
          <w:highlight w:val="none"/>
        </w:rPr>
        <w:fldChar w:fldCharType="end"/>
      </w:r>
      <w:r>
        <w:rPr>
          <w:rFonts w:eastAsia="宋体" w:cs="Times New Roman"/>
          <w:color w:val="auto"/>
          <w:sz w:val="24"/>
          <w:szCs w:val="18"/>
          <w:highlight w:val="none"/>
        </w:rPr>
        <w:t>声环境质量现状监测布点及监测项目表</w:t>
      </w:r>
      <w:bookmarkEnd w:id="348"/>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547"/>
        <w:gridCol w:w="2516"/>
        <w:gridCol w:w="2334"/>
        <w:gridCol w:w="2107"/>
      </w:tblGrid>
      <w:tr w14:paraId="3D43E5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jc w:val="center"/>
        </w:trPr>
        <w:tc>
          <w:tcPr>
            <w:tcW w:w="909" w:type="pct"/>
            <w:tcBorders>
              <w:top w:val="single" w:color="000000" w:sz="12" w:space="0"/>
              <w:left w:val="nil"/>
              <w:bottom w:val="single" w:color="000000" w:sz="4" w:space="0"/>
              <w:right w:val="single" w:color="000000" w:sz="4" w:space="0"/>
            </w:tcBorders>
            <w:vAlign w:val="center"/>
          </w:tcPr>
          <w:p w14:paraId="3909750D">
            <w:pPr>
              <w:autoSpaceDE w:val="0"/>
              <w:autoSpaceDN w:val="0"/>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监测点号</w:t>
            </w:r>
          </w:p>
        </w:tc>
        <w:tc>
          <w:tcPr>
            <w:tcW w:w="1479" w:type="pct"/>
            <w:tcBorders>
              <w:top w:val="single" w:color="000000" w:sz="12" w:space="0"/>
              <w:left w:val="single" w:color="000000" w:sz="4" w:space="0"/>
              <w:bottom w:val="single" w:color="000000" w:sz="4" w:space="0"/>
              <w:right w:val="single" w:color="000000" w:sz="4" w:space="0"/>
            </w:tcBorders>
            <w:vAlign w:val="center"/>
          </w:tcPr>
          <w:p w14:paraId="43F66227">
            <w:pPr>
              <w:autoSpaceDE w:val="0"/>
              <w:autoSpaceDN w:val="0"/>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测点名称</w:t>
            </w:r>
          </w:p>
        </w:tc>
        <w:tc>
          <w:tcPr>
            <w:tcW w:w="1372" w:type="pct"/>
            <w:tcBorders>
              <w:top w:val="single" w:color="000000" w:sz="12" w:space="0"/>
              <w:left w:val="single" w:color="000000" w:sz="4" w:space="0"/>
              <w:bottom w:val="single" w:color="000000" w:sz="4" w:space="0"/>
              <w:right w:val="single" w:color="000000" w:sz="4" w:space="0"/>
            </w:tcBorders>
            <w:vAlign w:val="center"/>
          </w:tcPr>
          <w:p w14:paraId="53F87C3E">
            <w:pPr>
              <w:autoSpaceDE w:val="0"/>
              <w:autoSpaceDN w:val="0"/>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距项目位置</w:t>
            </w:r>
          </w:p>
        </w:tc>
        <w:tc>
          <w:tcPr>
            <w:tcW w:w="1238" w:type="pct"/>
            <w:tcBorders>
              <w:top w:val="single" w:color="000000" w:sz="12" w:space="0"/>
              <w:left w:val="single" w:color="000000" w:sz="4" w:space="0"/>
              <w:bottom w:val="single" w:color="000000" w:sz="4" w:space="0"/>
              <w:right w:val="nil"/>
            </w:tcBorders>
            <w:vAlign w:val="center"/>
          </w:tcPr>
          <w:p w14:paraId="0613AF28">
            <w:pPr>
              <w:autoSpaceDE w:val="0"/>
              <w:autoSpaceDN w:val="0"/>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监测项目</w:t>
            </w:r>
          </w:p>
        </w:tc>
      </w:tr>
      <w:tr w14:paraId="63FECC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3" w:hRule="atLeast"/>
          <w:jc w:val="center"/>
        </w:trPr>
        <w:tc>
          <w:tcPr>
            <w:tcW w:w="1547" w:type="dxa"/>
            <w:tcBorders>
              <w:top w:val="single" w:color="000000" w:sz="4" w:space="0"/>
              <w:left w:val="nil"/>
              <w:bottom w:val="single" w:color="000000" w:sz="4" w:space="0"/>
              <w:right w:val="single" w:color="000000" w:sz="4" w:space="0"/>
            </w:tcBorders>
            <w:vAlign w:val="center"/>
          </w:tcPr>
          <w:p w14:paraId="29E4FC32">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Z1</w:t>
            </w:r>
          </w:p>
        </w:tc>
        <w:tc>
          <w:tcPr>
            <w:tcW w:w="1479" w:type="pct"/>
            <w:tcBorders>
              <w:top w:val="single" w:color="000000" w:sz="4" w:space="0"/>
              <w:left w:val="single" w:color="000000" w:sz="4" w:space="0"/>
              <w:bottom w:val="single" w:color="000000" w:sz="4" w:space="0"/>
              <w:right w:val="single" w:color="000000" w:sz="4" w:space="0"/>
            </w:tcBorders>
            <w:vAlign w:val="center"/>
          </w:tcPr>
          <w:p w14:paraId="6C0C812A">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东厂界</w:t>
            </w:r>
          </w:p>
        </w:tc>
        <w:tc>
          <w:tcPr>
            <w:tcW w:w="1372" w:type="pct"/>
            <w:tcBorders>
              <w:top w:val="single" w:color="000000" w:sz="4" w:space="0"/>
              <w:left w:val="single" w:color="000000" w:sz="4" w:space="0"/>
              <w:bottom w:val="single" w:color="000000" w:sz="4" w:space="0"/>
              <w:right w:val="single" w:color="000000" w:sz="4" w:space="0"/>
            </w:tcBorders>
            <w:vAlign w:val="center"/>
          </w:tcPr>
          <w:p w14:paraId="4690CB19">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厂界外1m</w:t>
            </w:r>
          </w:p>
        </w:tc>
        <w:tc>
          <w:tcPr>
            <w:tcW w:w="1238" w:type="pct"/>
            <w:vMerge w:val="restart"/>
            <w:tcBorders>
              <w:top w:val="single" w:color="000000" w:sz="4" w:space="0"/>
              <w:left w:val="single" w:color="000000" w:sz="4" w:space="0"/>
              <w:right w:val="nil"/>
            </w:tcBorders>
            <w:vAlign w:val="center"/>
          </w:tcPr>
          <w:p w14:paraId="3C1771B9">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Leq[dB(A)]</w:t>
            </w:r>
          </w:p>
        </w:tc>
      </w:tr>
      <w:tr w14:paraId="2B8E84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jc w:val="center"/>
        </w:trPr>
        <w:tc>
          <w:tcPr>
            <w:tcW w:w="1547" w:type="dxa"/>
            <w:tcBorders>
              <w:top w:val="single" w:color="000000" w:sz="4" w:space="0"/>
              <w:left w:val="nil"/>
              <w:bottom w:val="single" w:color="000000" w:sz="4" w:space="0"/>
              <w:right w:val="single" w:color="000000" w:sz="4" w:space="0"/>
            </w:tcBorders>
            <w:vAlign w:val="center"/>
          </w:tcPr>
          <w:p w14:paraId="5C9A71C1">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Z2</w:t>
            </w:r>
          </w:p>
        </w:tc>
        <w:tc>
          <w:tcPr>
            <w:tcW w:w="1479" w:type="pct"/>
            <w:tcBorders>
              <w:top w:val="single" w:color="000000" w:sz="4" w:space="0"/>
              <w:left w:val="single" w:color="000000" w:sz="4" w:space="0"/>
              <w:bottom w:val="single" w:color="000000" w:sz="4" w:space="0"/>
              <w:right w:val="single" w:color="000000" w:sz="4" w:space="0"/>
            </w:tcBorders>
            <w:vAlign w:val="center"/>
          </w:tcPr>
          <w:p w14:paraId="23ECDBF2">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南厂界</w:t>
            </w:r>
          </w:p>
        </w:tc>
        <w:tc>
          <w:tcPr>
            <w:tcW w:w="1372" w:type="pct"/>
            <w:tcBorders>
              <w:top w:val="single" w:color="000000" w:sz="4" w:space="0"/>
              <w:left w:val="single" w:color="000000" w:sz="4" w:space="0"/>
              <w:bottom w:val="single" w:color="000000" w:sz="4" w:space="0"/>
              <w:right w:val="single" w:color="000000" w:sz="4" w:space="0"/>
            </w:tcBorders>
            <w:vAlign w:val="center"/>
          </w:tcPr>
          <w:p w14:paraId="39B7D41F">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厂界外1m</w:t>
            </w:r>
          </w:p>
        </w:tc>
        <w:tc>
          <w:tcPr>
            <w:tcW w:w="1238" w:type="pct"/>
            <w:vMerge w:val="continue"/>
            <w:tcBorders>
              <w:left w:val="single" w:color="000000" w:sz="4" w:space="0"/>
              <w:right w:val="nil"/>
            </w:tcBorders>
            <w:vAlign w:val="center"/>
          </w:tcPr>
          <w:p w14:paraId="47E26AE7">
            <w:pPr>
              <w:ind w:left="-105" w:right="-105"/>
              <w:jc w:val="center"/>
              <w:rPr>
                <w:rFonts w:ascii="Times New Roman" w:hAnsi="Times New Roman"/>
                <w:color w:val="auto"/>
                <w:sz w:val="21"/>
                <w:szCs w:val="21"/>
                <w:highlight w:val="none"/>
              </w:rPr>
            </w:pPr>
          </w:p>
        </w:tc>
      </w:tr>
      <w:tr w14:paraId="4CE80A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0" w:hRule="atLeast"/>
          <w:jc w:val="center"/>
        </w:trPr>
        <w:tc>
          <w:tcPr>
            <w:tcW w:w="1547" w:type="dxa"/>
            <w:tcBorders>
              <w:top w:val="single" w:color="000000" w:sz="4" w:space="0"/>
              <w:left w:val="nil"/>
              <w:bottom w:val="single" w:color="000000" w:sz="4" w:space="0"/>
              <w:right w:val="single" w:color="000000" w:sz="4" w:space="0"/>
            </w:tcBorders>
            <w:vAlign w:val="center"/>
          </w:tcPr>
          <w:p w14:paraId="504968E6">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Z3</w:t>
            </w:r>
          </w:p>
        </w:tc>
        <w:tc>
          <w:tcPr>
            <w:tcW w:w="1479" w:type="pct"/>
            <w:tcBorders>
              <w:top w:val="single" w:color="000000" w:sz="4" w:space="0"/>
              <w:left w:val="single" w:color="000000" w:sz="4" w:space="0"/>
              <w:bottom w:val="single" w:color="000000" w:sz="4" w:space="0"/>
              <w:right w:val="single" w:color="000000" w:sz="4" w:space="0"/>
            </w:tcBorders>
            <w:vAlign w:val="center"/>
          </w:tcPr>
          <w:p w14:paraId="6EDE8DBD">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西厂界</w:t>
            </w:r>
          </w:p>
        </w:tc>
        <w:tc>
          <w:tcPr>
            <w:tcW w:w="1372" w:type="pct"/>
            <w:tcBorders>
              <w:top w:val="single" w:color="000000" w:sz="4" w:space="0"/>
              <w:left w:val="single" w:color="000000" w:sz="4" w:space="0"/>
              <w:bottom w:val="single" w:color="000000" w:sz="4" w:space="0"/>
              <w:right w:val="single" w:color="000000" w:sz="4" w:space="0"/>
            </w:tcBorders>
            <w:vAlign w:val="center"/>
          </w:tcPr>
          <w:p w14:paraId="69501D73">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厂界外1m</w:t>
            </w:r>
          </w:p>
        </w:tc>
        <w:tc>
          <w:tcPr>
            <w:tcW w:w="1238" w:type="pct"/>
            <w:vMerge w:val="continue"/>
            <w:tcBorders>
              <w:left w:val="single" w:color="000000" w:sz="4" w:space="0"/>
              <w:right w:val="nil"/>
            </w:tcBorders>
            <w:vAlign w:val="center"/>
          </w:tcPr>
          <w:p w14:paraId="7938969F">
            <w:pPr>
              <w:ind w:left="-105" w:right="-105"/>
              <w:jc w:val="center"/>
              <w:rPr>
                <w:rFonts w:ascii="Times New Roman" w:hAnsi="Times New Roman"/>
                <w:color w:val="auto"/>
                <w:sz w:val="21"/>
                <w:szCs w:val="21"/>
                <w:highlight w:val="none"/>
              </w:rPr>
            </w:pPr>
          </w:p>
        </w:tc>
      </w:tr>
      <w:tr w14:paraId="3CC169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jc w:val="center"/>
        </w:trPr>
        <w:tc>
          <w:tcPr>
            <w:tcW w:w="1547" w:type="dxa"/>
            <w:tcBorders>
              <w:top w:val="single" w:color="000000" w:sz="4" w:space="0"/>
              <w:left w:val="nil"/>
              <w:bottom w:val="single" w:color="000000" w:sz="4" w:space="0"/>
              <w:right w:val="single" w:color="000000" w:sz="4" w:space="0"/>
            </w:tcBorders>
            <w:vAlign w:val="center"/>
          </w:tcPr>
          <w:p w14:paraId="13FDDD32">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Z4</w:t>
            </w:r>
          </w:p>
        </w:tc>
        <w:tc>
          <w:tcPr>
            <w:tcW w:w="1479" w:type="pct"/>
            <w:tcBorders>
              <w:top w:val="single" w:color="000000" w:sz="4" w:space="0"/>
              <w:left w:val="single" w:color="000000" w:sz="4" w:space="0"/>
              <w:bottom w:val="single" w:color="000000" w:sz="4" w:space="0"/>
              <w:right w:val="single" w:color="000000" w:sz="4" w:space="0"/>
            </w:tcBorders>
            <w:vAlign w:val="center"/>
          </w:tcPr>
          <w:p w14:paraId="5204F89D">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北厂界</w:t>
            </w:r>
          </w:p>
        </w:tc>
        <w:tc>
          <w:tcPr>
            <w:tcW w:w="1372" w:type="pct"/>
            <w:tcBorders>
              <w:top w:val="single" w:color="000000" w:sz="4" w:space="0"/>
              <w:left w:val="single" w:color="000000" w:sz="4" w:space="0"/>
              <w:bottom w:val="single" w:color="000000" w:sz="4" w:space="0"/>
              <w:right w:val="single" w:color="000000" w:sz="4" w:space="0"/>
            </w:tcBorders>
            <w:vAlign w:val="center"/>
          </w:tcPr>
          <w:p w14:paraId="308251B3">
            <w:pPr>
              <w:autoSpaceDE w:val="0"/>
              <w:autoSpaceDN w:val="0"/>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厂界外1m</w:t>
            </w:r>
          </w:p>
        </w:tc>
        <w:tc>
          <w:tcPr>
            <w:tcW w:w="1238" w:type="pct"/>
            <w:vMerge w:val="continue"/>
            <w:tcBorders>
              <w:left w:val="single" w:color="000000" w:sz="4" w:space="0"/>
              <w:right w:val="nil"/>
            </w:tcBorders>
            <w:vAlign w:val="center"/>
          </w:tcPr>
          <w:p w14:paraId="00464FA8">
            <w:pPr>
              <w:ind w:left="-105" w:right="-105"/>
              <w:jc w:val="center"/>
              <w:rPr>
                <w:rFonts w:ascii="Times New Roman" w:hAnsi="Times New Roman"/>
                <w:color w:val="auto"/>
                <w:sz w:val="21"/>
                <w:szCs w:val="21"/>
                <w:highlight w:val="none"/>
              </w:rPr>
            </w:pPr>
          </w:p>
        </w:tc>
      </w:tr>
      <w:tr w14:paraId="2EF682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jc w:val="center"/>
        </w:trPr>
        <w:tc>
          <w:tcPr>
            <w:tcW w:w="1547" w:type="dxa"/>
            <w:tcBorders>
              <w:top w:val="single" w:color="000000" w:sz="4" w:space="0"/>
              <w:left w:val="nil"/>
              <w:bottom w:val="single" w:color="000000" w:sz="4" w:space="0"/>
              <w:right w:val="single" w:color="000000" w:sz="4" w:space="0"/>
            </w:tcBorders>
            <w:vAlign w:val="center"/>
          </w:tcPr>
          <w:p w14:paraId="34C8C99F">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Z5</w:t>
            </w:r>
          </w:p>
        </w:tc>
        <w:tc>
          <w:tcPr>
            <w:tcW w:w="1479" w:type="pct"/>
            <w:tcBorders>
              <w:top w:val="single" w:color="000000" w:sz="4" w:space="0"/>
              <w:left w:val="single" w:color="000000" w:sz="4" w:space="0"/>
              <w:bottom w:val="single" w:color="000000" w:sz="4" w:space="0"/>
              <w:right w:val="single" w:color="000000" w:sz="4" w:space="0"/>
            </w:tcBorders>
            <w:vAlign w:val="center"/>
          </w:tcPr>
          <w:p w14:paraId="199F5946">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周巷头</w:t>
            </w:r>
          </w:p>
        </w:tc>
        <w:tc>
          <w:tcPr>
            <w:tcW w:w="1372" w:type="pct"/>
            <w:tcBorders>
              <w:top w:val="single" w:color="000000" w:sz="4" w:space="0"/>
              <w:left w:val="single" w:color="000000" w:sz="4" w:space="0"/>
              <w:bottom w:val="single" w:color="000000" w:sz="4" w:space="0"/>
              <w:right w:val="single" w:color="000000" w:sz="4" w:space="0"/>
            </w:tcBorders>
            <w:vAlign w:val="center"/>
          </w:tcPr>
          <w:p w14:paraId="1932A295">
            <w:pPr>
              <w:autoSpaceDE w:val="0"/>
              <w:autoSpaceDN w:val="0"/>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w:t>
            </w:r>
            <w:r>
              <w:rPr>
                <w:rFonts w:hint="eastAsia" w:ascii="Times New Roman" w:hAnsi="Times New Roman"/>
                <w:color w:val="auto"/>
                <w:sz w:val="21"/>
                <w:szCs w:val="21"/>
                <w:highlight w:val="none"/>
              </w:rPr>
              <w:t>m</w:t>
            </w:r>
          </w:p>
        </w:tc>
        <w:tc>
          <w:tcPr>
            <w:tcW w:w="1238" w:type="pct"/>
            <w:vMerge w:val="continue"/>
            <w:tcBorders>
              <w:left w:val="single" w:color="000000" w:sz="4" w:space="0"/>
              <w:right w:val="nil"/>
            </w:tcBorders>
            <w:vAlign w:val="center"/>
          </w:tcPr>
          <w:p w14:paraId="64337A8F">
            <w:pPr>
              <w:ind w:left="-105" w:right="-105"/>
              <w:jc w:val="center"/>
              <w:rPr>
                <w:rFonts w:ascii="Times New Roman" w:hAnsi="Times New Roman"/>
                <w:color w:val="auto"/>
                <w:sz w:val="21"/>
                <w:szCs w:val="21"/>
                <w:highlight w:val="none"/>
              </w:rPr>
            </w:pPr>
          </w:p>
        </w:tc>
      </w:tr>
      <w:tr w14:paraId="0190B7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jc w:val="center"/>
        </w:trPr>
        <w:tc>
          <w:tcPr>
            <w:tcW w:w="1547" w:type="dxa"/>
            <w:tcBorders>
              <w:top w:val="single" w:color="000000" w:sz="4" w:space="0"/>
              <w:left w:val="nil"/>
              <w:bottom w:val="single" w:color="000000" w:sz="4" w:space="0"/>
              <w:right w:val="single" w:color="000000" w:sz="4" w:space="0"/>
            </w:tcBorders>
            <w:vAlign w:val="center"/>
          </w:tcPr>
          <w:p w14:paraId="150EA65B">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Z6</w:t>
            </w:r>
          </w:p>
        </w:tc>
        <w:tc>
          <w:tcPr>
            <w:tcW w:w="1479" w:type="pct"/>
            <w:tcBorders>
              <w:top w:val="single" w:color="000000" w:sz="4" w:space="0"/>
              <w:left w:val="single" w:color="000000" w:sz="4" w:space="0"/>
              <w:bottom w:val="single" w:color="000000" w:sz="4" w:space="0"/>
              <w:right w:val="single" w:color="000000" w:sz="4" w:space="0"/>
            </w:tcBorders>
            <w:vAlign w:val="center"/>
          </w:tcPr>
          <w:p w14:paraId="4386CEB5">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浦巷上</w:t>
            </w:r>
          </w:p>
        </w:tc>
        <w:tc>
          <w:tcPr>
            <w:tcW w:w="1372" w:type="pct"/>
            <w:tcBorders>
              <w:top w:val="single" w:color="000000" w:sz="4" w:space="0"/>
              <w:left w:val="single" w:color="000000" w:sz="4" w:space="0"/>
              <w:bottom w:val="single" w:color="000000" w:sz="4" w:space="0"/>
              <w:right w:val="single" w:color="000000" w:sz="4" w:space="0"/>
            </w:tcBorders>
            <w:vAlign w:val="center"/>
          </w:tcPr>
          <w:p w14:paraId="4AE33EC6">
            <w:pPr>
              <w:autoSpaceDE w:val="0"/>
              <w:autoSpaceDN w:val="0"/>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100m</w:t>
            </w:r>
          </w:p>
        </w:tc>
        <w:tc>
          <w:tcPr>
            <w:tcW w:w="1238" w:type="pct"/>
            <w:vMerge w:val="continue"/>
            <w:tcBorders>
              <w:left w:val="single" w:color="000000" w:sz="4" w:space="0"/>
              <w:right w:val="nil"/>
            </w:tcBorders>
            <w:vAlign w:val="center"/>
          </w:tcPr>
          <w:p w14:paraId="0C147A37">
            <w:pPr>
              <w:ind w:left="-105" w:right="-105"/>
              <w:jc w:val="center"/>
              <w:rPr>
                <w:rFonts w:ascii="Times New Roman" w:hAnsi="Times New Roman"/>
                <w:color w:val="auto"/>
                <w:sz w:val="21"/>
                <w:szCs w:val="21"/>
                <w:highlight w:val="none"/>
              </w:rPr>
            </w:pPr>
          </w:p>
        </w:tc>
      </w:tr>
      <w:tr w14:paraId="7B5256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jc w:val="center"/>
        </w:trPr>
        <w:tc>
          <w:tcPr>
            <w:tcW w:w="1547" w:type="dxa"/>
            <w:tcBorders>
              <w:top w:val="single" w:color="000000" w:sz="4" w:space="0"/>
              <w:left w:val="nil"/>
              <w:bottom w:val="single" w:color="000000" w:sz="12" w:space="0"/>
              <w:right w:val="single" w:color="000000" w:sz="4" w:space="0"/>
            </w:tcBorders>
            <w:vAlign w:val="center"/>
          </w:tcPr>
          <w:p w14:paraId="02FE2D2E">
            <w:pPr>
              <w:tabs>
                <w:tab w:val="left" w:pos="360"/>
                <w:tab w:val="left" w:pos="1080"/>
              </w:tabs>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Z7</w:t>
            </w:r>
          </w:p>
        </w:tc>
        <w:tc>
          <w:tcPr>
            <w:tcW w:w="1479" w:type="pct"/>
            <w:tcBorders>
              <w:top w:val="single" w:color="000000" w:sz="4" w:space="0"/>
              <w:left w:val="single" w:color="000000" w:sz="4" w:space="0"/>
              <w:bottom w:val="single" w:color="000000" w:sz="12" w:space="0"/>
              <w:right w:val="single" w:color="000000" w:sz="4" w:space="0"/>
            </w:tcBorders>
            <w:vAlign w:val="center"/>
          </w:tcPr>
          <w:p w14:paraId="5418B847">
            <w:pPr>
              <w:ind w:left="-105" w:right="-105"/>
              <w:jc w:val="center"/>
              <w:rPr>
                <w:rFonts w:ascii="Times New Roman" w:hAnsi="Times New Roman"/>
                <w:color w:val="auto"/>
                <w:sz w:val="21"/>
                <w:szCs w:val="21"/>
                <w:highlight w:val="none"/>
              </w:rPr>
            </w:pPr>
            <w:r>
              <w:rPr>
                <w:rFonts w:hint="eastAsia" w:ascii="Times New Roman" w:hAnsi="Times New Roman" w:cs="Times New Roman"/>
                <w:bCs/>
                <w:color w:val="auto"/>
                <w:sz w:val="21"/>
                <w:szCs w:val="21"/>
                <w:highlight w:val="none"/>
              </w:rPr>
              <w:t>朱巷村</w:t>
            </w:r>
          </w:p>
        </w:tc>
        <w:tc>
          <w:tcPr>
            <w:tcW w:w="1372" w:type="pct"/>
            <w:tcBorders>
              <w:top w:val="single" w:color="000000" w:sz="4" w:space="0"/>
              <w:left w:val="single" w:color="000000" w:sz="4" w:space="0"/>
              <w:bottom w:val="single" w:color="000000" w:sz="12" w:space="0"/>
              <w:right w:val="single" w:color="000000" w:sz="4" w:space="0"/>
            </w:tcBorders>
            <w:vAlign w:val="center"/>
          </w:tcPr>
          <w:p w14:paraId="506EFB04">
            <w:pPr>
              <w:autoSpaceDE w:val="0"/>
              <w:autoSpaceDN w:val="0"/>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140m</w:t>
            </w:r>
          </w:p>
        </w:tc>
        <w:tc>
          <w:tcPr>
            <w:tcW w:w="1238" w:type="pct"/>
            <w:vMerge w:val="continue"/>
            <w:tcBorders>
              <w:left w:val="single" w:color="000000" w:sz="4" w:space="0"/>
              <w:bottom w:val="single" w:color="000000" w:sz="12" w:space="0"/>
              <w:right w:val="nil"/>
            </w:tcBorders>
            <w:vAlign w:val="center"/>
          </w:tcPr>
          <w:p w14:paraId="16F8CF69">
            <w:pPr>
              <w:ind w:left="-105" w:right="-105"/>
              <w:jc w:val="center"/>
              <w:rPr>
                <w:rFonts w:ascii="Times New Roman" w:hAnsi="Times New Roman"/>
                <w:color w:val="auto"/>
                <w:sz w:val="21"/>
                <w:szCs w:val="21"/>
                <w:highlight w:val="none"/>
              </w:rPr>
            </w:pPr>
          </w:p>
        </w:tc>
      </w:tr>
    </w:tbl>
    <w:p w14:paraId="19DB8D66">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（2）监测时间及频次：202</w:t>
      </w:r>
      <w:r>
        <w:rPr>
          <w:rFonts w:hint="eastAsia" w:ascii="Times New Roman" w:hAnsi="Times New Roman"/>
          <w:color w:val="auto"/>
          <w:highlight w:val="none"/>
        </w:rPr>
        <w:t>4</w:t>
      </w:r>
      <w:r>
        <w:rPr>
          <w:rFonts w:ascii="Times New Roman" w:hAnsi="Times New Roman"/>
          <w:color w:val="auto"/>
          <w:highlight w:val="none"/>
        </w:rPr>
        <w:t>年</w:t>
      </w:r>
      <w:r>
        <w:rPr>
          <w:rFonts w:hint="eastAsia" w:ascii="Times New Roman" w:hAnsi="Times New Roman"/>
          <w:color w:val="auto"/>
          <w:highlight w:val="none"/>
        </w:rPr>
        <w:t>4</w:t>
      </w:r>
      <w:r>
        <w:rPr>
          <w:rFonts w:ascii="Times New Roman" w:hAnsi="Times New Roman"/>
          <w:color w:val="auto"/>
          <w:highlight w:val="none"/>
        </w:rPr>
        <w:t>月</w:t>
      </w:r>
      <w:r>
        <w:rPr>
          <w:rFonts w:hint="eastAsia" w:ascii="Times New Roman" w:hAnsi="Times New Roman"/>
          <w:color w:val="auto"/>
          <w:highlight w:val="none"/>
        </w:rPr>
        <w:t>22</w:t>
      </w:r>
      <w:r>
        <w:rPr>
          <w:rFonts w:ascii="Times New Roman" w:hAnsi="Times New Roman"/>
          <w:color w:val="auto"/>
          <w:highlight w:val="none"/>
        </w:rPr>
        <w:t>日、</w:t>
      </w:r>
      <w:r>
        <w:rPr>
          <w:rFonts w:hint="eastAsia" w:ascii="Times New Roman" w:hAnsi="Times New Roman"/>
          <w:color w:val="auto"/>
          <w:highlight w:val="none"/>
        </w:rPr>
        <w:t>23</w:t>
      </w:r>
      <w:r>
        <w:rPr>
          <w:rFonts w:ascii="Times New Roman" w:hAnsi="Times New Roman"/>
          <w:color w:val="auto"/>
          <w:highlight w:val="none"/>
        </w:rPr>
        <w:t>日监测两天，昼夜间各一次；</w:t>
      </w:r>
    </w:p>
    <w:p w14:paraId="640A630A">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（3）监测方法：厂界环境噪声监测采用《声环</w:t>
      </w:r>
      <w:r>
        <w:rPr>
          <w:rFonts w:ascii="Times New Roman" w:hAnsi="Times New Roman"/>
          <w:color w:val="auto"/>
          <w:highlight w:val="none"/>
        </w:rPr>
        <w:t>境质量标准》（GB3096-2008）标准。</w:t>
      </w:r>
    </w:p>
    <w:p w14:paraId="186A79F1">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（4）监测结果：</w:t>
      </w:r>
    </w:p>
    <w:p w14:paraId="2FF29725">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本次委托无锡市恒信安全技术服务有限公司进行检测，根据出具的检测报告（报告编号：恒信（环）字第HXHJ202404054号），</w:t>
      </w:r>
      <w:r>
        <w:rPr>
          <w:rFonts w:ascii="Times New Roman" w:hAnsi="Times New Roman"/>
          <w:color w:val="auto"/>
          <w:highlight w:val="none"/>
        </w:rPr>
        <w:t>本次各测点噪声环境现状监测结果列于下表。</w:t>
      </w:r>
    </w:p>
    <w:p w14:paraId="5315D2BD">
      <w:pPr>
        <w:pStyle w:val="15"/>
        <w:spacing w:line="360" w:lineRule="auto"/>
        <w:ind w:left="-105" w:right="-105" w:firstLine="482"/>
        <w:rPr>
          <w:rFonts w:eastAsia="宋体" w:cs="Times New Roman"/>
          <w:bCs/>
          <w:color w:val="auto"/>
          <w:sz w:val="24"/>
          <w:szCs w:val="22"/>
          <w:highlight w:val="none"/>
        </w:rPr>
      </w:pPr>
      <w:bookmarkStart w:id="349" w:name="_Ref36569566"/>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9</w:t>
      </w:r>
      <w:r>
        <w:rPr>
          <w:rFonts w:eastAsia="宋体" w:cs="Times New Roman"/>
          <w:color w:val="auto"/>
          <w:sz w:val="24"/>
          <w:szCs w:val="18"/>
          <w:highlight w:val="none"/>
        </w:rPr>
        <w:fldChar w:fldCharType="end"/>
      </w:r>
      <w:r>
        <w:rPr>
          <w:rFonts w:eastAsia="宋体" w:cs="Times New Roman"/>
          <w:color w:val="auto"/>
          <w:sz w:val="24"/>
          <w:szCs w:val="18"/>
          <w:highlight w:val="none"/>
        </w:rPr>
        <w:t>各测点噪声监测结果（单位：dB(A)）</w:t>
      </w:r>
      <w:bookmarkEnd w:id="349"/>
    </w:p>
    <w:tbl>
      <w:tblPr>
        <w:tblStyle w:val="45"/>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78"/>
        <w:gridCol w:w="1453"/>
        <w:gridCol w:w="909"/>
        <w:gridCol w:w="909"/>
        <w:gridCol w:w="909"/>
        <w:gridCol w:w="909"/>
        <w:gridCol w:w="909"/>
        <w:gridCol w:w="914"/>
      </w:tblGrid>
      <w:tr w14:paraId="281975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tcBorders>
              <w:tl2br w:val="nil"/>
              <w:tr2bl w:val="nil"/>
            </w:tcBorders>
            <w:vAlign w:val="center"/>
          </w:tcPr>
          <w:p w14:paraId="7DE61742">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监测时</w:t>
            </w:r>
          </w:p>
          <w:p w14:paraId="64FCF01C">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间</w:t>
            </w:r>
          </w:p>
        </w:tc>
        <w:tc>
          <w:tcPr>
            <w:tcW w:w="516" w:type="pct"/>
            <w:tcBorders>
              <w:tl2br w:val="nil"/>
              <w:tr2bl w:val="nil"/>
            </w:tcBorders>
            <w:vAlign w:val="center"/>
          </w:tcPr>
          <w:p w14:paraId="3B92AD8C">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监测点号</w:t>
            </w:r>
          </w:p>
        </w:tc>
        <w:tc>
          <w:tcPr>
            <w:tcW w:w="854" w:type="pct"/>
            <w:tcBorders>
              <w:tl2br w:val="nil"/>
              <w:tr2bl w:val="nil"/>
            </w:tcBorders>
            <w:vAlign w:val="center"/>
          </w:tcPr>
          <w:p w14:paraId="07052BEE">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环境功能</w:t>
            </w:r>
          </w:p>
        </w:tc>
        <w:tc>
          <w:tcPr>
            <w:tcW w:w="534" w:type="pct"/>
            <w:tcBorders>
              <w:tl2br w:val="nil"/>
              <w:tr2bl w:val="nil"/>
            </w:tcBorders>
            <w:vAlign w:val="center"/>
          </w:tcPr>
          <w:p w14:paraId="459F5389">
            <w:pPr>
              <w:keepNext w:val="0"/>
              <w:keepLines w:val="0"/>
              <w:pageBreakBefore w:val="0"/>
              <w:kinsoku/>
              <w:wordWrap/>
              <w:overflowPunct/>
              <w:topLinePunct w:val="0"/>
              <w:autoSpaceDE w:val="0"/>
              <w:autoSpaceDN w:val="0"/>
              <w:bidi w:val="0"/>
              <w:adjustRightInd/>
              <w:snapToGrid/>
              <w:ind w:left="0" w:right="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昼间标准</w:t>
            </w:r>
          </w:p>
        </w:tc>
        <w:tc>
          <w:tcPr>
            <w:tcW w:w="534" w:type="pct"/>
            <w:tcBorders>
              <w:tl2br w:val="nil"/>
              <w:tr2bl w:val="nil"/>
            </w:tcBorders>
            <w:vAlign w:val="center"/>
          </w:tcPr>
          <w:p w14:paraId="13B75249">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昼间</w:t>
            </w:r>
          </w:p>
        </w:tc>
        <w:tc>
          <w:tcPr>
            <w:tcW w:w="534" w:type="pct"/>
            <w:tcBorders>
              <w:tl2br w:val="nil"/>
              <w:tr2bl w:val="nil"/>
            </w:tcBorders>
            <w:vAlign w:val="center"/>
          </w:tcPr>
          <w:p w14:paraId="78AB52B8">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达标状况</w:t>
            </w:r>
          </w:p>
        </w:tc>
        <w:tc>
          <w:tcPr>
            <w:tcW w:w="534" w:type="pct"/>
            <w:tcBorders>
              <w:tl2br w:val="nil"/>
              <w:tr2bl w:val="nil"/>
            </w:tcBorders>
            <w:vAlign w:val="center"/>
          </w:tcPr>
          <w:p w14:paraId="227646C5">
            <w:pPr>
              <w:keepNext w:val="0"/>
              <w:keepLines w:val="0"/>
              <w:pageBreakBefore w:val="0"/>
              <w:kinsoku/>
              <w:wordWrap/>
              <w:overflowPunct/>
              <w:topLinePunct w:val="0"/>
              <w:autoSpaceDE w:val="0"/>
              <w:autoSpaceDN w:val="0"/>
              <w:bidi w:val="0"/>
              <w:adjustRightInd/>
              <w:snapToGrid/>
              <w:ind w:left="0" w:right="0"/>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夜间标准</w:t>
            </w:r>
          </w:p>
        </w:tc>
        <w:tc>
          <w:tcPr>
            <w:tcW w:w="534" w:type="pct"/>
            <w:tcBorders>
              <w:tl2br w:val="nil"/>
              <w:tr2bl w:val="nil"/>
            </w:tcBorders>
            <w:vAlign w:val="center"/>
          </w:tcPr>
          <w:p w14:paraId="43F05AEA">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夜间</w:t>
            </w:r>
          </w:p>
        </w:tc>
        <w:tc>
          <w:tcPr>
            <w:tcW w:w="537" w:type="pct"/>
            <w:tcBorders>
              <w:tl2br w:val="nil"/>
              <w:tr2bl w:val="nil"/>
            </w:tcBorders>
            <w:vAlign w:val="center"/>
          </w:tcPr>
          <w:p w14:paraId="251B5505">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达标状况</w:t>
            </w:r>
          </w:p>
        </w:tc>
      </w:tr>
      <w:tr w14:paraId="086C93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restart"/>
            <w:tcBorders>
              <w:tl2br w:val="nil"/>
              <w:tr2bl w:val="nil"/>
            </w:tcBorders>
            <w:vAlign w:val="center"/>
          </w:tcPr>
          <w:p w14:paraId="5E174F30">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2024年4月22日</w:t>
            </w:r>
          </w:p>
        </w:tc>
        <w:tc>
          <w:tcPr>
            <w:tcW w:w="516" w:type="pct"/>
            <w:tcBorders>
              <w:tl2br w:val="nil"/>
              <w:tr2bl w:val="nil"/>
            </w:tcBorders>
            <w:vAlign w:val="center"/>
          </w:tcPr>
          <w:p w14:paraId="13A07F9B">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Z1</w:t>
            </w:r>
          </w:p>
        </w:tc>
        <w:tc>
          <w:tcPr>
            <w:tcW w:w="854" w:type="pct"/>
            <w:vMerge w:val="restart"/>
            <w:tcBorders>
              <w:tl2br w:val="nil"/>
              <w:tr2bl w:val="nil"/>
            </w:tcBorders>
            <w:vAlign w:val="center"/>
          </w:tcPr>
          <w:p w14:paraId="792877C6">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《声环境质量标准》</w:t>
            </w:r>
          </w:p>
          <w:p w14:paraId="16253BF7">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（GB3096-2008中的</w:t>
            </w:r>
            <w:r>
              <w:rPr>
                <w:rFonts w:hint="eastAsia" w:ascii="Times New Roman" w:hAnsi="Times New Roman" w:cs="Times New Roman"/>
                <w:color w:val="auto"/>
                <w:sz w:val="21"/>
                <w:szCs w:val="21"/>
                <w:highlight w:val="none"/>
              </w:rPr>
              <w:t>2类</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3类标准）</w:t>
            </w:r>
          </w:p>
        </w:tc>
        <w:tc>
          <w:tcPr>
            <w:tcW w:w="534" w:type="pct"/>
            <w:tcBorders>
              <w:tl2br w:val="nil"/>
              <w:tr2bl w:val="nil"/>
            </w:tcBorders>
            <w:vAlign w:val="center"/>
          </w:tcPr>
          <w:p w14:paraId="6A9559C3">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73412AFA">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w:t>
            </w:r>
          </w:p>
        </w:tc>
        <w:tc>
          <w:tcPr>
            <w:tcW w:w="534" w:type="pct"/>
            <w:tcBorders>
              <w:tl2br w:val="nil"/>
              <w:tr2bl w:val="nil"/>
            </w:tcBorders>
            <w:vAlign w:val="center"/>
          </w:tcPr>
          <w:p w14:paraId="275461FB">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60961126">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2E0E2BF6">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w:t>
            </w:r>
          </w:p>
        </w:tc>
        <w:tc>
          <w:tcPr>
            <w:tcW w:w="537" w:type="pct"/>
            <w:tcBorders>
              <w:tl2br w:val="nil"/>
              <w:tr2bl w:val="nil"/>
            </w:tcBorders>
            <w:vAlign w:val="center"/>
          </w:tcPr>
          <w:p w14:paraId="1A1C8E83">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6A8CA4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3234CF1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7B2264BE">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Z2</w:t>
            </w:r>
          </w:p>
        </w:tc>
        <w:tc>
          <w:tcPr>
            <w:tcW w:w="854" w:type="pct"/>
            <w:vMerge w:val="continue"/>
            <w:tcBorders>
              <w:tl2br w:val="nil"/>
              <w:tr2bl w:val="nil"/>
            </w:tcBorders>
            <w:vAlign w:val="center"/>
          </w:tcPr>
          <w:p w14:paraId="573EE6D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7A029747">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77C4D50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73C0D117">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3D67C57A">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4899B04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717EA38C">
            <w:pPr>
              <w:pStyle w:val="98"/>
              <w:keepNext w:val="0"/>
              <w:keepLines w:val="0"/>
              <w:pageBreakBefore w:val="0"/>
              <w:kinsoku/>
              <w:wordWrap/>
              <w:overflowPunct/>
              <w:topLinePunct w:val="0"/>
              <w:bidi w:val="0"/>
              <w:adjustRightInd/>
              <w:snapToGrid/>
              <w:ind w:left="0" w:right="0"/>
              <w:textAlignment w:val="auto"/>
              <w:rPr>
                <w:rFonts w:eastAsia="宋体"/>
                <w:color w:val="auto"/>
                <w:kern w:val="2"/>
                <w:sz w:val="21"/>
                <w:szCs w:val="21"/>
                <w:highlight w:val="none"/>
                <w:lang w:val="en-US" w:bidi="ar-SA"/>
              </w:rPr>
            </w:pPr>
            <w:r>
              <w:rPr>
                <w:rFonts w:eastAsia="宋体"/>
                <w:color w:val="auto"/>
                <w:kern w:val="2"/>
                <w:sz w:val="21"/>
                <w:szCs w:val="21"/>
                <w:highlight w:val="none"/>
                <w:lang w:val="en-US" w:bidi="ar-SA"/>
              </w:rPr>
              <w:t>达标</w:t>
            </w:r>
          </w:p>
        </w:tc>
      </w:tr>
      <w:tr w14:paraId="2AC97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3B01CBA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1A118685">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Z3</w:t>
            </w:r>
          </w:p>
        </w:tc>
        <w:tc>
          <w:tcPr>
            <w:tcW w:w="854" w:type="pct"/>
            <w:vMerge w:val="continue"/>
            <w:tcBorders>
              <w:tl2br w:val="nil"/>
              <w:tr2bl w:val="nil"/>
            </w:tcBorders>
            <w:vAlign w:val="center"/>
          </w:tcPr>
          <w:p w14:paraId="235A822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0A19370B">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16C6F32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w:t>
            </w:r>
          </w:p>
        </w:tc>
        <w:tc>
          <w:tcPr>
            <w:tcW w:w="534" w:type="pct"/>
            <w:tcBorders>
              <w:tl2br w:val="nil"/>
              <w:tr2bl w:val="nil"/>
            </w:tcBorders>
            <w:vAlign w:val="center"/>
          </w:tcPr>
          <w:p w14:paraId="48387C98">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18A57C84">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5BDD7AF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61CAC118">
            <w:pPr>
              <w:pStyle w:val="98"/>
              <w:keepNext w:val="0"/>
              <w:keepLines w:val="0"/>
              <w:pageBreakBefore w:val="0"/>
              <w:kinsoku/>
              <w:wordWrap/>
              <w:overflowPunct/>
              <w:topLinePunct w:val="0"/>
              <w:bidi w:val="0"/>
              <w:adjustRightInd/>
              <w:snapToGrid/>
              <w:ind w:left="0" w:right="0"/>
              <w:textAlignment w:val="auto"/>
              <w:rPr>
                <w:rFonts w:eastAsia="宋体"/>
                <w:color w:val="auto"/>
                <w:kern w:val="2"/>
                <w:sz w:val="21"/>
                <w:szCs w:val="21"/>
                <w:highlight w:val="none"/>
                <w:lang w:val="en-US" w:bidi="ar-SA"/>
              </w:rPr>
            </w:pPr>
            <w:r>
              <w:rPr>
                <w:rFonts w:eastAsia="宋体"/>
                <w:color w:val="auto"/>
                <w:kern w:val="2"/>
                <w:sz w:val="21"/>
                <w:szCs w:val="21"/>
                <w:highlight w:val="none"/>
                <w:lang w:val="en-US" w:bidi="ar-SA"/>
              </w:rPr>
              <w:t>达标</w:t>
            </w:r>
          </w:p>
        </w:tc>
      </w:tr>
      <w:tr w14:paraId="47457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4937B4E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65351541">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Z4</w:t>
            </w:r>
          </w:p>
        </w:tc>
        <w:tc>
          <w:tcPr>
            <w:tcW w:w="854" w:type="pct"/>
            <w:vMerge w:val="continue"/>
            <w:tcBorders>
              <w:tl2br w:val="nil"/>
              <w:tr2bl w:val="nil"/>
            </w:tcBorders>
            <w:vAlign w:val="center"/>
          </w:tcPr>
          <w:p w14:paraId="5F5DB87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42C6E00E">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584694E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w:t>
            </w:r>
          </w:p>
        </w:tc>
        <w:tc>
          <w:tcPr>
            <w:tcW w:w="534" w:type="pct"/>
            <w:tcBorders>
              <w:tl2br w:val="nil"/>
              <w:tr2bl w:val="nil"/>
            </w:tcBorders>
            <w:vAlign w:val="center"/>
          </w:tcPr>
          <w:p w14:paraId="4C92CC81">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6842CF16">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46FA2C1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3B740378">
            <w:pPr>
              <w:pStyle w:val="98"/>
              <w:keepNext w:val="0"/>
              <w:keepLines w:val="0"/>
              <w:pageBreakBefore w:val="0"/>
              <w:kinsoku/>
              <w:wordWrap/>
              <w:overflowPunct/>
              <w:topLinePunct w:val="0"/>
              <w:bidi w:val="0"/>
              <w:adjustRightInd/>
              <w:snapToGrid/>
              <w:ind w:left="0" w:right="0"/>
              <w:textAlignment w:val="auto"/>
              <w:rPr>
                <w:rFonts w:eastAsia="宋体"/>
                <w:color w:val="auto"/>
                <w:kern w:val="2"/>
                <w:sz w:val="21"/>
                <w:szCs w:val="21"/>
                <w:highlight w:val="none"/>
                <w:lang w:val="en-US" w:bidi="ar-SA"/>
              </w:rPr>
            </w:pPr>
            <w:r>
              <w:rPr>
                <w:rFonts w:eastAsia="宋体"/>
                <w:color w:val="auto"/>
                <w:kern w:val="2"/>
                <w:sz w:val="21"/>
                <w:szCs w:val="21"/>
                <w:highlight w:val="none"/>
                <w:lang w:val="en-US" w:bidi="ar-SA"/>
              </w:rPr>
              <w:t>达标</w:t>
            </w:r>
          </w:p>
        </w:tc>
      </w:tr>
      <w:tr w14:paraId="115BA9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10FB3F5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5863D2EE">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Z5</w:t>
            </w:r>
          </w:p>
        </w:tc>
        <w:tc>
          <w:tcPr>
            <w:tcW w:w="854" w:type="pct"/>
            <w:vMerge w:val="continue"/>
            <w:tcBorders>
              <w:tl2br w:val="nil"/>
              <w:tr2bl w:val="nil"/>
            </w:tcBorders>
            <w:vAlign w:val="center"/>
          </w:tcPr>
          <w:p w14:paraId="724E5FC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0839A7DF">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3F2F768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75CDAD98">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6CAA6D05">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45CFF39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w:t>
            </w:r>
          </w:p>
        </w:tc>
        <w:tc>
          <w:tcPr>
            <w:tcW w:w="537" w:type="pct"/>
            <w:tcBorders>
              <w:tl2br w:val="nil"/>
              <w:tr2bl w:val="nil"/>
            </w:tcBorders>
            <w:vAlign w:val="center"/>
          </w:tcPr>
          <w:p w14:paraId="6DE150C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395B5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6AA9611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76C4EDA0">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Z6</w:t>
            </w:r>
          </w:p>
        </w:tc>
        <w:tc>
          <w:tcPr>
            <w:tcW w:w="854" w:type="pct"/>
            <w:vMerge w:val="continue"/>
            <w:tcBorders>
              <w:tl2br w:val="nil"/>
              <w:tr2bl w:val="nil"/>
            </w:tcBorders>
            <w:vAlign w:val="center"/>
          </w:tcPr>
          <w:p w14:paraId="13E13CC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1379F40C">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62D3161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1F3076CA">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3E28E09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0358283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w:t>
            </w:r>
          </w:p>
        </w:tc>
        <w:tc>
          <w:tcPr>
            <w:tcW w:w="537" w:type="pct"/>
            <w:tcBorders>
              <w:tl2br w:val="nil"/>
              <w:tr2bl w:val="nil"/>
            </w:tcBorders>
            <w:vAlign w:val="center"/>
          </w:tcPr>
          <w:p w14:paraId="20B1397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638E2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762275D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1E232775">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Z7</w:t>
            </w:r>
          </w:p>
        </w:tc>
        <w:tc>
          <w:tcPr>
            <w:tcW w:w="854" w:type="pct"/>
            <w:vMerge w:val="continue"/>
            <w:tcBorders>
              <w:tl2br w:val="nil"/>
              <w:tr2bl w:val="nil"/>
            </w:tcBorders>
            <w:vAlign w:val="center"/>
          </w:tcPr>
          <w:p w14:paraId="2756E1E0">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34" w:type="pct"/>
            <w:tcBorders>
              <w:tl2br w:val="nil"/>
              <w:tr2bl w:val="nil"/>
            </w:tcBorders>
            <w:vAlign w:val="center"/>
          </w:tcPr>
          <w:p w14:paraId="1348802F">
            <w:pPr>
              <w:keepNext w:val="0"/>
              <w:keepLines w:val="0"/>
              <w:pageBreakBefore w:val="0"/>
              <w:kinsoku/>
              <w:wordWrap/>
              <w:overflowPunct/>
              <w:topLinePunct w:val="0"/>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259C8331">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w:t>
            </w:r>
          </w:p>
        </w:tc>
        <w:tc>
          <w:tcPr>
            <w:tcW w:w="534" w:type="pct"/>
            <w:tcBorders>
              <w:tl2br w:val="nil"/>
              <w:tr2bl w:val="nil"/>
            </w:tcBorders>
            <w:vAlign w:val="center"/>
          </w:tcPr>
          <w:p w14:paraId="0CBF8DBA">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534" w:type="pct"/>
            <w:tcBorders>
              <w:tl2br w:val="nil"/>
              <w:tr2bl w:val="nil"/>
            </w:tcBorders>
            <w:vAlign w:val="center"/>
          </w:tcPr>
          <w:p w14:paraId="05BCCAC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416ED16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w:t>
            </w:r>
          </w:p>
        </w:tc>
        <w:tc>
          <w:tcPr>
            <w:tcW w:w="537" w:type="pct"/>
            <w:tcBorders>
              <w:tl2br w:val="nil"/>
              <w:tr2bl w:val="nil"/>
            </w:tcBorders>
            <w:vAlign w:val="center"/>
          </w:tcPr>
          <w:p w14:paraId="5BF4ECD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6E69D1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restart"/>
            <w:tcBorders>
              <w:tl2br w:val="nil"/>
              <w:tr2bl w:val="nil"/>
            </w:tcBorders>
            <w:vAlign w:val="center"/>
          </w:tcPr>
          <w:p w14:paraId="1B929C48">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2024年4月23日</w:t>
            </w:r>
          </w:p>
        </w:tc>
        <w:tc>
          <w:tcPr>
            <w:tcW w:w="516" w:type="pct"/>
            <w:tcBorders>
              <w:tl2br w:val="nil"/>
              <w:tr2bl w:val="nil"/>
            </w:tcBorders>
            <w:vAlign w:val="center"/>
          </w:tcPr>
          <w:p w14:paraId="104B478C">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Z1</w:t>
            </w:r>
          </w:p>
        </w:tc>
        <w:tc>
          <w:tcPr>
            <w:tcW w:w="854" w:type="pct"/>
            <w:vMerge w:val="continue"/>
            <w:tcBorders>
              <w:tl2br w:val="nil"/>
              <w:tr2bl w:val="nil"/>
            </w:tcBorders>
            <w:vAlign w:val="center"/>
          </w:tcPr>
          <w:p w14:paraId="123EBCA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5FD08DDF">
            <w:pPr>
              <w:keepNext w:val="0"/>
              <w:keepLines w:val="0"/>
              <w:pageBreakBefore w:val="0"/>
              <w:tabs>
                <w:tab w:val="left" w:pos="360"/>
                <w:tab w:val="left" w:pos="1080"/>
              </w:tabs>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796B3D10">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w:t>
            </w:r>
          </w:p>
        </w:tc>
        <w:tc>
          <w:tcPr>
            <w:tcW w:w="534" w:type="pct"/>
            <w:tcBorders>
              <w:tl2br w:val="nil"/>
              <w:tr2bl w:val="nil"/>
            </w:tcBorders>
            <w:vAlign w:val="center"/>
          </w:tcPr>
          <w:p w14:paraId="01D79FA9">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56581D8D">
            <w:pPr>
              <w:keepNext w:val="0"/>
              <w:keepLines w:val="0"/>
              <w:pageBreakBefore w:val="0"/>
              <w:tabs>
                <w:tab w:val="left" w:pos="360"/>
                <w:tab w:val="left" w:pos="1080"/>
              </w:tabs>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16FE92E1">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2DD45AC9">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0733D8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587EF69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54EDB6BF">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Z2</w:t>
            </w:r>
          </w:p>
        </w:tc>
        <w:tc>
          <w:tcPr>
            <w:tcW w:w="854" w:type="pct"/>
            <w:vMerge w:val="continue"/>
            <w:tcBorders>
              <w:tl2br w:val="nil"/>
              <w:tr2bl w:val="nil"/>
            </w:tcBorders>
            <w:vAlign w:val="center"/>
          </w:tcPr>
          <w:p w14:paraId="286FF5F3">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6BF69BA3">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1D60283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58</w:t>
            </w:r>
          </w:p>
        </w:tc>
        <w:tc>
          <w:tcPr>
            <w:tcW w:w="534" w:type="pct"/>
            <w:tcBorders>
              <w:tl2br w:val="nil"/>
              <w:tr2bl w:val="nil"/>
            </w:tcBorders>
            <w:vAlign w:val="center"/>
          </w:tcPr>
          <w:p w14:paraId="38812741">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29563B3C">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36E5D9DB">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w:t>
            </w:r>
          </w:p>
        </w:tc>
        <w:tc>
          <w:tcPr>
            <w:tcW w:w="537" w:type="pct"/>
            <w:tcBorders>
              <w:tl2br w:val="nil"/>
              <w:tr2bl w:val="nil"/>
            </w:tcBorders>
            <w:vAlign w:val="center"/>
          </w:tcPr>
          <w:p w14:paraId="6BF441E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6E86A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0BD8210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4EB1FA4E">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Z3</w:t>
            </w:r>
          </w:p>
        </w:tc>
        <w:tc>
          <w:tcPr>
            <w:tcW w:w="854" w:type="pct"/>
            <w:vMerge w:val="continue"/>
            <w:tcBorders>
              <w:tl2br w:val="nil"/>
              <w:tr2bl w:val="nil"/>
            </w:tcBorders>
            <w:vAlign w:val="center"/>
          </w:tcPr>
          <w:p w14:paraId="170A328C">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3E1AFC5A">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01C3240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w:t>
            </w:r>
          </w:p>
        </w:tc>
        <w:tc>
          <w:tcPr>
            <w:tcW w:w="534" w:type="pct"/>
            <w:tcBorders>
              <w:tl2br w:val="nil"/>
              <w:tr2bl w:val="nil"/>
            </w:tcBorders>
            <w:vAlign w:val="center"/>
          </w:tcPr>
          <w:p w14:paraId="4ADA9595">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3EEDAC83">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64C218E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1DBB86D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2DB6A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417" w:type="pct"/>
            <w:vMerge w:val="continue"/>
            <w:tcBorders>
              <w:tl2br w:val="nil"/>
              <w:tr2bl w:val="nil"/>
            </w:tcBorders>
            <w:vAlign w:val="center"/>
          </w:tcPr>
          <w:p w14:paraId="2F31CEBD">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29FA60B4">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Z4</w:t>
            </w:r>
          </w:p>
        </w:tc>
        <w:tc>
          <w:tcPr>
            <w:tcW w:w="854" w:type="pct"/>
            <w:vMerge w:val="continue"/>
            <w:tcBorders>
              <w:tl2br w:val="nil"/>
              <w:tr2bl w:val="nil"/>
            </w:tcBorders>
            <w:vAlign w:val="center"/>
          </w:tcPr>
          <w:p w14:paraId="7C23750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10D2CC1E">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65</w:t>
            </w:r>
          </w:p>
        </w:tc>
        <w:tc>
          <w:tcPr>
            <w:tcW w:w="534" w:type="pct"/>
            <w:tcBorders>
              <w:tl2br w:val="nil"/>
              <w:tr2bl w:val="nil"/>
            </w:tcBorders>
            <w:vAlign w:val="center"/>
          </w:tcPr>
          <w:p w14:paraId="6EBAF3C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256B9B81">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4C1E4018">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55</w:t>
            </w:r>
          </w:p>
        </w:tc>
        <w:tc>
          <w:tcPr>
            <w:tcW w:w="534" w:type="pct"/>
            <w:tcBorders>
              <w:tl2br w:val="nil"/>
              <w:tr2bl w:val="nil"/>
            </w:tcBorders>
            <w:vAlign w:val="center"/>
          </w:tcPr>
          <w:p w14:paraId="2BD5979E">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w:t>
            </w:r>
          </w:p>
        </w:tc>
        <w:tc>
          <w:tcPr>
            <w:tcW w:w="537" w:type="pct"/>
            <w:tcBorders>
              <w:tl2br w:val="nil"/>
              <w:tr2bl w:val="nil"/>
            </w:tcBorders>
            <w:vAlign w:val="center"/>
          </w:tcPr>
          <w:p w14:paraId="4D6CFE6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7D6D8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5B7993D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655E90F2">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Z5</w:t>
            </w:r>
          </w:p>
        </w:tc>
        <w:tc>
          <w:tcPr>
            <w:tcW w:w="854" w:type="pct"/>
            <w:vMerge w:val="continue"/>
            <w:tcBorders>
              <w:tl2br w:val="nil"/>
              <w:tr2bl w:val="nil"/>
            </w:tcBorders>
            <w:vAlign w:val="center"/>
          </w:tcPr>
          <w:p w14:paraId="4AAE3D7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2168094B">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6344D61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7B03B744">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63DE74ED">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03F5C5F5">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w:t>
            </w:r>
          </w:p>
        </w:tc>
        <w:tc>
          <w:tcPr>
            <w:tcW w:w="537" w:type="pct"/>
            <w:tcBorders>
              <w:tl2br w:val="nil"/>
              <w:tr2bl w:val="nil"/>
            </w:tcBorders>
            <w:vAlign w:val="center"/>
          </w:tcPr>
          <w:p w14:paraId="6122FD46">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46646F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1953E4D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5503B864">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Z6</w:t>
            </w:r>
          </w:p>
        </w:tc>
        <w:tc>
          <w:tcPr>
            <w:tcW w:w="854" w:type="pct"/>
            <w:vMerge w:val="continue"/>
            <w:tcBorders>
              <w:tl2br w:val="nil"/>
              <w:tr2bl w:val="nil"/>
            </w:tcBorders>
            <w:vAlign w:val="center"/>
          </w:tcPr>
          <w:p w14:paraId="3EB816E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79786CB1">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13BBE5BF">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w:t>
            </w:r>
          </w:p>
        </w:tc>
        <w:tc>
          <w:tcPr>
            <w:tcW w:w="534" w:type="pct"/>
            <w:tcBorders>
              <w:tl2br w:val="nil"/>
              <w:tr2bl w:val="nil"/>
            </w:tcBorders>
            <w:vAlign w:val="center"/>
          </w:tcPr>
          <w:p w14:paraId="5E1935CF">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1A71EF42">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64C86BB8">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1585C379">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r w14:paraId="2E278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7" w:type="pct"/>
            <w:vMerge w:val="continue"/>
            <w:tcBorders>
              <w:tl2br w:val="nil"/>
              <w:tr2bl w:val="nil"/>
            </w:tcBorders>
            <w:vAlign w:val="center"/>
          </w:tcPr>
          <w:p w14:paraId="33749C2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516" w:type="pct"/>
            <w:tcBorders>
              <w:tl2br w:val="nil"/>
              <w:tr2bl w:val="nil"/>
            </w:tcBorders>
            <w:vAlign w:val="center"/>
          </w:tcPr>
          <w:p w14:paraId="76D46870">
            <w:pPr>
              <w:keepNext w:val="0"/>
              <w:keepLines w:val="0"/>
              <w:pageBreakBefore w:val="0"/>
              <w:tabs>
                <w:tab w:val="left" w:pos="360"/>
                <w:tab w:val="left" w:pos="1080"/>
              </w:tabs>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Z7</w:t>
            </w:r>
          </w:p>
        </w:tc>
        <w:tc>
          <w:tcPr>
            <w:tcW w:w="854" w:type="pct"/>
            <w:vMerge w:val="continue"/>
            <w:tcBorders>
              <w:tl2br w:val="nil"/>
              <w:tr2bl w:val="nil"/>
            </w:tcBorders>
            <w:vAlign w:val="center"/>
          </w:tcPr>
          <w:p w14:paraId="19A573B7">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p>
        </w:tc>
        <w:tc>
          <w:tcPr>
            <w:tcW w:w="909" w:type="dxa"/>
            <w:tcBorders>
              <w:tl2br w:val="nil"/>
              <w:tr2bl w:val="nil"/>
            </w:tcBorders>
            <w:vAlign w:val="center"/>
          </w:tcPr>
          <w:p w14:paraId="0182CBF3">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60</w:t>
            </w:r>
          </w:p>
        </w:tc>
        <w:tc>
          <w:tcPr>
            <w:tcW w:w="534" w:type="pct"/>
            <w:tcBorders>
              <w:tl2br w:val="nil"/>
              <w:tr2bl w:val="nil"/>
            </w:tcBorders>
            <w:vAlign w:val="center"/>
          </w:tcPr>
          <w:p w14:paraId="1791E47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w:t>
            </w:r>
          </w:p>
        </w:tc>
        <w:tc>
          <w:tcPr>
            <w:tcW w:w="534" w:type="pct"/>
            <w:tcBorders>
              <w:tl2br w:val="nil"/>
              <w:tr2bl w:val="nil"/>
            </w:tcBorders>
            <w:vAlign w:val="center"/>
          </w:tcPr>
          <w:p w14:paraId="16FAA3BA">
            <w:pPr>
              <w:keepNext w:val="0"/>
              <w:keepLines w:val="0"/>
              <w:pageBreakBefore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c>
          <w:tcPr>
            <w:tcW w:w="909" w:type="dxa"/>
            <w:tcBorders>
              <w:tl2br w:val="nil"/>
              <w:tr2bl w:val="nil"/>
            </w:tcBorders>
            <w:vAlign w:val="center"/>
          </w:tcPr>
          <w:p w14:paraId="5EC7335E">
            <w:pPr>
              <w:keepNext w:val="0"/>
              <w:keepLines w:val="0"/>
              <w:pageBreakBefore w:val="0"/>
              <w:kinsoku/>
              <w:wordWrap/>
              <w:overflowPunct/>
              <w:topLinePunct w:val="0"/>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34" w:type="pct"/>
            <w:tcBorders>
              <w:tl2br w:val="nil"/>
              <w:tr2bl w:val="nil"/>
            </w:tcBorders>
            <w:vAlign w:val="center"/>
          </w:tcPr>
          <w:p w14:paraId="7106D2A2">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w:t>
            </w:r>
          </w:p>
        </w:tc>
        <w:tc>
          <w:tcPr>
            <w:tcW w:w="537" w:type="pct"/>
            <w:tcBorders>
              <w:tl2br w:val="nil"/>
              <w:tr2bl w:val="nil"/>
            </w:tcBorders>
            <w:vAlign w:val="center"/>
          </w:tcPr>
          <w:p w14:paraId="4B04F1B4">
            <w:pPr>
              <w:keepNext w:val="0"/>
              <w:keepLines w:val="0"/>
              <w:pageBreakBefore w:val="0"/>
              <w:kinsoku/>
              <w:wordWrap/>
              <w:overflowPunct/>
              <w:topLinePunct w:val="0"/>
              <w:bidi w:val="0"/>
              <w:adjustRightInd/>
              <w:snapToGrid/>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color w:val="auto"/>
                <w:sz w:val="21"/>
                <w:szCs w:val="21"/>
                <w:highlight w:val="none"/>
              </w:rPr>
              <w:t>达标</w:t>
            </w:r>
          </w:p>
        </w:tc>
      </w:tr>
    </w:tbl>
    <w:p w14:paraId="4CB5ECE9">
      <w:pPr>
        <w:spacing w:line="360" w:lineRule="auto"/>
        <w:ind w:left="-105" w:right="-105" w:firstLine="480"/>
        <w:rPr>
          <w:rFonts w:ascii="Times New Roman" w:hAnsi="Times New Roman"/>
          <w:color w:val="auto"/>
          <w:highlight w:val="none"/>
        </w:rPr>
      </w:pPr>
      <w:r>
        <w:rPr>
          <w:rFonts w:ascii="Times New Roman" w:hAnsi="Times New Roman" w:cs="Times New Roman"/>
          <w:color w:val="auto"/>
          <w:highlight w:val="none"/>
        </w:rPr>
        <w:t>由上表可知，厂界噪声达到《声环境质量标准》（GB3096-2008）中</w:t>
      </w:r>
      <w:r>
        <w:rPr>
          <w:rFonts w:hint="eastAsia" w:ascii="Times New Roman" w:hAnsi="Times New Roman" w:cs="Times New Roman"/>
          <w:color w:val="auto"/>
          <w:highlight w:val="none"/>
        </w:rPr>
        <w:t>2类、</w:t>
      </w:r>
      <w:r>
        <w:rPr>
          <w:rFonts w:ascii="Times New Roman" w:hAnsi="Times New Roman" w:cs="Times New Roman"/>
          <w:color w:val="auto"/>
          <w:highlight w:val="none"/>
        </w:rPr>
        <w:t>3类</w:t>
      </w:r>
      <w:r>
        <w:rPr>
          <w:rFonts w:ascii="Times New Roman" w:hAnsi="Times New Roman"/>
          <w:color w:val="auto"/>
          <w:highlight w:val="none"/>
        </w:rPr>
        <w:t>标准。</w:t>
      </w:r>
    </w:p>
    <w:p w14:paraId="2E4C36CB">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50" w:name="_Toc461443123"/>
      <w:bookmarkStart w:id="351" w:name="_Toc60653542"/>
      <w:bookmarkStart w:id="352" w:name="_Toc370313627"/>
      <w:r>
        <w:rPr>
          <w:rFonts w:hint="eastAsia" w:eastAsia="宋体"/>
          <w:color w:val="auto"/>
          <w:sz w:val="28"/>
          <w:szCs w:val="28"/>
          <w:highlight w:val="none"/>
        </w:rPr>
        <w:t>5.3.4</w:t>
      </w:r>
      <w:r>
        <w:rPr>
          <w:rFonts w:eastAsia="宋体"/>
          <w:color w:val="auto"/>
          <w:sz w:val="28"/>
          <w:szCs w:val="28"/>
          <w:highlight w:val="none"/>
        </w:rPr>
        <w:t>地下水环境质量现状监测与评价</w:t>
      </w:r>
      <w:bookmarkEnd w:id="350"/>
      <w:bookmarkEnd w:id="351"/>
    </w:p>
    <w:p w14:paraId="243BA828">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根据《环境影响评价技术导则-地下水环境》（HJ610-2016）</w:t>
      </w:r>
      <w:r>
        <w:rPr>
          <w:rFonts w:hint="eastAsia" w:ascii="Times New Roman" w:hAnsi="Times New Roman"/>
          <w:color w:val="auto"/>
          <w:highlight w:val="none"/>
        </w:rPr>
        <w:t>“</w:t>
      </w:r>
      <w:r>
        <w:rPr>
          <w:rFonts w:ascii="Times New Roman" w:hAnsi="Times New Roman"/>
          <w:color w:val="auto"/>
          <w:highlight w:val="none"/>
        </w:rPr>
        <w:t>附录A</w:t>
      </w:r>
      <w:r>
        <w:rPr>
          <w:rFonts w:hint="eastAsia" w:ascii="Times New Roman" w:hAnsi="Times New Roman"/>
          <w:color w:val="auto"/>
          <w:highlight w:val="none"/>
        </w:rPr>
        <w:t>”</w:t>
      </w:r>
      <w:r>
        <w:rPr>
          <w:rFonts w:ascii="Times New Roman" w:hAnsi="Times New Roman"/>
          <w:color w:val="auto"/>
          <w:highlight w:val="none"/>
        </w:rPr>
        <w:t>中的建设项目分类，本项目属于</w:t>
      </w:r>
      <w:r>
        <w:rPr>
          <w:rFonts w:hint="eastAsia" w:ascii="Times New Roman" w:hAnsi="Times New Roman"/>
          <w:color w:val="auto"/>
          <w:highlight w:val="none"/>
        </w:rPr>
        <w:t>“K机械、电子82、半导体材料、电子陶瓷、有机薄膜、荧光粉、贵金属粉等电子专用材料”，</w:t>
      </w:r>
      <w:r>
        <w:rPr>
          <w:rFonts w:ascii="Times New Roman" w:hAnsi="Times New Roman"/>
          <w:color w:val="auto"/>
          <w:highlight w:val="none"/>
        </w:rPr>
        <w:t>属于</w:t>
      </w:r>
      <w:r>
        <w:rPr>
          <w:rFonts w:ascii="Times New Roman" w:hAnsi="Times New Roman" w:cs="Times New Roman"/>
          <w:color w:val="auto"/>
          <w:highlight w:val="none"/>
        </w:rPr>
        <w:t>Ⅳ</w:t>
      </w:r>
      <w:r>
        <w:rPr>
          <w:rFonts w:ascii="Times New Roman" w:hAnsi="Times New Roman"/>
          <w:color w:val="auto"/>
          <w:highlight w:val="none"/>
        </w:rPr>
        <w:t>类建设项目</w:t>
      </w:r>
      <w:r>
        <w:rPr>
          <w:rFonts w:hint="eastAsia" w:ascii="Times New Roman" w:hAnsi="Times New Roman"/>
          <w:color w:val="auto"/>
          <w:highlight w:val="none"/>
        </w:rPr>
        <w:t>，建设项目不开展地下水环境影响评价，因此不做现状监测与评价</w:t>
      </w:r>
      <w:r>
        <w:rPr>
          <w:rFonts w:ascii="Times New Roman" w:hAnsi="Times New Roman"/>
          <w:color w:val="auto"/>
          <w:highlight w:val="none"/>
        </w:rPr>
        <w:t>。</w:t>
      </w:r>
      <w:bookmarkStart w:id="353" w:name="_Toc60653543"/>
    </w:p>
    <w:p w14:paraId="3204817F">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5.3.5土壤环境质量现状监测与评价</w:t>
      </w:r>
      <w:bookmarkEnd w:id="352"/>
      <w:bookmarkEnd w:id="353"/>
    </w:p>
    <w:p w14:paraId="7460233F">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（1）监测因子：《土壤环境质量建设用地土壤污染风险管控标准（试行）》（GB36600-2018）表1中45个基本项目</w:t>
      </w:r>
      <w:r>
        <w:rPr>
          <w:rFonts w:hint="eastAsia" w:ascii="Times New Roman" w:hAnsi="Times New Roman"/>
          <w:color w:val="auto"/>
          <w:highlight w:val="none"/>
        </w:rPr>
        <w:t>、pH</w:t>
      </w:r>
      <w:r>
        <w:rPr>
          <w:rFonts w:ascii="Times New Roman" w:hAnsi="Times New Roman"/>
          <w:color w:val="auto"/>
          <w:highlight w:val="none"/>
        </w:rPr>
        <w:t>。</w:t>
      </w:r>
    </w:p>
    <w:p w14:paraId="4AC9281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（2）</w:t>
      </w:r>
      <w:r>
        <w:rPr>
          <w:rFonts w:ascii="Times New Roman" w:hAnsi="Times New Roman"/>
          <w:color w:val="auto"/>
          <w:highlight w:val="none"/>
        </w:rPr>
        <w:tab/>
      </w:r>
      <w:r>
        <w:rPr>
          <w:rFonts w:ascii="Times New Roman" w:hAnsi="Times New Roman"/>
          <w:color w:val="auto"/>
          <w:highlight w:val="none"/>
        </w:rPr>
        <w:t>监测时间及频次</w:t>
      </w:r>
      <w:r>
        <w:rPr>
          <w:rFonts w:hint="eastAsia" w:ascii="Times New Roman" w:hAnsi="Times New Roman"/>
          <w:color w:val="auto"/>
          <w:highlight w:val="none"/>
        </w:rPr>
        <w:t>：</w:t>
      </w:r>
      <w:r>
        <w:rPr>
          <w:rFonts w:ascii="Times New Roman" w:hAnsi="Times New Roman"/>
          <w:color w:val="auto"/>
          <w:highlight w:val="none"/>
        </w:rPr>
        <w:t>202</w:t>
      </w:r>
      <w:r>
        <w:rPr>
          <w:rFonts w:hint="eastAsia" w:ascii="Times New Roman" w:hAnsi="Times New Roman"/>
          <w:color w:val="auto"/>
          <w:highlight w:val="none"/>
        </w:rPr>
        <w:t>4</w:t>
      </w:r>
      <w:r>
        <w:rPr>
          <w:rFonts w:ascii="Times New Roman" w:hAnsi="Times New Roman"/>
          <w:color w:val="auto"/>
          <w:highlight w:val="none"/>
        </w:rPr>
        <w:t>年</w:t>
      </w:r>
      <w:r>
        <w:rPr>
          <w:rFonts w:hint="eastAsia" w:ascii="Times New Roman" w:hAnsi="Times New Roman"/>
          <w:color w:val="auto"/>
          <w:highlight w:val="none"/>
        </w:rPr>
        <w:t>4</w:t>
      </w:r>
      <w:r>
        <w:rPr>
          <w:rFonts w:ascii="Times New Roman" w:hAnsi="Times New Roman"/>
          <w:color w:val="auto"/>
          <w:highlight w:val="none"/>
        </w:rPr>
        <w:t>月</w:t>
      </w:r>
      <w:r>
        <w:rPr>
          <w:rFonts w:hint="eastAsia" w:ascii="Times New Roman" w:hAnsi="Times New Roman"/>
          <w:color w:val="auto"/>
          <w:highlight w:val="none"/>
        </w:rPr>
        <w:t>25</w:t>
      </w:r>
      <w:r>
        <w:rPr>
          <w:rFonts w:ascii="Times New Roman" w:hAnsi="Times New Roman"/>
          <w:color w:val="auto"/>
          <w:highlight w:val="none"/>
        </w:rPr>
        <w:t>日、</w:t>
      </w:r>
      <w:r>
        <w:rPr>
          <w:rFonts w:hint="eastAsia" w:ascii="Times New Roman" w:hAnsi="Times New Roman"/>
          <w:color w:val="auto"/>
          <w:highlight w:val="none"/>
        </w:rPr>
        <w:t>5</w:t>
      </w:r>
      <w:r>
        <w:rPr>
          <w:rFonts w:ascii="Times New Roman" w:hAnsi="Times New Roman"/>
          <w:color w:val="auto"/>
          <w:highlight w:val="none"/>
        </w:rPr>
        <w:t>月</w:t>
      </w:r>
      <w:r>
        <w:rPr>
          <w:rFonts w:hint="eastAsia" w:ascii="Times New Roman" w:hAnsi="Times New Roman"/>
          <w:color w:val="auto"/>
          <w:highlight w:val="none"/>
        </w:rPr>
        <w:t>10</w:t>
      </w:r>
      <w:r>
        <w:rPr>
          <w:rFonts w:ascii="Times New Roman" w:hAnsi="Times New Roman"/>
          <w:color w:val="auto"/>
          <w:highlight w:val="none"/>
        </w:rPr>
        <w:t>日</w:t>
      </w:r>
      <w:r>
        <w:rPr>
          <w:rFonts w:ascii="Times New Roman" w:hAnsi="Times New Roman" w:cs="Times New Roman"/>
          <w:color w:val="auto"/>
          <w:highlight w:val="none"/>
        </w:rPr>
        <w:t>，两次采集土样进行分析</w:t>
      </w:r>
      <w:r>
        <w:rPr>
          <w:rFonts w:ascii="Times New Roman" w:hAnsi="Times New Roman"/>
          <w:color w:val="auto"/>
          <w:highlight w:val="none"/>
        </w:rPr>
        <w:t>；</w:t>
      </w:r>
    </w:p>
    <w:p w14:paraId="026CC12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（3）</w:t>
      </w:r>
      <w:r>
        <w:rPr>
          <w:rFonts w:ascii="Times New Roman" w:hAnsi="Times New Roman"/>
          <w:color w:val="auto"/>
          <w:highlight w:val="none"/>
        </w:rPr>
        <w:tab/>
      </w:r>
      <w:r>
        <w:rPr>
          <w:rFonts w:ascii="Times New Roman" w:hAnsi="Times New Roman"/>
          <w:color w:val="auto"/>
          <w:highlight w:val="none"/>
        </w:rPr>
        <w:t>监测点布设：</w:t>
      </w:r>
      <w:r>
        <w:rPr>
          <w:rFonts w:ascii="Times New Roman" w:hAnsi="Times New Roman" w:cs="Times New Roman"/>
          <w:color w:val="auto"/>
          <w:highlight w:val="none"/>
        </w:rPr>
        <w:t>本项目土壤环境评价等级为</w:t>
      </w:r>
      <w:r>
        <w:rPr>
          <w:rFonts w:hint="eastAsia" w:ascii="Times New Roman" w:hAnsi="Times New Roman" w:cs="Times New Roman"/>
          <w:color w:val="auto"/>
          <w:highlight w:val="none"/>
        </w:rPr>
        <w:t>二</w:t>
      </w:r>
      <w:r>
        <w:rPr>
          <w:rFonts w:ascii="Times New Roman" w:hAnsi="Times New Roman" w:cs="Times New Roman"/>
          <w:color w:val="auto"/>
          <w:highlight w:val="none"/>
        </w:rPr>
        <w:t>级，根据《环境影响评价技术导则 土壤环境》（HJ 964-2018）布点要求，污染影响型项目在占地范围内需布设</w:t>
      </w:r>
      <w:r>
        <w:rPr>
          <w:rFonts w:hint="eastAsia" w:ascii="Times New Roman" w:hAnsi="Times New Roman" w:cs="Times New Roman"/>
          <w:color w:val="auto"/>
          <w:highlight w:val="none"/>
        </w:rPr>
        <w:t>3</w:t>
      </w:r>
      <w:r>
        <w:rPr>
          <w:rFonts w:ascii="Times New Roman" w:hAnsi="Times New Roman" w:cs="Times New Roman"/>
          <w:color w:val="auto"/>
          <w:highlight w:val="none"/>
        </w:rPr>
        <w:t>个柱状样点和</w:t>
      </w:r>
      <w:r>
        <w:rPr>
          <w:rFonts w:hint="eastAsia" w:ascii="Times New Roman" w:hAnsi="Times New Roman" w:cs="Times New Roman"/>
          <w:color w:val="auto"/>
          <w:highlight w:val="none"/>
        </w:rPr>
        <w:t>1</w:t>
      </w:r>
      <w:r>
        <w:rPr>
          <w:rFonts w:ascii="Times New Roman" w:hAnsi="Times New Roman" w:cs="Times New Roman"/>
          <w:color w:val="auto"/>
          <w:highlight w:val="none"/>
        </w:rPr>
        <w:t>个表层样点，占地范围外</w:t>
      </w:r>
      <w:r>
        <w:rPr>
          <w:rFonts w:hint="eastAsia" w:ascii="Times New Roman" w:hAnsi="Times New Roman" w:cs="Times New Roman"/>
          <w:color w:val="auto"/>
          <w:highlight w:val="none"/>
        </w:rPr>
        <w:t>0.2</w:t>
      </w:r>
      <w:r>
        <w:rPr>
          <w:rFonts w:ascii="Times New Roman" w:hAnsi="Times New Roman" w:cs="Times New Roman"/>
          <w:color w:val="auto"/>
          <w:highlight w:val="none"/>
        </w:rPr>
        <w:t>km内需布设</w:t>
      </w:r>
      <w:r>
        <w:rPr>
          <w:rFonts w:hint="eastAsia" w:ascii="Times New Roman" w:hAnsi="Times New Roman" w:cs="Times New Roman"/>
          <w:color w:val="auto"/>
          <w:highlight w:val="none"/>
        </w:rPr>
        <w:t>2</w:t>
      </w:r>
      <w:r>
        <w:rPr>
          <w:rFonts w:ascii="Times New Roman" w:hAnsi="Times New Roman" w:cs="Times New Roman"/>
          <w:color w:val="auto"/>
          <w:highlight w:val="none"/>
        </w:rPr>
        <w:t>个表层样点。本项目</w:t>
      </w:r>
      <w:r>
        <w:rPr>
          <w:rFonts w:hint="eastAsia" w:ascii="Times New Roman" w:hAnsi="Times New Roman" w:cs="Times New Roman"/>
          <w:color w:val="auto"/>
          <w:highlight w:val="none"/>
        </w:rPr>
        <w:t>引用</w:t>
      </w:r>
      <w:r>
        <w:rPr>
          <w:rFonts w:hint="eastAsia" w:ascii="Times New Roman" w:hAnsi="Times New Roman"/>
          <w:color w:val="auto"/>
          <w:highlight w:val="none"/>
        </w:rPr>
        <w:t>企业2021年9月2~11日委托无锡精纬计量检验检测有限公司对本项目所在地设置的3个柱状样（T1-1~T1-3）监测数据（报告编号：（环）2021检（土壤）第（1433）号）和2023年6月16日委托江苏格林勒斯检测科技有限公司对本项目所在地设置的1个表层样（T1-4）监测数据（报告编号：GE2306152701B1）</w:t>
      </w:r>
      <w:r>
        <w:rPr>
          <w:rFonts w:hint="eastAsia" w:ascii="Times New Roman" w:hAnsi="Times New Roman" w:cs="Times New Roman"/>
          <w:color w:val="auto"/>
          <w:highlight w:val="none"/>
        </w:rPr>
        <w:t>；</w:t>
      </w:r>
      <w:r>
        <w:rPr>
          <w:rFonts w:hint="eastAsia" w:ascii="Times New Roman" w:hAnsi="Times New Roman"/>
          <w:color w:val="auto"/>
          <w:highlight w:val="none"/>
        </w:rPr>
        <w:t>本次委托无锡市恒信安全技术服务有限公司</w:t>
      </w:r>
      <w:r>
        <w:rPr>
          <w:rFonts w:ascii="Times New Roman" w:hAnsi="Times New Roman" w:cs="Times New Roman"/>
          <w:color w:val="auto"/>
          <w:highlight w:val="none"/>
        </w:rPr>
        <w:t>采集（202</w:t>
      </w:r>
      <w:r>
        <w:rPr>
          <w:rFonts w:hint="eastAsia" w:ascii="Times New Roman" w:hAnsi="Times New Roman" w:cs="Times New Roman"/>
          <w:color w:val="auto"/>
          <w:highlight w:val="none"/>
        </w:rPr>
        <w:t>4</w:t>
      </w:r>
      <w:r>
        <w:rPr>
          <w:rFonts w:ascii="Times New Roman" w:hAnsi="Times New Roman" w:cs="Times New Roman"/>
          <w:color w:val="auto"/>
          <w:highlight w:val="none"/>
        </w:rPr>
        <w:t>年</w:t>
      </w:r>
      <w:r>
        <w:rPr>
          <w:rFonts w:hint="eastAsia" w:ascii="Times New Roman" w:hAnsi="Times New Roman" w:cs="Times New Roman"/>
          <w:color w:val="auto"/>
          <w:highlight w:val="none"/>
        </w:rPr>
        <w:t>4</w:t>
      </w:r>
      <w:r>
        <w:rPr>
          <w:rFonts w:ascii="Times New Roman" w:hAnsi="Times New Roman" w:cs="Times New Roman"/>
          <w:color w:val="auto"/>
          <w:highlight w:val="none"/>
        </w:rPr>
        <w:t>月</w:t>
      </w:r>
      <w:r>
        <w:rPr>
          <w:rFonts w:hint="eastAsia" w:ascii="Times New Roman" w:hAnsi="Times New Roman" w:cs="Times New Roman"/>
          <w:color w:val="auto"/>
          <w:highlight w:val="none"/>
        </w:rPr>
        <w:t>25</w:t>
      </w:r>
      <w:r>
        <w:rPr>
          <w:rFonts w:ascii="Times New Roman" w:hAnsi="Times New Roman" w:cs="Times New Roman"/>
          <w:color w:val="auto"/>
          <w:highlight w:val="none"/>
        </w:rPr>
        <w:t>日）在本项目周边设置了</w:t>
      </w:r>
      <w:r>
        <w:rPr>
          <w:rFonts w:hint="eastAsia" w:ascii="Times New Roman" w:hAnsi="Times New Roman" w:cs="Times New Roman"/>
          <w:color w:val="auto"/>
          <w:highlight w:val="none"/>
        </w:rPr>
        <w:t>2</w:t>
      </w:r>
      <w:r>
        <w:rPr>
          <w:rFonts w:ascii="Times New Roman" w:hAnsi="Times New Roman" w:cs="Times New Roman"/>
          <w:color w:val="auto"/>
          <w:highlight w:val="none"/>
        </w:rPr>
        <w:t>个表层样</w:t>
      </w:r>
      <w:r>
        <w:rPr>
          <w:rFonts w:hint="eastAsia" w:ascii="Times New Roman" w:hAnsi="Times New Roman"/>
          <w:color w:val="auto"/>
          <w:highlight w:val="none"/>
        </w:rPr>
        <w:t>（T2-1~T2-2）</w:t>
      </w:r>
      <w:r>
        <w:rPr>
          <w:rFonts w:ascii="Times New Roman" w:hAnsi="Times New Roman" w:cs="Times New Roman"/>
          <w:color w:val="auto"/>
          <w:highlight w:val="none"/>
        </w:rPr>
        <w:t>。所以本项目所在地设置和周边共设置</w:t>
      </w:r>
      <w:r>
        <w:rPr>
          <w:rFonts w:hint="eastAsia" w:ascii="Times New Roman" w:hAnsi="Times New Roman" w:cs="Times New Roman"/>
          <w:color w:val="auto"/>
          <w:highlight w:val="none"/>
        </w:rPr>
        <w:t>6</w:t>
      </w:r>
      <w:r>
        <w:rPr>
          <w:rFonts w:ascii="Times New Roman" w:hAnsi="Times New Roman" w:cs="Times New Roman"/>
          <w:color w:val="auto"/>
          <w:highlight w:val="none"/>
        </w:rPr>
        <w:t>个采样点，其中厂区内设置</w:t>
      </w:r>
      <w:r>
        <w:rPr>
          <w:rFonts w:hint="eastAsia" w:ascii="Times New Roman" w:hAnsi="Times New Roman" w:cs="Times New Roman"/>
          <w:color w:val="auto"/>
          <w:highlight w:val="none"/>
        </w:rPr>
        <w:t>3</w:t>
      </w:r>
      <w:r>
        <w:rPr>
          <w:rFonts w:ascii="Times New Roman" w:hAnsi="Times New Roman" w:cs="Times New Roman"/>
          <w:color w:val="auto"/>
          <w:highlight w:val="none"/>
        </w:rPr>
        <w:t>个柱状样和</w:t>
      </w:r>
      <w:r>
        <w:rPr>
          <w:rFonts w:hint="eastAsia" w:ascii="Times New Roman" w:hAnsi="Times New Roman" w:cs="Times New Roman"/>
          <w:color w:val="auto"/>
          <w:highlight w:val="none"/>
        </w:rPr>
        <w:t>1</w:t>
      </w:r>
      <w:r>
        <w:rPr>
          <w:rFonts w:ascii="Times New Roman" w:hAnsi="Times New Roman" w:cs="Times New Roman"/>
          <w:color w:val="auto"/>
          <w:highlight w:val="none"/>
        </w:rPr>
        <w:t>个表层样，项目所在地周边设置</w:t>
      </w:r>
      <w:r>
        <w:rPr>
          <w:rFonts w:hint="eastAsia" w:ascii="Times New Roman" w:hAnsi="Times New Roman" w:cs="Times New Roman"/>
          <w:color w:val="auto"/>
          <w:highlight w:val="none"/>
        </w:rPr>
        <w:t>2</w:t>
      </w:r>
      <w:r>
        <w:rPr>
          <w:rFonts w:ascii="Times New Roman" w:hAnsi="Times New Roman" w:cs="Times New Roman"/>
          <w:color w:val="auto"/>
          <w:highlight w:val="none"/>
        </w:rPr>
        <w:t>个表层样，符合布点要求。</w:t>
      </w:r>
    </w:p>
    <w:p w14:paraId="39007CD2">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（4）监测方法：</w:t>
      </w:r>
    </w:p>
    <w:p w14:paraId="6FA0435F">
      <w:pPr>
        <w:spacing w:line="360" w:lineRule="auto"/>
        <w:ind w:left="-105" w:right="-105" w:firstLine="480"/>
        <w:rPr>
          <w:rFonts w:ascii="Times New Roman" w:hAnsi="Times New Roman" w:cs="Times New Roman"/>
          <w:color w:val="auto"/>
          <w:highlight w:val="none"/>
        </w:rPr>
      </w:pPr>
      <w:r>
        <w:rPr>
          <w:rFonts w:ascii="Times New Roman" w:hAnsi="Times New Roman"/>
          <w:color w:val="auto"/>
          <w:highlight w:val="none"/>
        </w:rPr>
        <w:t>监测</w:t>
      </w:r>
      <w:r>
        <w:rPr>
          <w:rFonts w:ascii="Times New Roman" w:hAnsi="Times New Roman" w:cs="Times New Roman"/>
          <w:color w:val="auto"/>
          <w:highlight w:val="none"/>
        </w:rPr>
        <w:t>方法见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_Ref40985845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5.3</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10</w:t>
      </w:r>
      <w:r>
        <w:rPr>
          <w:rFonts w:ascii="Times New Roman" w:hAnsi="Times New Roman" w:cs="Times New Roman"/>
          <w:color w:val="auto"/>
          <w:highlight w:val="none"/>
        </w:rPr>
        <w:fldChar w:fldCharType="end"/>
      </w:r>
      <w:r>
        <w:rPr>
          <w:rFonts w:hint="eastAsia" w:ascii="Times New Roman" w:hAnsi="Times New Roman" w:cs="Times New Roman"/>
          <w:color w:val="auto"/>
          <w:highlight w:val="none"/>
        </w:rPr>
        <w:t>。</w:t>
      </w:r>
    </w:p>
    <w:p w14:paraId="68522B2B">
      <w:pPr>
        <w:pStyle w:val="15"/>
        <w:spacing w:line="360" w:lineRule="auto"/>
        <w:ind w:left="-105" w:right="-105" w:firstLine="482"/>
        <w:rPr>
          <w:rFonts w:eastAsia="宋体" w:cs="Times New Roman"/>
          <w:b w:val="0"/>
          <w:bCs/>
          <w:color w:val="auto"/>
          <w:sz w:val="24"/>
          <w:szCs w:val="18"/>
          <w:highlight w:val="none"/>
        </w:rPr>
      </w:pPr>
      <w:bookmarkStart w:id="354" w:name="_Ref40985845"/>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10</w:t>
      </w:r>
      <w:r>
        <w:rPr>
          <w:rFonts w:eastAsia="宋体" w:cs="Times New Roman"/>
          <w:color w:val="auto"/>
          <w:sz w:val="24"/>
          <w:szCs w:val="18"/>
          <w:highlight w:val="none"/>
        </w:rPr>
        <w:fldChar w:fldCharType="end"/>
      </w:r>
      <w:bookmarkEnd w:id="354"/>
      <w:r>
        <w:rPr>
          <w:rFonts w:eastAsia="宋体" w:cs="Times New Roman"/>
          <w:color w:val="auto"/>
          <w:sz w:val="24"/>
          <w:szCs w:val="18"/>
          <w:highlight w:val="none"/>
        </w:rPr>
        <w:t>土壤监测方法</w:t>
      </w:r>
    </w:p>
    <w:tbl>
      <w:tblPr>
        <w:tblStyle w:val="4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1"/>
        <w:gridCol w:w="1731"/>
        <w:gridCol w:w="4471"/>
        <w:gridCol w:w="1481"/>
      </w:tblGrid>
      <w:tr w14:paraId="37221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552" w:type="dxa"/>
            <w:gridSpan w:val="2"/>
            <w:vAlign w:val="center"/>
          </w:tcPr>
          <w:p w14:paraId="160142B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监测项目</w:t>
            </w:r>
          </w:p>
        </w:tc>
        <w:tc>
          <w:tcPr>
            <w:tcW w:w="4471" w:type="dxa"/>
            <w:vAlign w:val="center"/>
          </w:tcPr>
          <w:p w14:paraId="23EADC7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检测方法</w:t>
            </w:r>
          </w:p>
        </w:tc>
        <w:tc>
          <w:tcPr>
            <w:tcW w:w="1481" w:type="dxa"/>
            <w:vAlign w:val="center"/>
          </w:tcPr>
          <w:p w14:paraId="6537C57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检出限</w:t>
            </w:r>
            <w:r>
              <w:rPr>
                <w:rFonts w:ascii="Times New Roman" w:hAnsi="Times New Roman" w:cs="Times New Roman"/>
                <w:b/>
                <w:bCs/>
                <w:color w:val="auto"/>
                <w:sz w:val="21"/>
                <w:szCs w:val="21"/>
                <w:highlight w:val="none"/>
              </w:rPr>
              <w:t>（mg/kg)</w:t>
            </w:r>
          </w:p>
        </w:tc>
      </w:tr>
      <w:tr w14:paraId="36DDF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3D3D3E65">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pH值</w:t>
            </w:r>
          </w:p>
        </w:tc>
        <w:tc>
          <w:tcPr>
            <w:tcW w:w="4471" w:type="dxa"/>
            <w:vAlign w:val="center"/>
          </w:tcPr>
          <w:p w14:paraId="70C9B3C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 PH值的测定 电位法 HJ 962-2018</w:t>
            </w:r>
          </w:p>
        </w:tc>
        <w:tc>
          <w:tcPr>
            <w:tcW w:w="1481" w:type="dxa"/>
            <w:vAlign w:val="center"/>
          </w:tcPr>
          <w:p w14:paraId="26FE449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无量纲</w:t>
            </w:r>
          </w:p>
        </w:tc>
      </w:tr>
      <w:tr w14:paraId="6C8C2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28FE419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石油烃</w:t>
            </w:r>
          </w:p>
          <w:p w14:paraId="0C91D74B">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（C</w:t>
            </w:r>
            <w:r>
              <w:rPr>
                <w:rFonts w:ascii="Times New Roman" w:hAnsi="Times New Roman" w:cs="Times New Roman"/>
                <w:color w:val="auto"/>
                <w:sz w:val="21"/>
                <w:szCs w:val="21"/>
                <w:highlight w:val="none"/>
                <w:vertAlign w:val="subscript"/>
                <w:lang w:bidi="ar"/>
              </w:rPr>
              <w:t>10</w:t>
            </w:r>
            <w:r>
              <w:rPr>
                <w:rFonts w:ascii="Times New Roman" w:hAnsi="Times New Roman" w:cs="Times New Roman"/>
                <w:color w:val="auto"/>
                <w:sz w:val="21"/>
                <w:szCs w:val="21"/>
                <w:highlight w:val="none"/>
                <w:lang w:bidi="ar"/>
              </w:rPr>
              <w:t xml:space="preserve">-C </w:t>
            </w:r>
            <w:r>
              <w:rPr>
                <w:rFonts w:ascii="Times New Roman" w:hAnsi="Times New Roman" w:cs="Times New Roman"/>
                <w:color w:val="auto"/>
                <w:sz w:val="21"/>
                <w:szCs w:val="21"/>
                <w:highlight w:val="none"/>
                <w:vertAlign w:val="subscript"/>
                <w:lang w:bidi="ar"/>
              </w:rPr>
              <w:t>40</w:t>
            </w:r>
            <w:r>
              <w:rPr>
                <w:rFonts w:ascii="Times New Roman" w:hAnsi="Times New Roman" w:cs="Times New Roman"/>
                <w:color w:val="auto"/>
                <w:sz w:val="21"/>
                <w:szCs w:val="21"/>
                <w:highlight w:val="none"/>
                <w:lang w:bidi="ar"/>
              </w:rPr>
              <w:t>）</w:t>
            </w:r>
          </w:p>
        </w:tc>
        <w:tc>
          <w:tcPr>
            <w:tcW w:w="4471" w:type="dxa"/>
            <w:vAlign w:val="center"/>
          </w:tcPr>
          <w:p w14:paraId="4722F3A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石油烃（C</w:t>
            </w:r>
            <w:r>
              <w:rPr>
                <w:rFonts w:ascii="Times New Roman" w:hAnsi="Times New Roman" w:cs="Times New Roman"/>
                <w:color w:val="auto"/>
                <w:sz w:val="21"/>
                <w:szCs w:val="21"/>
                <w:highlight w:val="none"/>
                <w:vertAlign w:val="subscript"/>
                <w:lang w:bidi="ar"/>
              </w:rPr>
              <w:t>10</w:t>
            </w:r>
            <w:r>
              <w:rPr>
                <w:rFonts w:ascii="Times New Roman" w:hAnsi="Times New Roman" w:cs="Times New Roman"/>
                <w:color w:val="auto"/>
                <w:sz w:val="21"/>
                <w:szCs w:val="21"/>
                <w:highlight w:val="none"/>
                <w:lang w:bidi="ar"/>
              </w:rPr>
              <w:t xml:space="preserve">-C </w:t>
            </w:r>
            <w:r>
              <w:rPr>
                <w:rFonts w:ascii="Times New Roman" w:hAnsi="Times New Roman" w:cs="Times New Roman"/>
                <w:color w:val="auto"/>
                <w:sz w:val="21"/>
                <w:szCs w:val="21"/>
                <w:highlight w:val="none"/>
                <w:vertAlign w:val="subscript"/>
                <w:lang w:bidi="ar"/>
              </w:rPr>
              <w:t>40</w:t>
            </w:r>
            <w:r>
              <w:rPr>
                <w:rFonts w:ascii="Times New Roman" w:hAnsi="Times New Roman" w:cs="Times New Roman"/>
                <w:color w:val="auto"/>
                <w:sz w:val="21"/>
                <w:szCs w:val="21"/>
                <w:highlight w:val="none"/>
                <w:lang w:bidi="ar"/>
              </w:rPr>
              <w:t>）的测定 气相色谱法HJ 1021-2019</w:t>
            </w:r>
          </w:p>
        </w:tc>
        <w:tc>
          <w:tcPr>
            <w:tcW w:w="1481" w:type="dxa"/>
            <w:vAlign w:val="center"/>
          </w:tcPr>
          <w:p w14:paraId="7CE8E5F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w:t>
            </w:r>
          </w:p>
        </w:tc>
      </w:tr>
      <w:tr w14:paraId="56C7A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6FECF8E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砷</w:t>
            </w:r>
          </w:p>
        </w:tc>
        <w:tc>
          <w:tcPr>
            <w:tcW w:w="4471" w:type="dxa"/>
            <w:vAlign w:val="center"/>
          </w:tcPr>
          <w:p w14:paraId="655D3799">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汞、砷、硒、铋、锑的测定 微波消解/原子荧光法        HJ 680-2013</w:t>
            </w:r>
          </w:p>
        </w:tc>
        <w:tc>
          <w:tcPr>
            <w:tcW w:w="1481" w:type="dxa"/>
            <w:vAlign w:val="center"/>
          </w:tcPr>
          <w:p w14:paraId="296FCD9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0.01</w:t>
            </w:r>
          </w:p>
        </w:tc>
      </w:tr>
      <w:tr w14:paraId="6F924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39B07FAD">
            <w:pPr>
              <w:pStyle w:val="243"/>
              <w:keepNext w:val="0"/>
              <w:keepLines w:val="0"/>
              <w:pageBreakBefore w:val="0"/>
              <w:kinsoku/>
              <w:wordWrap/>
              <w:overflowPunct/>
              <w:topLinePunct w:val="0"/>
              <w:autoSpaceDE/>
              <w:autoSpaceDN/>
              <w:bidi w:val="0"/>
              <w:ind w:left="0" w:right="0"/>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val="zh-TW" w:eastAsia="zh-TW" w:bidi="ar"/>
              </w:rPr>
              <w:t>六价</w:t>
            </w:r>
            <w:r>
              <w:rPr>
                <w:rFonts w:ascii="Times New Roman" w:hAnsi="Times New Roman" w:cs="Times New Roman"/>
                <w:color w:val="auto"/>
                <w:sz w:val="21"/>
                <w:szCs w:val="21"/>
                <w:highlight w:val="none"/>
                <w:lang w:bidi="ar"/>
              </w:rPr>
              <w:t>铬</w:t>
            </w:r>
          </w:p>
        </w:tc>
        <w:tc>
          <w:tcPr>
            <w:tcW w:w="4471" w:type="dxa"/>
            <w:vAlign w:val="center"/>
          </w:tcPr>
          <w:p w14:paraId="7BFAACF7">
            <w:pPr>
              <w:pStyle w:val="243"/>
              <w:keepNext w:val="0"/>
              <w:keepLines w:val="0"/>
              <w:pageBreakBefore w:val="0"/>
              <w:kinsoku/>
              <w:wordWrap/>
              <w:overflowPunct/>
              <w:topLinePunct w:val="0"/>
              <w:autoSpaceDE/>
              <w:autoSpaceDN/>
              <w:bidi w:val="0"/>
              <w:ind w:left="0" w:right="0"/>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土壤和沉积物六价铭的测定 碱溶液提取一火焰原子吸收分 光光度法HJ 1082—2019</w:t>
            </w:r>
          </w:p>
        </w:tc>
        <w:tc>
          <w:tcPr>
            <w:tcW w:w="1481" w:type="dxa"/>
            <w:vAlign w:val="center"/>
          </w:tcPr>
          <w:p w14:paraId="6E9C7B0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2</w:t>
            </w:r>
          </w:p>
        </w:tc>
      </w:tr>
      <w:tr w14:paraId="3CC82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68E1435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镉</w:t>
            </w:r>
          </w:p>
        </w:tc>
        <w:tc>
          <w:tcPr>
            <w:tcW w:w="4471" w:type="dxa"/>
            <w:vAlign w:val="center"/>
          </w:tcPr>
          <w:p w14:paraId="6056E27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土壤质量 铅、镉的测定 石墨炉原子吸收分光光度法GB/T 17141-1997</w:t>
            </w:r>
          </w:p>
        </w:tc>
        <w:tc>
          <w:tcPr>
            <w:tcW w:w="1481" w:type="dxa"/>
            <w:vAlign w:val="center"/>
          </w:tcPr>
          <w:p w14:paraId="50571CBB">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0.01</w:t>
            </w:r>
          </w:p>
        </w:tc>
      </w:tr>
      <w:tr w14:paraId="0FE4F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5CD38157">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铅</w:t>
            </w:r>
          </w:p>
        </w:tc>
        <w:tc>
          <w:tcPr>
            <w:tcW w:w="4471" w:type="dxa"/>
            <w:vAlign w:val="center"/>
          </w:tcPr>
          <w:p w14:paraId="195B86B1">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铜、锌、铅、镍、铬的测定 火焰原子吸收分光光度法    HJ 491-2019</w:t>
            </w:r>
          </w:p>
        </w:tc>
        <w:tc>
          <w:tcPr>
            <w:tcW w:w="1481" w:type="dxa"/>
            <w:vAlign w:val="center"/>
          </w:tcPr>
          <w:p w14:paraId="21AB32A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w:t>
            </w:r>
          </w:p>
        </w:tc>
      </w:tr>
      <w:tr w14:paraId="5D81A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66C4517A">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铜</w:t>
            </w:r>
          </w:p>
        </w:tc>
        <w:tc>
          <w:tcPr>
            <w:tcW w:w="4471" w:type="dxa"/>
            <w:vAlign w:val="center"/>
          </w:tcPr>
          <w:p w14:paraId="4AADCA0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铜、锌、铅、镍、铬的测定 火焰原子吸收分光光度法    HJ 491-2019</w:t>
            </w:r>
          </w:p>
        </w:tc>
        <w:tc>
          <w:tcPr>
            <w:tcW w:w="1481" w:type="dxa"/>
            <w:vAlign w:val="center"/>
          </w:tcPr>
          <w:p w14:paraId="44D1215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w:t>
            </w:r>
          </w:p>
        </w:tc>
      </w:tr>
      <w:tr w14:paraId="11D83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4D163776">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汞</w:t>
            </w:r>
          </w:p>
        </w:tc>
        <w:tc>
          <w:tcPr>
            <w:tcW w:w="4471" w:type="dxa"/>
            <w:vAlign w:val="center"/>
          </w:tcPr>
          <w:p w14:paraId="6803521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汞、砷、硒、铋、锑的测定 微波消解/原子荧光法          HJ 680-2013</w:t>
            </w:r>
          </w:p>
        </w:tc>
        <w:tc>
          <w:tcPr>
            <w:tcW w:w="1481" w:type="dxa"/>
            <w:vAlign w:val="center"/>
          </w:tcPr>
          <w:p w14:paraId="4752BF4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0.002</w:t>
            </w:r>
          </w:p>
        </w:tc>
      </w:tr>
      <w:tr w14:paraId="448D0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52" w:type="dxa"/>
            <w:gridSpan w:val="2"/>
            <w:vAlign w:val="center"/>
          </w:tcPr>
          <w:p w14:paraId="7FE1FE4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镍</w:t>
            </w:r>
          </w:p>
        </w:tc>
        <w:tc>
          <w:tcPr>
            <w:tcW w:w="4471" w:type="dxa"/>
            <w:vAlign w:val="center"/>
          </w:tcPr>
          <w:p w14:paraId="498D51A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土壤质量 镍的测定 火焰原子吸收分光光度法HJ 491-2019</w:t>
            </w:r>
          </w:p>
        </w:tc>
        <w:tc>
          <w:tcPr>
            <w:tcW w:w="1481" w:type="dxa"/>
            <w:vAlign w:val="center"/>
          </w:tcPr>
          <w:p w14:paraId="2C2EE216">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w:t>
            </w:r>
          </w:p>
        </w:tc>
      </w:tr>
      <w:tr w14:paraId="12673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restart"/>
            <w:vAlign w:val="center"/>
          </w:tcPr>
          <w:p w14:paraId="363C1A0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挥发</w:t>
            </w:r>
          </w:p>
          <w:p w14:paraId="4A5B257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性有</w:t>
            </w:r>
          </w:p>
          <w:p w14:paraId="393FDD10">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机物</w:t>
            </w:r>
          </w:p>
        </w:tc>
        <w:tc>
          <w:tcPr>
            <w:tcW w:w="1731" w:type="dxa"/>
            <w:vAlign w:val="center"/>
          </w:tcPr>
          <w:p w14:paraId="40034216">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氯甲烷</w:t>
            </w:r>
          </w:p>
        </w:tc>
        <w:tc>
          <w:tcPr>
            <w:tcW w:w="4471" w:type="dxa"/>
            <w:vMerge w:val="restart"/>
            <w:vAlign w:val="center"/>
          </w:tcPr>
          <w:p w14:paraId="26A4220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挥发性有机物的测定 吹扫捕集气相色谱-质谱法       HJ 605-2011</w:t>
            </w:r>
          </w:p>
        </w:tc>
        <w:tc>
          <w:tcPr>
            <w:tcW w:w="1481" w:type="dxa"/>
            <w:vAlign w:val="center"/>
          </w:tcPr>
          <w:p w14:paraId="50B64CB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 ug/kg</w:t>
            </w:r>
          </w:p>
        </w:tc>
      </w:tr>
      <w:tr w14:paraId="7661D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F32625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2E0E5CB">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氯乙烯</w:t>
            </w:r>
          </w:p>
        </w:tc>
        <w:tc>
          <w:tcPr>
            <w:tcW w:w="4471" w:type="dxa"/>
            <w:vMerge w:val="continue"/>
            <w:vAlign w:val="center"/>
          </w:tcPr>
          <w:p w14:paraId="6EF2BDC5">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3DF6E22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 ug/kg</w:t>
            </w:r>
          </w:p>
        </w:tc>
      </w:tr>
      <w:tr w14:paraId="379B5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31298F0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4C16A15C">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1，1-二氯乙烯</w:t>
            </w:r>
          </w:p>
        </w:tc>
        <w:tc>
          <w:tcPr>
            <w:tcW w:w="4471" w:type="dxa"/>
            <w:vMerge w:val="continue"/>
            <w:vAlign w:val="center"/>
          </w:tcPr>
          <w:p w14:paraId="784DE20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4EDB282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 ug/kg</w:t>
            </w:r>
          </w:p>
        </w:tc>
      </w:tr>
      <w:tr w14:paraId="6A193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184E3E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7C145F5">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二氯甲烷</w:t>
            </w:r>
          </w:p>
        </w:tc>
        <w:tc>
          <w:tcPr>
            <w:tcW w:w="4471" w:type="dxa"/>
            <w:vMerge w:val="continue"/>
            <w:vAlign w:val="center"/>
          </w:tcPr>
          <w:p w14:paraId="43864269">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AE62EA0">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 ug/kg</w:t>
            </w:r>
          </w:p>
        </w:tc>
      </w:tr>
      <w:tr w14:paraId="3A018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2B460C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19C172BA">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反式-1，2-二氯乙烯</w:t>
            </w:r>
          </w:p>
        </w:tc>
        <w:tc>
          <w:tcPr>
            <w:tcW w:w="4471" w:type="dxa"/>
            <w:vMerge w:val="continue"/>
            <w:vAlign w:val="center"/>
          </w:tcPr>
          <w:p w14:paraId="56ED2DEF">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49C4F09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 ug/kg</w:t>
            </w:r>
          </w:p>
        </w:tc>
      </w:tr>
      <w:tr w14:paraId="24ED8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21FDA4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5244E0F4">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1，1-二氯乙烷</w:t>
            </w:r>
          </w:p>
        </w:tc>
        <w:tc>
          <w:tcPr>
            <w:tcW w:w="4471" w:type="dxa"/>
            <w:vMerge w:val="continue"/>
            <w:vAlign w:val="center"/>
          </w:tcPr>
          <w:p w14:paraId="3425DD50">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CACD6FE">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07D96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68AB01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3B59F7DB">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顺式-1，2-二氯乙烯</w:t>
            </w:r>
          </w:p>
        </w:tc>
        <w:tc>
          <w:tcPr>
            <w:tcW w:w="4471" w:type="dxa"/>
            <w:vMerge w:val="continue"/>
            <w:vAlign w:val="center"/>
          </w:tcPr>
          <w:p w14:paraId="2D6ECEC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2945D4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ug/kg</w:t>
            </w:r>
          </w:p>
        </w:tc>
      </w:tr>
      <w:tr w14:paraId="303E6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5D31D0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18BCEEBE">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氯仿</w:t>
            </w:r>
          </w:p>
        </w:tc>
        <w:tc>
          <w:tcPr>
            <w:tcW w:w="4471" w:type="dxa"/>
            <w:vMerge w:val="continue"/>
            <w:vAlign w:val="center"/>
          </w:tcPr>
          <w:p w14:paraId="2037AF7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05B4B2B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2D54B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93D993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770AF1B1">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1，1，1-三氯乙烷</w:t>
            </w:r>
          </w:p>
        </w:tc>
        <w:tc>
          <w:tcPr>
            <w:tcW w:w="4471" w:type="dxa"/>
            <w:vMerge w:val="continue"/>
            <w:vAlign w:val="center"/>
          </w:tcPr>
          <w:p w14:paraId="54ED46E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19970D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ug/kg</w:t>
            </w:r>
          </w:p>
        </w:tc>
      </w:tr>
      <w:tr w14:paraId="585CC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02CF2E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24C257FE">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四氯化碳</w:t>
            </w:r>
          </w:p>
        </w:tc>
        <w:tc>
          <w:tcPr>
            <w:tcW w:w="4471" w:type="dxa"/>
            <w:vMerge w:val="continue"/>
            <w:vAlign w:val="center"/>
          </w:tcPr>
          <w:p w14:paraId="26AFE75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7B00BC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ug/kg</w:t>
            </w:r>
          </w:p>
        </w:tc>
      </w:tr>
      <w:tr w14:paraId="5B3D5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E27D68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38EFF5B3">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苯</w:t>
            </w:r>
          </w:p>
        </w:tc>
        <w:tc>
          <w:tcPr>
            <w:tcW w:w="4471" w:type="dxa"/>
            <w:vMerge w:val="continue"/>
            <w:vAlign w:val="center"/>
          </w:tcPr>
          <w:p w14:paraId="15419EB6">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374AC6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 ug/kg</w:t>
            </w:r>
          </w:p>
        </w:tc>
      </w:tr>
      <w:tr w14:paraId="27626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23CB39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40BF7E79">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1，2-二氯乙烷</w:t>
            </w:r>
          </w:p>
        </w:tc>
        <w:tc>
          <w:tcPr>
            <w:tcW w:w="4471" w:type="dxa"/>
            <w:vMerge w:val="continue"/>
            <w:vAlign w:val="center"/>
          </w:tcPr>
          <w:p w14:paraId="72778BA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26FE4D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ug/kg</w:t>
            </w:r>
          </w:p>
        </w:tc>
      </w:tr>
      <w:tr w14:paraId="4ACCF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284081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1BF33F17">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三氯乙烯</w:t>
            </w:r>
          </w:p>
        </w:tc>
        <w:tc>
          <w:tcPr>
            <w:tcW w:w="4471" w:type="dxa"/>
            <w:vMerge w:val="continue"/>
            <w:vAlign w:val="center"/>
          </w:tcPr>
          <w:p w14:paraId="41122650">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A56B330">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3A5E5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062D0C2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9BD85D5">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1，2-二氯丙烷</w:t>
            </w:r>
          </w:p>
        </w:tc>
        <w:tc>
          <w:tcPr>
            <w:tcW w:w="4471" w:type="dxa"/>
            <w:vMerge w:val="continue"/>
            <w:vAlign w:val="center"/>
          </w:tcPr>
          <w:p w14:paraId="2BC0A87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6722293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4FB92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C861F9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64C28F0E">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一溴二氯甲烷</w:t>
            </w:r>
          </w:p>
        </w:tc>
        <w:tc>
          <w:tcPr>
            <w:tcW w:w="4471" w:type="dxa"/>
            <w:vMerge w:val="continue"/>
            <w:vAlign w:val="center"/>
          </w:tcPr>
          <w:p w14:paraId="0DE92995">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2D5853C2">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53D3E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579FC3F">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45EF13E3">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甲苯</w:t>
            </w:r>
          </w:p>
        </w:tc>
        <w:tc>
          <w:tcPr>
            <w:tcW w:w="4471" w:type="dxa"/>
            <w:vMerge w:val="continue"/>
            <w:vAlign w:val="center"/>
          </w:tcPr>
          <w:p w14:paraId="26B9C84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95EB996">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ug/kg</w:t>
            </w:r>
          </w:p>
        </w:tc>
      </w:tr>
      <w:tr w14:paraId="54478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F76AF4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5A13CF2B">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1，1，2-三氯乙烷</w:t>
            </w:r>
          </w:p>
        </w:tc>
        <w:tc>
          <w:tcPr>
            <w:tcW w:w="4471" w:type="dxa"/>
            <w:vMerge w:val="continue"/>
            <w:vAlign w:val="center"/>
          </w:tcPr>
          <w:p w14:paraId="1AF75D2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4861711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0EBAA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39B76B9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E338DCA">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四氯乙烯</w:t>
            </w:r>
          </w:p>
        </w:tc>
        <w:tc>
          <w:tcPr>
            <w:tcW w:w="4471" w:type="dxa"/>
            <w:vMerge w:val="continue"/>
            <w:vAlign w:val="center"/>
          </w:tcPr>
          <w:p w14:paraId="5D5E1F8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4F758796">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 ug/kg</w:t>
            </w:r>
          </w:p>
        </w:tc>
      </w:tr>
      <w:tr w14:paraId="7604F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5484E10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6F877144">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二溴氯甲烷</w:t>
            </w:r>
          </w:p>
        </w:tc>
        <w:tc>
          <w:tcPr>
            <w:tcW w:w="4471" w:type="dxa"/>
            <w:vMerge w:val="continue"/>
            <w:vAlign w:val="center"/>
          </w:tcPr>
          <w:p w14:paraId="20110C9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055EE77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390D9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49E13FA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252BB4A5">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1，2-二溴乙烷</w:t>
            </w:r>
          </w:p>
        </w:tc>
        <w:tc>
          <w:tcPr>
            <w:tcW w:w="4471" w:type="dxa"/>
            <w:vMerge w:val="continue"/>
            <w:vAlign w:val="center"/>
          </w:tcPr>
          <w:p w14:paraId="20FA1FC3">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8B16FC6">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21F05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026D307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6CF058DF">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氯苯</w:t>
            </w:r>
          </w:p>
        </w:tc>
        <w:tc>
          <w:tcPr>
            <w:tcW w:w="4471" w:type="dxa"/>
            <w:vMerge w:val="continue"/>
            <w:vAlign w:val="center"/>
          </w:tcPr>
          <w:p w14:paraId="09BFD8CF">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E17D1E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187E6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D9C470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41971F06">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1，1，1，2-四氯乙烷</w:t>
            </w:r>
          </w:p>
        </w:tc>
        <w:tc>
          <w:tcPr>
            <w:tcW w:w="4471" w:type="dxa"/>
            <w:vMerge w:val="continue"/>
            <w:vAlign w:val="center"/>
          </w:tcPr>
          <w:p w14:paraId="2F70339F">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2EC5D3B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508E4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0E71FAF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7099A787">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乙苯</w:t>
            </w:r>
          </w:p>
        </w:tc>
        <w:tc>
          <w:tcPr>
            <w:tcW w:w="4471" w:type="dxa"/>
            <w:vMerge w:val="continue"/>
            <w:vAlign w:val="center"/>
          </w:tcPr>
          <w:p w14:paraId="63F7BC6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D5C4DB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30CF5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1E68E25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6392096D">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间，对-二甲苯</w:t>
            </w:r>
          </w:p>
        </w:tc>
        <w:tc>
          <w:tcPr>
            <w:tcW w:w="4471" w:type="dxa"/>
            <w:vMerge w:val="continue"/>
            <w:vAlign w:val="center"/>
          </w:tcPr>
          <w:p w14:paraId="79019106">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67FA4A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25B25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4F3163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7BC31384">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邻-二甲苯</w:t>
            </w:r>
          </w:p>
        </w:tc>
        <w:tc>
          <w:tcPr>
            <w:tcW w:w="4471" w:type="dxa"/>
            <w:vMerge w:val="continue"/>
            <w:vAlign w:val="center"/>
          </w:tcPr>
          <w:p w14:paraId="76675940">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4D3492C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31B0B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273E8E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6B81D291">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苯乙烯</w:t>
            </w:r>
          </w:p>
        </w:tc>
        <w:tc>
          <w:tcPr>
            <w:tcW w:w="4471" w:type="dxa"/>
            <w:vMerge w:val="continue"/>
            <w:vAlign w:val="center"/>
          </w:tcPr>
          <w:p w14:paraId="4AC5B498">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D48135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ug/kg</w:t>
            </w:r>
          </w:p>
        </w:tc>
      </w:tr>
      <w:tr w14:paraId="4E456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5DBD97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9C0106C">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溴仿</w:t>
            </w:r>
          </w:p>
        </w:tc>
        <w:tc>
          <w:tcPr>
            <w:tcW w:w="4471" w:type="dxa"/>
            <w:vMerge w:val="continue"/>
            <w:vAlign w:val="center"/>
          </w:tcPr>
          <w:p w14:paraId="44B869E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C23689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 ug/kg</w:t>
            </w:r>
          </w:p>
        </w:tc>
      </w:tr>
      <w:tr w14:paraId="47F67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15CAE4A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40F931D1">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1，1，2，2-四氯乙烷</w:t>
            </w:r>
          </w:p>
        </w:tc>
        <w:tc>
          <w:tcPr>
            <w:tcW w:w="4471" w:type="dxa"/>
            <w:vMerge w:val="continue"/>
            <w:vAlign w:val="center"/>
          </w:tcPr>
          <w:p w14:paraId="6D7A702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1B5C1B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4623E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550FB0B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0DFA1913">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1，2，3-三氯丙烷</w:t>
            </w:r>
          </w:p>
        </w:tc>
        <w:tc>
          <w:tcPr>
            <w:tcW w:w="4471" w:type="dxa"/>
            <w:vMerge w:val="continue"/>
            <w:vAlign w:val="center"/>
          </w:tcPr>
          <w:p w14:paraId="1CBCB9FA">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2B8C667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ug/kg</w:t>
            </w:r>
          </w:p>
        </w:tc>
      </w:tr>
      <w:tr w14:paraId="024E4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255315B2">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2588050A">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1，4-二氯苯</w:t>
            </w:r>
          </w:p>
        </w:tc>
        <w:tc>
          <w:tcPr>
            <w:tcW w:w="4471" w:type="dxa"/>
            <w:vMerge w:val="continue"/>
            <w:vAlign w:val="center"/>
          </w:tcPr>
          <w:p w14:paraId="0E349199">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17670B8">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 ug/kg</w:t>
            </w:r>
          </w:p>
        </w:tc>
      </w:tr>
      <w:tr w14:paraId="650D2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8E058B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p>
        </w:tc>
        <w:tc>
          <w:tcPr>
            <w:tcW w:w="1731" w:type="dxa"/>
            <w:vAlign w:val="center"/>
          </w:tcPr>
          <w:p w14:paraId="5960EB53">
            <w:pPr>
              <w:pStyle w:val="41"/>
              <w:keepNext w:val="0"/>
              <w:keepLines w:val="0"/>
              <w:pageBreakBefore w:val="0"/>
              <w:kinsoku/>
              <w:wordWrap/>
              <w:overflowPunct/>
              <w:topLinePunct w:val="0"/>
              <w:autoSpaceDE/>
              <w:autoSpaceDN/>
              <w:bidi w:val="0"/>
              <w:adjustRightInd w:val="0"/>
              <w:snapToGrid w:val="0"/>
              <w:spacing w:before="0" w:beforeAutospacing="0" w:after="0" w:afterAutospacing="0"/>
              <w:ind w:left="0" w:right="0"/>
              <w:jc w:val="center"/>
              <w:rPr>
                <w:rFonts w:ascii="Times New Roman" w:hAnsi="Times New Roman"/>
                <w:color w:val="auto"/>
                <w:sz w:val="21"/>
                <w:szCs w:val="21"/>
                <w:highlight w:val="none"/>
              </w:rPr>
            </w:pPr>
            <w:r>
              <w:rPr>
                <w:rFonts w:ascii="Times New Roman" w:hAnsi="Times New Roman"/>
                <w:iCs/>
                <w:color w:val="auto"/>
                <w:kern w:val="2"/>
                <w:sz w:val="21"/>
                <w:szCs w:val="21"/>
                <w:highlight w:val="none"/>
              </w:rPr>
              <w:t>1，2-二氯苯</w:t>
            </w:r>
          </w:p>
        </w:tc>
        <w:tc>
          <w:tcPr>
            <w:tcW w:w="4471" w:type="dxa"/>
            <w:vMerge w:val="continue"/>
            <w:vAlign w:val="center"/>
          </w:tcPr>
          <w:p w14:paraId="3021FD6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F112DE6">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 ug/kg</w:t>
            </w:r>
          </w:p>
        </w:tc>
      </w:tr>
      <w:tr w14:paraId="4CEA9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restart"/>
            <w:vAlign w:val="center"/>
          </w:tcPr>
          <w:p w14:paraId="2E325C1A">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半挥发性有机物</w:t>
            </w:r>
          </w:p>
        </w:tc>
        <w:tc>
          <w:tcPr>
            <w:tcW w:w="1731" w:type="dxa"/>
            <w:vAlign w:val="center"/>
          </w:tcPr>
          <w:p w14:paraId="413F229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2-氯苯酚</w:t>
            </w:r>
          </w:p>
        </w:tc>
        <w:tc>
          <w:tcPr>
            <w:tcW w:w="4471" w:type="dxa"/>
            <w:vMerge w:val="restart"/>
            <w:vAlign w:val="center"/>
          </w:tcPr>
          <w:p w14:paraId="4C02D91A">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土壤和沉积物 半挥发性有机物的测定 气相色谱-质谱法HJ 834-2017</w:t>
            </w:r>
          </w:p>
        </w:tc>
        <w:tc>
          <w:tcPr>
            <w:tcW w:w="1481" w:type="dxa"/>
            <w:vAlign w:val="center"/>
          </w:tcPr>
          <w:p w14:paraId="2EAC53D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0.06</w:t>
            </w:r>
          </w:p>
        </w:tc>
      </w:tr>
      <w:tr w14:paraId="0AD0B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0C1C1A1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5F6D319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硝基苯</w:t>
            </w:r>
          </w:p>
        </w:tc>
        <w:tc>
          <w:tcPr>
            <w:tcW w:w="4471" w:type="dxa"/>
            <w:vMerge w:val="continue"/>
            <w:vAlign w:val="center"/>
          </w:tcPr>
          <w:p w14:paraId="0417FE8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FBDC19B">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0.09</w:t>
            </w:r>
            <w:r>
              <w:rPr>
                <w:rFonts w:ascii="Times New Roman" w:hAnsi="Times New Roman" w:cs="Times New Roman"/>
                <w:color w:val="auto"/>
                <w:sz w:val="21"/>
                <w:szCs w:val="21"/>
                <w:highlight w:val="none"/>
                <w:lang w:bidi="ar"/>
              </w:rPr>
              <w:t xml:space="preserve"> g</w:t>
            </w:r>
          </w:p>
        </w:tc>
      </w:tr>
      <w:tr w14:paraId="2D28A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01A4605A">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065A67AE">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萘</w:t>
            </w:r>
          </w:p>
        </w:tc>
        <w:tc>
          <w:tcPr>
            <w:tcW w:w="4471" w:type="dxa"/>
            <w:vMerge w:val="continue"/>
            <w:vAlign w:val="center"/>
          </w:tcPr>
          <w:p w14:paraId="58FCDDF6">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31E03A3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0.09</w:t>
            </w:r>
          </w:p>
        </w:tc>
      </w:tr>
      <w:tr w14:paraId="6629D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5D32C2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15F2CF4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苯并（a）蒽</w:t>
            </w:r>
          </w:p>
        </w:tc>
        <w:tc>
          <w:tcPr>
            <w:tcW w:w="4471" w:type="dxa"/>
            <w:vMerge w:val="continue"/>
            <w:vAlign w:val="center"/>
          </w:tcPr>
          <w:p w14:paraId="2F365C27">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1EDA2235">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49DFC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1AA434D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73E486A3">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屈</w:t>
            </w:r>
          </w:p>
        </w:tc>
        <w:tc>
          <w:tcPr>
            <w:tcW w:w="4471" w:type="dxa"/>
            <w:vMerge w:val="continue"/>
            <w:vAlign w:val="center"/>
          </w:tcPr>
          <w:p w14:paraId="0ACC3B97">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2280141E">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41802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7107C1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010123A0">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苯并（b)荧蒽</w:t>
            </w:r>
          </w:p>
        </w:tc>
        <w:tc>
          <w:tcPr>
            <w:tcW w:w="4471" w:type="dxa"/>
            <w:vMerge w:val="continue"/>
            <w:vAlign w:val="center"/>
          </w:tcPr>
          <w:p w14:paraId="462ABD5D">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67645F5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w:t>
            </w:r>
          </w:p>
        </w:tc>
      </w:tr>
      <w:tr w14:paraId="75AFB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1FC8C0D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24F677A4">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苯并（k)荧蒽</w:t>
            </w:r>
          </w:p>
        </w:tc>
        <w:tc>
          <w:tcPr>
            <w:tcW w:w="4471" w:type="dxa"/>
            <w:vMerge w:val="continue"/>
            <w:vAlign w:val="center"/>
          </w:tcPr>
          <w:p w14:paraId="4568C132">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7536B662">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74364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70D324D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2A34164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苯并（a)芘</w:t>
            </w:r>
          </w:p>
        </w:tc>
        <w:tc>
          <w:tcPr>
            <w:tcW w:w="4471" w:type="dxa"/>
            <w:vMerge w:val="continue"/>
            <w:vAlign w:val="center"/>
          </w:tcPr>
          <w:p w14:paraId="133780D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016ACE7D">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7BF45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51D7AA1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6160627A">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茚并（1，2，3-cd)芘</w:t>
            </w:r>
          </w:p>
        </w:tc>
        <w:tc>
          <w:tcPr>
            <w:tcW w:w="4471" w:type="dxa"/>
            <w:vMerge w:val="continue"/>
            <w:vAlign w:val="center"/>
          </w:tcPr>
          <w:p w14:paraId="01BACF44">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33B6371C">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00D21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3AE81C40">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341519FE">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二苯并（ah）蒽</w:t>
            </w:r>
          </w:p>
        </w:tc>
        <w:tc>
          <w:tcPr>
            <w:tcW w:w="4471" w:type="dxa"/>
            <w:vMerge w:val="continue"/>
            <w:vAlign w:val="center"/>
          </w:tcPr>
          <w:p w14:paraId="25B7009B">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541E4B81">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5C4D2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1" w:type="dxa"/>
            <w:vMerge w:val="continue"/>
            <w:vAlign w:val="center"/>
          </w:tcPr>
          <w:p w14:paraId="6241B74C">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731" w:type="dxa"/>
            <w:vAlign w:val="center"/>
          </w:tcPr>
          <w:p w14:paraId="7B456CF7">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0"/>
                <w:szCs w:val="20"/>
                <w:highlight w:val="none"/>
                <w:lang w:bidi="ar"/>
              </w:rPr>
              <w:t>苯胺</w:t>
            </w:r>
          </w:p>
        </w:tc>
        <w:tc>
          <w:tcPr>
            <w:tcW w:w="4471" w:type="dxa"/>
            <w:vMerge w:val="continue"/>
            <w:vAlign w:val="center"/>
          </w:tcPr>
          <w:p w14:paraId="616EE2AE">
            <w:pPr>
              <w:keepNext w:val="0"/>
              <w:keepLines w:val="0"/>
              <w:pageBreakBefore w:val="0"/>
              <w:kinsoku/>
              <w:wordWrap/>
              <w:overflowPunct/>
              <w:topLinePunct w:val="0"/>
              <w:autoSpaceDE/>
              <w:autoSpaceDN/>
              <w:bidi w:val="0"/>
              <w:adjustRightInd w:val="0"/>
              <w:snapToGrid w:val="0"/>
              <w:ind w:left="0" w:right="0"/>
              <w:jc w:val="center"/>
              <w:textAlignment w:val="center"/>
              <w:rPr>
                <w:rFonts w:ascii="Times New Roman" w:hAnsi="Times New Roman" w:cs="Times New Roman"/>
                <w:color w:val="auto"/>
                <w:sz w:val="21"/>
                <w:szCs w:val="21"/>
                <w:highlight w:val="none"/>
              </w:rPr>
            </w:pPr>
          </w:p>
        </w:tc>
        <w:tc>
          <w:tcPr>
            <w:tcW w:w="1481" w:type="dxa"/>
            <w:vAlign w:val="center"/>
          </w:tcPr>
          <w:p w14:paraId="032C7099">
            <w:pPr>
              <w:keepNext w:val="0"/>
              <w:keepLines w:val="0"/>
              <w:pageBreakBefore w:val="0"/>
              <w:kinsoku/>
              <w:wordWrap/>
              <w:overflowPunct/>
              <w:topLinePunct w:val="0"/>
              <w:autoSpaceDE/>
              <w:autoSpaceDN/>
              <w:bidi w:val="0"/>
              <w:adjustRightInd w:val="0"/>
              <w:snapToGrid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bl>
    <w:p w14:paraId="71151009">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（5）</w:t>
      </w:r>
      <w:r>
        <w:rPr>
          <w:rFonts w:ascii="Times New Roman" w:hAnsi="Times New Roman" w:cs="Times New Roman"/>
          <w:color w:val="auto"/>
          <w:highlight w:val="none"/>
        </w:rPr>
        <w:t>理化性质调查</w:t>
      </w:r>
    </w:p>
    <w:p w14:paraId="3F17F648">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根据厂区勘察资料分析，</w:t>
      </w:r>
      <w:r>
        <w:rPr>
          <w:rFonts w:hint="eastAsia" w:ascii="Times New Roman" w:hAnsi="Times New Roman"/>
          <w:color w:val="auto"/>
          <w:highlight w:val="none"/>
        </w:rPr>
        <w:t>拟建场地在勘探深度内均为第四纪冲积、淤积层，属长江中下游冲积层。场地地表下25.2米深范围内土层，呈多层结构，按土类不同，可分为7个层次，各土层基本上为水平层状分布，土层垂直分布（由浅至深）及特征描述于下：</w:t>
      </w:r>
    </w:p>
    <w:p w14:paraId="63E8612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1）填土：杂色，松软，表部为耕土，含植物根茎，偶含碎破块，均匀性及稳定性差。层厚0.6~2.4m。该层层底标高1.99~3.87m。</w:t>
      </w:r>
    </w:p>
    <w:p w14:paraId="1F03EB60">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2）粉质粘土：灰黄色，硬塑状为主，局部为可塑，含铁锰氧化物条斑及其结核，无摇振反应，切面有光泽，干强度和韧性中~高，中等压缩性。该层土普遍分布，层厚3.4~5.2m。该层层底标高-1.65~-0.73m。</w:t>
      </w:r>
    </w:p>
    <w:p w14:paraId="75B2BE4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3）粉质粘土夹粉土：灰黄色～灰色，软塑状，含云母碎屑，具层里，切面无光泽，干强度中“低、韧性中～低。该层土普遍分布，层厚5.1~8.2m。该层层底标高-9.37~-6.51m。</w:t>
      </w:r>
    </w:p>
    <w:p w14:paraId="2FC910BE">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3-J）粉土：灰色，稍密，夹粉质粘土，摇震反应中等，干强度和韧性低，中压缩性。该层非全场分布，二工场车间东南角与恒温仓库西南角处渐变为粉质粘土，厚度1.5~2.7m。该层层底标高-9.21~-8.52m。</w:t>
      </w:r>
    </w:p>
    <w:p w14:paraId="5725596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4）粉质粘土：灰色～灰褐色，可塑~硬可塑状，含铁锰氧化物，无摇震反应，切面有光泽，干强度和韧性中等，中等压缩性。厚度1.5~2.3m。该层层底标高-11.46~-10.69m。</w:t>
      </w:r>
    </w:p>
    <w:p w14:paraId="05976242">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5）粉质粘土：褐黄色，可塑～硬塑状，含铁锰氧化物，无摇震反应，切面有光泽，干强度和韧性中等。该层厚度在7.6~8.3m,层底标高-19.36~-18.83m。</w:t>
      </w:r>
    </w:p>
    <w:p w14:paraId="3DDBF4B7">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6）粉质粘土：灰黄色，软塑”可塑状，偶夹粉土，切面稍有光泽，干强度和韧性中等。该层未揭穿。</w:t>
      </w:r>
    </w:p>
    <w:p w14:paraId="58DBE8AD">
      <w:pPr>
        <w:spacing w:before="120" w:beforeLines="50" w:line="360" w:lineRule="auto"/>
        <w:ind w:left="-105" w:right="-105"/>
        <w:rPr>
          <w:rFonts w:ascii="Times New Roman" w:hAnsi="Times New Roman"/>
          <w:color w:val="auto"/>
          <w:highlight w:val="none"/>
        </w:rPr>
      </w:pPr>
      <w:r>
        <w:rPr>
          <w:color w:val="auto"/>
          <w:highlight w:val="none"/>
        </w:rPr>
        <w:drawing>
          <wp:inline distT="0" distB="0" distL="114300" distR="114300">
            <wp:extent cx="5393690" cy="3917950"/>
            <wp:effectExtent l="0" t="0" r="16510" b="6350"/>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45"/>
                    <a:stretch>
                      <a:fillRect/>
                    </a:stretch>
                  </pic:blipFill>
                  <pic:spPr>
                    <a:xfrm>
                      <a:off x="0" y="0"/>
                      <a:ext cx="5393690" cy="3917950"/>
                    </a:xfrm>
                    <a:prstGeom prst="rect">
                      <a:avLst/>
                    </a:prstGeom>
                    <a:noFill/>
                    <a:ln>
                      <a:noFill/>
                    </a:ln>
                  </pic:spPr>
                </pic:pic>
              </a:graphicData>
            </a:graphic>
          </wp:inline>
        </w:drawing>
      </w:r>
    </w:p>
    <w:p w14:paraId="7C04B85B">
      <w:pPr>
        <w:pStyle w:val="15"/>
        <w:ind w:left="-105" w:right="-105"/>
        <w:rPr>
          <w:rFonts w:eastAsia="宋体"/>
          <w:color w:val="auto"/>
          <w:kern w:val="0"/>
          <w:sz w:val="24"/>
          <w:szCs w:val="24"/>
          <w:highlight w:val="none"/>
        </w:rPr>
      </w:pPr>
      <w:r>
        <w:rPr>
          <w:rFonts w:hint="eastAsia" w:ascii="宋体" w:hAnsi="宋体" w:eastAsia="宋体" w:cs="宋体"/>
          <w:color w:val="auto"/>
          <w:sz w:val="24"/>
          <w:szCs w:val="24"/>
          <w:highlight w:val="none"/>
        </w:rPr>
        <w:t xml:space="preserve">图 </w:t>
      </w:r>
      <w:r>
        <w:rPr>
          <w:color w:val="auto"/>
          <w:sz w:val="24"/>
          <w:szCs w:val="24"/>
          <w:highlight w:val="none"/>
        </w:rPr>
        <w:fldChar w:fldCharType="begin"/>
      </w:r>
      <w:r>
        <w:rPr>
          <w:color w:val="auto"/>
          <w:sz w:val="24"/>
          <w:szCs w:val="24"/>
          <w:highlight w:val="none"/>
        </w:rPr>
        <w:instrText xml:space="preserve"> STYLEREF 2 \s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rFonts w:hint="eastAsia"/>
          <w:color w:val="auto"/>
          <w:sz w:val="24"/>
          <w:szCs w:val="24"/>
          <w:highlight w:val="none"/>
        </w:rPr>
        <w:t>-</w:t>
      </w:r>
      <w:r>
        <w:rPr>
          <w:color w:val="auto"/>
          <w:sz w:val="24"/>
          <w:szCs w:val="24"/>
          <w:highlight w:val="none"/>
        </w:rPr>
        <w:fldChar w:fldCharType="begin"/>
      </w:r>
      <w:r>
        <w:rPr>
          <w:color w:val="auto"/>
          <w:sz w:val="24"/>
          <w:szCs w:val="24"/>
          <w:highlight w:val="none"/>
        </w:rPr>
        <w:instrText xml:space="preserve"> SEQ 图 \* ARABIC \s 2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eastAsia="宋体"/>
          <w:color w:val="auto"/>
          <w:sz w:val="24"/>
          <w:szCs w:val="24"/>
          <w:highlight w:val="none"/>
        </w:rPr>
        <w:t>场地工程地质剖面图</w:t>
      </w:r>
    </w:p>
    <w:p w14:paraId="6395FF7F">
      <w:pPr>
        <w:spacing w:before="120" w:beforeLines="50"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企业委托无锡恒信安全技术服务有限公司于</w:t>
      </w:r>
      <w:r>
        <w:rPr>
          <w:rFonts w:hint="eastAsia" w:ascii="Times New Roman" w:hAnsi="Times New Roman" w:cs="Times New Roman"/>
          <w:color w:val="auto"/>
          <w:highlight w:val="none"/>
        </w:rPr>
        <w:t>2024</w:t>
      </w:r>
      <w:r>
        <w:rPr>
          <w:rFonts w:ascii="Times New Roman" w:hAnsi="Times New Roman" w:cs="Times New Roman"/>
          <w:color w:val="auto"/>
          <w:highlight w:val="none"/>
        </w:rPr>
        <w:t>.</w:t>
      </w:r>
      <w:r>
        <w:rPr>
          <w:rFonts w:hint="eastAsia" w:ascii="Times New Roman" w:hAnsi="Times New Roman" w:cs="Times New Roman"/>
          <w:color w:val="auto"/>
          <w:highlight w:val="none"/>
        </w:rPr>
        <w:t>4.25</w:t>
      </w:r>
      <w:r>
        <w:rPr>
          <w:rFonts w:ascii="Times New Roman" w:hAnsi="Times New Roman" w:cs="Times New Roman"/>
          <w:color w:val="auto"/>
          <w:highlight w:val="none"/>
        </w:rPr>
        <w:t>在厂区</w:t>
      </w:r>
      <w:r>
        <w:rPr>
          <w:rFonts w:hint="eastAsia" w:ascii="Times New Roman" w:hAnsi="Times New Roman" w:cs="Times New Roman"/>
          <w:color w:val="auto"/>
          <w:highlight w:val="none"/>
        </w:rPr>
        <w:t>外</w:t>
      </w:r>
      <w:r>
        <w:rPr>
          <w:rFonts w:ascii="Times New Roman" w:hAnsi="Times New Roman" w:cs="Times New Roman"/>
          <w:color w:val="auto"/>
          <w:highlight w:val="none"/>
        </w:rPr>
        <w:t>东南侧</w:t>
      </w:r>
      <w:r>
        <w:rPr>
          <w:rFonts w:hint="eastAsia" w:ascii="Times New Roman" w:hAnsi="Times New Roman" w:cs="Times New Roman"/>
          <w:color w:val="auto"/>
          <w:highlight w:val="none"/>
        </w:rPr>
        <w:t>、西侧</w:t>
      </w:r>
      <w:r>
        <w:rPr>
          <w:rFonts w:ascii="Times New Roman" w:hAnsi="Times New Roman" w:cs="Times New Roman"/>
          <w:color w:val="auto"/>
          <w:highlight w:val="none"/>
        </w:rPr>
        <w:t>土壤监测点T</w:t>
      </w:r>
      <w:r>
        <w:rPr>
          <w:rFonts w:hint="eastAsia" w:ascii="Times New Roman" w:hAnsi="Times New Roman" w:cs="Times New Roman"/>
          <w:color w:val="auto"/>
          <w:highlight w:val="none"/>
        </w:rPr>
        <w:t>2-</w:t>
      </w:r>
      <w:r>
        <w:rPr>
          <w:rFonts w:ascii="Times New Roman" w:hAnsi="Times New Roman" w:cs="Times New Roman"/>
          <w:color w:val="auto"/>
          <w:highlight w:val="none"/>
        </w:rPr>
        <w:t>1</w:t>
      </w:r>
      <w:r>
        <w:rPr>
          <w:rFonts w:hint="eastAsia" w:ascii="Times New Roman" w:hAnsi="Times New Roman" w:cs="Times New Roman"/>
          <w:color w:val="auto"/>
          <w:highlight w:val="none"/>
        </w:rPr>
        <w:t>、T2-2</w:t>
      </w:r>
      <w:r>
        <w:rPr>
          <w:rFonts w:ascii="Times New Roman" w:hAnsi="Times New Roman" w:cs="Times New Roman"/>
          <w:color w:val="auto"/>
          <w:highlight w:val="none"/>
        </w:rPr>
        <w:t>处开展土壤理化性质调查，根据无锡恒信安全技术服务有限公司出具的检测结果报告单，土壤监测点T</w:t>
      </w:r>
      <w:r>
        <w:rPr>
          <w:rFonts w:hint="eastAsia" w:ascii="Times New Roman" w:hAnsi="Times New Roman" w:cs="Times New Roman"/>
          <w:color w:val="auto"/>
          <w:highlight w:val="none"/>
        </w:rPr>
        <w:t>2-</w:t>
      </w:r>
      <w:r>
        <w:rPr>
          <w:rFonts w:ascii="Times New Roman" w:hAnsi="Times New Roman" w:cs="Times New Roman"/>
          <w:color w:val="auto"/>
          <w:highlight w:val="none"/>
        </w:rPr>
        <w:t>1</w:t>
      </w:r>
      <w:r>
        <w:rPr>
          <w:rFonts w:hint="eastAsia" w:ascii="Times New Roman" w:hAnsi="Times New Roman" w:cs="Times New Roman"/>
          <w:color w:val="auto"/>
          <w:highlight w:val="none"/>
        </w:rPr>
        <w:t>、T2-2</w:t>
      </w:r>
      <w:r>
        <w:rPr>
          <w:rFonts w:ascii="Times New Roman" w:hAnsi="Times New Roman" w:cs="Times New Roman"/>
          <w:color w:val="auto"/>
          <w:highlight w:val="none"/>
        </w:rPr>
        <w:t>处土壤理化性质调查结果见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_Ref122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 xml:space="preserve">表 </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STYLEREF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5.3</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11</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p>
    <w:p w14:paraId="419CC5AD">
      <w:pPr>
        <w:pStyle w:val="14"/>
        <w:adjustRightInd w:val="0"/>
        <w:snapToGrid w:val="0"/>
        <w:spacing w:line="360" w:lineRule="auto"/>
        <w:ind w:left="-105" w:right="-105" w:firstLine="482"/>
        <w:jc w:val="center"/>
        <w:rPr>
          <w:rFonts w:ascii="Times New Roman" w:hAnsi="Times New Roman" w:cs="Times New Roman"/>
          <w:b/>
          <w:color w:val="auto"/>
          <w:sz w:val="24"/>
          <w:highlight w:val="none"/>
        </w:rPr>
      </w:pPr>
      <w:bookmarkStart w:id="355" w:name="_Ref122"/>
      <w:r>
        <w:rPr>
          <w:rFonts w:ascii="Times New Roman" w:hAnsi="Times New Roman" w:cs="Times New Roman"/>
          <w:b/>
          <w:color w:val="auto"/>
          <w:sz w:val="24"/>
          <w:highlight w:val="none"/>
        </w:rPr>
        <w:t xml:space="preserve">表 </w:t>
      </w:r>
      <w:r>
        <w:rPr>
          <w:rFonts w:ascii="Times New Roman" w:hAnsi="Times New Roman" w:cs="Times New Roman"/>
          <w:b/>
          <w:color w:val="auto"/>
          <w:sz w:val="24"/>
          <w:highlight w:val="none"/>
        </w:rPr>
        <w:fldChar w:fldCharType="begin"/>
      </w:r>
      <w:r>
        <w:rPr>
          <w:rFonts w:ascii="Times New Roman" w:hAnsi="Times New Roman" w:cs="Times New Roman"/>
          <w:b/>
          <w:color w:val="auto"/>
          <w:sz w:val="24"/>
          <w:highlight w:val="none"/>
        </w:rPr>
        <w:instrText xml:space="preserve"> STYLEREF 2 \s </w:instrText>
      </w:r>
      <w:r>
        <w:rPr>
          <w:rFonts w:ascii="Times New Roman" w:hAnsi="Times New Roman" w:cs="Times New Roman"/>
          <w:b/>
          <w:color w:val="auto"/>
          <w:sz w:val="24"/>
          <w:highlight w:val="none"/>
        </w:rPr>
        <w:fldChar w:fldCharType="separate"/>
      </w:r>
      <w:r>
        <w:rPr>
          <w:rFonts w:ascii="Times New Roman" w:hAnsi="Times New Roman" w:cs="Times New Roman"/>
          <w:b/>
          <w:color w:val="auto"/>
          <w:sz w:val="24"/>
          <w:highlight w:val="none"/>
        </w:rPr>
        <w:t>5.3</w:t>
      </w:r>
      <w:r>
        <w:rPr>
          <w:rFonts w:ascii="Times New Roman" w:hAnsi="Times New Roman" w:cs="Times New Roman"/>
          <w:b/>
          <w:color w:val="auto"/>
          <w:sz w:val="24"/>
          <w:highlight w:val="none"/>
        </w:rPr>
        <w:fldChar w:fldCharType="end"/>
      </w:r>
      <w:r>
        <w:rPr>
          <w:rFonts w:ascii="Times New Roman" w:hAnsi="Times New Roman" w:cs="Times New Roman"/>
          <w:b/>
          <w:color w:val="auto"/>
          <w:sz w:val="24"/>
          <w:highlight w:val="none"/>
        </w:rPr>
        <w:noBreakHyphen/>
      </w:r>
      <w:r>
        <w:rPr>
          <w:rFonts w:ascii="Times New Roman" w:hAnsi="Times New Roman" w:cs="Times New Roman"/>
          <w:b/>
          <w:color w:val="auto"/>
          <w:sz w:val="24"/>
          <w:highlight w:val="none"/>
        </w:rPr>
        <w:fldChar w:fldCharType="begin"/>
      </w:r>
      <w:r>
        <w:rPr>
          <w:rFonts w:ascii="Times New Roman" w:hAnsi="Times New Roman" w:cs="Times New Roman"/>
          <w:b/>
          <w:color w:val="auto"/>
          <w:sz w:val="24"/>
          <w:highlight w:val="none"/>
        </w:rPr>
        <w:instrText xml:space="preserve"> SEQ 表 \* ARABIC \s 2 </w:instrText>
      </w:r>
      <w:r>
        <w:rPr>
          <w:rFonts w:ascii="Times New Roman" w:hAnsi="Times New Roman" w:cs="Times New Roman"/>
          <w:b/>
          <w:color w:val="auto"/>
          <w:sz w:val="24"/>
          <w:highlight w:val="none"/>
        </w:rPr>
        <w:fldChar w:fldCharType="separate"/>
      </w:r>
      <w:r>
        <w:rPr>
          <w:rFonts w:ascii="Times New Roman" w:hAnsi="Times New Roman" w:cs="Times New Roman"/>
          <w:b/>
          <w:color w:val="auto"/>
          <w:sz w:val="24"/>
          <w:highlight w:val="none"/>
        </w:rPr>
        <w:t>11</w:t>
      </w:r>
      <w:r>
        <w:rPr>
          <w:rFonts w:ascii="Times New Roman" w:hAnsi="Times New Roman" w:cs="Times New Roman"/>
          <w:b/>
          <w:color w:val="auto"/>
          <w:sz w:val="24"/>
          <w:highlight w:val="none"/>
        </w:rPr>
        <w:fldChar w:fldCharType="end"/>
      </w:r>
      <w:bookmarkEnd w:id="355"/>
      <w:r>
        <w:rPr>
          <w:rFonts w:ascii="Times New Roman" w:hAnsi="Times New Roman" w:cs="Times New Roman"/>
          <w:b/>
          <w:color w:val="auto"/>
          <w:sz w:val="24"/>
          <w:highlight w:val="none"/>
        </w:rPr>
        <w:t xml:space="preserve"> 土壤理化性质调查表</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7"/>
        <w:gridCol w:w="2266"/>
        <w:gridCol w:w="1558"/>
        <w:gridCol w:w="3509"/>
      </w:tblGrid>
      <w:tr w14:paraId="6B5F98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tcBorders>
              <w:bottom w:val="single" w:color="auto" w:sz="4" w:space="0"/>
              <w:right w:val="single" w:color="auto" w:sz="4" w:space="0"/>
            </w:tcBorders>
            <w:vAlign w:val="center"/>
          </w:tcPr>
          <w:p w14:paraId="6782F73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点号</w:t>
            </w:r>
          </w:p>
        </w:tc>
        <w:tc>
          <w:tcPr>
            <w:tcW w:w="2266" w:type="dxa"/>
            <w:tcBorders>
              <w:left w:val="single" w:color="auto" w:sz="4" w:space="0"/>
              <w:bottom w:val="single" w:color="auto" w:sz="4" w:space="0"/>
              <w:right w:val="single" w:color="auto" w:sz="4" w:space="0"/>
            </w:tcBorders>
            <w:vAlign w:val="center"/>
          </w:tcPr>
          <w:p w14:paraId="13977A69">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w:t>
            </w:r>
            <w:r>
              <w:rPr>
                <w:rFonts w:hint="eastAsia" w:ascii="Times New Roman" w:hAnsi="Times New Roman" w:cs="Times New Roman"/>
                <w:color w:val="auto"/>
                <w:sz w:val="21"/>
                <w:szCs w:val="21"/>
                <w:highlight w:val="none"/>
              </w:rPr>
              <w:t>2-</w:t>
            </w:r>
            <w:r>
              <w:rPr>
                <w:rFonts w:ascii="Times New Roman" w:hAnsi="Times New Roman" w:cs="Times New Roman"/>
                <w:color w:val="auto"/>
                <w:sz w:val="21"/>
                <w:szCs w:val="21"/>
                <w:highlight w:val="none"/>
              </w:rPr>
              <w:t>1（厂区</w:t>
            </w:r>
            <w:r>
              <w:rPr>
                <w:rFonts w:hint="eastAsia" w:ascii="Times New Roman" w:hAnsi="Times New Roman" w:cs="Times New Roman"/>
                <w:color w:val="auto"/>
                <w:sz w:val="21"/>
                <w:szCs w:val="21"/>
                <w:highlight w:val="none"/>
              </w:rPr>
              <w:t>外</w:t>
            </w:r>
            <w:r>
              <w:rPr>
                <w:rFonts w:ascii="Times New Roman" w:hAnsi="Times New Roman" w:cs="Times New Roman"/>
                <w:color w:val="auto"/>
                <w:sz w:val="21"/>
                <w:szCs w:val="21"/>
                <w:highlight w:val="none"/>
              </w:rPr>
              <w:t>东南侧）</w:t>
            </w:r>
          </w:p>
        </w:tc>
        <w:tc>
          <w:tcPr>
            <w:tcW w:w="1556" w:type="dxa"/>
            <w:tcBorders>
              <w:left w:val="single" w:color="auto" w:sz="4" w:space="0"/>
              <w:bottom w:val="single" w:color="auto" w:sz="4" w:space="0"/>
              <w:right w:val="single" w:color="auto" w:sz="4" w:space="0"/>
            </w:tcBorders>
            <w:vAlign w:val="center"/>
          </w:tcPr>
          <w:p w14:paraId="2FD547E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时间</w:t>
            </w:r>
          </w:p>
        </w:tc>
        <w:tc>
          <w:tcPr>
            <w:tcW w:w="3513" w:type="dxa"/>
            <w:tcBorders>
              <w:left w:val="single" w:color="auto" w:sz="4" w:space="0"/>
              <w:bottom w:val="single" w:color="auto" w:sz="4" w:space="0"/>
            </w:tcBorders>
            <w:vAlign w:val="center"/>
          </w:tcPr>
          <w:p w14:paraId="2EAE7153">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2024.4.25</w:t>
            </w:r>
            <w:r>
              <w:rPr>
                <w:rFonts w:ascii="Times New Roman" w:hAnsi="Times New Roman" w:cs="Times New Roman"/>
                <w:bCs/>
                <w:color w:val="auto"/>
                <w:sz w:val="21"/>
                <w:szCs w:val="21"/>
                <w:highlight w:val="none"/>
              </w:rPr>
              <w:t>上午</w:t>
            </w:r>
            <w:r>
              <w:rPr>
                <w:rFonts w:hint="eastAsia" w:ascii="Times New Roman" w:hAnsi="Times New Roman" w:cs="Times New Roman"/>
                <w:bCs/>
                <w:color w:val="auto"/>
                <w:sz w:val="21"/>
                <w:szCs w:val="21"/>
                <w:highlight w:val="none"/>
              </w:rPr>
              <w:t>10：02</w:t>
            </w:r>
          </w:p>
        </w:tc>
      </w:tr>
      <w:tr w14:paraId="06B797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tcBorders>
              <w:top w:val="single" w:color="auto" w:sz="4" w:space="0"/>
              <w:bottom w:val="single" w:color="auto" w:sz="4" w:space="0"/>
              <w:right w:val="single" w:color="auto" w:sz="4" w:space="0"/>
            </w:tcBorders>
            <w:vAlign w:val="center"/>
          </w:tcPr>
          <w:p w14:paraId="7AB7BA4A">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经度</w:t>
            </w:r>
          </w:p>
        </w:tc>
        <w:tc>
          <w:tcPr>
            <w:tcW w:w="2266" w:type="dxa"/>
            <w:tcBorders>
              <w:top w:val="single" w:color="auto" w:sz="4" w:space="0"/>
              <w:left w:val="single" w:color="auto" w:sz="4" w:space="0"/>
              <w:bottom w:val="single" w:color="auto" w:sz="4" w:space="0"/>
              <w:right w:val="single" w:color="auto" w:sz="4" w:space="0"/>
            </w:tcBorders>
            <w:vAlign w:val="center"/>
          </w:tcPr>
          <w:p w14:paraId="17F1DE6B">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120.394271570</w:t>
            </w:r>
            <w:r>
              <w:rPr>
                <w:rFonts w:ascii="Times New Roman" w:hAnsi="Times New Roman" w:cs="Times New Roman"/>
                <w:color w:val="auto"/>
                <w:sz w:val="21"/>
                <w:szCs w:val="21"/>
                <w:highlight w:val="none"/>
              </w:rPr>
              <w:t>°</w:t>
            </w:r>
          </w:p>
        </w:tc>
        <w:tc>
          <w:tcPr>
            <w:tcW w:w="1556" w:type="dxa"/>
            <w:tcBorders>
              <w:top w:val="single" w:color="auto" w:sz="4" w:space="0"/>
              <w:left w:val="single" w:color="auto" w:sz="4" w:space="0"/>
              <w:bottom w:val="single" w:color="auto" w:sz="4" w:space="0"/>
              <w:right w:val="single" w:color="auto" w:sz="4" w:space="0"/>
            </w:tcBorders>
            <w:vAlign w:val="center"/>
          </w:tcPr>
          <w:p w14:paraId="4D137AC2">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纬度</w:t>
            </w:r>
          </w:p>
        </w:tc>
        <w:tc>
          <w:tcPr>
            <w:tcW w:w="3513" w:type="dxa"/>
            <w:tcBorders>
              <w:top w:val="single" w:color="auto" w:sz="4" w:space="0"/>
              <w:left w:val="single" w:color="auto" w:sz="4" w:space="0"/>
              <w:bottom w:val="single" w:color="auto" w:sz="4" w:space="0"/>
            </w:tcBorders>
            <w:vAlign w:val="center"/>
          </w:tcPr>
          <w:p w14:paraId="1F3744F1">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31.649070329</w:t>
            </w:r>
            <w:r>
              <w:rPr>
                <w:rFonts w:ascii="Times New Roman" w:hAnsi="Times New Roman" w:cs="Times New Roman"/>
                <w:color w:val="auto"/>
                <w:sz w:val="21"/>
                <w:szCs w:val="21"/>
                <w:highlight w:val="none"/>
              </w:rPr>
              <w:t>°</w:t>
            </w:r>
          </w:p>
        </w:tc>
      </w:tr>
      <w:tr w14:paraId="74E4E2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1" w:type="dxa"/>
            <w:gridSpan w:val="2"/>
            <w:tcBorders>
              <w:top w:val="single" w:color="auto" w:sz="4" w:space="0"/>
              <w:bottom w:val="single" w:color="auto" w:sz="4" w:space="0"/>
              <w:right w:val="single" w:color="auto" w:sz="4" w:space="0"/>
            </w:tcBorders>
            <w:vAlign w:val="center"/>
          </w:tcPr>
          <w:p w14:paraId="1A7C2EC5">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层次</w:t>
            </w:r>
          </w:p>
        </w:tc>
        <w:tc>
          <w:tcPr>
            <w:tcW w:w="5069" w:type="dxa"/>
            <w:gridSpan w:val="2"/>
            <w:tcBorders>
              <w:top w:val="single" w:color="auto" w:sz="4" w:space="0"/>
              <w:left w:val="single" w:color="auto" w:sz="4" w:space="0"/>
              <w:bottom w:val="single" w:color="auto" w:sz="4" w:space="0"/>
            </w:tcBorders>
            <w:vAlign w:val="center"/>
          </w:tcPr>
          <w:p w14:paraId="2C10D556">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表土层（0~0.6m）</w:t>
            </w:r>
          </w:p>
        </w:tc>
      </w:tr>
      <w:tr w14:paraId="2BA33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restart"/>
            <w:tcBorders>
              <w:top w:val="single" w:color="auto" w:sz="4" w:space="0"/>
              <w:bottom w:val="single" w:color="auto" w:sz="4" w:space="0"/>
              <w:right w:val="single" w:color="auto" w:sz="4" w:space="0"/>
            </w:tcBorders>
            <w:vAlign w:val="center"/>
          </w:tcPr>
          <w:p w14:paraId="1321AFFB">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现场记录</w:t>
            </w:r>
          </w:p>
        </w:tc>
        <w:tc>
          <w:tcPr>
            <w:tcW w:w="2266" w:type="dxa"/>
            <w:tcBorders>
              <w:top w:val="single" w:color="auto" w:sz="4" w:space="0"/>
              <w:left w:val="single" w:color="auto" w:sz="4" w:space="0"/>
              <w:bottom w:val="single" w:color="auto" w:sz="4" w:space="0"/>
              <w:right w:val="single" w:color="auto" w:sz="4" w:space="0"/>
            </w:tcBorders>
            <w:vAlign w:val="center"/>
          </w:tcPr>
          <w:p w14:paraId="58C96D9E">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颜色</w:t>
            </w:r>
          </w:p>
        </w:tc>
        <w:tc>
          <w:tcPr>
            <w:tcW w:w="5069" w:type="dxa"/>
            <w:gridSpan w:val="2"/>
            <w:tcBorders>
              <w:top w:val="single" w:color="auto" w:sz="4" w:space="0"/>
              <w:left w:val="single" w:color="auto" w:sz="4" w:space="0"/>
              <w:bottom w:val="single" w:color="auto" w:sz="4" w:space="0"/>
            </w:tcBorders>
            <w:vAlign w:val="center"/>
          </w:tcPr>
          <w:p w14:paraId="14CC9B82">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棕色</w:t>
            </w:r>
          </w:p>
        </w:tc>
      </w:tr>
      <w:tr w14:paraId="07CDA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47EF625E">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5D01AA2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结构</w:t>
            </w:r>
          </w:p>
        </w:tc>
        <w:tc>
          <w:tcPr>
            <w:tcW w:w="5069" w:type="dxa"/>
            <w:gridSpan w:val="2"/>
            <w:tcBorders>
              <w:top w:val="single" w:color="auto" w:sz="4" w:space="0"/>
              <w:left w:val="single" w:color="auto" w:sz="4" w:space="0"/>
              <w:bottom w:val="single" w:color="auto" w:sz="4" w:space="0"/>
            </w:tcBorders>
            <w:vAlign w:val="center"/>
          </w:tcPr>
          <w:p w14:paraId="318A9AAA">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块状型</w:t>
            </w:r>
          </w:p>
        </w:tc>
      </w:tr>
      <w:tr w14:paraId="5C82FF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291B2EDF">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0BBE4F93">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质地</w:t>
            </w:r>
          </w:p>
        </w:tc>
        <w:tc>
          <w:tcPr>
            <w:tcW w:w="5069" w:type="dxa"/>
            <w:gridSpan w:val="2"/>
            <w:tcBorders>
              <w:top w:val="single" w:color="auto" w:sz="4" w:space="0"/>
              <w:left w:val="single" w:color="auto" w:sz="4" w:space="0"/>
              <w:bottom w:val="single" w:color="auto" w:sz="4" w:space="0"/>
            </w:tcBorders>
            <w:vAlign w:val="center"/>
          </w:tcPr>
          <w:p w14:paraId="5169109A">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壤土</w:t>
            </w:r>
          </w:p>
        </w:tc>
      </w:tr>
      <w:tr w14:paraId="63061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23D3921C">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6D34781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砂砾含量</w:t>
            </w:r>
          </w:p>
        </w:tc>
        <w:tc>
          <w:tcPr>
            <w:tcW w:w="5069" w:type="dxa"/>
            <w:gridSpan w:val="2"/>
            <w:tcBorders>
              <w:top w:val="single" w:color="auto" w:sz="4" w:space="0"/>
              <w:left w:val="single" w:color="auto" w:sz="4" w:space="0"/>
              <w:bottom w:val="single" w:color="auto" w:sz="4" w:space="0"/>
            </w:tcBorders>
            <w:vAlign w:val="center"/>
          </w:tcPr>
          <w:p w14:paraId="145E0E02">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r>
      <w:tr w14:paraId="133BD1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78583DE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45EB0FA7">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其他异物</w:t>
            </w:r>
          </w:p>
        </w:tc>
        <w:tc>
          <w:tcPr>
            <w:tcW w:w="5069" w:type="dxa"/>
            <w:gridSpan w:val="2"/>
            <w:tcBorders>
              <w:top w:val="single" w:color="auto" w:sz="4" w:space="0"/>
              <w:left w:val="single" w:color="auto" w:sz="4" w:space="0"/>
              <w:bottom w:val="single" w:color="auto" w:sz="4" w:space="0"/>
            </w:tcBorders>
            <w:vAlign w:val="center"/>
          </w:tcPr>
          <w:p w14:paraId="5F86C7CF">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5D0673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restart"/>
            <w:tcBorders>
              <w:top w:val="single" w:color="auto" w:sz="4" w:space="0"/>
              <w:bottom w:val="single" w:color="auto" w:sz="4" w:space="0"/>
              <w:right w:val="single" w:color="auto" w:sz="4" w:space="0"/>
            </w:tcBorders>
            <w:vAlign w:val="center"/>
          </w:tcPr>
          <w:p w14:paraId="271D82E8">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实验室测定</w:t>
            </w:r>
          </w:p>
        </w:tc>
        <w:tc>
          <w:tcPr>
            <w:tcW w:w="2266" w:type="dxa"/>
            <w:tcBorders>
              <w:top w:val="single" w:color="auto" w:sz="4" w:space="0"/>
              <w:left w:val="single" w:color="auto" w:sz="4" w:space="0"/>
              <w:bottom w:val="single" w:color="auto" w:sz="4" w:space="0"/>
              <w:right w:val="single" w:color="auto" w:sz="4" w:space="0"/>
            </w:tcBorders>
            <w:vAlign w:val="center"/>
          </w:tcPr>
          <w:p w14:paraId="56358285">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水分-物理性质</w:t>
            </w:r>
          </w:p>
        </w:tc>
        <w:tc>
          <w:tcPr>
            <w:tcW w:w="5069" w:type="dxa"/>
            <w:gridSpan w:val="2"/>
            <w:tcBorders>
              <w:top w:val="single" w:color="auto" w:sz="4" w:space="0"/>
              <w:left w:val="single" w:color="auto" w:sz="4" w:space="0"/>
              <w:bottom w:val="single" w:color="auto" w:sz="4" w:space="0"/>
            </w:tcBorders>
            <w:vAlign w:val="center"/>
          </w:tcPr>
          <w:p w14:paraId="0063109D">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37.8%</w:t>
            </w:r>
          </w:p>
        </w:tc>
      </w:tr>
      <w:tr w14:paraId="0259CA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277498F5">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5201B1A2">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氧化还原电位</w:t>
            </w:r>
          </w:p>
        </w:tc>
        <w:tc>
          <w:tcPr>
            <w:tcW w:w="5069" w:type="dxa"/>
            <w:gridSpan w:val="2"/>
            <w:tcBorders>
              <w:top w:val="single" w:color="auto" w:sz="4" w:space="0"/>
              <w:left w:val="single" w:color="auto" w:sz="4" w:space="0"/>
              <w:bottom w:val="single" w:color="auto" w:sz="4" w:space="0"/>
            </w:tcBorders>
            <w:vAlign w:val="center"/>
          </w:tcPr>
          <w:p w14:paraId="347ED490">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271</w:t>
            </w:r>
          </w:p>
        </w:tc>
      </w:tr>
      <w:tr w14:paraId="785577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06BA99E5">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48A42C8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土壤容重（g/</w:t>
            </w:r>
            <w:r>
              <w:rPr>
                <w:rFonts w:hint="eastAsia" w:ascii="Times New Roman" w:hAnsi="Times New Roman" w:cs="Times New Roman"/>
                <w:b/>
                <w:bCs/>
                <w:color w:val="auto"/>
                <w:sz w:val="21"/>
                <w:szCs w:val="21"/>
                <w:highlight w:val="none"/>
              </w:rPr>
              <w:t>c</w:t>
            </w:r>
            <w:r>
              <w:rPr>
                <w:rFonts w:ascii="Times New Roman" w:hAnsi="Times New Roman" w:cs="Times New Roman"/>
                <w:b/>
                <w:bCs/>
                <w:color w:val="auto"/>
                <w:sz w:val="21"/>
                <w:szCs w:val="21"/>
                <w:highlight w:val="none"/>
              </w:rPr>
              <w:t>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5069" w:type="dxa"/>
            <w:gridSpan w:val="2"/>
            <w:tcBorders>
              <w:top w:val="single" w:color="auto" w:sz="4" w:space="0"/>
              <w:left w:val="single" w:color="auto" w:sz="4" w:space="0"/>
              <w:bottom w:val="single" w:color="auto" w:sz="4" w:space="0"/>
            </w:tcBorders>
            <w:vAlign w:val="center"/>
          </w:tcPr>
          <w:p w14:paraId="4025BD26">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1.27</w:t>
            </w:r>
          </w:p>
        </w:tc>
      </w:tr>
      <w:tr w14:paraId="07160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0922D00D">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6CC3B4B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土壤渗透性（mm/min）</w:t>
            </w:r>
          </w:p>
        </w:tc>
        <w:tc>
          <w:tcPr>
            <w:tcW w:w="5069" w:type="dxa"/>
            <w:gridSpan w:val="2"/>
            <w:tcBorders>
              <w:top w:val="single" w:color="auto" w:sz="4" w:space="0"/>
              <w:left w:val="single" w:color="auto" w:sz="4" w:space="0"/>
              <w:bottom w:val="single" w:color="auto" w:sz="4" w:space="0"/>
            </w:tcBorders>
            <w:vAlign w:val="center"/>
          </w:tcPr>
          <w:p w14:paraId="6E25CA42">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0.420</w:t>
            </w:r>
          </w:p>
        </w:tc>
      </w:tr>
      <w:tr w14:paraId="5D542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tcBorders>
              <w:top w:val="single" w:color="auto" w:sz="4" w:space="0"/>
              <w:bottom w:val="single" w:color="auto" w:sz="4" w:space="0"/>
              <w:right w:val="single" w:color="auto" w:sz="4" w:space="0"/>
            </w:tcBorders>
            <w:vAlign w:val="center"/>
          </w:tcPr>
          <w:p w14:paraId="2B72D0CD">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点号</w:t>
            </w:r>
          </w:p>
        </w:tc>
        <w:tc>
          <w:tcPr>
            <w:tcW w:w="2266" w:type="dxa"/>
            <w:tcBorders>
              <w:top w:val="single" w:color="auto" w:sz="4" w:space="0"/>
              <w:left w:val="single" w:color="auto" w:sz="4" w:space="0"/>
              <w:bottom w:val="single" w:color="auto" w:sz="4" w:space="0"/>
              <w:right w:val="single" w:color="auto" w:sz="4" w:space="0"/>
            </w:tcBorders>
            <w:vAlign w:val="center"/>
          </w:tcPr>
          <w:p w14:paraId="11CC8D8C">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w:t>
            </w:r>
            <w:r>
              <w:rPr>
                <w:rFonts w:hint="eastAsia" w:ascii="Times New Roman" w:hAnsi="Times New Roman" w:cs="Times New Roman"/>
                <w:color w:val="auto"/>
                <w:sz w:val="21"/>
                <w:szCs w:val="21"/>
                <w:highlight w:val="none"/>
              </w:rPr>
              <w:t>2-2</w:t>
            </w:r>
            <w:r>
              <w:rPr>
                <w:rFonts w:ascii="Times New Roman" w:hAnsi="Times New Roman" w:cs="Times New Roman"/>
                <w:color w:val="auto"/>
                <w:sz w:val="21"/>
                <w:szCs w:val="21"/>
                <w:highlight w:val="none"/>
              </w:rPr>
              <w:t>（厂区</w:t>
            </w:r>
            <w:r>
              <w:rPr>
                <w:rFonts w:hint="eastAsia" w:ascii="Times New Roman" w:hAnsi="Times New Roman" w:cs="Times New Roman"/>
                <w:color w:val="auto"/>
                <w:sz w:val="21"/>
                <w:szCs w:val="21"/>
                <w:highlight w:val="none"/>
              </w:rPr>
              <w:t>外西</w:t>
            </w:r>
            <w:r>
              <w:rPr>
                <w:rFonts w:ascii="Times New Roman" w:hAnsi="Times New Roman" w:cs="Times New Roman"/>
                <w:color w:val="auto"/>
                <w:sz w:val="21"/>
                <w:szCs w:val="21"/>
                <w:highlight w:val="none"/>
              </w:rPr>
              <w:t>侧）</w:t>
            </w:r>
          </w:p>
        </w:tc>
        <w:tc>
          <w:tcPr>
            <w:tcW w:w="1556" w:type="dxa"/>
            <w:tcBorders>
              <w:top w:val="single" w:color="auto" w:sz="4" w:space="0"/>
              <w:left w:val="single" w:color="auto" w:sz="4" w:space="0"/>
              <w:bottom w:val="single" w:color="auto" w:sz="4" w:space="0"/>
              <w:right w:val="single" w:color="auto" w:sz="4" w:space="0"/>
            </w:tcBorders>
            <w:vAlign w:val="center"/>
          </w:tcPr>
          <w:p w14:paraId="0AE23B00">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时间</w:t>
            </w:r>
          </w:p>
        </w:tc>
        <w:tc>
          <w:tcPr>
            <w:tcW w:w="3513" w:type="dxa"/>
            <w:tcBorders>
              <w:top w:val="single" w:color="auto" w:sz="4" w:space="0"/>
              <w:left w:val="single" w:color="auto" w:sz="4" w:space="0"/>
              <w:bottom w:val="single" w:color="auto" w:sz="4" w:space="0"/>
            </w:tcBorders>
            <w:vAlign w:val="center"/>
          </w:tcPr>
          <w:p w14:paraId="54A77565">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2024.4.25</w:t>
            </w:r>
            <w:r>
              <w:rPr>
                <w:rFonts w:ascii="Times New Roman" w:hAnsi="Times New Roman" w:cs="Times New Roman"/>
                <w:bCs/>
                <w:color w:val="auto"/>
                <w:sz w:val="21"/>
                <w:szCs w:val="21"/>
                <w:highlight w:val="none"/>
              </w:rPr>
              <w:t>上午</w:t>
            </w:r>
            <w:r>
              <w:rPr>
                <w:rFonts w:hint="eastAsia" w:ascii="Times New Roman" w:hAnsi="Times New Roman" w:cs="Times New Roman"/>
                <w:bCs/>
                <w:color w:val="auto"/>
                <w:sz w:val="21"/>
                <w:szCs w:val="21"/>
                <w:highlight w:val="none"/>
              </w:rPr>
              <w:t>11:10</w:t>
            </w:r>
          </w:p>
        </w:tc>
      </w:tr>
      <w:tr w14:paraId="166EC0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tcBorders>
              <w:top w:val="single" w:color="auto" w:sz="4" w:space="0"/>
              <w:bottom w:val="single" w:color="auto" w:sz="4" w:space="0"/>
              <w:right w:val="single" w:color="auto" w:sz="4" w:space="0"/>
            </w:tcBorders>
            <w:vAlign w:val="center"/>
          </w:tcPr>
          <w:p w14:paraId="4FFE57A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经度</w:t>
            </w:r>
          </w:p>
        </w:tc>
        <w:tc>
          <w:tcPr>
            <w:tcW w:w="2266" w:type="dxa"/>
            <w:tcBorders>
              <w:top w:val="single" w:color="auto" w:sz="4" w:space="0"/>
              <w:left w:val="single" w:color="auto" w:sz="4" w:space="0"/>
              <w:bottom w:val="single" w:color="auto" w:sz="4" w:space="0"/>
              <w:right w:val="single" w:color="auto" w:sz="4" w:space="0"/>
            </w:tcBorders>
            <w:vAlign w:val="center"/>
          </w:tcPr>
          <w:p w14:paraId="641E6987">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120.398804504</w:t>
            </w:r>
            <w:r>
              <w:rPr>
                <w:rFonts w:ascii="Times New Roman" w:hAnsi="Times New Roman" w:cs="Times New Roman"/>
                <w:color w:val="auto"/>
                <w:sz w:val="21"/>
                <w:szCs w:val="21"/>
                <w:highlight w:val="none"/>
              </w:rPr>
              <w:t>°</w:t>
            </w:r>
          </w:p>
        </w:tc>
        <w:tc>
          <w:tcPr>
            <w:tcW w:w="1556" w:type="dxa"/>
            <w:tcBorders>
              <w:top w:val="single" w:color="auto" w:sz="4" w:space="0"/>
              <w:left w:val="single" w:color="auto" w:sz="4" w:space="0"/>
              <w:bottom w:val="single" w:color="auto" w:sz="4" w:space="0"/>
              <w:right w:val="single" w:color="auto" w:sz="4" w:space="0"/>
            </w:tcBorders>
            <w:vAlign w:val="center"/>
          </w:tcPr>
          <w:p w14:paraId="4A5C0755">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纬度</w:t>
            </w:r>
          </w:p>
        </w:tc>
        <w:tc>
          <w:tcPr>
            <w:tcW w:w="3513" w:type="dxa"/>
            <w:tcBorders>
              <w:top w:val="single" w:color="auto" w:sz="4" w:space="0"/>
              <w:left w:val="single" w:color="auto" w:sz="4" w:space="0"/>
              <w:bottom w:val="single" w:color="auto" w:sz="4" w:space="0"/>
            </w:tcBorders>
            <w:vAlign w:val="center"/>
          </w:tcPr>
          <w:p w14:paraId="365E6489">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31.647058672</w:t>
            </w:r>
            <w:r>
              <w:rPr>
                <w:rFonts w:ascii="Times New Roman" w:hAnsi="Times New Roman" w:cs="Times New Roman"/>
                <w:color w:val="auto"/>
                <w:sz w:val="21"/>
                <w:szCs w:val="21"/>
                <w:highlight w:val="none"/>
              </w:rPr>
              <w:t>°</w:t>
            </w:r>
          </w:p>
        </w:tc>
      </w:tr>
      <w:tr w14:paraId="17CCA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51" w:type="dxa"/>
            <w:gridSpan w:val="2"/>
            <w:tcBorders>
              <w:top w:val="single" w:color="auto" w:sz="4" w:space="0"/>
              <w:bottom w:val="single" w:color="auto" w:sz="4" w:space="0"/>
              <w:right w:val="single" w:color="auto" w:sz="4" w:space="0"/>
            </w:tcBorders>
            <w:vAlign w:val="center"/>
          </w:tcPr>
          <w:p w14:paraId="200190F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层次</w:t>
            </w:r>
          </w:p>
        </w:tc>
        <w:tc>
          <w:tcPr>
            <w:tcW w:w="5069" w:type="dxa"/>
            <w:gridSpan w:val="2"/>
            <w:tcBorders>
              <w:top w:val="single" w:color="auto" w:sz="4" w:space="0"/>
              <w:left w:val="single" w:color="auto" w:sz="4" w:space="0"/>
              <w:bottom w:val="single" w:color="auto" w:sz="4" w:space="0"/>
            </w:tcBorders>
            <w:vAlign w:val="center"/>
          </w:tcPr>
          <w:p w14:paraId="095C0641">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表土层（0~0.6m）</w:t>
            </w:r>
          </w:p>
        </w:tc>
      </w:tr>
      <w:tr w14:paraId="13A42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restart"/>
            <w:tcBorders>
              <w:top w:val="single" w:color="auto" w:sz="4" w:space="0"/>
              <w:bottom w:val="single" w:color="auto" w:sz="4" w:space="0"/>
              <w:right w:val="single" w:color="auto" w:sz="4" w:space="0"/>
            </w:tcBorders>
            <w:vAlign w:val="center"/>
          </w:tcPr>
          <w:p w14:paraId="5559C323">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现场记录</w:t>
            </w:r>
          </w:p>
        </w:tc>
        <w:tc>
          <w:tcPr>
            <w:tcW w:w="2266" w:type="dxa"/>
            <w:tcBorders>
              <w:top w:val="single" w:color="auto" w:sz="4" w:space="0"/>
              <w:left w:val="single" w:color="auto" w:sz="4" w:space="0"/>
              <w:bottom w:val="single" w:color="auto" w:sz="4" w:space="0"/>
              <w:right w:val="single" w:color="auto" w:sz="4" w:space="0"/>
            </w:tcBorders>
            <w:vAlign w:val="center"/>
          </w:tcPr>
          <w:p w14:paraId="2D86573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颜色</w:t>
            </w:r>
          </w:p>
        </w:tc>
        <w:tc>
          <w:tcPr>
            <w:tcW w:w="5069" w:type="dxa"/>
            <w:gridSpan w:val="2"/>
            <w:tcBorders>
              <w:top w:val="single" w:color="auto" w:sz="4" w:space="0"/>
              <w:left w:val="single" w:color="auto" w:sz="4" w:space="0"/>
              <w:bottom w:val="single" w:color="auto" w:sz="4" w:space="0"/>
            </w:tcBorders>
            <w:vAlign w:val="center"/>
          </w:tcPr>
          <w:p w14:paraId="592AD5AB">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棕色</w:t>
            </w:r>
          </w:p>
        </w:tc>
      </w:tr>
      <w:tr w14:paraId="5E634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6B329665">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7E73A0AA">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结构</w:t>
            </w:r>
          </w:p>
        </w:tc>
        <w:tc>
          <w:tcPr>
            <w:tcW w:w="5069" w:type="dxa"/>
            <w:gridSpan w:val="2"/>
            <w:tcBorders>
              <w:top w:val="single" w:color="auto" w:sz="4" w:space="0"/>
              <w:left w:val="single" w:color="auto" w:sz="4" w:space="0"/>
              <w:bottom w:val="single" w:color="auto" w:sz="4" w:space="0"/>
            </w:tcBorders>
            <w:vAlign w:val="center"/>
          </w:tcPr>
          <w:p w14:paraId="28F3DD58">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块状型</w:t>
            </w:r>
          </w:p>
        </w:tc>
      </w:tr>
      <w:tr w14:paraId="31819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2D78DE35">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63C3BF19">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质地</w:t>
            </w:r>
          </w:p>
        </w:tc>
        <w:tc>
          <w:tcPr>
            <w:tcW w:w="5069" w:type="dxa"/>
            <w:gridSpan w:val="2"/>
            <w:tcBorders>
              <w:top w:val="single" w:color="auto" w:sz="4" w:space="0"/>
              <w:left w:val="single" w:color="auto" w:sz="4" w:space="0"/>
              <w:bottom w:val="single" w:color="auto" w:sz="4" w:space="0"/>
            </w:tcBorders>
            <w:vAlign w:val="center"/>
          </w:tcPr>
          <w:p w14:paraId="5935E50E">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壤土</w:t>
            </w:r>
          </w:p>
        </w:tc>
      </w:tr>
      <w:tr w14:paraId="23E475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2E54FE4C">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40EC37FD">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砂砾含量</w:t>
            </w:r>
          </w:p>
        </w:tc>
        <w:tc>
          <w:tcPr>
            <w:tcW w:w="5069" w:type="dxa"/>
            <w:gridSpan w:val="2"/>
            <w:tcBorders>
              <w:top w:val="single" w:color="auto" w:sz="4" w:space="0"/>
              <w:left w:val="single" w:color="auto" w:sz="4" w:space="0"/>
              <w:bottom w:val="single" w:color="auto" w:sz="4" w:space="0"/>
            </w:tcBorders>
            <w:vAlign w:val="center"/>
          </w:tcPr>
          <w:p w14:paraId="1C1FD97C">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18%</w:t>
            </w:r>
          </w:p>
        </w:tc>
      </w:tr>
      <w:tr w14:paraId="5D1D7D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64969D53">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1DF601FE">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其他异物</w:t>
            </w:r>
          </w:p>
        </w:tc>
        <w:tc>
          <w:tcPr>
            <w:tcW w:w="5069" w:type="dxa"/>
            <w:gridSpan w:val="2"/>
            <w:tcBorders>
              <w:top w:val="single" w:color="auto" w:sz="4" w:space="0"/>
              <w:left w:val="single" w:color="auto" w:sz="4" w:space="0"/>
              <w:bottom w:val="single" w:color="auto" w:sz="4" w:space="0"/>
            </w:tcBorders>
            <w:vAlign w:val="center"/>
          </w:tcPr>
          <w:p w14:paraId="48A37D90">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004D13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restart"/>
            <w:tcBorders>
              <w:top w:val="single" w:color="auto" w:sz="4" w:space="0"/>
              <w:bottom w:val="single" w:color="auto" w:sz="4" w:space="0"/>
              <w:right w:val="single" w:color="auto" w:sz="4" w:space="0"/>
            </w:tcBorders>
            <w:vAlign w:val="center"/>
          </w:tcPr>
          <w:p w14:paraId="57DDF6F3">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实验室测定</w:t>
            </w:r>
          </w:p>
        </w:tc>
        <w:tc>
          <w:tcPr>
            <w:tcW w:w="2266" w:type="dxa"/>
            <w:tcBorders>
              <w:top w:val="single" w:color="auto" w:sz="4" w:space="0"/>
              <w:left w:val="single" w:color="auto" w:sz="4" w:space="0"/>
              <w:bottom w:val="single" w:color="auto" w:sz="4" w:space="0"/>
              <w:right w:val="single" w:color="auto" w:sz="4" w:space="0"/>
            </w:tcBorders>
            <w:vAlign w:val="center"/>
          </w:tcPr>
          <w:p w14:paraId="6F10C344">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水分-物理性质</w:t>
            </w:r>
          </w:p>
        </w:tc>
        <w:tc>
          <w:tcPr>
            <w:tcW w:w="5069" w:type="dxa"/>
            <w:gridSpan w:val="2"/>
            <w:tcBorders>
              <w:top w:val="single" w:color="auto" w:sz="4" w:space="0"/>
              <w:left w:val="single" w:color="auto" w:sz="4" w:space="0"/>
              <w:bottom w:val="single" w:color="auto" w:sz="4" w:space="0"/>
            </w:tcBorders>
            <w:vAlign w:val="center"/>
          </w:tcPr>
          <w:p w14:paraId="4B02BC17">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53.6%</w:t>
            </w:r>
          </w:p>
        </w:tc>
      </w:tr>
      <w:tr w14:paraId="1DD31B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39761E08">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5918AB5B">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氧化还原电位</w:t>
            </w:r>
          </w:p>
        </w:tc>
        <w:tc>
          <w:tcPr>
            <w:tcW w:w="5069" w:type="dxa"/>
            <w:gridSpan w:val="2"/>
            <w:tcBorders>
              <w:top w:val="single" w:color="auto" w:sz="4" w:space="0"/>
              <w:left w:val="single" w:color="auto" w:sz="4" w:space="0"/>
              <w:bottom w:val="single" w:color="auto" w:sz="4" w:space="0"/>
            </w:tcBorders>
            <w:vAlign w:val="center"/>
          </w:tcPr>
          <w:p w14:paraId="1FEB4446">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288</w:t>
            </w:r>
          </w:p>
        </w:tc>
      </w:tr>
      <w:tr w14:paraId="3DBDBB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bottom w:val="single" w:color="auto" w:sz="4" w:space="0"/>
              <w:right w:val="single" w:color="auto" w:sz="4" w:space="0"/>
            </w:tcBorders>
            <w:vAlign w:val="center"/>
          </w:tcPr>
          <w:p w14:paraId="4F38EBCB">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bottom w:val="single" w:color="auto" w:sz="4" w:space="0"/>
              <w:right w:val="single" w:color="auto" w:sz="4" w:space="0"/>
            </w:tcBorders>
            <w:vAlign w:val="center"/>
          </w:tcPr>
          <w:p w14:paraId="642ABC2C">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土壤容重（g/</w:t>
            </w:r>
            <w:r>
              <w:rPr>
                <w:rFonts w:hint="eastAsia" w:ascii="Times New Roman" w:hAnsi="Times New Roman" w:cs="Times New Roman"/>
                <w:b/>
                <w:bCs/>
                <w:color w:val="auto"/>
                <w:sz w:val="21"/>
                <w:szCs w:val="21"/>
                <w:highlight w:val="none"/>
              </w:rPr>
              <w:t>c</w:t>
            </w:r>
            <w:r>
              <w:rPr>
                <w:rFonts w:ascii="Times New Roman" w:hAnsi="Times New Roman" w:cs="Times New Roman"/>
                <w:b/>
                <w:bCs/>
                <w:color w:val="auto"/>
                <w:sz w:val="21"/>
                <w:szCs w:val="21"/>
                <w:highlight w:val="none"/>
              </w:rPr>
              <w:t>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5069" w:type="dxa"/>
            <w:gridSpan w:val="2"/>
            <w:tcBorders>
              <w:top w:val="single" w:color="auto" w:sz="4" w:space="0"/>
              <w:left w:val="single" w:color="auto" w:sz="4" w:space="0"/>
              <w:bottom w:val="single" w:color="auto" w:sz="4" w:space="0"/>
            </w:tcBorders>
            <w:vAlign w:val="center"/>
          </w:tcPr>
          <w:p w14:paraId="40C52F93">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1.19</w:t>
            </w:r>
          </w:p>
        </w:tc>
      </w:tr>
      <w:tr w14:paraId="189744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5" w:type="dxa"/>
            <w:vMerge w:val="continue"/>
            <w:tcBorders>
              <w:top w:val="single" w:color="auto" w:sz="4" w:space="0"/>
              <w:right w:val="single" w:color="auto" w:sz="4" w:space="0"/>
            </w:tcBorders>
            <w:vAlign w:val="center"/>
          </w:tcPr>
          <w:p w14:paraId="6918606E">
            <w:pPr>
              <w:pStyle w:val="14"/>
              <w:adjustRightInd w:val="0"/>
              <w:snapToGrid w:val="0"/>
              <w:ind w:left="-105" w:right="-105" w:firstLine="0" w:firstLineChars="0"/>
              <w:jc w:val="center"/>
              <w:rPr>
                <w:rFonts w:ascii="Times New Roman" w:hAnsi="Times New Roman" w:cs="Times New Roman"/>
                <w:color w:val="auto"/>
                <w:sz w:val="21"/>
                <w:szCs w:val="21"/>
                <w:highlight w:val="none"/>
              </w:rPr>
            </w:pPr>
          </w:p>
        </w:tc>
        <w:tc>
          <w:tcPr>
            <w:tcW w:w="2266" w:type="dxa"/>
            <w:tcBorders>
              <w:top w:val="single" w:color="auto" w:sz="4" w:space="0"/>
              <w:left w:val="single" w:color="auto" w:sz="4" w:space="0"/>
              <w:right w:val="single" w:color="auto" w:sz="4" w:space="0"/>
            </w:tcBorders>
            <w:vAlign w:val="center"/>
          </w:tcPr>
          <w:p w14:paraId="1555B8A6">
            <w:pPr>
              <w:pStyle w:val="14"/>
              <w:adjustRightInd w:val="0"/>
              <w:snapToGrid w:val="0"/>
              <w:ind w:left="-105" w:right="-105" w:firstLine="0" w:firstLineChars="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土壤渗透性（mm/min）</w:t>
            </w:r>
          </w:p>
        </w:tc>
        <w:tc>
          <w:tcPr>
            <w:tcW w:w="5069" w:type="dxa"/>
            <w:gridSpan w:val="2"/>
            <w:tcBorders>
              <w:top w:val="single" w:color="auto" w:sz="4" w:space="0"/>
              <w:left w:val="single" w:color="auto" w:sz="4" w:space="0"/>
            </w:tcBorders>
            <w:vAlign w:val="center"/>
          </w:tcPr>
          <w:p w14:paraId="4100B00F">
            <w:pPr>
              <w:pStyle w:val="14"/>
              <w:adjustRightInd w:val="0"/>
              <w:snapToGrid w:val="0"/>
              <w:ind w:left="-105" w:right="-105"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0.477</w:t>
            </w:r>
          </w:p>
        </w:tc>
      </w:tr>
    </w:tbl>
    <w:p w14:paraId="7E2BCEB0">
      <w:pPr>
        <w:spacing w:before="120" w:beforeLines="50"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（6）监测布点图</w:t>
      </w:r>
    </w:p>
    <w:p w14:paraId="087C8ACC">
      <w:pPr>
        <w:spacing w:before="120" w:beforeLines="50"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本项目土壤检测点位如下图所示：</w:t>
      </w:r>
    </w:p>
    <w:p w14:paraId="59449465">
      <w:pPr>
        <w:spacing w:before="120" w:beforeLines="50" w:line="360" w:lineRule="auto"/>
        <w:ind w:left="-105" w:right="-105"/>
        <w:jc w:val="center"/>
        <w:rPr>
          <w:rFonts w:ascii="Times New Roman" w:hAnsi="Times New Roman"/>
          <w:color w:val="auto"/>
          <w:highlight w:val="none"/>
        </w:rPr>
      </w:pPr>
      <w:r>
        <w:rPr>
          <w:color w:val="auto"/>
          <w:highlight w:val="none"/>
        </w:rPr>
        <mc:AlternateContent>
          <mc:Choice Requires="wpg">
            <w:drawing>
              <wp:anchor distT="0" distB="0" distL="114300" distR="114300" simplePos="0" relativeHeight="251701248" behindDoc="0" locked="0" layoutInCell="1" allowOverlap="1">
                <wp:simplePos x="0" y="0"/>
                <wp:positionH relativeFrom="column">
                  <wp:posOffset>2980690</wp:posOffset>
                </wp:positionH>
                <wp:positionV relativeFrom="paragraph">
                  <wp:posOffset>1984375</wp:posOffset>
                </wp:positionV>
                <wp:extent cx="608330" cy="288925"/>
                <wp:effectExtent l="8255" t="0" r="0" b="0"/>
                <wp:wrapNone/>
                <wp:docPr id="60" name="组合 60"/>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64"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65" name="文本框 9"/>
                        <wps:cNvSpPr txBox="1"/>
                        <wps:spPr>
                          <a:xfrm>
                            <a:off x="14827" y="4216"/>
                            <a:ext cx="704" cy="455"/>
                          </a:xfrm>
                          <a:prstGeom prst="rect">
                            <a:avLst/>
                          </a:prstGeom>
                          <a:solidFill>
                            <a:srgbClr val="FFFFFF">
                              <a:alpha val="0"/>
                            </a:srgbClr>
                          </a:solidFill>
                          <a:ln>
                            <a:noFill/>
                          </a:ln>
                        </wps:spPr>
                        <wps:txbx>
                          <w:txbxContent>
                            <w:p w14:paraId="6329C620">
                              <w:pPr>
                                <w:rPr>
                                  <w:color w:val="FFFF00"/>
                                </w:rPr>
                              </w:pPr>
                              <w:r>
                                <w:rPr>
                                  <w:rFonts w:hint="eastAsia"/>
                                  <w:color w:val="FFFF00"/>
                                </w:rPr>
                                <w:t>T1-4</w:t>
                              </w:r>
                            </w:p>
                          </w:txbxContent>
                        </wps:txbx>
                        <wps:bodyPr wrap="square" upright="1">
                          <a:spAutoFit/>
                        </wps:bodyPr>
                      </wps:wsp>
                    </wpg:wgp>
                  </a:graphicData>
                </a:graphic>
              </wp:anchor>
            </w:drawing>
          </mc:Choice>
          <mc:Fallback>
            <w:pict>
              <v:group id="_x0000_s1026" o:spid="_x0000_s1026" o:spt="203" style="position:absolute;left:0pt;margin-left:234.7pt;margin-top:156.25pt;height:22.75pt;width:47.9pt;z-index:251701248;mso-width-relative:page;mso-height-relative:page;" coordorigin="14748,4216" coordsize="783,455" o:gfxdata="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ginaMNwAAAALAQAADwAAAAAAAAABACAAAAAiAAAAZHJzL2Rv&#10;d25yZXYueG1sUEsBAhQAFAAAAAgAh07iQKT7LAEaAwAAZwcAAA4AAAAAAAAAAQAgAAAAKwEAAGRy&#10;cy9lMm9Eb2MueG1sUEsFBgAAAAAGAAYAWQEAALcGA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z58zjrwAAADb&#10;AAAADwAAAGRycy9kb3ducmV2LnhtbEWPzYoCMRCE7wu+Q2jBy6IZRURGo8iAsAcv/ly8tUk7GZ10&#10;hkl21Lc3Cwsei+r6qmu5frpadNSGyrOC8SgDQay9qbhUcDpuh3MQISIbrD2TghcFWK96X0vMjX/w&#10;nrpDLEWCcMhRgY2xyaUM2pLDMPINcfKuvnUYk2xLaVp8JLir5STLZtJhxanBYkOFJX0//Lr0xncn&#10;z9fidLuEcykLW+jpbqOVGvTH2QJEpGf8HP+nf4yC2RT+tiQA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M468AAAA&#10;2wAAAA8AAAAAAAAAAQAgAAAAIgAAAGRycy9kb3ducmV2LnhtbFBLAQIUABQAAAAIAIdO4kAzLwWe&#10;OwAAADkAAAAQAAAAAAAAAAEAIAAAAAsBAABkcnMvc2hhcGV4bWwueG1sUEsFBgAAAAAGAAYAWwEA&#10;ALUDA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BXP91LwAAADb&#10;AAAADwAAAGRycy9kb3ducmV2LnhtbEWPQWsCMRSE74L/ITzBm2YVushq9GARpFBpV70/kmd26eZl&#10;2aS67q9vCoUeh5n5htnseteIO3Wh9qxgMc9AEGtvarYKLufDbAUiRGSDjWdS8KQAu+14tMHC+Ad/&#10;0r2MViQIhwIVVDG2hZRBV+QwzH1LnLyb7xzGJDsrTYePBHeNXGZZLh3WnBYqbGlfkf4qv50CfV7R&#10;cLrSx8m+6tYOb7f98l0qNZ0ssjWISH38D/+1j0ZB/gK/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z/dS8AAAA&#10;2wAAAA8AAAAAAAAAAQAgAAAAIgAAAGRycy9kb3ducmV2LnhtbFBLAQIUABQAAAAIAIdO4kAzLwWe&#10;OwAAADkAAAAQAAAAAAAAAAEAIAAAAAsBAABkcnMvc2hhcGV4bWwueG1sUEsFBgAAAAAGAAYAWwEA&#10;ALUDAAAAAA==&#10;">
                  <v:fill on="t" opacity="0f" focussize="0,0"/>
                  <v:stroke on="f"/>
                  <v:imagedata o:title=""/>
                  <o:lock v:ext="edit" aspectratio="f"/>
                  <v:textbox style="mso-fit-shape-to-text:t;">
                    <w:txbxContent>
                      <w:p w14:paraId="6329C620">
                        <w:pPr>
                          <w:rPr>
                            <w:color w:val="FFFF00"/>
                          </w:rPr>
                        </w:pPr>
                        <w:r>
                          <w:rPr>
                            <w:rFonts w:hint="eastAsia"/>
                            <w:color w:val="FFFF00"/>
                          </w:rPr>
                          <w:t>T1-4</w:t>
                        </w:r>
                      </w:p>
                    </w:txbxContent>
                  </v:textbox>
                </v:shape>
              </v:group>
            </w:pict>
          </mc:Fallback>
        </mc:AlternateContent>
      </w:r>
      <w:r>
        <w:rPr>
          <w:color w:val="auto"/>
          <w:highlight w:val="none"/>
        </w:rPr>
        <mc:AlternateContent>
          <mc:Choice Requires="wpg">
            <w:drawing>
              <wp:anchor distT="0" distB="0" distL="114300" distR="114300" simplePos="0" relativeHeight="251700224" behindDoc="0" locked="0" layoutInCell="1" allowOverlap="1">
                <wp:simplePos x="0" y="0"/>
                <wp:positionH relativeFrom="column">
                  <wp:posOffset>3107055</wp:posOffset>
                </wp:positionH>
                <wp:positionV relativeFrom="paragraph">
                  <wp:posOffset>1693545</wp:posOffset>
                </wp:positionV>
                <wp:extent cx="608330" cy="288925"/>
                <wp:effectExtent l="8255" t="0" r="0" b="0"/>
                <wp:wrapNone/>
                <wp:docPr id="57" name="组合 57"/>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58"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59" name="文本框 9"/>
                        <wps:cNvSpPr txBox="1"/>
                        <wps:spPr>
                          <a:xfrm>
                            <a:off x="14827" y="4216"/>
                            <a:ext cx="704" cy="455"/>
                          </a:xfrm>
                          <a:prstGeom prst="rect">
                            <a:avLst/>
                          </a:prstGeom>
                          <a:solidFill>
                            <a:srgbClr val="FFFFFF">
                              <a:alpha val="0"/>
                            </a:srgbClr>
                          </a:solidFill>
                          <a:ln>
                            <a:noFill/>
                          </a:ln>
                        </wps:spPr>
                        <wps:txbx>
                          <w:txbxContent>
                            <w:p w14:paraId="039BE7F8">
                              <w:pPr>
                                <w:rPr>
                                  <w:color w:val="FFFF00"/>
                                </w:rPr>
                              </w:pPr>
                              <w:r>
                                <w:rPr>
                                  <w:rFonts w:hint="eastAsia"/>
                                  <w:color w:val="FFFF00"/>
                                </w:rPr>
                                <w:t>T1-3</w:t>
                              </w:r>
                            </w:p>
                          </w:txbxContent>
                        </wps:txbx>
                        <wps:bodyPr wrap="square" upright="1">
                          <a:spAutoFit/>
                        </wps:bodyPr>
                      </wps:wsp>
                    </wpg:wgp>
                  </a:graphicData>
                </a:graphic>
              </wp:anchor>
            </w:drawing>
          </mc:Choice>
          <mc:Fallback>
            <w:pict>
              <v:group id="_x0000_s1026" o:spid="_x0000_s1026" o:spt="203" style="position:absolute;left:0pt;margin-left:244.65pt;margin-top:133.35pt;height:22.75pt;width:47.9pt;z-index:251700224;mso-width-relative:page;mso-height-relative:page;" coordorigin="14748,4216" coordsize="783,455" o:gfxdata="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XGWUsdwAAAALAQAADwAAAAAAAAABACAAAAAiAAAAZHJzL2Rv&#10;d25yZXYueG1sUEsBAhQAFAAAAAgAh07iQASk+EEaAwAAZwcAAA4AAAAAAAAAAQAgAAAAKwEAAGRy&#10;cy9lMm9Eb2MueG1sUEsFBgAAAAAGAAYAWQEAALcGA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gL7zNr0AAADb&#10;AAAADwAAAGRycy9kb3ducmV2LnhtbEWPwWoCMRCG7wXfIUzBS9GsYotsjSILBQ9etF68TZNxs+1m&#10;smzSVd/eORR6HP75v/lmtbmFVg3Upyaygdm0AEVso2u4NnD6/JgsQaWM7LCNTAbulGCzHj2tsHTx&#10;ygcajrlWAuFUogGfc1dqnayngGkaO2LJLrEPmGXsa+16vAo8tHpeFG86YMNywWNHlSf7c/wNovEy&#10;6POlOn1/pXOtK1/ZxX5rjRk/z4p3UJlu+X/5r71zBl5FVn4RAO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vM2vQAA&#10;ANsAAAAPAAAAAAAAAAEAIAAAACIAAABkcnMvZG93bnJldi54bWxQSwECFAAUAAAACACHTuJAMy8F&#10;njsAAAA5AAAAEAAAAAAAAAABACAAAAAMAQAAZHJzL3NoYXBleG1sLnhtbFBLBQYAAAAABgAGAFsB&#10;AAC2Aw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SlI9bL0AAADb&#10;AAAADwAAAGRycy9kb3ducmV2LnhtbEWPQWsCMRSE74X+h/AKvXWzLii6NXpQhCJUrKv3R/LMLt28&#10;LJt0tf76RhB6HGbmG2a+vLpWDNSHxrOCUZaDINbeNGwVHKvN2xREiMgGW8+k4JcCLBfPT3Msjb/w&#10;Fw2HaEWCcChRQR1jV0oZdE0OQ+Y74uSdfe8wJtlbaXq8JLhrZZHnE+mw4bRQY0ermvT34ccp0NWU&#10;brsT7Xd2rTt7255XxadU6vVllL+DiHSN/+FH+8MoGM/g/iX9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j1svQAA&#10;ANs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14:paraId="039BE7F8">
                        <w:pPr>
                          <w:rPr>
                            <w:color w:val="FFFF00"/>
                          </w:rPr>
                        </w:pPr>
                        <w:r>
                          <w:rPr>
                            <w:rFonts w:hint="eastAsia"/>
                            <w:color w:val="FFFF00"/>
                          </w:rPr>
                          <w:t>T1-3</w:t>
                        </w:r>
                      </w:p>
                    </w:txbxContent>
                  </v:textbox>
                </v:shape>
              </v:group>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4046855</wp:posOffset>
                </wp:positionH>
                <wp:positionV relativeFrom="paragraph">
                  <wp:posOffset>3659505</wp:posOffset>
                </wp:positionV>
                <wp:extent cx="169545" cy="169545"/>
                <wp:effectExtent l="10160" t="13970" r="10795" b="6985"/>
                <wp:wrapNone/>
                <wp:docPr id="84" name="等腰三角形 84"/>
                <wp:cNvGraphicFramePr/>
                <a:graphic xmlns:a="http://schemas.openxmlformats.org/drawingml/2006/main">
                  <a:graphicData uri="http://schemas.microsoft.com/office/word/2010/wordprocessingShape">
                    <wps:wsp>
                      <wps:cNvSpPr/>
                      <wps:spPr>
                        <a:xfrm>
                          <a:off x="5126990" y="7480935"/>
                          <a:ext cx="169545" cy="16954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18.65pt;margin-top:288.15pt;height:13.35pt;width:13.35pt;z-index:251705344;v-text-anchor:middle;mso-width-relative:page;mso-height-relative:page;" fillcolor="#FF0000" filled="t" stroked="t" coordsize="21600,21600" o:gfxdata="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Hlyh2gAAAAsB&#10;AAAPAAAAAAAAAAEAIAAAACIAAABkcnMvZG93bnJldi54bWxQSwECFAAUAAAACACHTuJA5dpBnYsC&#10;AAAOBQAADgAAAAAAAAABACAAAAApAQAAZHJzL2Uyb0RvYy54bWxQSwUGAAAAAAYABgBZAQAAJgYA&#10;AAAA&#10;" adj="10800">
                <v:fill on="t" focussize="0,0"/>
                <v:stroke weight="1pt" color="#FF0000 [2404]" miterlimit="8" joinstyle="miter"/>
                <v:imagedata o:title=""/>
                <o:lock v:ext="edit" aspectratio="f"/>
              </v:shape>
            </w:pict>
          </mc:Fallback>
        </mc:AlternateContent>
      </w: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3782695</wp:posOffset>
                </wp:positionH>
                <wp:positionV relativeFrom="paragraph">
                  <wp:posOffset>3373755</wp:posOffset>
                </wp:positionV>
                <wp:extent cx="1640205" cy="497840"/>
                <wp:effectExtent l="4445" t="4445" r="12700" b="12065"/>
                <wp:wrapNone/>
                <wp:docPr id="82" name="文本框 82"/>
                <wp:cNvGraphicFramePr/>
                <a:graphic xmlns:a="http://schemas.openxmlformats.org/drawingml/2006/main">
                  <a:graphicData uri="http://schemas.microsoft.com/office/word/2010/wordprocessingShape">
                    <wps:wsp>
                      <wps:cNvSpPr txBox="1"/>
                      <wps:spPr>
                        <a:xfrm>
                          <a:off x="5275580" y="7195185"/>
                          <a:ext cx="1640205" cy="497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BD7FF7">
                            <w:r>
                              <w:rPr>
                                <w:rFonts w:hint="eastAsia"/>
                              </w:rPr>
                              <w:t>图例：</w:t>
                            </w:r>
                          </w:p>
                          <w:p w14:paraId="6885C424">
                            <w:pPr>
                              <w:ind w:firstLine="720" w:firstLineChars="300"/>
                            </w:pPr>
                            <w:r>
                              <w:rPr>
                                <w:rFonts w:hint="eastAsia"/>
                              </w:rPr>
                              <w:t>土壤检测点位</w:t>
                            </w:r>
                          </w:p>
                          <w:p w14:paraId="3C67C91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85pt;margin-top:265.65pt;height:39.2pt;width:129.15pt;z-index:251704320;mso-width-relative:page;mso-height-relative:page;" fillcolor="#FFFFFF [3201]" filled="t" stroked="t" coordsize="21600,21600" o:gfxdata="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1PgtB2QAAAAsBAAAPAAAAAAAAAAEAIAAAACIAAABkcnMvZG93bnJldi54bWxQ&#10;SwECFAAUAAAACACHTuJAKKMvsGgCAADFBAAADgAAAAAAAAABACAAAAAoAQAAZHJzL2Uyb0RvYy54&#10;bWxQSwUGAAAAAAYABgBZAQAAAgYAAAAA&#10;">
                <v:fill on="t" focussize="0,0"/>
                <v:stroke weight="0.5pt" color="#000000 [3204]" joinstyle="round"/>
                <v:imagedata o:title=""/>
                <o:lock v:ext="edit" aspectratio="f"/>
                <v:textbox>
                  <w:txbxContent>
                    <w:p w14:paraId="49BD7FF7">
                      <w:r>
                        <w:rPr>
                          <w:rFonts w:hint="eastAsia"/>
                        </w:rPr>
                        <w:t>图例：</w:t>
                      </w:r>
                    </w:p>
                    <w:p w14:paraId="6885C424">
                      <w:pPr>
                        <w:ind w:firstLine="720" w:firstLineChars="300"/>
                      </w:pPr>
                      <w:r>
                        <w:rPr>
                          <w:rFonts w:hint="eastAsia"/>
                        </w:rPr>
                        <w:t>土壤检测点位</w:t>
                      </w:r>
                    </w:p>
                    <w:p w14:paraId="3C67C914"/>
                  </w:txbxContent>
                </v:textbox>
              </v:shape>
            </w:pict>
          </mc:Fallback>
        </mc:AlternateContent>
      </w:r>
      <w:r>
        <w:rPr>
          <w:color w:val="auto"/>
          <w:highlight w:val="none"/>
        </w:rPr>
        <mc:AlternateContent>
          <mc:Choice Requires="wpg">
            <w:drawing>
              <wp:anchor distT="0" distB="0" distL="114300" distR="114300" simplePos="0" relativeHeight="251703296" behindDoc="0" locked="0" layoutInCell="1" allowOverlap="1">
                <wp:simplePos x="0" y="0"/>
                <wp:positionH relativeFrom="column">
                  <wp:posOffset>4104005</wp:posOffset>
                </wp:positionH>
                <wp:positionV relativeFrom="paragraph">
                  <wp:posOffset>3118485</wp:posOffset>
                </wp:positionV>
                <wp:extent cx="608330" cy="288925"/>
                <wp:effectExtent l="8255" t="0" r="0" b="0"/>
                <wp:wrapNone/>
                <wp:docPr id="73" name="组合 73"/>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74"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75" name="文本框 9"/>
                        <wps:cNvSpPr txBox="1"/>
                        <wps:spPr>
                          <a:xfrm>
                            <a:off x="14827" y="4216"/>
                            <a:ext cx="704" cy="455"/>
                          </a:xfrm>
                          <a:prstGeom prst="rect">
                            <a:avLst/>
                          </a:prstGeom>
                          <a:solidFill>
                            <a:srgbClr val="FFFFFF">
                              <a:alpha val="0"/>
                            </a:srgbClr>
                          </a:solidFill>
                          <a:ln>
                            <a:noFill/>
                          </a:ln>
                        </wps:spPr>
                        <wps:txbx>
                          <w:txbxContent>
                            <w:p w14:paraId="70C9E426">
                              <w:pPr>
                                <w:rPr>
                                  <w:color w:val="FFFF00"/>
                                </w:rPr>
                              </w:pPr>
                              <w:r>
                                <w:rPr>
                                  <w:rFonts w:hint="eastAsia"/>
                                  <w:color w:val="FFFF00"/>
                                </w:rPr>
                                <w:t>T2-1</w:t>
                              </w:r>
                            </w:p>
                          </w:txbxContent>
                        </wps:txbx>
                        <wps:bodyPr wrap="square" upright="1">
                          <a:spAutoFit/>
                        </wps:bodyPr>
                      </wps:wsp>
                    </wpg:wgp>
                  </a:graphicData>
                </a:graphic>
              </wp:anchor>
            </w:drawing>
          </mc:Choice>
          <mc:Fallback>
            <w:pict>
              <v:group id="_x0000_s1026" o:spid="_x0000_s1026" o:spt="203" style="position:absolute;left:0pt;margin-left:323.15pt;margin-top:245.55pt;height:22.75pt;width:47.9pt;z-index:251703296;mso-width-relative:page;mso-height-relative:page;" coordorigin="14748,4216" coordsize="783,455" o:gfxdata="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Cv5QkfcAAAACwEAAA8AAAAAAAAAAQAgAAAAIgAAAGRycy9k&#10;b3ducmV2LnhtbFBLAQIUABQAAAAIAIdO4kCbIy64GwMAAGcHAAAOAAAAAAAAAAEAIAAAACsBAABk&#10;cnMvZTJvRG9jLnhtbFBLBQYAAAAABgAGAFkBAAC4Bg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SkalU7wAAADb&#10;AAAADwAAAGRycy9kb3ducmV2LnhtbEWPQYvCMBCF7wv+hzCCl0VTRVapRpHCgoe96HrxNiZjU20m&#10;pclW/fcbQfD4ePO+N2+5vrtadNSGyrOC8SgDQay9qbhUcPj9Hs5BhIhssPZMCh4UYL3qfSwxN/7G&#10;O+r2sRQJwiFHBTbGJpcyaEsOw8g3xMk7+9ZhTLItpWnxluCulpMs+5IOK04NFhsqLOnr/s+lNz47&#10;eTwXh8spHEtZ2EJPfzZaqUF/nC1ARLrH9/ErvTUKZ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GpVO8AAAA&#10;2wAAAA8AAAAAAAAAAQAgAAAAIgAAAGRycy9kb3ducmV2LnhtbFBLAQIUABQAAAAIAIdO4kAzLwWe&#10;OwAAADkAAAAQAAAAAAAAAAEAIAAAAAsBAABkcnMvc2hhcGV4bWwueG1sUEsFBgAAAAAGAAYAWwEA&#10;ALUDA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gKprCb0AAADb&#10;AAAADwAAAGRycy9kb3ducmV2LnhtbEWPQWsCMRSE7wX/Q3iCt5pVsF1WowelUAoV6+r9kTyzi5uX&#10;ZZPqdn99IxR6HGbmG2a16V0jbtSF2rOC2TQDQay9qdkqOJVvzzmIEJENNp5JwQ8F2KxHTyssjL/z&#10;F92O0YoE4VCggirGtpAy6IochqlviZN38Z3DmGRnpenwnuCukfMse5EOa04LFba0rUhfj99OgS5z&#10;GvZnOuztTrd2+Lhs559Sqcl4li1BROrjf/iv/W4UvC7g8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msJvQAA&#10;ANs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14:paraId="70C9E426">
                        <w:pPr>
                          <w:rPr>
                            <w:color w:val="FFFF00"/>
                          </w:rPr>
                        </w:pPr>
                        <w:r>
                          <w:rPr>
                            <w:rFonts w:hint="eastAsia"/>
                            <w:color w:val="FFFF00"/>
                          </w:rPr>
                          <w:t>T2-1</w:t>
                        </w:r>
                      </w:p>
                    </w:txbxContent>
                  </v:textbox>
                </v:shape>
              </v:group>
            </w:pict>
          </mc:Fallback>
        </mc:AlternateContent>
      </w:r>
      <w:r>
        <w:rPr>
          <w:color w:val="auto"/>
          <w:highlight w:val="none"/>
        </w:rPr>
        <mc:AlternateContent>
          <mc:Choice Requires="wpg">
            <w:drawing>
              <wp:anchor distT="0" distB="0" distL="114300" distR="114300" simplePos="0" relativeHeight="251702272" behindDoc="0" locked="0" layoutInCell="1" allowOverlap="1">
                <wp:simplePos x="0" y="0"/>
                <wp:positionH relativeFrom="column">
                  <wp:posOffset>951230</wp:posOffset>
                </wp:positionH>
                <wp:positionV relativeFrom="paragraph">
                  <wp:posOffset>1756410</wp:posOffset>
                </wp:positionV>
                <wp:extent cx="608330" cy="288925"/>
                <wp:effectExtent l="8255" t="0" r="0" b="0"/>
                <wp:wrapNone/>
                <wp:docPr id="70" name="组合 70"/>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71"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72" name="文本框 9"/>
                        <wps:cNvSpPr txBox="1"/>
                        <wps:spPr>
                          <a:xfrm>
                            <a:off x="14827" y="4216"/>
                            <a:ext cx="704" cy="455"/>
                          </a:xfrm>
                          <a:prstGeom prst="rect">
                            <a:avLst/>
                          </a:prstGeom>
                          <a:solidFill>
                            <a:srgbClr val="FFFFFF">
                              <a:alpha val="0"/>
                            </a:srgbClr>
                          </a:solidFill>
                          <a:ln>
                            <a:noFill/>
                          </a:ln>
                        </wps:spPr>
                        <wps:txbx>
                          <w:txbxContent>
                            <w:p w14:paraId="4A4C4119">
                              <w:pPr>
                                <w:rPr>
                                  <w:color w:val="FFFF00"/>
                                </w:rPr>
                              </w:pPr>
                              <w:r>
                                <w:rPr>
                                  <w:rFonts w:hint="eastAsia"/>
                                  <w:color w:val="FFFF00"/>
                                </w:rPr>
                                <w:t>T2-2</w:t>
                              </w:r>
                            </w:p>
                          </w:txbxContent>
                        </wps:txbx>
                        <wps:bodyPr wrap="square" upright="1">
                          <a:spAutoFit/>
                        </wps:bodyPr>
                      </wps:wsp>
                    </wpg:wgp>
                  </a:graphicData>
                </a:graphic>
              </wp:anchor>
            </w:drawing>
          </mc:Choice>
          <mc:Fallback>
            <w:pict>
              <v:group id="_x0000_s1026" o:spid="_x0000_s1026" o:spt="203" style="position:absolute;left:0pt;margin-left:74.9pt;margin-top:138.3pt;height:22.75pt;width:47.9pt;z-index:251702272;mso-width-relative:page;mso-height-relative:page;" coordorigin="14748,4216" coordsize="783,455" o:gfxdata="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AewiJXbAAAACwEAAA8AAAAAAAAAAQAgAAAAIgAAAGRycy9kb3du&#10;cmV2LnhtbFBLAQIUABQAAAAIAIdO4kA0YCrMGQMAAGcHAAAOAAAAAAAAAAEAIAAAACoBAABkcnMv&#10;ZTJvRG9jLnhtbFBLBQYAAAAABgAGAFkBAAC1Bg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WjEGy70AAADb&#10;AAAADwAAAGRycy9kb3ducmV2LnhtbEWPQWsCMRCF7wX/Qxihl6LZLUVlNYosFHrwUvXibUzGzepm&#10;smziqv++KQgeH2/e9+YtVnfXiJ66UHtWkI8zEMTam5orBfvd92gGIkRkg41nUvCgAKvl4G2BhfE3&#10;/qV+GyuRIBwKVGBjbAspg7bkMIx9S5y8k+8cxiS7SpoObwnuGvmZZRPpsObUYLGl0pK+bK8uvfHR&#10;y8Op3J+P4VDJ0pb6a7PWSr0P82wOItI9vo6f6R+jYJrD/5YE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QbLvQAA&#10;ANsAAAAPAAAAAAAAAAEAIAAAACIAAABkcnMvZG93bnJldi54bWxQSwECFAAUAAAACACHTuJAMy8F&#10;njsAAAA5AAAAEAAAAAAAAAABACAAAAAMAQAAZHJzL3NoYXBleG1sLnhtbFBLBQYAAAAABgAGAFsB&#10;AAC2Aw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D0PzfbwAAADb&#10;AAAADwAAAGRycy9kb3ducmV2LnhtbEWPT4vCMBTE78J+h/AEb5rag0rX6EFZEEFRq/dH8kzLNi+l&#10;iX/WT79ZWPA4zMxvmPny6Rpxpy7UnhWMRxkIYu1NzVbBufwazkCEiGyw8UwKfijAcvHRm2Nh/IOP&#10;dD9FKxKEQ4EKqhjbQsqgK3IYRr4lTt7Vdw5jkp2VpsNHgrtG5lk2kQ5rTgsVtrSqSH+fbk6BLmf0&#10;2l/osLdr3drX9rrKd1KpQX+cfYKI9Izv8H97YxRMc/j7kn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D8328AAAA&#10;2wAAAA8AAAAAAAAAAQAgAAAAIgAAAGRycy9kb3ducmV2LnhtbFBLAQIUABQAAAAIAIdO4kAzLwWe&#10;OwAAADkAAAAQAAAAAAAAAAEAIAAAAAsBAABkcnMvc2hhcGV4bWwueG1sUEsFBgAAAAAGAAYAWwEA&#10;ALUDAAAAAA==&#10;">
                  <v:fill on="t" opacity="0f" focussize="0,0"/>
                  <v:stroke on="f"/>
                  <v:imagedata o:title=""/>
                  <o:lock v:ext="edit" aspectratio="f"/>
                  <v:textbox style="mso-fit-shape-to-text:t;">
                    <w:txbxContent>
                      <w:p w14:paraId="4A4C4119">
                        <w:pPr>
                          <w:rPr>
                            <w:color w:val="FFFF00"/>
                          </w:rPr>
                        </w:pPr>
                        <w:r>
                          <w:rPr>
                            <w:rFonts w:hint="eastAsia"/>
                            <w:color w:val="FFFF00"/>
                          </w:rPr>
                          <w:t>T2-2</w:t>
                        </w:r>
                      </w:p>
                    </w:txbxContent>
                  </v:textbox>
                </v:shape>
              </v:group>
            </w:pict>
          </mc:Fallback>
        </mc:AlternateContent>
      </w:r>
      <w:r>
        <w:rPr>
          <w:color w:val="auto"/>
          <w:highlight w:val="none"/>
        </w:rPr>
        <mc:AlternateContent>
          <mc:Choice Requires="wpg">
            <w:drawing>
              <wp:anchor distT="0" distB="0" distL="114300" distR="114300" simplePos="0" relativeHeight="251699200" behindDoc="0" locked="0" layoutInCell="1" allowOverlap="1">
                <wp:simplePos x="0" y="0"/>
                <wp:positionH relativeFrom="column">
                  <wp:posOffset>2580005</wp:posOffset>
                </wp:positionH>
                <wp:positionV relativeFrom="paragraph">
                  <wp:posOffset>1870710</wp:posOffset>
                </wp:positionV>
                <wp:extent cx="608330" cy="288925"/>
                <wp:effectExtent l="8255" t="0" r="0" b="0"/>
                <wp:wrapNone/>
                <wp:docPr id="54" name="组合 54"/>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55"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56" name="文本框 9"/>
                        <wps:cNvSpPr txBox="1"/>
                        <wps:spPr>
                          <a:xfrm>
                            <a:off x="14827" y="4216"/>
                            <a:ext cx="704" cy="455"/>
                          </a:xfrm>
                          <a:prstGeom prst="rect">
                            <a:avLst/>
                          </a:prstGeom>
                          <a:solidFill>
                            <a:srgbClr val="FFFFFF">
                              <a:alpha val="0"/>
                            </a:srgbClr>
                          </a:solidFill>
                          <a:ln>
                            <a:noFill/>
                          </a:ln>
                        </wps:spPr>
                        <wps:txbx>
                          <w:txbxContent>
                            <w:p w14:paraId="4D3A61AE">
                              <w:pPr>
                                <w:rPr>
                                  <w:color w:val="FFFF00"/>
                                </w:rPr>
                              </w:pPr>
                              <w:r>
                                <w:rPr>
                                  <w:rFonts w:hint="eastAsia"/>
                                  <w:color w:val="FFFF00"/>
                                </w:rPr>
                                <w:t>T1-2</w:t>
                              </w:r>
                            </w:p>
                          </w:txbxContent>
                        </wps:txbx>
                        <wps:bodyPr wrap="square" upright="1">
                          <a:spAutoFit/>
                        </wps:bodyPr>
                      </wps:wsp>
                    </wpg:wgp>
                  </a:graphicData>
                </a:graphic>
              </wp:anchor>
            </w:drawing>
          </mc:Choice>
          <mc:Fallback>
            <w:pict>
              <v:group id="_x0000_s1026" o:spid="_x0000_s1026" o:spt="203" style="position:absolute;left:0pt;margin-left:203.15pt;margin-top:147.3pt;height:22.75pt;width:47.9pt;z-index:251699200;mso-width-relative:page;mso-height-relative:page;" coordorigin="14748,4216" coordsize="783,455" o:gfxdata="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no1w+tsAAAALAQAADwAAAAAAAAABACAAAAAiAAAAZHJzL2Rv&#10;d25yZXYueG1sUEsBAhQAFAAAAAgAh07iQPzFfMAbAwAAZwcAAA4AAAAAAAAAAQAgAAAAKgEAAGRy&#10;cy9lMm9Eb2MueG1sUEsFBgAAAAAGAAYAWQEAALcGA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br9cqLwAAADb&#10;AAAADwAAAGRycy9kb3ducmV2LnhtbEWPQYvCMBCF7wv+hzCCl0VTZRWpRpHCgoe9rHrxNiZjU20m&#10;pclW/fcbQfD4ePO+N2+5vrtadNSGyrOC8SgDQay9qbhUcNh/D+cgQkQ2WHsmBQ8KsF71PpaYG3/j&#10;X+p2sRQJwiFHBTbGJpcyaEsOw8g3xMk7+9ZhTLItpWnxluCulpMsm0mHFacGiw0VlvR19+fSG5+d&#10;PJ6Lw+UUjqUsbKG/fjZaqUF/nC1ARLrH9/ErvTUKp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Ki8AAAA&#10;2wAAAA8AAAAAAAAAAQAgAAAAIgAAAGRycy9kb3ducmV2LnhtbFBLAQIUABQAAAAIAIdO4kAzLwWe&#10;OwAAADkAAAAQAAAAAAAAAAEAIAAAAAsBAABkcnMvc2hhcGV4bWwueG1sUEsFBgAAAAAGAAYAWwEA&#10;ALUDA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O82pHrwAAADb&#10;AAAADwAAAGRycy9kb3ducmV2LnhtbEWPQWsCMRSE74L/ITzBm2YVushq9GARpFBpV70/kmd26eZl&#10;2aS67q9vCoUeh5n5htnseteIO3Wh9qxgMc9AEGtvarYKLufDbAUiRGSDjWdS8KQAu+14tMHC+Ad/&#10;0r2MViQIhwIVVDG2hZRBV+QwzH1LnLyb7xzGJDsrTYePBHeNXGZZLh3WnBYqbGlfkf4qv50CfV7R&#10;cLrSx8m+6tYOb7f98l0qNZ0ssjWISH38D/+1j0bBSw6/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NqR68AAAA&#10;2wAAAA8AAAAAAAAAAQAgAAAAIgAAAGRycy9kb3ducmV2LnhtbFBLAQIUABQAAAAIAIdO4kAzLwWe&#10;OwAAADkAAAAQAAAAAAAAAAEAIAAAAAsBAABkcnMvc2hhcGV4bWwueG1sUEsFBgAAAAAGAAYAWwEA&#10;ALUDAAAAAA==&#10;">
                  <v:fill on="t" opacity="0f" focussize="0,0"/>
                  <v:stroke on="f"/>
                  <v:imagedata o:title=""/>
                  <o:lock v:ext="edit" aspectratio="f"/>
                  <v:textbox style="mso-fit-shape-to-text:t;">
                    <w:txbxContent>
                      <w:p w14:paraId="4D3A61AE">
                        <w:pPr>
                          <w:rPr>
                            <w:color w:val="FFFF00"/>
                          </w:rPr>
                        </w:pPr>
                        <w:r>
                          <w:rPr>
                            <w:rFonts w:hint="eastAsia"/>
                            <w:color w:val="FFFF00"/>
                          </w:rPr>
                          <w:t>T1-2</w:t>
                        </w:r>
                      </w:p>
                    </w:txbxContent>
                  </v:textbox>
                </v:shape>
              </v:group>
            </w:pict>
          </mc:Fallback>
        </mc:AlternateContent>
      </w:r>
      <w:r>
        <w:rPr>
          <w:color w:val="auto"/>
          <w:highlight w:val="none"/>
        </w:rPr>
        <mc:AlternateContent>
          <mc:Choice Requires="wpg">
            <w:drawing>
              <wp:anchor distT="0" distB="0" distL="114300" distR="114300" simplePos="0" relativeHeight="251698176" behindDoc="0" locked="0" layoutInCell="1" allowOverlap="1">
                <wp:simplePos x="0" y="0"/>
                <wp:positionH relativeFrom="column">
                  <wp:posOffset>2399030</wp:posOffset>
                </wp:positionH>
                <wp:positionV relativeFrom="paragraph">
                  <wp:posOffset>2242185</wp:posOffset>
                </wp:positionV>
                <wp:extent cx="608330" cy="288925"/>
                <wp:effectExtent l="8255" t="0" r="0" b="0"/>
                <wp:wrapNone/>
                <wp:docPr id="51" name="组合 51"/>
                <wp:cNvGraphicFramePr/>
                <a:graphic xmlns:a="http://schemas.openxmlformats.org/drawingml/2006/main">
                  <a:graphicData uri="http://schemas.microsoft.com/office/word/2010/wordprocessingGroup">
                    <wpg:wgp>
                      <wpg:cNvGrpSpPr/>
                      <wpg:grpSpPr>
                        <a:xfrm>
                          <a:off x="0" y="0"/>
                          <a:ext cx="608330" cy="288925"/>
                          <a:chOff x="14748" y="4216"/>
                          <a:chExt cx="783" cy="455"/>
                        </a:xfrm>
                      </wpg:grpSpPr>
                      <wps:wsp>
                        <wps:cNvPr id="52" name="等腰三角形 8"/>
                        <wps:cNvSpPr/>
                        <wps:spPr>
                          <a:xfrm>
                            <a:off x="14748" y="4346"/>
                            <a:ext cx="183" cy="199"/>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wps:wsp>
                        <wps:cNvPr id="53" name="文本框 9"/>
                        <wps:cNvSpPr txBox="1"/>
                        <wps:spPr>
                          <a:xfrm>
                            <a:off x="14827" y="4216"/>
                            <a:ext cx="704" cy="455"/>
                          </a:xfrm>
                          <a:prstGeom prst="rect">
                            <a:avLst/>
                          </a:prstGeom>
                          <a:solidFill>
                            <a:srgbClr val="FFFFFF">
                              <a:alpha val="0"/>
                            </a:srgbClr>
                          </a:solidFill>
                          <a:ln>
                            <a:noFill/>
                          </a:ln>
                        </wps:spPr>
                        <wps:txbx>
                          <w:txbxContent>
                            <w:p w14:paraId="7C63E573">
                              <w:pPr>
                                <w:rPr>
                                  <w:color w:val="FFFF00"/>
                                </w:rPr>
                              </w:pPr>
                              <w:r>
                                <w:rPr>
                                  <w:rFonts w:hint="eastAsia"/>
                                  <w:color w:val="FFFF00"/>
                                </w:rPr>
                                <w:t>T1-1</w:t>
                              </w:r>
                            </w:p>
                          </w:txbxContent>
                        </wps:txbx>
                        <wps:bodyPr wrap="square" upright="1">
                          <a:spAutoFit/>
                        </wps:bodyPr>
                      </wps:wsp>
                    </wpg:wgp>
                  </a:graphicData>
                </a:graphic>
              </wp:anchor>
            </w:drawing>
          </mc:Choice>
          <mc:Fallback>
            <w:pict>
              <v:group id="_x0000_s1026" o:spid="_x0000_s1026" o:spt="203" style="position:absolute;left:0pt;margin-left:188.9pt;margin-top:176.55pt;height:22.75pt;width:47.9pt;z-index:251698176;mso-width-relative:page;mso-height-relative:page;" coordorigin="14748,4216" coordsize="783,455" o:gfxdata="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&#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FV83SfcAAAACwEAAA8AAAAAAAAAAQAgAAAAIgAAAGRy&#10;cy9kb3ducmV2LnhtbFBLAQIUABQAAAAIAIdO4kByzpNEHgMAAGcHAAAOAAAAAAAAAAEAIAAAACsB&#10;AABkcnMvZTJvRG9jLnhtbFBLBQYAAAAABgAGAFkBAAC7BgAAAAA=&#10;">
                <o:lock v:ext="edit" aspectratio="f"/>
                <v:shape id="等腰三角形 8" o:spid="_x0000_s1026" o:spt="5" type="#_x0000_t5" style="position:absolute;left:14748;top:4346;height:199;width:183;" fillcolor="#FF0000" filled="t" stroked="t" coordsize="21600,21600" o:gfxdata="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xNy8AAAA&#10;2wAAAA8AAAAAAAAAAQAgAAAAIgAAAGRycy9kb3ducmV2LnhtbFBLAQIUABQAAAAIAIdO4kAzLwWe&#10;OwAAADkAAAAQAAAAAAAAAAEAIAAAAAsBAABkcnMvc2hhcGV4bWwueG1sUEsFBgAAAAAGAAYAWwEA&#10;ALUDAAAAAA==&#10;" adj="10800">
                  <v:fill on="t" focussize="0,0"/>
                  <v:stroke color="#FF0000" joinstyle="miter"/>
                  <v:imagedata o:title=""/>
                  <o:lock v:ext="edit" aspectratio="f"/>
                </v:shape>
                <v:shape id="文本框 9" o:spid="_x0000_s1026" o:spt="202" type="#_x0000_t202" style="position:absolute;left:14827;top:4216;height:455;width:704;" fillcolor="#FFFFFF" filled="t" stroked="f" coordsize="21600,21600" o:gfxdata="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gqGvQAA&#10;ANs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14:paraId="7C63E573">
                        <w:pPr>
                          <w:rPr>
                            <w:color w:val="FFFF00"/>
                          </w:rPr>
                        </w:pPr>
                        <w:r>
                          <w:rPr>
                            <w:rFonts w:hint="eastAsia"/>
                            <w:color w:val="FFFF00"/>
                          </w:rPr>
                          <w:t>T1-1</w:t>
                        </w:r>
                      </w:p>
                    </w:txbxContent>
                  </v:textbox>
                </v:shape>
              </v:group>
            </w:pict>
          </mc:Fallback>
        </mc:AlternateContent>
      </w:r>
      <w:r>
        <w:rPr>
          <w:color w:val="auto"/>
          <w:highlight w:val="none"/>
        </w:rPr>
        <w:drawing>
          <wp:inline distT="0" distB="0" distL="114300" distR="114300">
            <wp:extent cx="5391785" cy="3781425"/>
            <wp:effectExtent l="9525" t="9525" r="27940" b="1905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6"/>
                    <a:stretch>
                      <a:fillRect/>
                    </a:stretch>
                  </pic:blipFill>
                  <pic:spPr>
                    <a:xfrm>
                      <a:off x="0" y="0"/>
                      <a:ext cx="5391785" cy="3781425"/>
                    </a:xfrm>
                    <a:prstGeom prst="rect">
                      <a:avLst/>
                    </a:prstGeom>
                    <a:noFill/>
                    <a:ln>
                      <a:solidFill>
                        <a:schemeClr val="tx1"/>
                      </a:solidFill>
                    </a:ln>
                  </pic:spPr>
                </pic:pic>
              </a:graphicData>
            </a:graphic>
          </wp:inline>
        </w:drawing>
      </w:r>
    </w:p>
    <w:p w14:paraId="74C6B3A9">
      <w:pPr>
        <w:pStyle w:val="15"/>
        <w:spacing w:line="360" w:lineRule="auto"/>
        <w:ind w:left="-105" w:right="-105" w:firstLine="482"/>
        <w:rPr>
          <w:rFonts w:eastAsia="宋体" w:cs="Times New Roman"/>
          <w:b w:val="0"/>
          <w:bCs/>
          <w:color w:val="auto"/>
          <w:sz w:val="24"/>
          <w:szCs w:val="18"/>
          <w:highlight w:val="none"/>
        </w:rPr>
      </w:pPr>
      <w:r>
        <w:rPr>
          <w:rFonts w:eastAsia="宋体" w:cs="Times New Roman"/>
          <w:color w:val="auto"/>
          <w:sz w:val="24"/>
          <w:szCs w:val="24"/>
          <w:highlight w:val="none"/>
        </w:rPr>
        <w:t xml:space="preserve">图 </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5.3</w:t>
      </w:r>
      <w:r>
        <w:rPr>
          <w:rFonts w:eastAsia="宋体" w:cs="Times New Roman"/>
          <w:color w:val="auto"/>
          <w:sz w:val="24"/>
          <w:szCs w:val="24"/>
          <w:highlight w:val="none"/>
        </w:rPr>
        <w:fldChar w:fldCharType="end"/>
      </w:r>
      <w:r>
        <w:rPr>
          <w:rFonts w:eastAsia="宋体" w:cs="Times New Roman"/>
          <w:color w:val="auto"/>
          <w:sz w:val="24"/>
          <w:szCs w:val="24"/>
          <w:highlight w:val="none"/>
        </w:rPr>
        <w:t>-</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图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2</w:t>
      </w:r>
      <w:r>
        <w:rPr>
          <w:rFonts w:eastAsia="宋体" w:cs="Times New Roman"/>
          <w:color w:val="auto"/>
          <w:sz w:val="24"/>
          <w:szCs w:val="24"/>
          <w:highlight w:val="none"/>
        </w:rPr>
        <w:fldChar w:fldCharType="end"/>
      </w:r>
      <w:r>
        <w:rPr>
          <w:rFonts w:eastAsia="宋体" w:cs="Times New Roman"/>
          <w:color w:val="auto"/>
          <w:sz w:val="24"/>
          <w:szCs w:val="24"/>
          <w:highlight w:val="none"/>
        </w:rPr>
        <w:t>土</w:t>
      </w:r>
      <w:r>
        <w:rPr>
          <w:rFonts w:eastAsia="宋体" w:cs="Times New Roman"/>
          <w:color w:val="auto"/>
          <w:sz w:val="24"/>
          <w:szCs w:val="18"/>
          <w:highlight w:val="none"/>
        </w:rPr>
        <w:t>壤</w:t>
      </w:r>
      <w:r>
        <w:rPr>
          <w:rFonts w:hint="eastAsia" w:eastAsia="宋体" w:cs="Times New Roman"/>
          <w:color w:val="auto"/>
          <w:sz w:val="24"/>
          <w:szCs w:val="18"/>
          <w:highlight w:val="none"/>
        </w:rPr>
        <w:t>监测点位示意图</w:t>
      </w:r>
    </w:p>
    <w:p w14:paraId="5A575F7B">
      <w:pPr>
        <w:spacing w:before="120" w:beforeLines="50" w:line="360" w:lineRule="auto"/>
        <w:ind w:left="-105" w:right="-105" w:firstLine="480" w:firstLineChars="200"/>
        <w:rPr>
          <w:rFonts w:ascii="Times New Roman" w:hAnsi="Times New Roman"/>
          <w:color w:val="auto"/>
          <w:highlight w:val="none"/>
        </w:rPr>
      </w:pPr>
    </w:p>
    <w:p w14:paraId="47C26DD1">
      <w:pPr>
        <w:spacing w:line="360" w:lineRule="auto"/>
        <w:ind w:left="-105" w:right="-105"/>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2FB7E772">
      <w:pPr>
        <w:spacing w:before="120" w:beforeLines="50"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7</w:t>
      </w:r>
      <w:r>
        <w:rPr>
          <w:rFonts w:ascii="Times New Roman" w:hAnsi="Times New Roman"/>
          <w:color w:val="auto"/>
          <w:highlight w:val="none"/>
        </w:rPr>
        <w:t>）监测结果分析：</w:t>
      </w:r>
    </w:p>
    <w:p w14:paraId="4E3539F1">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12</w:t>
      </w:r>
      <w:r>
        <w:rPr>
          <w:rFonts w:eastAsia="宋体" w:cs="Times New Roman"/>
          <w:color w:val="auto"/>
          <w:sz w:val="24"/>
          <w:szCs w:val="18"/>
          <w:highlight w:val="none"/>
        </w:rPr>
        <w:fldChar w:fldCharType="end"/>
      </w:r>
      <w:r>
        <w:rPr>
          <w:rFonts w:eastAsia="宋体" w:cs="Times New Roman"/>
          <w:color w:val="auto"/>
          <w:sz w:val="24"/>
          <w:szCs w:val="18"/>
          <w:highlight w:val="none"/>
        </w:rPr>
        <w:t>土壤监测点T1</w:t>
      </w:r>
      <w:r>
        <w:rPr>
          <w:rFonts w:hint="eastAsia" w:eastAsia="宋体" w:cs="Times New Roman"/>
          <w:color w:val="auto"/>
          <w:sz w:val="24"/>
          <w:szCs w:val="18"/>
          <w:highlight w:val="none"/>
        </w:rPr>
        <w:t>-1</w:t>
      </w:r>
      <w:r>
        <w:rPr>
          <w:rFonts w:eastAsia="宋体" w:cs="Times New Roman"/>
          <w:color w:val="auto"/>
          <w:sz w:val="24"/>
          <w:szCs w:val="18"/>
          <w:highlight w:val="none"/>
        </w:rPr>
        <w:t>污染风险筛选结果</w:t>
      </w:r>
    </w:p>
    <w:tbl>
      <w:tblPr>
        <w:tblStyle w:val="45"/>
        <w:tblW w:w="5000" w:type="pct"/>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77"/>
        <w:gridCol w:w="885"/>
        <w:gridCol w:w="900"/>
        <w:gridCol w:w="1236"/>
        <w:gridCol w:w="1236"/>
        <w:gridCol w:w="1236"/>
        <w:gridCol w:w="1236"/>
        <w:gridCol w:w="1236"/>
        <w:gridCol w:w="1236"/>
        <w:gridCol w:w="1236"/>
        <w:gridCol w:w="1238"/>
      </w:tblGrid>
      <w:tr w14:paraId="33D364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vMerge w:val="restart"/>
            <w:tcBorders>
              <w:tl2br w:val="nil"/>
              <w:tr2bl w:val="nil"/>
            </w:tcBorders>
            <w:shd w:val="clear" w:color="auto" w:fill="auto"/>
            <w:vAlign w:val="center"/>
          </w:tcPr>
          <w:p w14:paraId="7E7E8EC6">
            <w:pPr>
              <w:ind w:left="-105" w:right="-105"/>
              <w:jc w:val="center"/>
              <w:textAlignment w:val="center"/>
              <w:rPr>
                <w:b/>
                <w:bCs/>
                <w:color w:val="auto"/>
                <w:sz w:val="21"/>
                <w:szCs w:val="21"/>
                <w:highlight w:val="none"/>
              </w:rPr>
            </w:pPr>
            <w:r>
              <w:rPr>
                <w:rFonts w:hint="eastAsia"/>
                <w:b/>
                <w:bCs/>
                <w:color w:val="auto"/>
                <w:sz w:val="21"/>
                <w:szCs w:val="21"/>
                <w:highlight w:val="none"/>
                <w:lang w:bidi="ar"/>
              </w:rPr>
              <w:t>检测项目</w:t>
            </w:r>
          </w:p>
        </w:tc>
        <w:tc>
          <w:tcPr>
            <w:tcW w:w="885" w:type="dxa"/>
            <w:vMerge w:val="restart"/>
            <w:tcBorders>
              <w:tl2br w:val="nil"/>
              <w:tr2bl w:val="nil"/>
            </w:tcBorders>
            <w:shd w:val="clear" w:color="auto" w:fill="auto"/>
            <w:vAlign w:val="center"/>
          </w:tcPr>
          <w:p w14:paraId="60F1E77B">
            <w:pPr>
              <w:ind w:left="-105" w:right="-105"/>
              <w:jc w:val="center"/>
              <w:textAlignment w:val="center"/>
              <w:rPr>
                <w:b/>
                <w:bCs/>
                <w:color w:val="auto"/>
                <w:sz w:val="21"/>
                <w:szCs w:val="21"/>
                <w:highlight w:val="none"/>
              </w:rPr>
            </w:pPr>
            <w:r>
              <w:rPr>
                <w:rFonts w:hint="eastAsia"/>
                <w:b/>
                <w:bCs/>
                <w:color w:val="auto"/>
                <w:sz w:val="21"/>
                <w:szCs w:val="21"/>
                <w:highlight w:val="none"/>
                <w:lang w:bidi="ar"/>
              </w:rPr>
              <w:t>单位</w:t>
            </w:r>
          </w:p>
        </w:tc>
        <w:tc>
          <w:tcPr>
            <w:tcW w:w="900" w:type="dxa"/>
            <w:vMerge w:val="restart"/>
            <w:tcBorders>
              <w:tl2br w:val="nil"/>
              <w:tr2bl w:val="nil"/>
            </w:tcBorders>
            <w:shd w:val="clear" w:color="auto" w:fill="auto"/>
            <w:vAlign w:val="center"/>
          </w:tcPr>
          <w:p w14:paraId="61F3341C">
            <w:pPr>
              <w:ind w:left="-105" w:right="-105"/>
              <w:jc w:val="center"/>
              <w:textAlignment w:val="center"/>
              <w:rPr>
                <w:b/>
                <w:bCs/>
                <w:color w:val="auto"/>
                <w:sz w:val="21"/>
                <w:szCs w:val="21"/>
                <w:highlight w:val="none"/>
              </w:rPr>
            </w:pPr>
            <w:r>
              <w:rPr>
                <w:rFonts w:hint="eastAsia"/>
                <w:b/>
                <w:bCs/>
                <w:color w:val="auto"/>
                <w:sz w:val="21"/>
                <w:szCs w:val="21"/>
                <w:highlight w:val="none"/>
                <w:lang w:bidi="ar"/>
              </w:rPr>
              <w:t>筛选值</w:t>
            </w:r>
          </w:p>
        </w:tc>
        <w:tc>
          <w:tcPr>
            <w:tcW w:w="9890" w:type="dxa"/>
            <w:gridSpan w:val="8"/>
            <w:tcBorders>
              <w:tl2br w:val="nil"/>
              <w:tr2bl w:val="nil"/>
            </w:tcBorders>
            <w:shd w:val="clear" w:color="auto" w:fill="auto"/>
            <w:vAlign w:val="center"/>
          </w:tcPr>
          <w:p w14:paraId="18BDDDBB">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T1-1</w:t>
            </w:r>
          </w:p>
        </w:tc>
      </w:tr>
      <w:tr w14:paraId="47020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vMerge w:val="continue"/>
            <w:tcBorders>
              <w:tl2br w:val="nil"/>
              <w:tr2bl w:val="nil"/>
            </w:tcBorders>
            <w:shd w:val="clear" w:color="auto" w:fill="auto"/>
            <w:vAlign w:val="center"/>
          </w:tcPr>
          <w:p w14:paraId="28A90E2E">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058DF22E">
            <w:pPr>
              <w:ind w:left="-105" w:right="-105"/>
              <w:jc w:val="center"/>
              <w:rPr>
                <w:b/>
                <w:bCs/>
                <w:color w:val="auto"/>
                <w:sz w:val="21"/>
                <w:szCs w:val="21"/>
                <w:highlight w:val="none"/>
              </w:rPr>
            </w:pPr>
          </w:p>
        </w:tc>
        <w:tc>
          <w:tcPr>
            <w:tcW w:w="900" w:type="dxa"/>
            <w:vMerge w:val="continue"/>
            <w:tcBorders>
              <w:tl2br w:val="nil"/>
              <w:tr2bl w:val="nil"/>
            </w:tcBorders>
            <w:shd w:val="clear" w:color="auto" w:fill="auto"/>
            <w:vAlign w:val="center"/>
          </w:tcPr>
          <w:p w14:paraId="03501F36">
            <w:pPr>
              <w:ind w:left="-105" w:right="-105"/>
              <w:jc w:val="center"/>
              <w:rPr>
                <w:b/>
                <w:bCs/>
                <w:color w:val="auto"/>
                <w:sz w:val="21"/>
                <w:szCs w:val="21"/>
                <w:highlight w:val="none"/>
              </w:rPr>
            </w:pPr>
          </w:p>
        </w:tc>
        <w:tc>
          <w:tcPr>
            <w:tcW w:w="2472" w:type="dxa"/>
            <w:gridSpan w:val="2"/>
            <w:tcBorders>
              <w:tl2br w:val="nil"/>
              <w:tr2bl w:val="nil"/>
            </w:tcBorders>
            <w:shd w:val="clear" w:color="auto" w:fill="auto"/>
            <w:vAlign w:val="center"/>
          </w:tcPr>
          <w:p w14:paraId="1416DBAD">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c>
          <w:tcPr>
            <w:tcW w:w="2472" w:type="dxa"/>
            <w:gridSpan w:val="2"/>
            <w:tcBorders>
              <w:tl2br w:val="nil"/>
              <w:tr2bl w:val="nil"/>
            </w:tcBorders>
            <w:shd w:val="clear" w:color="auto" w:fill="auto"/>
            <w:vAlign w:val="center"/>
          </w:tcPr>
          <w:p w14:paraId="638801D6">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0.3-0.5m</w:t>
            </w:r>
          </w:p>
        </w:tc>
        <w:tc>
          <w:tcPr>
            <w:tcW w:w="2472" w:type="dxa"/>
            <w:gridSpan w:val="2"/>
            <w:tcBorders>
              <w:tl2br w:val="nil"/>
              <w:tr2bl w:val="nil"/>
            </w:tcBorders>
            <w:shd w:val="clear" w:color="auto" w:fill="auto"/>
            <w:vAlign w:val="center"/>
          </w:tcPr>
          <w:p w14:paraId="7DA99C8F">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0.8-1.0m</w:t>
            </w:r>
          </w:p>
        </w:tc>
        <w:tc>
          <w:tcPr>
            <w:tcW w:w="2474" w:type="dxa"/>
            <w:gridSpan w:val="2"/>
            <w:tcBorders>
              <w:tl2br w:val="nil"/>
              <w:tr2bl w:val="nil"/>
            </w:tcBorders>
            <w:shd w:val="clear" w:color="auto" w:fill="auto"/>
            <w:vAlign w:val="center"/>
          </w:tcPr>
          <w:p w14:paraId="3203FB63">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1.8-2.0m</w:t>
            </w:r>
          </w:p>
        </w:tc>
      </w:tr>
      <w:tr w14:paraId="22641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vMerge w:val="continue"/>
            <w:tcBorders>
              <w:tl2br w:val="nil"/>
              <w:tr2bl w:val="nil"/>
            </w:tcBorders>
            <w:shd w:val="clear" w:color="auto" w:fill="auto"/>
            <w:vAlign w:val="center"/>
          </w:tcPr>
          <w:p w14:paraId="5109EFCC">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79FC2B31">
            <w:pPr>
              <w:ind w:left="-105" w:right="-105"/>
              <w:jc w:val="center"/>
              <w:rPr>
                <w:b/>
                <w:bCs/>
                <w:color w:val="auto"/>
                <w:sz w:val="21"/>
                <w:szCs w:val="21"/>
                <w:highlight w:val="none"/>
              </w:rPr>
            </w:pPr>
          </w:p>
        </w:tc>
        <w:tc>
          <w:tcPr>
            <w:tcW w:w="900" w:type="dxa"/>
            <w:vMerge w:val="continue"/>
            <w:tcBorders>
              <w:tl2br w:val="nil"/>
              <w:tr2bl w:val="nil"/>
            </w:tcBorders>
            <w:shd w:val="clear" w:color="auto" w:fill="auto"/>
            <w:vAlign w:val="center"/>
          </w:tcPr>
          <w:p w14:paraId="67A0A22A">
            <w:pPr>
              <w:ind w:left="-105" w:right="-105"/>
              <w:jc w:val="center"/>
              <w:rPr>
                <w:b/>
                <w:bCs/>
                <w:color w:val="auto"/>
                <w:sz w:val="21"/>
                <w:szCs w:val="21"/>
                <w:highlight w:val="none"/>
              </w:rPr>
            </w:pPr>
          </w:p>
        </w:tc>
        <w:tc>
          <w:tcPr>
            <w:tcW w:w="1236" w:type="dxa"/>
            <w:tcBorders>
              <w:tl2br w:val="nil"/>
              <w:tr2bl w:val="nil"/>
            </w:tcBorders>
            <w:shd w:val="clear" w:color="auto" w:fill="auto"/>
            <w:vAlign w:val="center"/>
          </w:tcPr>
          <w:p w14:paraId="5C5A8020">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5CFD7CD0">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11C5B2B2">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74C1989A">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57FAC250">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643B9582">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4DC9EE87">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8" w:type="dxa"/>
            <w:tcBorders>
              <w:tl2br w:val="nil"/>
              <w:tr2bl w:val="nil"/>
            </w:tcBorders>
            <w:shd w:val="clear" w:color="auto" w:fill="auto"/>
            <w:vAlign w:val="center"/>
          </w:tcPr>
          <w:p w14:paraId="17251349">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r>
      <w:tr w14:paraId="28CF6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97CAC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pH</w:t>
            </w:r>
          </w:p>
        </w:tc>
        <w:tc>
          <w:tcPr>
            <w:tcW w:w="885" w:type="dxa"/>
            <w:tcBorders>
              <w:tl2br w:val="nil"/>
              <w:tr2bl w:val="nil"/>
            </w:tcBorders>
            <w:shd w:val="clear" w:color="auto" w:fill="auto"/>
            <w:vAlign w:val="center"/>
          </w:tcPr>
          <w:p w14:paraId="5481CE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900" w:type="dxa"/>
            <w:tcBorders>
              <w:tl2br w:val="nil"/>
              <w:tr2bl w:val="nil"/>
            </w:tcBorders>
            <w:shd w:val="clear" w:color="auto" w:fill="auto"/>
            <w:vAlign w:val="center"/>
          </w:tcPr>
          <w:p w14:paraId="65FFD4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255D8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6.69</w:t>
            </w:r>
          </w:p>
        </w:tc>
        <w:tc>
          <w:tcPr>
            <w:tcW w:w="1236" w:type="dxa"/>
            <w:tcBorders>
              <w:tl2br w:val="nil"/>
              <w:tr2bl w:val="nil"/>
            </w:tcBorders>
            <w:shd w:val="clear" w:color="auto" w:fill="auto"/>
            <w:vAlign w:val="center"/>
          </w:tcPr>
          <w:p w14:paraId="76110A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7A8F0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6.78</w:t>
            </w:r>
          </w:p>
        </w:tc>
        <w:tc>
          <w:tcPr>
            <w:tcW w:w="1236" w:type="dxa"/>
            <w:tcBorders>
              <w:tl2br w:val="nil"/>
              <w:tr2bl w:val="nil"/>
            </w:tcBorders>
            <w:shd w:val="clear" w:color="auto" w:fill="auto"/>
            <w:vAlign w:val="center"/>
          </w:tcPr>
          <w:p w14:paraId="1E5ADC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F8EA4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6.86</w:t>
            </w:r>
          </w:p>
        </w:tc>
        <w:tc>
          <w:tcPr>
            <w:tcW w:w="1236" w:type="dxa"/>
            <w:tcBorders>
              <w:tl2br w:val="nil"/>
              <w:tr2bl w:val="nil"/>
            </w:tcBorders>
            <w:shd w:val="clear" w:color="auto" w:fill="auto"/>
            <w:vAlign w:val="center"/>
          </w:tcPr>
          <w:p w14:paraId="079A03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7D8BBC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6.88</w:t>
            </w:r>
          </w:p>
        </w:tc>
        <w:tc>
          <w:tcPr>
            <w:tcW w:w="1238" w:type="dxa"/>
            <w:tcBorders>
              <w:tl2br w:val="nil"/>
              <w:tr2bl w:val="nil"/>
            </w:tcBorders>
            <w:shd w:val="clear" w:color="auto" w:fill="auto"/>
            <w:vAlign w:val="center"/>
          </w:tcPr>
          <w:p w14:paraId="4A4425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F0918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490771D">
            <w:pPr>
              <w:ind w:left="-105" w:right="-105"/>
              <w:jc w:val="center"/>
              <w:textAlignment w:val="center"/>
              <w:rPr>
                <w:color w:val="auto"/>
                <w:sz w:val="21"/>
                <w:szCs w:val="21"/>
                <w:highlight w:val="none"/>
              </w:rPr>
            </w:pPr>
            <w:r>
              <w:rPr>
                <w:rFonts w:hint="eastAsia"/>
                <w:color w:val="auto"/>
                <w:sz w:val="21"/>
                <w:szCs w:val="21"/>
                <w:highlight w:val="none"/>
                <w:lang w:bidi="ar"/>
              </w:rPr>
              <w:t>汞</w:t>
            </w:r>
          </w:p>
        </w:tc>
        <w:tc>
          <w:tcPr>
            <w:tcW w:w="885" w:type="dxa"/>
            <w:tcBorders>
              <w:tl2br w:val="nil"/>
              <w:tr2bl w:val="nil"/>
            </w:tcBorders>
            <w:shd w:val="clear" w:color="auto" w:fill="auto"/>
            <w:vAlign w:val="center"/>
          </w:tcPr>
          <w:p w14:paraId="7187BB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BC13C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38</w:t>
            </w:r>
          </w:p>
        </w:tc>
        <w:tc>
          <w:tcPr>
            <w:tcW w:w="1236" w:type="dxa"/>
            <w:tcBorders>
              <w:tl2br w:val="nil"/>
              <w:tr2bl w:val="nil"/>
            </w:tcBorders>
            <w:shd w:val="clear" w:color="auto" w:fill="auto"/>
            <w:vAlign w:val="center"/>
          </w:tcPr>
          <w:p w14:paraId="005D03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0.06</w:t>
            </w:r>
          </w:p>
        </w:tc>
        <w:tc>
          <w:tcPr>
            <w:tcW w:w="1236" w:type="dxa"/>
            <w:tcBorders>
              <w:tl2br w:val="nil"/>
              <w:tr2bl w:val="nil"/>
            </w:tcBorders>
            <w:shd w:val="clear" w:color="auto" w:fill="auto"/>
            <w:vAlign w:val="center"/>
          </w:tcPr>
          <w:p w14:paraId="649396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0.0016 </w:t>
            </w:r>
          </w:p>
        </w:tc>
        <w:tc>
          <w:tcPr>
            <w:tcW w:w="1236" w:type="dxa"/>
            <w:tcBorders>
              <w:tl2br w:val="nil"/>
              <w:tr2bl w:val="nil"/>
            </w:tcBorders>
            <w:shd w:val="clear" w:color="auto" w:fill="auto"/>
            <w:vAlign w:val="center"/>
          </w:tcPr>
          <w:p w14:paraId="39FB50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0.03</w:t>
            </w:r>
          </w:p>
        </w:tc>
        <w:tc>
          <w:tcPr>
            <w:tcW w:w="1236" w:type="dxa"/>
            <w:tcBorders>
              <w:tl2br w:val="nil"/>
              <w:tr2bl w:val="nil"/>
            </w:tcBorders>
            <w:shd w:val="clear" w:color="auto" w:fill="auto"/>
            <w:vAlign w:val="center"/>
          </w:tcPr>
          <w:p w14:paraId="557804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0.0008 </w:t>
            </w:r>
          </w:p>
        </w:tc>
        <w:tc>
          <w:tcPr>
            <w:tcW w:w="1236" w:type="dxa"/>
            <w:tcBorders>
              <w:tl2br w:val="nil"/>
              <w:tr2bl w:val="nil"/>
            </w:tcBorders>
            <w:shd w:val="clear" w:color="auto" w:fill="auto"/>
            <w:vAlign w:val="center"/>
          </w:tcPr>
          <w:p w14:paraId="0B1C7B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0.02</w:t>
            </w:r>
          </w:p>
        </w:tc>
        <w:tc>
          <w:tcPr>
            <w:tcW w:w="1236" w:type="dxa"/>
            <w:tcBorders>
              <w:tl2br w:val="nil"/>
              <w:tr2bl w:val="nil"/>
            </w:tcBorders>
            <w:shd w:val="clear" w:color="auto" w:fill="auto"/>
            <w:vAlign w:val="center"/>
          </w:tcPr>
          <w:p w14:paraId="0A5876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0.0005 </w:t>
            </w:r>
          </w:p>
        </w:tc>
        <w:tc>
          <w:tcPr>
            <w:tcW w:w="1236" w:type="dxa"/>
            <w:tcBorders>
              <w:tl2br w:val="nil"/>
              <w:tr2bl w:val="nil"/>
            </w:tcBorders>
            <w:shd w:val="clear" w:color="auto" w:fill="auto"/>
            <w:vAlign w:val="center"/>
          </w:tcPr>
          <w:p w14:paraId="1BE2E89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0.16</w:t>
            </w:r>
          </w:p>
        </w:tc>
        <w:tc>
          <w:tcPr>
            <w:tcW w:w="1238" w:type="dxa"/>
            <w:tcBorders>
              <w:tl2br w:val="nil"/>
              <w:tr2bl w:val="nil"/>
            </w:tcBorders>
            <w:shd w:val="clear" w:color="auto" w:fill="auto"/>
            <w:vAlign w:val="center"/>
          </w:tcPr>
          <w:p w14:paraId="6F2BAB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0.0042 </w:t>
            </w:r>
          </w:p>
        </w:tc>
      </w:tr>
      <w:tr w14:paraId="16A6C0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01460F9">
            <w:pPr>
              <w:ind w:left="-105" w:right="-105"/>
              <w:jc w:val="center"/>
              <w:textAlignment w:val="center"/>
              <w:rPr>
                <w:color w:val="auto"/>
                <w:sz w:val="21"/>
                <w:szCs w:val="21"/>
                <w:highlight w:val="none"/>
              </w:rPr>
            </w:pPr>
            <w:r>
              <w:rPr>
                <w:rFonts w:hint="eastAsia"/>
                <w:color w:val="auto"/>
                <w:sz w:val="21"/>
                <w:szCs w:val="21"/>
                <w:highlight w:val="none"/>
                <w:lang w:bidi="ar"/>
              </w:rPr>
              <w:t>砷</w:t>
            </w:r>
          </w:p>
        </w:tc>
        <w:tc>
          <w:tcPr>
            <w:tcW w:w="885" w:type="dxa"/>
            <w:tcBorders>
              <w:tl2br w:val="nil"/>
              <w:tr2bl w:val="nil"/>
            </w:tcBorders>
            <w:shd w:val="clear" w:color="auto" w:fill="auto"/>
            <w:vAlign w:val="center"/>
          </w:tcPr>
          <w:p w14:paraId="7612C1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66D94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60</w:t>
            </w:r>
          </w:p>
        </w:tc>
        <w:tc>
          <w:tcPr>
            <w:tcW w:w="1236" w:type="dxa"/>
            <w:tcBorders>
              <w:tl2br w:val="nil"/>
              <w:tr2bl w:val="nil"/>
            </w:tcBorders>
            <w:shd w:val="clear" w:color="auto" w:fill="auto"/>
            <w:vAlign w:val="center"/>
          </w:tcPr>
          <w:p w14:paraId="106D18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17.7</w:t>
            </w:r>
          </w:p>
        </w:tc>
        <w:tc>
          <w:tcPr>
            <w:tcW w:w="1236" w:type="dxa"/>
            <w:tcBorders>
              <w:tl2br w:val="nil"/>
              <w:tr2bl w:val="nil"/>
            </w:tcBorders>
            <w:shd w:val="clear" w:color="auto" w:fill="auto"/>
            <w:vAlign w:val="center"/>
          </w:tcPr>
          <w:p w14:paraId="6C4421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0.2950 </w:t>
            </w:r>
          </w:p>
        </w:tc>
        <w:tc>
          <w:tcPr>
            <w:tcW w:w="1236" w:type="dxa"/>
            <w:tcBorders>
              <w:tl2br w:val="nil"/>
              <w:tr2bl w:val="nil"/>
            </w:tcBorders>
            <w:shd w:val="clear" w:color="auto" w:fill="auto"/>
            <w:vAlign w:val="center"/>
          </w:tcPr>
          <w:p w14:paraId="4B0CC2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16.1</w:t>
            </w:r>
          </w:p>
        </w:tc>
        <w:tc>
          <w:tcPr>
            <w:tcW w:w="1236" w:type="dxa"/>
            <w:tcBorders>
              <w:tl2br w:val="nil"/>
              <w:tr2bl w:val="nil"/>
            </w:tcBorders>
            <w:shd w:val="clear" w:color="auto" w:fill="auto"/>
            <w:vAlign w:val="center"/>
          </w:tcPr>
          <w:p w14:paraId="2F7CFB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0.2683 </w:t>
            </w:r>
          </w:p>
        </w:tc>
        <w:tc>
          <w:tcPr>
            <w:tcW w:w="1236" w:type="dxa"/>
            <w:tcBorders>
              <w:tl2br w:val="nil"/>
              <w:tr2bl w:val="nil"/>
            </w:tcBorders>
            <w:shd w:val="clear" w:color="auto" w:fill="auto"/>
            <w:vAlign w:val="center"/>
          </w:tcPr>
          <w:p w14:paraId="52A0B5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15.7</w:t>
            </w:r>
          </w:p>
        </w:tc>
        <w:tc>
          <w:tcPr>
            <w:tcW w:w="1236" w:type="dxa"/>
            <w:tcBorders>
              <w:tl2br w:val="nil"/>
              <w:tr2bl w:val="nil"/>
            </w:tcBorders>
            <w:shd w:val="clear" w:color="auto" w:fill="auto"/>
            <w:vAlign w:val="center"/>
          </w:tcPr>
          <w:p w14:paraId="65D73F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0.2617 </w:t>
            </w:r>
          </w:p>
        </w:tc>
        <w:tc>
          <w:tcPr>
            <w:tcW w:w="1236" w:type="dxa"/>
            <w:tcBorders>
              <w:tl2br w:val="nil"/>
              <w:tr2bl w:val="nil"/>
            </w:tcBorders>
            <w:shd w:val="clear" w:color="auto" w:fill="auto"/>
            <w:vAlign w:val="center"/>
          </w:tcPr>
          <w:p w14:paraId="580CF1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14.4</w:t>
            </w:r>
          </w:p>
        </w:tc>
        <w:tc>
          <w:tcPr>
            <w:tcW w:w="1238" w:type="dxa"/>
            <w:tcBorders>
              <w:tl2br w:val="nil"/>
              <w:tr2bl w:val="nil"/>
            </w:tcBorders>
            <w:shd w:val="clear" w:color="auto" w:fill="auto"/>
            <w:vAlign w:val="center"/>
          </w:tcPr>
          <w:p w14:paraId="1D3041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0.2400 </w:t>
            </w:r>
          </w:p>
        </w:tc>
      </w:tr>
      <w:tr w14:paraId="7F4F6B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67454D6B">
            <w:pPr>
              <w:ind w:left="-105" w:right="-105"/>
              <w:jc w:val="center"/>
              <w:textAlignment w:val="center"/>
              <w:rPr>
                <w:color w:val="auto"/>
                <w:sz w:val="21"/>
                <w:szCs w:val="21"/>
                <w:highlight w:val="none"/>
              </w:rPr>
            </w:pPr>
            <w:r>
              <w:rPr>
                <w:rFonts w:hint="eastAsia"/>
                <w:color w:val="auto"/>
                <w:sz w:val="21"/>
                <w:szCs w:val="21"/>
                <w:highlight w:val="none"/>
                <w:lang w:bidi="ar"/>
              </w:rPr>
              <w:t>镉</w:t>
            </w:r>
          </w:p>
        </w:tc>
        <w:tc>
          <w:tcPr>
            <w:tcW w:w="885" w:type="dxa"/>
            <w:tcBorders>
              <w:tl2br w:val="nil"/>
              <w:tr2bl w:val="nil"/>
            </w:tcBorders>
            <w:shd w:val="clear" w:color="auto" w:fill="auto"/>
            <w:vAlign w:val="center"/>
          </w:tcPr>
          <w:p w14:paraId="029904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4286C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65</w:t>
            </w:r>
          </w:p>
        </w:tc>
        <w:tc>
          <w:tcPr>
            <w:tcW w:w="1236" w:type="dxa"/>
            <w:tcBorders>
              <w:tl2br w:val="nil"/>
              <w:tr2bl w:val="nil"/>
            </w:tcBorders>
            <w:shd w:val="clear" w:color="auto" w:fill="auto"/>
            <w:vAlign w:val="center"/>
          </w:tcPr>
          <w:p w14:paraId="14C47B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0.23</w:t>
            </w:r>
          </w:p>
        </w:tc>
        <w:tc>
          <w:tcPr>
            <w:tcW w:w="1236" w:type="dxa"/>
            <w:tcBorders>
              <w:tl2br w:val="nil"/>
              <w:tr2bl w:val="nil"/>
            </w:tcBorders>
            <w:shd w:val="clear" w:color="auto" w:fill="auto"/>
            <w:vAlign w:val="center"/>
          </w:tcPr>
          <w:p w14:paraId="18D359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0.0035 </w:t>
            </w:r>
          </w:p>
        </w:tc>
        <w:tc>
          <w:tcPr>
            <w:tcW w:w="1236" w:type="dxa"/>
            <w:tcBorders>
              <w:tl2br w:val="nil"/>
              <w:tr2bl w:val="nil"/>
            </w:tcBorders>
            <w:shd w:val="clear" w:color="auto" w:fill="auto"/>
            <w:vAlign w:val="center"/>
          </w:tcPr>
          <w:p w14:paraId="6F50A5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0.19</w:t>
            </w:r>
          </w:p>
        </w:tc>
        <w:tc>
          <w:tcPr>
            <w:tcW w:w="1236" w:type="dxa"/>
            <w:tcBorders>
              <w:tl2br w:val="nil"/>
              <w:tr2bl w:val="nil"/>
            </w:tcBorders>
            <w:shd w:val="clear" w:color="auto" w:fill="auto"/>
            <w:vAlign w:val="center"/>
          </w:tcPr>
          <w:p w14:paraId="6D6AC9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0.0029 </w:t>
            </w:r>
          </w:p>
        </w:tc>
        <w:tc>
          <w:tcPr>
            <w:tcW w:w="1236" w:type="dxa"/>
            <w:tcBorders>
              <w:tl2br w:val="nil"/>
              <w:tr2bl w:val="nil"/>
            </w:tcBorders>
            <w:shd w:val="clear" w:color="auto" w:fill="auto"/>
            <w:vAlign w:val="center"/>
          </w:tcPr>
          <w:p w14:paraId="0160A2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0.24</w:t>
            </w:r>
          </w:p>
        </w:tc>
        <w:tc>
          <w:tcPr>
            <w:tcW w:w="1236" w:type="dxa"/>
            <w:tcBorders>
              <w:tl2br w:val="nil"/>
              <w:tr2bl w:val="nil"/>
            </w:tcBorders>
            <w:shd w:val="clear" w:color="auto" w:fill="auto"/>
            <w:vAlign w:val="center"/>
          </w:tcPr>
          <w:p w14:paraId="3F06421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0.0037 </w:t>
            </w:r>
          </w:p>
        </w:tc>
        <w:tc>
          <w:tcPr>
            <w:tcW w:w="1236" w:type="dxa"/>
            <w:tcBorders>
              <w:tl2br w:val="nil"/>
              <w:tr2bl w:val="nil"/>
            </w:tcBorders>
            <w:shd w:val="clear" w:color="auto" w:fill="auto"/>
            <w:vAlign w:val="center"/>
          </w:tcPr>
          <w:p w14:paraId="16C09E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0.21</w:t>
            </w:r>
          </w:p>
        </w:tc>
        <w:tc>
          <w:tcPr>
            <w:tcW w:w="1238" w:type="dxa"/>
            <w:tcBorders>
              <w:tl2br w:val="nil"/>
              <w:tr2bl w:val="nil"/>
            </w:tcBorders>
            <w:shd w:val="clear" w:color="auto" w:fill="auto"/>
            <w:vAlign w:val="center"/>
          </w:tcPr>
          <w:p w14:paraId="799799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0.0032 </w:t>
            </w:r>
          </w:p>
        </w:tc>
      </w:tr>
      <w:tr w14:paraId="55623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1778F98">
            <w:pPr>
              <w:ind w:left="-105" w:right="-105"/>
              <w:jc w:val="center"/>
              <w:textAlignment w:val="center"/>
              <w:rPr>
                <w:color w:val="auto"/>
                <w:sz w:val="21"/>
                <w:szCs w:val="21"/>
                <w:highlight w:val="none"/>
              </w:rPr>
            </w:pPr>
            <w:r>
              <w:rPr>
                <w:rFonts w:hint="eastAsia"/>
                <w:color w:val="auto"/>
                <w:sz w:val="21"/>
                <w:szCs w:val="21"/>
                <w:highlight w:val="none"/>
                <w:lang w:bidi="ar"/>
              </w:rPr>
              <w:t>铜</w:t>
            </w:r>
          </w:p>
        </w:tc>
        <w:tc>
          <w:tcPr>
            <w:tcW w:w="885" w:type="dxa"/>
            <w:tcBorders>
              <w:tl2br w:val="nil"/>
              <w:tr2bl w:val="nil"/>
            </w:tcBorders>
            <w:shd w:val="clear" w:color="auto" w:fill="auto"/>
            <w:vAlign w:val="center"/>
          </w:tcPr>
          <w:p w14:paraId="7AF79F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1F13B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18000</w:t>
            </w:r>
          </w:p>
        </w:tc>
        <w:tc>
          <w:tcPr>
            <w:tcW w:w="1236" w:type="dxa"/>
            <w:tcBorders>
              <w:tl2br w:val="nil"/>
              <w:tr2bl w:val="nil"/>
            </w:tcBorders>
            <w:shd w:val="clear" w:color="auto" w:fill="auto"/>
            <w:vAlign w:val="center"/>
          </w:tcPr>
          <w:p w14:paraId="4EC95D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31</w:t>
            </w:r>
          </w:p>
        </w:tc>
        <w:tc>
          <w:tcPr>
            <w:tcW w:w="1236" w:type="dxa"/>
            <w:tcBorders>
              <w:tl2br w:val="nil"/>
              <w:tr2bl w:val="nil"/>
            </w:tcBorders>
            <w:shd w:val="clear" w:color="auto" w:fill="auto"/>
            <w:vAlign w:val="center"/>
          </w:tcPr>
          <w:p w14:paraId="075ED4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0.0017 </w:t>
            </w:r>
          </w:p>
        </w:tc>
        <w:tc>
          <w:tcPr>
            <w:tcW w:w="1236" w:type="dxa"/>
            <w:tcBorders>
              <w:tl2br w:val="nil"/>
              <w:tr2bl w:val="nil"/>
            </w:tcBorders>
            <w:shd w:val="clear" w:color="auto" w:fill="auto"/>
            <w:vAlign w:val="center"/>
          </w:tcPr>
          <w:p w14:paraId="797E1A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6" w:type="dxa"/>
            <w:tcBorders>
              <w:tl2br w:val="nil"/>
              <w:tr2bl w:val="nil"/>
            </w:tcBorders>
            <w:shd w:val="clear" w:color="auto" w:fill="auto"/>
            <w:vAlign w:val="center"/>
          </w:tcPr>
          <w:p w14:paraId="6295DF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0.0014 </w:t>
            </w:r>
          </w:p>
        </w:tc>
        <w:tc>
          <w:tcPr>
            <w:tcW w:w="1236" w:type="dxa"/>
            <w:tcBorders>
              <w:tl2br w:val="nil"/>
              <w:tr2bl w:val="nil"/>
            </w:tcBorders>
            <w:shd w:val="clear" w:color="auto" w:fill="auto"/>
            <w:vAlign w:val="center"/>
          </w:tcPr>
          <w:p w14:paraId="0A3B47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w:t>
            </w:r>
          </w:p>
        </w:tc>
        <w:tc>
          <w:tcPr>
            <w:tcW w:w="1236" w:type="dxa"/>
            <w:tcBorders>
              <w:tl2br w:val="nil"/>
              <w:tr2bl w:val="nil"/>
            </w:tcBorders>
            <w:shd w:val="clear" w:color="auto" w:fill="auto"/>
            <w:vAlign w:val="center"/>
          </w:tcPr>
          <w:p w14:paraId="0CEEE1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0.0014 </w:t>
            </w:r>
          </w:p>
        </w:tc>
        <w:tc>
          <w:tcPr>
            <w:tcW w:w="1236" w:type="dxa"/>
            <w:tcBorders>
              <w:tl2br w:val="nil"/>
              <w:tr2bl w:val="nil"/>
            </w:tcBorders>
            <w:shd w:val="clear" w:color="auto" w:fill="auto"/>
            <w:vAlign w:val="center"/>
          </w:tcPr>
          <w:p w14:paraId="2D26C4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238" w:type="dxa"/>
            <w:tcBorders>
              <w:tl2br w:val="nil"/>
              <w:tr2bl w:val="nil"/>
            </w:tcBorders>
            <w:shd w:val="clear" w:color="auto" w:fill="auto"/>
            <w:vAlign w:val="center"/>
          </w:tcPr>
          <w:p w14:paraId="3875BF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0.0015 </w:t>
            </w:r>
          </w:p>
        </w:tc>
      </w:tr>
      <w:tr w14:paraId="5150BA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6B733EDC">
            <w:pPr>
              <w:ind w:left="-105" w:right="-105"/>
              <w:jc w:val="center"/>
              <w:textAlignment w:val="center"/>
              <w:rPr>
                <w:color w:val="auto"/>
                <w:sz w:val="21"/>
                <w:szCs w:val="21"/>
                <w:highlight w:val="none"/>
              </w:rPr>
            </w:pPr>
            <w:r>
              <w:rPr>
                <w:rFonts w:hint="eastAsia"/>
                <w:color w:val="auto"/>
                <w:sz w:val="21"/>
                <w:szCs w:val="21"/>
                <w:highlight w:val="none"/>
                <w:lang w:bidi="ar"/>
              </w:rPr>
              <w:t>铅</w:t>
            </w:r>
          </w:p>
        </w:tc>
        <w:tc>
          <w:tcPr>
            <w:tcW w:w="885" w:type="dxa"/>
            <w:tcBorders>
              <w:tl2br w:val="nil"/>
              <w:tr2bl w:val="nil"/>
            </w:tcBorders>
            <w:shd w:val="clear" w:color="auto" w:fill="auto"/>
            <w:vAlign w:val="center"/>
          </w:tcPr>
          <w:p w14:paraId="33D4A0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DDD45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800</w:t>
            </w:r>
          </w:p>
        </w:tc>
        <w:tc>
          <w:tcPr>
            <w:tcW w:w="1236" w:type="dxa"/>
            <w:tcBorders>
              <w:tl2br w:val="nil"/>
              <w:tr2bl w:val="nil"/>
            </w:tcBorders>
            <w:shd w:val="clear" w:color="auto" w:fill="auto"/>
            <w:vAlign w:val="center"/>
          </w:tcPr>
          <w:p w14:paraId="795AEE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31</w:t>
            </w:r>
          </w:p>
        </w:tc>
        <w:tc>
          <w:tcPr>
            <w:tcW w:w="1236" w:type="dxa"/>
            <w:tcBorders>
              <w:tl2br w:val="nil"/>
              <w:tr2bl w:val="nil"/>
            </w:tcBorders>
            <w:shd w:val="clear" w:color="auto" w:fill="auto"/>
            <w:vAlign w:val="center"/>
          </w:tcPr>
          <w:p w14:paraId="59CDD1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0.0388 </w:t>
            </w:r>
          </w:p>
        </w:tc>
        <w:tc>
          <w:tcPr>
            <w:tcW w:w="1236" w:type="dxa"/>
            <w:tcBorders>
              <w:tl2br w:val="nil"/>
              <w:tr2bl w:val="nil"/>
            </w:tcBorders>
            <w:shd w:val="clear" w:color="auto" w:fill="auto"/>
            <w:vAlign w:val="center"/>
          </w:tcPr>
          <w:p w14:paraId="3F9B8E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24.4</w:t>
            </w:r>
          </w:p>
        </w:tc>
        <w:tc>
          <w:tcPr>
            <w:tcW w:w="1236" w:type="dxa"/>
            <w:tcBorders>
              <w:tl2br w:val="nil"/>
              <w:tr2bl w:val="nil"/>
            </w:tcBorders>
            <w:shd w:val="clear" w:color="auto" w:fill="auto"/>
            <w:vAlign w:val="center"/>
          </w:tcPr>
          <w:p w14:paraId="7E3420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0.0305 </w:t>
            </w:r>
          </w:p>
        </w:tc>
        <w:tc>
          <w:tcPr>
            <w:tcW w:w="1236" w:type="dxa"/>
            <w:tcBorders>
              <w:tl2br w:val="nil"/>
              <w:tr2bl w:val="nil"/>
            </w:tcBorders>
            <w:shd w:val="clear" w:color="auto" w:fill="auto"/>
            <w:vAlign w:val="center"/>
          </w:tcPr>
          <w:p w14:paraId="5092AA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w:t>
            </w:r>
          </w:p>
        </w:tc>
        <w:tc>
          <w:tcPr>
            <w:tcW w:w="1236" w:type="dxa"/>
            <w:tcBorders>
              <w:tl2br w:val="nil"/>
              <w:tr2bl w:val="nil"/>
            </w:tcBorders>
            <w:shd w:val="clear" w:color="auto" w:fill="auto"/>
            <w:vAlign w:val="center"/>
          </w:tcPr>
          <w:p w14:paraId="67BEF2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0.0275 </w:t>
            </w:r>
          </w:p>
        </w:tc>
        <w:tc>
          <w:tcPr>
            <w:tcW w:w="1236" w:type="dxa"/>
            <w:tcBorders>
              <w:tl2br w:val="nil"/>
              <w:tr2bl w:val="nil"/>
            </w:tcBorders>
            <w:shd w:val="clear" w:color="auto" w:fill="auto"/>
            <w:vAlign w:val="center"/>
          </w:tcPr>
          <w:p w14:paraId="09FC1B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w:t>
            </w:r>
          </w:p>
        </w:tc>
        <w:tc>
          <w:tcPr>
            <w:tcW w:w="1238" w:type="dxa"/>
            <w:tcBorders>
              <w:tl2br w:val="nil"/>
              <w:tr2bl w:val="nil"/>
            </w:tcBorders>
            <w:shd w:val="clear" w:color="auto" w:fill="auto"/>
            <w:vAlign w:val="center"/>
          </w:tcPr>
          <w:p w14:paraId="176E40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0.0300 </w:t>
            </w:r>
          </w:p>
        </w:tc>
      </w:tr>
      <w:tr w14:paraId="0ACF98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FB8D6DC">
            <w:pPr>
              <w:ind w:left="-105" w:right="-105"/>
              <w:jc w:val="center"/>
              <w:textAlignment w:val="center"/>
              <w:rPr>
                <w:color w:val="auto"/>
                <w:sz w:val="21"/>
                <w:szCs w:val="21"/>
                <w:highlight w:val="none"/>
              </w:rPr>
            </w:pPr>
            <w:r>
              <w:rPr>
                <w:rFonts w:hint="eastAsia"/>
                <w:color w:val="auto"/>
                <w:sz w:val="21"/>
                <w:szCs w:val="21"/>
                <w:highlight w:val="none"/>
                <w:lang w:bidi="ar"/>
              </w:rPr>
              <w:t>镍</w:t>
            </w:r>
          </w:p>
        </w:tc>
        <w:tc>
          <w:tcPr>
            <w:tcW w:w="885" w:type="dxa"/>
            <w:tcBorders>
              <w:tl2br w:val="nil"/>
              <w:tr2bl w:val="nil"/>
            </w:tcBorders>
            <w:shd w:val="clear" w:color="auto" w:fill="auto"/>
            <w:vAlign w:val="center"/>
          </w:tcPr>
          <w:p w14:paraId="4480EA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20B26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900</w:t>
            </w:r>
          </w:p>
        </w:tc>
        <w:tc>
          <w:tcPr>
            <w:tcW w:w="1236" w:type="dxa"/>
            <w:tcBorders>
              <w:tl2br w:val="nil"/>
              <w:tr2bl w:val="nil"/>
            </w:tcBorders>
            <w:shd w:val="clear" w:color="auto" w:fill="auto"/>
            <w:vAlign w:val="center"/>
          </w:tcPr>
          <w:p w14:paraId="5B0945F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47</w:t>
            </w:r>
          </w:p>
        </w:tc>
        <w:tc>
          <w:tcPr>
            <w:tcW w:w="1236" w:type="dxa"/>
            <w:tcBorders>
              <w:tl2br w:val="nil"/>
              <w:tr2bl w:val="nil"/>
            </w:tcBorders>
            <w:shd w:val="clear" w:color="auto" w:fill="auto"/>
            <w:vAlign w:val="center"/>
          </w:tcPr>
          <w:p w14:paraId="107415A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0.0522 </w:t>
            </w:r>
          </w:p>
        </w:tc>
        <w:tc>
          <w:tcPr>
            <w:tcW w:w="1236" w:type="dxa"/>
            <w:tcBorders>
              <w:tl2br w:val="nil"/>
              <w:tr2bl w:val="nil"/>
            </w:tcBorders>
            <w:shd w:val="clear" w:color="auto" w:fill="auto"/>
            <w:vAlign w:val="center"/>
          </w:tcPr>
          <w:p w14:paraId="54B1D73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39</w:t>
            </w:r>
          </w:p>
        </w:tc>
        <w:tc>
          <w:tcPr>
            <w:tcW w:w="1236" w:type="dxa"/>
            <w:tcBorders>
              <w:tl2br w:val="nil"/>
              <w:tr2bl w:val="nil"/>
            </w:tcBorders>
            <w:shd w:val="clear" w:color="auto" w:fill="auto"/>
            <w:vAlign w:val="center"/>
          </w:tcPr>
          <w:p w14:paraId="5FC360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0.0433 </w:t>
            </w:r>
          </w:p>
        </w:tc>
        <w:tc>
          <w:tcPr>
            <w:tcW w:w="1236" w:type="dxa"/>
            <w:tcBorders>
              <w:tl2br w:val="nil"/>
              <w:tr2bl w:val="nil"/>
            </w:tcBorders>
            <w:shd w:val="clear" w:color="auto" w:fill="auto"/>
            <w:vAlign w:val="center"/>
          </w:tcPr>
          <w:p w14:paraId="5862B9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41</w:t>
            </w:r>
          </w:p>
        </w:tc>
        <w:tc>
          <w:tcPr>
            <w:tcW w:w="1236" w:type="dxa"/>
            <w:tcBorders>
              <w:tl2br w:val="nil"/>
              <w:tr2bl w:val="nil"/>
            </w:tcBorders>
            <w:shd w:val="clear" w:color="auto" w:fill="auto"/>
            <w:vAlign w:val="center"/>
          </w:tcPr>
          <w:p w14:paraId="0156D3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0.0456 </w:t>
            </w:r>
          </w:p>
        </w:tc>
        <w:tc>
          <w:tcPr>
            <w:tcW w:w="1236" w:type="dxa"/>
            <w:tcBorders>
              <w:tl2br w:val="nil"/>
              <w:tr2bl w:val="nil"/>
            </w:tcBorders>
            <w:shd w:val="clear" w:color="auto" w:fill="auto"/>
            <w:vAlign w:val="center"/>
          </w:tcPr>
          <w:p w14:paraId="619FCA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41</w:t>
            </w:r>
          </w:p>
        </w:tc>
        <w:tc>
          <w:tcPr>
            <w:tcW w:w="1238" w:type="dxa"/>
            <w:tcBorders>
              <w:tl2br w:val="nil"/>
              <w:tr2bl w:val="nil"/>
            </w:tcBorders>
            <w:shd w:val="clear" w:color="auto" w:fill="auto"/>
            <w:vAlign w:val="center"/>
          </w:tcPr>
          <w:p w14:paraId="14460C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0.0456 </w:t>
            </w:r>
          </w:p>
        </w:tc>
      </w:tr>
      <w:tr w14:paraId="772C6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60BA2B3">
            <w:pPr>
              <w:ind w:left="-105" w:right="-105"/>
              <w:jc w:val="center"/>
              <w:textAlignment w:val="center"/>
              <w:rPr>
                <w:color w:val="auto"/>
                <w:sz w:val="21"/>
                <w:szCs w:val="21"/>
                <w:highlight w:val="none"/>
              </w:rPr>
            </w:pPr>
            <w:r>
              <w:rPr>
                <w:rFonts w:hint="eastAsia"/>
                <w:color w:val="auto"/>
                <w:sz w:val="21"/>
                <w:szCs w:val="21"/>
                <w:highlight w:val="none"/>
                <w:lang w:bidi="ar"/>
              </w:rPr>
              <w:t>六价铬</w:t>
            </w:r>
          </w:p>
        </w:tc>
        <w:tc>
          <w:tcPr>
            <w:tcW w:w="885" w:type="dxa"/>
            <w:tcBorders>
              <w:tl2br w:val="nil"/>
              <w:tr2bl w:val="nil"/>
            </w:tcBorders>
            <w:shd w:val="clear" w:color="auto" w:fill="auto"/>
            <w:vAlign w:val="center"/>
          </w:tcPr>
          <w:p w14:paraId="0E7E5F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AE450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w:t>
            </w:r>
          </w:p>
        </w:tc>
        <w:tc>
          <w:tcPr>
            <w:tcW w:w="1236" w:type="dxa"/>
            <w:tcBorders>
              <w:tl2br w:val="nil"/>
              <w:tr2bl w:val="nil"/>
            </w:tcBorders>
            <w:shd w:val="clear" w:color="auto" w:fill="auto"/>
            <w:vAlign w:val="center"/>
          </w:tcPr>
          <w:p w14:paraId="7493AA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E775F4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E935D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7B1F7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48121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B9E67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11F2E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F9182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77AA6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02FB728">
            <w:pPr>
              <w:ind w:left="-105" w:right="-105"/>
              <w:jc w:val="center"/>
              <w:textAlignment w:val="center"/>
              <w:rPr>
                <w:color w:val="auto"/>
                <w:sz w:val="21"/>
                <w:szCs w:val="21"/>
                <w:highlight w:val="none"/>
              </w:rPr>
            </w:pPr>
            <w:r>
              <w:rPr>
                <w:rFonts w:hint="eastAsia"/>
                <w:color w:val="auto"/>
                <w:sz w:val="21"/>
                <w:szCs w:val="21"/>
                <w:highlight w:val="none"/>
                <w:lang w:bidi="ar"/>
              </w:rPr>
              <w:t>氯甲烷</w:t>
            </w:r>
          </w:p>
        </w:tc>
        <w:tc>
          <w:tcPr>
            <w:tcW w:w="885" w:type="dxa"/>
            <w:tcBorders>
              <w:tl2br w:val="nil"/>
              <w:tr2bl w:val="nil"/>
            </w:tcBorders>
            <w:shd w:val="clear" w:color="auto" w:fill="auto"/>
            <w:vAlign w:val="center"/>
          </w:tcPr>
          <w:p w14:paraId="267D76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08258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37</w:t>
            </w:r>
          </w:p>
        </w:tc>
        <w:tc>
          <w:tcPr>
            <w:tcW w:w="1236" w:type="dxa"/>
            <w:tcBorders>
              <w:tl2br w:val="nil"/>
              <w:tr2bl w:val="nil"/>
            </w:tcBorders>
            <w:shd w:val="clear" w:color="auto" w:fill="auto"/>
            <w:vAlign w:val="center"/>
          </w:tcPr>
          <w:p w14:paraId="4B8A42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737FA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24FD9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8BB0D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9E960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4DB23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C9D04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4.6</w:t>
            </w:r>
          </w:p>
        </w:tc>
        <w:tc>
          <w:tcPr>
            <w:tcW w:w="1238" w:type="dxa"/>
            <w:tcBorders>
              <w:tl2br w:val="nil"/>
              <w:tr2bl w:val="nil"/>
            </w:tcBorders>
            <w:shd w:val="clear" w:color="auto" w:fill="auto"/>
            <w:vAlign w:val="center"/>
          </w:tcPr>
          <w:p w14:paraId="36EE9A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0.1243 </w:t>
            </w:r>
          </w:p>
        </w:tc>
      </w:tr>
      <w:tr w14:paraId="639F70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550764B">
            <w:pPr>
              <w:ind w:left="-105" w:right="-105"/>
              <w:jc w:val="center"/>
              <w:textAlignment w:val="center"/>
              <w:rPr>
                <w:color w:val="auto"/>
                <w:sz w:val="21"/>
                <w:szCs w:val="21"/>
                <w:highlight w:val="none"/>
              </w:rPr>
            </w:pPr>
            <w:r>
              <w:rPr>
                <w:rFonts w:hint="eastAsia"/>
                <w:color w:val="auto"/>
                <w:sz w:val="21"/>
                <w:szCs w:val="21"/>
                <w:highlight w:val="none"/>
                <w:lang w:bidi="ar"/>
              </w:rPr>
              <w:t>氯乙烯</w:t>
            </w:r>
          </w:p>
        </w:tc>
        <w:tc>
          <w:tcPr>
            <w:tcW w:w="885" w:type="dxa"/>
            <w:tcBorders>
              <w:tl2br w:val="nil"/>
              <w:tr2bl w:val="nil"/>
            </w:tcBorders>
            <w:shd w:val="clear" w:color="auto" w:fill="auto"/>
            <w:vAlign w:val="center"/>
          </w:tcPr>
          <w:p w14:paraId="700437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2118A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0.43</w:t>
            </w:r>
          </w:p>
        </w:tc>
        <w:tc>
          <w:tcPr>
            <w:tcW w:w="1236" w:type="dxa"/>
            <w:tcBorders>
              <w:tl2br w:val="nil"/>
              <w:tr2bl w:val="nil"/>
            </w:tcBorders>
            <w:shd w:val="clear" w:color="auto" w:fill="auto"/>
            <w:vAlign w:val="center"/>
          </w:tcPr>
          <w:p w14:paraId="39DB5F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7AF56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82F3D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C31A5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112E4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8A1C5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4A740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45AFE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4A7B8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9DA66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602953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27CAC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66</w:t>
            </w:r>
          </w:p>
        </w:tc>
        <w:tc>
          <w:tcPr>
            <w:tcW w:w="1236" w:type="dxa"/>
            <w:tcBorders>
              <w:tl2br w:val="nil"/>
              <w:tr2bl w:val="nil"/>
            </w:tcBorders>
            <w:shd w:val="clear" w:color="auto" w:fill="auto"/>
            <w:vAlign w:val="center"/>
          </w:tcPr>
          <w:p w14:paraId="603ABA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53AF0F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5BA27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CD136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E2CEE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144BF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C67842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D5143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D713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5F9BFDC">
            <w:pPr>
              <w:ind w:left="-105" w:right="-105"/>
              <w:jc w:val="center"/>
              <w:textAlignment w:val="center"/>
              <w:rPr>
                <w:color w:val="auto"/>
                <w:sz w:val="21"/>
                <w:szCs w:val="21"/>
                <w:highlight w:val="none"/>
              </w:rPr>
            </w:pPr>
            <w:r>
              <w:rPr>
                <w:rFonts w:hint="eastAsia"/>
                <w:color w:val="auto"/>
                <w:sz w:val="21"/>
                <w:szCs w:val="21"/>
                <w:highlight w:val="none"/>
                <w:lang w:bidi="ar"/>
              </w:rPr>
              <w:t>二氯甲烷</w:t>
            </w:r>
          </w:p>
        </w:tc>
        <w:tc>
          <w:tcPr>
            <w:tcW w:w="885" w:type="dxa"/>
            <w:tcBorders>
              <w:tl2br w:val="nil"/>
              <w:tr2bl w:val="nil"/>
            </w:tcBorders>
            <w:shd w:val="clear" w:color="auto" w:fill="auto"/>
            <w:vAlign w:val="center"/>
          </w:tcPr>
          <w:p w14:paraId="4CB17B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AB387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616</w:t>
            </w:r>
          </w:p>
        </w:tc>
        <w:tc>
          <w:tcPr>
            <w:tcW w:w="1236" w:type="dxa"/>
            <w:tcBorders>
              <w:tl2br w:val="nil"/>
              <w:tr2bl w:val="nil"/>
            </w:tcBorders>
            <w:shd w:val="clear" w:color="auto" w:fill="auto"/>
            <w:vAlign w:val="center"/>
          </w:tcPr>
          <w:p w14:paraId="1360F6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0471B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4B215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AA5DF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229C9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84DD1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E0A48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1BC0D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3CEA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CFED5C2">
            <w:pPr>
              <w:ind w:left="-105" w:right="-105"/>
              <w:jc w:val="center"/>
              <w:textAlignment w:val="center"/>
              <w:rPr>
                <w:color w:val="auto"/>
                <w:sz w:val="21"/>
                <w:szCs w:val="21"/>
                <w:highlight w:val="none"/>
              </w:rPr>
            </w:pPr>
            <w:r>
              <w:rPr>
                <w:rFonts w:hint="eastAsia"/>
                <w:color w:val="auto"/>
                <w:sz w:val="21"/>
                <w:szCs w:val="21"/>
                <w:highlight w:val="none"/>
                <w:lang w:bidi="ar"/>
              </w:rPr>
              <w:t>反式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0B993C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3E7A8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54</w:t>
            </w:r>
          </w:p>
        </w:tc>
        <w:tc>
          <w:tcPr>
            <w:tcW w:w="1236" w:type="dxa"/>
            <w:tcBorders>
              <w:tl2br w:val="nil"/>
              <w:tr2bl w:val="nil"/>
            </w:tcBorders>
            <w:shd w:val="clear" w:color="auto" w:fill="auto"/>
            <w:vAlign w:val="center"/>
          </w:tcPr>
          <w:p w14:paraId="172460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A840D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61E29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E6E80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36806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30FBC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7D4DA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AD5EB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7BC7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C5898F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二氯乙烷</w:t>
            </w:r>
          </w:p>
        </w:tc>
        <w:tc>
          <w:tcPr>
            <w:tcW w:w="885" w:type="dxa"/>
            <w:tcBorders>
              <w:tl2br w:val="nil"/>
              <w:tr2bl w:val="nil"/>
            </w:tcBorders>
            <w:shd w:val="clear" w:color="auto" w:fill="auto"/>
            <w:vAlign w:val="center"/>
          </w:tcPr>
          <w:p w14:paraId="0CB7DA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5835B3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w:t>
            </w:r>
          </w:p>
        </w:tc>
        <w:tc>
          <w:tcPr>
            <w:tcW w:w="1236" w:type="dxa"/>
            <w:tcBorders>
              <w:tl2br w:val="nil"/>
              <w:tr2bl w:val="nil"/>
            </w:tcBorders>
            <w:shd w:val="clear" w:color="auto" w:fill="auto"/>
            <w:vAlign w:val="center"/>
          </w:tcPr>
          <w:p w14:paraId="514D00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74A59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C7CB1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27E4B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2B918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BA60A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F01B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C30BF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5D447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6FA8A24">
            <w:pPr>
              <w:ind w:left="-105" w:right="-105"/>
              <w:jc w:val="center"/>
              <w:textAlignment w:val="center"/>
              <w:rPr>
                <w:color w:val="auto"/>
                <w:sz w:val="21"/>
                <w:szCs w:val="21"/>
                <w:highlight w:val="none"/>
              </w:rPr>
            </w:pPr>
            <w:r>
              <w:rPr>
                <w:rFonts w:hint="eastAsia"/>
                <w:color w:val="auto"/>
                <w:sz w:val="21"/>
                <w:szCs w:val="21"/>
                <w:highlight w:val="none"/>
                <w:lang w:bidi="ar"/>
              </w:rPr>
              <w:t>顺式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70BE3D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8F2B4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596</w:t>
            </w:r>
          </w:p>
        </w:tc>
        <w:tc>
          <w:tcPr>
            <w:tcW w:w="1236" w:type="dxa"/>
            <w:tcBorders>
              <w:tl2br w:val="nil"/>
              <w:tr2bl w:val="nil"/>
            </w:tcBorders>
            <w:shd w:val="clear" w:color="auto" w:fill="auto"/>
            <w:vAlign w:val="center"/>
          </w:tcPr>
          <w:p w14:paraId="7571FE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52940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E011E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4210A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96A7C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39417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ED2DA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5B62B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D9C3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4CAAC86">
            <w:pPr>
              <w:ind w:left="-105" w:right="-105"/>
              <w:jc w:val="center"/>
              <w:textAlignment w:val="center"/>
              <w:rPr>
                <w:color w:val="auto"/>
                <w:sz w:val="21"/>
                <w:szCs w:val="21"/>
                <w:highlight w:val="none"/>
              </w:rPr>
            </w:pPr>
            <w:r>
              <w:rPr>
                <w:rFonts w:hint="eastAsia"/>
                <w:color w:val="auto"/>
                <w:sz w:val="21"/>
                <w:szCs w:val="21"/>
                <w:highlight w:val="none"/>
                <w:lang w:bidi="ar"/>
              </w:rPr>
              <w:t>氯仿</w:t>
            </w:r>
          </w:p>
        </w:tc>
        <w:tc>
          <w:tcPr>
            <w:tcW w:w="885" w:type="dxa"/>
            <w:tcBorders>
              <w:tl2br w:val="nil"/>
              <w:tr2bl w:val="nil"/>
            </w:tcBorders>
            <w:shd w:val="clear" w:color="auto" w:fill="auto"/>
            <w:vAlign w:val="center"/>
          </w:tcPr>
          <w:p w14:paraId="58899E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3C7FF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0.9</w:t>
            </w:r>
          </w:p>
        </w:tc>
        <w:tc>
          <w:tcPr>
            <w:tcW w:w="1236" w:type="dxa"/>
            <w:tcBorders>
              <w:tl2br w:val="nil"/>
              <w:tr2bl w:val="nil"/>
            </w:tcBorders>
            <w:shd w:val="clear" w:color="auto" w:fill="auto"/>
            <w:vAlign w:val="center"/>
          </w:tcPr>
          <w:p w14:paraId="03FE4E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706C7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77579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047C9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630BF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EE2E0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8FEB9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FBCA6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E5EFB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3393AE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w:t>
            </w:r>
            <w:r>
              <w:rPr>
                <w:rFonts w:hint="eastAsia"/>
                <w:color w:val="auto"/>
                <w:sz w:val="21"/>
                <w:szCs w:val="21"/>
                <w:highlight w:val="none"/>
                <w:lang w:bidi="ar"/>
              </w:rPr>
              <w:t>三氯乙烷</w:t>
            </w:r>
          </w:p>
        </w:tc>
        <w:tc>
          <w:tcPr>
            <w:tcW w:w="885" w:type="dxa"/>
            <w:tcBorders>
              <w:tl2br w:val="nil"/>
              <w:tr2bl w:val="nil"/>
            </w:tcBorders>
            <w:shd w:val="clear" w:color="auto" w:fill="auto"/>
            <w:vAlign w:val="center"/>
          </w:tcPr>
          <w:p w14:paraId="06DA48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03F9B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840</w:t>
            </w:r>
          </w:p>
        </w:tc>
        <w:tc>
          <w:tcPr>
            <w:tcW w:w="1236" w:type="dxa"/>
            <w:tcBorders>
              <w:tl2br w:val="nil"/>
              <w:tr2bl w:val="nil"/>
            </w:tcBorders>
            <w:shd w:val="clear" w:color="auto" w:fill="auto"/>
            <w:vAlign w:val="center"/>
          </w:tcPr>
          <w:p w14:paraId="3CD725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D579C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84C69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45EE0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06C17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64C1E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E19644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CBE89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394B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6F16F38">
            <w:pPr>
              <w:ind w:left="-105" w:right="-105"/>
              <w:jc w:val="center"/>
              <w:textAlignment w:val="center"/>
              <w:rPr>
                <w:color w:val="auto"/>
                <w:sz w:val="21"/>
                <w:szCs w:val="21"/>
                <w:highlight w:val="none"/>
              </w:rPr>
            </w:pPr>
            <w:r>
              <w:rPr>
                <w:rFonts w:hint="eastAsia"/>
                <w:color w:val="auto"/>
                <w:sz w:val="21"/>
                <w:szCs w:val="21"/>
                <w:highlight w:val="none"/>
                <w:lang w:bidi="ar"/>
              </w:rPr>
              <w:t>四氯化碳</w:t>
            </w:r>
          </w:p>
        </w:tc>
        <w:tc>
          <w:tcPr>
            <w:tcW w:w="885" w:type="dxa"/>
            <w:tcBorders>
              <w:tl2br w:val="nil"/>
              <w:tr2bl w:val="nil"/>
            </w:tcBorders>
            <w:shd w:val="clear" w:color="auto" w:fill="auto"/>
            <w:vAlign w:val="center"/>
          </w:tcPr>
          <w:p w14:paraId="4A9366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66B26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6933DBA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D89FF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F5C7F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059AB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3CB01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0CB2E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60F0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33B05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12415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1287B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二氯乙烷</w:t>
            </w:r>
          </w:p>
        </w:tc>
        <w:tc>
          <w:tcPr>
            <w:tcW w:w="885" w:type="dxa"/>
            <w:tcBorders>
              <w:tl2br w:val="nil"/>
              <w:tr2bl w:val="nil"/>
            </w:tcBorders>
            <w:shd w:val="clear" w:color="auto" w:fill="auto"/>
            <w:vAlign w:val="center"/>
          </w:tcPr>
          <w:p w14:paraId="078089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D71FA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6" w:type="dxa"/>
            <w:tcBorders>
              <w:tl2br w:val="nil"/>
              <w:tr2bl w:val="nil"/>
            </w:tcBorders>
            <w:shd w:val="clear" w:color="auto" w:fill="auto"/>
            <w:vAlign w:val="center"/>
          </w:tcPr>
          <w:p w14:paraId="64A7B2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47314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8B9D1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9BD3C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2C47D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F4071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CEAD4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6A8B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BAEBE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27957C9">
            <w:pPr>
              <w:ind w:left="-105" w:right="-105"/>
              <w:jc w:val="center"/>
              <w:textAlignment w:val="center"/>
              <w:rPr>
                <w:color w:val="auto"/>
                <w:sz w:val="21"/>
                <w:szCs w:val="21"/>
                <w:highlight w:val="none"/>
              </w:rPr>
            </w:pPr>
            <w:r>
              <w:rPr>
                <w:rFonts w:hint="eastAsia"/>
                <w:color w:val="auto"/>
                <w:sz w:val="21"/>
                <w:szCs w:val="21"/>
                <w:highlight w:val="none"/>
                <w:lang w:bidi="ar"/>
              </w:rPr>
              <w:t>苯</w:t>
            </w:r>
          </w:p>
        </w:tc>
        <w:tc>
          <w:tcPr>
            <w:tcW w:w="885" w:type="dxa"/>
            <w:tcBorders>
              <w:tl2br w:val="nil"/>
              <w:tr2bl w:val="nil"/>
            </w:tcBorders>
            <w:shd w:val="clear" w:color="auto" w:fill="auto"/>
            <w:vAlign w:val="center"/>
          </w:tcPr>
          <w:p w14:paraId="5C1795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62FC4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1236" w:type="dxa"/>
            <w:tcBorders>
              <w:tl2br w:val="nil"/>
              <w:tr2bl w:val="nil"/>
            </w:tcBorders>
            <w:shd w:val="clear" w:color="auto" w:fill="auto"/>
            <w:vAlign w:val="center"/>
          </w:tcPr>
          <w:p w14:paraId="5F771F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A8198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5C890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8BB26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1A757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23631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AFC09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47D1F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1B29D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06DC997">
            <w:pPr>
              <w:ind w:left="-105" w:right="-105"/>
              <w:jc w:val="center"/>
              <w:textAlignment w:val="center"/>
              <w:rPr>
                <w:color w:val="auto"/>
                <w:sz w:val="21"/>
                <w:szCs w:val="21"/>
                <w:highlight w:val="none"/>
              </w:rPr>
            </w:pPr>
            <w:r>
              <w:rPr>
                <w:rFonts w:hint="eastAsia"/>
                <w:color w:val="auto"/>
                <w:sz w:val="21"/>
                <w:szCs w:val="21"/>
                <w:highlight w:val="none"/>
                <w:lang w:bidi="ar"/>
              </w:rPr>
              <w:t>三氯乙烯</w:t>
            </w:r>
          </w:p>
        </w:tc>
        <w:tc>
          <w:tcPr>
            <w:tcW w:w="885" w:type="dxa"/>
            <w:tcBorders>
              <w:tl2br w:val="nil"/>
              <w:tr2bl w:val="nil"/>
            </w:tcBorders>
            <w:shd w:val="clear" w:color="auto" w:fill="auto"/>
            <w:vAlign w:val="center"/>
          </w:tcPr>
          <w:p w14:paraId="6E582B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AB514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7C9C3C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00C23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747E8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83E07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37A7B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ACC3C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1BD53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EF764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F9AD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29421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二氯丙烷</w:t>
            </w:r>
          </w:p>
        </w:tc>
        <w:tc>
          <w:tcPr>
            <w:tcW w:w="885" w:type="dxa"/>
            <w:tcBorders>
              <w:tl2br w:val="nil"/>
              <w:tr2bl w:val="nil"/>
            </w:tcBorders>
            <w:shd w:val="clear" w:color="auto" w:fill="auto"/>
            <w:vAlign w:val="center"/>
          </w:tcPr>
          <w:p w14:paraId="025493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14012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6" w:type="dxa"/>
            <w:tcBorders>
              <w:tl2br w:val="nil"/>
              <w:tr2bl w:val="nil"/>
            </w:tcBorders>
            <w:shd w:val="clear" w:color="auto" w:fill="auto"/>
            <w:vAlign w:val="center"/>
          </w:tcPr>
          <w:p w14:paraId="1FC69A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97012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F626C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8FD98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1C8E3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078D9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E315A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23F4B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66F6E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0D9DDA89">
            <w:pPr>
              <w:ind w:left="-105" w:right="-105"/>
              <w:jc w:val="center"/>
              <w:textAlignment w:val="center"/>
              <w:rPr>
                <w:color w:val="auto"/>
                <w:sz w:val="21"/>
                <w:szCs w:val="21"/>
                <w:highlight w:val="none"/>
              </w:rPr>
            </w:pPr>
            <w:r>
              <w:rPr>
                <w:rFonts w:hint="eastAsia"/>
                <w:color w:val="auto"/>
                <w:sz w:val="21"/>
                <w:szCs w:val="21"/>
                <w:highlight w:val="none"/>
                <w:lang w:bidi="ar"/>
              </w:rPr>
              <w:t>甲苯</w:t>
            </w:r>
          </w:p>
        </w:tc>
        <w:tc>
          <w:tcPr>
            <w:tcW w:w="885" w:type="dxa"/>
            <w:tcBorders>
              <w:tl2br w:val="nil"/>
              <w:tr2bl w:val="nil"/>
            </w:tcBorders>
            <w:shd w:val="clear" w:color="auto" w:fill="auto"/>
            <w:vAlign w:val="center"/>
          </w:tcPr>
          <w:p w14:paraId="10F6D0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B590A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1200</w:t>
            </w:r>
          </w:p>
        </w:tc>
        <w:tc>
          <w:tcPr>
            <w:tcW w:w="1236" w:type="dxa"/>
            <w:tcBorders>
              <w:tl2br w:val="nil"/>
              <w:tr2bl w:val="nil"/>
            </w:tcBorders>
            <w:shd w:val="clear" w:color="auto" w:fill="auto"/>
            <w:vAlign w:val="center"/>
          </w:tcPr>
          <w:p w14:paraId="0062AB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FB24B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6897D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3081B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E2FEDF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239B4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D9079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918D5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089A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6614B5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w:t>
            </w:r>
            <w:r>
              <w:rPr>
                <w:rFonts w:hint="eastAsia"/>
                <w:color w:val="auto"/>
                <w:sz w:val="21"/>
                <w:szCs w:val="21"/>
                <w:highlight w:val="none"/>
                <w:lang w:bidi="ar"/>
              </w:rPr>
              <w:t>三氯乙烷</w:t>
            </w:r>
          </w:p>
        </w:tc>
        <w:tc>
          <w:tcPr>
            <w:tcW w:w="885" w:type="dxa"/>
            <w:tcBorders>
              <w:tl2br w:val="nil"/>
              <w:tr2bl w:val="nil"/>
            </w:tcBorders>
            <w:shd w:val="clear" w:color="auto" w:fill="auto"/>
            <w:vAlign w:val="center"/>
          </w:tcPr>
          <w:p w14:paraId="213BC8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09F92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138C8A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B963C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29FE5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72F6F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C214C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5710D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B6672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9C730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A54B9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D8D8A44">
            <w:pPr>
              <w:ind w:left="-105" w:right="-105"/>
              <w:jc w:val="center"/>
              <w:textAlignment w:val="center"/>
              <w:rPr>
                <w:color w:val="auto"/>
                <w:sz w:val="21"/>
                <w:szCs w:val="21"/>
                <w:highlight w:val="none"/>
              </w:rPr>
            </w:pPr>
            <w:r>
              <w:rPr>
                <w:rFonts w:hint="eastAsia"/>
                <w:color w:val="auto"/>
                <w:sz w:val="21"/>
                <w:szCs w:val="21"/>
                <w:highlight w:val="none"/>
                <w:lang w:bidi="ar"/>
              </w:rPr>
              <w:t>四氯乙烯</w:t>
            </w:r>
          </w:p>
        </w:tc>
        <w:tc>
          <w:tcPr>
            <w:tcW w:w="885" w:type="dxa"/>
            <w:tcBorders>
              <w:tl2br w:val="nil"/>
              <w:tr2bl w:val="nil"/>
            </w:tcBorders>
            <w:shd w:val="clear" w:color="auto" w:fill="auto"/>
            <w:vAlign w:val="center"/>
          </w:tcPr>
          <w:p w14:paraId="3B7788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C3DB6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53</w:t>
            </w:r>
          </w:p>
        </w:tc>
        <w:tc>
          <w:tcPr>
            <w:tcW w:w="1236" w:type="dxa"/>
            <w:tcBorders>
              <w:tl2br w:val="nil"/>
              <w:tr2bl w:val="nil"/>
            </w:tcBorders>
            <w:shd w:val="clear" w:color="auto" w:fill="auto"/>
            <w:vAlign w:val="center"/>
          </w:tcPr>
          <w:p w14:paraId="3E1F6E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B2938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3BB27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EEF6E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4F4BF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225D9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038DF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2D7113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3788E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36ABDF5">
            <w:pPr>
              <w:ind w:left="-105" w:right="-105"/>
              <w:jc w:val="center"/>
              <w:textAlignment w:val="center"/>
              <w:rPr>
                <w:color w:val="auto"/>
                <w:sz w:val="21"/>
                <w:szCs w:val="21"/>
                <w:highlight w:val="none"/>
              </w:rPr>
            </w:pPr>
            <w:r>
              <w:rPr>
                <w:rFonts w:hint="eastAsia"/>
                <w:color w:val="auto"/>
                <w:sz w:val="21"/>
                <w:szCs w:val="21"/>
                <w:highlight w:val="none"/>
                <w:lang w:bidi="ar"/>
              </w:rPr>
              <w:t>氯苯</w:t>
            </w:r>
          </w:p>
        </w:tc>
        <w:tc>
          <w:tcPr>
            <w:tcW w:w="885" w:type="dxa"/>
            <w:tcBorders>
              <w:tl2br w:val="nil"/>
              <w:tr2bl w:val="nil"/>
            </w:tcBorders>
            <w:shd w:val="clear" w:color="auto" w:fill="auto"/>
            <w:vAlign w:val="center"/>
          </w:tcPr>
          <w:p w14:paraId="13BBEC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2D37F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270</w:t>
            </w:r>
          </w:p>
        </w:tc>
        <w:tc>
          <w:tcPr>
            <w:tcW w:w="1236" w:type="dxa"/>
            <w:tcBorders>
              <w:tl2br w:val="nil"/>
              <w:tr2bl w:val="nil"/>
            </w:tcBorders>
            <w:shd w:val="clear" w:color="auto" w:fill="auto"/>
            <w:vAlign w:val="center"/>
          </w:tcPr>
          <w:p w14:paraId="6C48FF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3CBAF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5EAE0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AFDDA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4B2983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FEA9F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9A989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968E4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F0A2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FDDA1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1,1,1,2-</w:t>
            </w:r>
            <w:r>
              <w:rPr>
                <w:rFonts w:hint="eastAsia"/>
                <w:color w:val="auto"/>
                <w:sz w:val="21"/>
                <w:szCs w:val="21"/>
                <w:highlight w:val="none"/>
                <w:lang w:bidi="ar"/>
              </w:rPr>
              <w:t>四氯乙烷</w:t>
            </w:r>
          </w:p>
        </w:tc>
        <w:tc>
          <w:tcPr>
            <w:tcW w:w="885" w:type="dxa"/>
            <w:tcBorders>
              <w:tl2br w:val="nil"/>
              <w:tr2bl w:val="nil"/>
            </w:tcBorders>
            <w:shd w:val="clear" w:color="auto" w:fill="auto"/>
            <w:vAlign w:val="center"/>
          </w:tcPr>
          <w:p w14:paraId="2B936D8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A0A3A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w:t>
            </w:r>
          </w:p>
        </w:tc>
        <w:tc>
          <w:tcPr>
            <w:tcW w:w="1236" w:type="dxa"/>
            <w:tcBorders>
              <w:tl2br w:val="nil"/>
              <w:tr2bl w:val="nil"/>
            </w:tcBorders>
            <w:shd w:val="clear" w:color="auto" w:fill="auto"/>
            <w:vAlign w:val="center"/>
          </w:tcPr>
          <w:p w14:paraId="177AF0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66153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97E42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E4C07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7C377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FB17B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D5F7A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2BD26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66F0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E341306">
            <w:pPr>
              <w:ind w:left="-105" w:right="-105"/>
              <w:jc w:val="center"/>
              <w:textAlignment w:val="center"/>
              <w:rPr>
                <w:color w:val="auto"/>
                <w:sz w:val="21"/>
                <w:szCs w:val="21"/>
                <w:highlight w:val="none"/>
              </w:rPr>
            </w:pPr>
            <w:r>
              <w:rPr>
                <w:rFonts w:hint="eastAsia"/>
                <w:color w:val="auto"/>
                <w:sz w:val="21"/>
                <w:szCs w:val="21"/>
                <w:highlight w:val="none"/>
                <w:lang w:bidi="ar"/>
              </w:rPr>
              <w:t>乙苯</w:t>
            </w:r>
          </w:p>
        </w:tc>
        <w:tc>
          <w:tcPr>
            <w:tcW w:w="885" w:type="dxa"/>
            <w:tcBorders>
              <w:tl2br w:val="nil"/>
              <w:tr2bl w:val="nil"/>
            </w:tcBorders>
            <w:shd w:val="clear" w:color="auto" w:fill="auto"/>
            <w:vAlign w:val="center"/>
          </w:tcPr>
          <w:p w14:paraId="72235B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19D74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59E098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97915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BE724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C4001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14137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AA1C9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0E775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65EAE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0AF6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F15B0D9">
            <w:pPr>
              <w:ind w:left="-105" w:right="-105"/>
              <w:jc w:val="center"/>
              <w:textAlignment w:val="center"/>
              <w:rPr>
                <w:color w:val="auto"/>
                <w:sz w:val="21"/>
                <w:szCs w:val="21"/>
                <w:highlight w:val="none"/>
              </w:rPr>
            </w:pPr>
            <w:r>
              <w:rPr>
                <w:rFonts w:hint="eastAsia"/>
                <w:color w:val="auto"/>
                <w:sz w:val="21"/>
                <w:szCs w:val="21"/>
                <w:highlight w:val="none"/>
                <w:lang w:bidi="ar"/>
              </w:rPr>
              <w:t>间</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对</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85" w:type="dxa"/>
            <w:tcBorders>
              <w:tl2br w:val="nil"/>
              <w:tr2bl w:val="nil"/>
            </w:tcBorders>
            <w:shd w:val="clear" w:color="auto" w:fill="auto"/>
            <w:vAlign w:val="center"/>
          </w:tcPr>
          <w:p w14:paraId="03AC7D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ABD0B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570</w:t>
            </w:r>
          </w:p>
        </w:tc>
        <w:tc>
          <w:tcPr>
            <w:tcW w:w="1236" w:type="dxa"/>
            <w:tcBorders>
              <w:tl2br w:val="nil"/>
              <w:tr2bl w:val="nil"/>
            </w:tcBorders>
            <w:shd w:val="clear" w:color="auto" w:fill="auto"/>
            <w:vAlign w:val="center"/>
          </w:tcPr>
          <w:p w14:paraId="53E67F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B244E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9FCC3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9FCD0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4CF0AF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99EEE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A9758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2CD31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1B7A7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88B1E5F">
            <w:pPr>
              <w:ind w:left="-105" w:right="-105"/>
              <w:jc w:val="center"/>
              <w:textAlignment w:val="center"/>
              <w:rPr>
                <w:color w:val="auto"/>
                <w:sz w:val="21"/>
                <w:szCs w:val="21"/>
                <w:highlight w:val="none"/>
              </w:rPr>
            </w:pPr>
            <w:r>
              <w:rPr>
                <w:rFonts w:hint="eastAsia"/>
                <w:color w:val="auto"/>
                <w:sz w:val="21"/>
                <w:szCs w:val="21"/>
                <w:highlight w:val="none"/>
                <w:lang w:bidi="ar"/>
              </w:rPr>
              <w:t>邻</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85" w:type="dxa"/>
            <w:tcBorders>
              <w:tl2br w:val="nil"/>
              <w:tr2bl w:val="nil"/>
            </w:tcBorders>
            <w:shd w:val="clear" w:color="auto" w:fill="auto"/>
            <w:vAlign w:val="center"/>
          </w:tcPr>
          <w:p w14:paraId="3C8C19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CBF19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640</w:t>
            </w:r>
          </w:p>
        </w:tc>
        <w:tc>
          <w:tcPr>
            <w:tcW w:w="1236" w:type="dxa"/>
            <w:tcBorders>
              <w:tl2br w:val="nil"/>
              <w:tr2bl w:val="nil"/>
            </w:tcBorders>
            <w:shd w:val="clear" w:color="auto" w:fill="auto"/>
            <w:vAlign w:val="center"/>
          </w:tcPr>
          <w:p w14:paraId="18D1FA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F9A05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591D5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6767C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291B7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4C342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11F1F3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97C15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5268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79ADAB7">
            <w:pPr>
              <w:ind w:left="-105" w:right="-105"/>
              <w:jc w:val="center"/>
              <w:textAlignment w:val="center"/>
              <w:rPr>
                <w:color w:val="auto"/>
                <w:sz w:val="21"/>
                <w:szCs w:val="21"/>
                <w:highlight w:val="none"/>
              </w:rPr>
            </w:pPr>
            <w:r>
              <w:rPr>
                <w:rFonts w:hint="eastAsia"/>
                <w:color w:val="auto"/>
                <w:sz w:val="21"/>
                <w:szCs w:val="21"/>
                <w:highlight w:val="none"/>
                <w:lang w:bidi="ar"/>
              </w:rPr>
              <w:t>苯乙烯</w:t>
            </w:r>
          </w:p>
        </w:tc>
        <w:tc>
          <w:tcPr>
            <w:tcW w:w="885" w:type="dxa"/>
            <w:tcBorders>
              <w:tl2br w:val="nil"/>
              <w:tr2bl w:val="nil"/>
            </w:tcBorders>
            <w:shd w:val="clear" w:color="auto" w:fill="auto"/>
            <w:vAlign w:val="center"/>
          </w:tcPr>
          <w:p w14:paraId="4CD448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7A837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1290</w:t>
            </w:r>
          </w:p>
        </w:tc>
        <w:tc>
          <w:tcPr>
            <w:tcW w:w="1236" w:type="dxa"/>
            <w:tcBorders>
              <w:tl2br w:val="nil"/>
              <w:tr2bl w:val="nil"/>
            </w:tcBorders>
            <w:shd w:val="clear" w:color="auto" w:fill="auto"/>
            <w:vAlign w:val="center"/>
          </w:tcPr>
          <w:p w14:paraId="7656B52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DABE7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C01EE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A0CCF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7EB61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0B7EDF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37EFB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C74A6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13511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A766B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1,1,2,2-</w:t>
            </w:r>
            <w:r>
              <w:rPr>
                <w:rFonts w:hint="eastAsia"/>
                <w:color w:val="auto"/>
                <w:sz w:val="21"/>
                <w:szCs w:val="21"/>
                <w:highlight w:val="none"/>
                <w:lang w:bidi="ar"/>
              </w:rPr>
              <w:t>四氯乙烷</w:t>
            </w:r>
          </w:p>
        </w:tc>
        <w:tc>
          <w:tcPr>
            <w:tcW w:w="885" w:type="dxa"/>
            <w:tcBorders>
              <w:tl2br w:val="nil"/>
              <w:tr2bl w:val="nil"/>
            </w:tcBorders>
            <w:shd w:val="clear" w:color="auto" w:fill="auto"/>
            <w:vAlign w:val="center"/>
          </w:tcPr>
          <w:p w14:paraId="504C40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682B9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w:t>
            </w:r>
          </w:p>
        </w:tc>
        <w:tc>
          <w:tcPr>
            <w:tcW w:w="1236" w:type="dxa"/>
            <w:tcBorders>
              <w:tl2br w:val="nil"/>
              <w:tr2bl w:val="nil"/>
            </w:tcBorders>
            <w:shd w:val="clear" w:color="auto" w:fill="auto"/>
            <w:vAlign w:val="center"/>
          </w:tcPr>
          <w:p w14:paraId="20CF37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98F01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F1937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169BB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15041F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9F00A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9F79F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EC343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CDD0A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89A1A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1,2,3-</w:t>
            </w:r>
            <w:r>
              <w:rPr>
                <w:rFonts w:hint="eastAsia"/>
                <w:color w:val="auto"/>
                <w:sz w:val="21"/>
                <w:szCs w:val="21"/>
                <w:highlight w:val="none"/>
                <w:lang w:bidi="ar"/>
              </w:rPr>
              <w:t>三氯丙烷</w:t>
            </w:r>
          </w:p>
        </w:tc>
        <w:tc>
          <w:tcPr>
            <w:tcW w:w="885" w:type="dxa"/>
            <w:tcBorders>
              <w:tl2br w:val="nil"/>
              <w:tr2bl w:val="nil"/>
            </w:tcBorders>
            <w:shd w:val="clear" w:color="auto" w:fill="auto"/>
            <w:vAlign w:val="center"/>
          </w:tcPr>
          <w:p w14:paraId="5E60E8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70968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236" w:type="dxa"/>
            <w:tcBorders>
              <w:tl2br w:val="nil"/>
              <w:tr2bl w:val="nil"/>
            </w:tcBorders>
            <w:shd w:val="clear" w:color="auto" w:fill="auto"/>
            <w:vAlign w:val="center"/>
          </w:tcPr>
          <w:p w14:paraId="258313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71B7A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ABE22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8A963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8B3C0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0CD74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086AB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1C546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E04D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37D21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w:t>
            </w:r>
            <w:r>
              <w:rPr>
                <w:rFonts w:hint="eastAsia"/>
                <w:color w:val="auto"/>
                <w:sz w:val="21"/>
                <w:szCs w:val="21"/>
                <w:highlight w:val="none"/>
                <w:lang w:bidi="ar"/>
              </w:rPr>
              <w:t>二氯苯</w:t>
            </w:r>
          </w:p>
        </w:tc>
        <w:tc>
          <w:tcPr>
            <w:tcW w:w="885" w:type="dxa"/>
            <w:tcBorders>
              <w:tl2br w:val="nil"/>
              <w:tr2bl w:val="nil"/>
            </w:tcBorders>
            <w:shd w:val="clear" w:color="auto" w:fill="auto"/>
            <w:vAlign w:val="center"/>
          </w:tcPr>
          <w:p w14:paraId="7BFD4A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3B719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w:t>
            </w:r>
          </w:p>
        </w:tc>
        <w:tc>
          <w:tcPr>
            <w:tcW w:w="1236" w:type="dxa"/>
            <w:tcBorders>
              <w:tl2br w:val="nil"/>
              <w:tr2bl w:val="nil"/>
            </w:tcBorders>
            <w:shd w:val="clear" w:color="auto" w:fill="auto"/>
            <w:vAlign w:val="center"/>
          </w:tcPr>
          <w:p w14:paraId="77BE279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70963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4B636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E898F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32E07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D7B27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5162D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E68B0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8A3D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D19C1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二氯苯</w:t>
            </w:r>
          </w:p>
        </w:tc>
        <w:tc>
          <w:tcPr>
            <w:tcW w:w="885" w:type="dxa"/>
            <w:tcBorders>
              <w:tl2br w:val="nil"/>
              <w:tr2bl w:val="nil"/>
            </w:tcBorders>
            <w:shd w:val="clear" w:color="auto" w:fill="auto"/>
            <w:vAlign w:val="center"/>
          </w:tcPr>
          <w:p w14:paraId="325CB4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F1144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560</w:t>
            </w:r>
          </w:p>
        </w:tc>
        <w:tc>
          <w:tcPr>
            <w:tcW w:w="1236" w:type="dxa"/>
            <w:tcBorders>
              <w:tl2br w:val="nil"/>
              <w:tr2bl w:val="nil"/>
            </w:tcBorders>
            <w:shd w:val="clear" w:color="auto" w:fill="auto"/>
            <w:vAlign w:val="center"/>
          </w:tcPr>
          <w:p w14:paraId="4A63DF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E55FD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CFD42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E520B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8A627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7D136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FF080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562A4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A826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7BC21EC9">
            <w:pPr>
              <w:ind w:left="-105" w:right="-105"/>
              <w:jc w:val="center"/>
              <w:textAlignment w:val="center"/>
              <w:rPr>
                <w:color w:val="auto"/>
                <w:sz w:val="21"/>
                <w:szCs w:val="21"/>
                <w:highlight w:val="none"/>
              </w:rPr>
            </w:pPr>
            <w:r>
              <w:rPr>
                <w:rFonts w:hint="eastAsia"/>
                <w:color w:val="auto"/>
                <w:sz w:val="21"/>
                <w:szCs w:val="21"/>
                <w:highlight w:val="none"/>
                <w:lang w:bidi="ar"/>
              </w:rPr>
              <w:t>苯胺</w:t>
            </w:r>
          </w:p>
        </w:tc>
        <w:tc>
          <w:tcPr>
            <w:tcW w:w="885" w:type="dxa"/>
            <w:tcBorders>
              <w:tl2br w:val="nil"/>
              <w:tr2bl w:val="nil"/>
            </w:tcBorders>
            <w:shd w:val="clear" w:color="auto" w:fill="auto"/>
            <w:vAlign w:val="center"/>
          </w:tcPr>
          <w:p w14:paraId="7E28AA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F99F9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260</w:t>
            </w:r>
          </w:p>
        </w:tc>
        <w:tc>
          <w:tcPr>
            <w:tcW w:w="1236" w:type="dxa"/>
            <w:tcBorders>
              <w:tl2br w:val="nil"/>
              <w:tr2bl w:val="nil"/>
            </w:tcBorders>
            <w:shd w:val="clear" w:color="auto" w:fill="auto"/>
            <w:vAlign w:val="center"/>
          </w:tcPr>
          <w:p w14:paraId="229C8E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190FB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1CA14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541BF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F435B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070D8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3421C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E6DFE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BFDDC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D8D02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w:t>
            </w:r>
            <w:r>
              <w:rPr>
                <w:rFonts w:hint="eastAsia"/>
                <w:color w:val="auto"/>
                <w:sz w:val="21"/>
                <w:szCs w:val="21"/>
                <w:highlight w:val="none"/>
                <w:lang w:bidi="ar"/>
              </w:rPr>
              <w:t>氯酚</w:t>
            </w:r>
          </w:p>
        </w:tc>
        <w:tc>
          <w:tcPr>
            <w:tcW w:w="885" w:type="dxa"/>
            <w:tcBorders>
              <w:tl2br w:val="nil"/>
              <w:tr2bl w:val="nil"/>
            </w:tcBorders>
            <w:shd w:val="clear" w:color="auto" w:fill="auto"/>
            <w:vAlign w:val="center"/>
          </w:tcPr>
          <w:p w14:paraId="1A5A4C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888F8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2256</w:t>
            </w:r>
          </w:p>
        </w:tc>
        <w:tc>
          <w:tcPr>
            <w:tcW w:w="1236" w:type="dxa"/>
            <w:tcBorders>
              <w:tl2br w:val="nil"/>
              <w:tr2bl w:val="nil"/>
            </w:tcBorders>
            <w:shd w:val="clear" w:color="auto" w:fill="auto"/>
            <w:vAlign w:val="center"/>
          </w:tcPr>
          <w:p w14:paraId="781426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6F1D1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390AA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9AA5F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BDBB4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21004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44DD6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6FA20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4474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32A11A12">
            <w:pPr>
              <w:ind w:left="-105" w:right="-105"/>
              <w:jc w:val="center"/>
              <w:textAlignment w:val="center"/>
              <w:rPr>
                <w:color w:val="auto"/>
                <w:sz w:val="21"/>
                <w:szCs w:val="21"/>
                <w:highlight w:val="none"/>
              </w:rPr>
            </w:pPr>
            <w:r>
              <w:rPr>
                <w:rFonts w:hint="eastAsia"/>
                <w:color w:val="auto"/>
                <w:sz w:val="21"/>
                <w:szCs w:val="21"/>
                <w:highlight w:val="none"/>
                <w:lang w:bidi="ar"/>
              </w:rPr>
              <w:t>硝基苯</w:t>
            </w:r>
          </w:p>
        </w:tc>
        <w:tc>
          <w:tcPr>
            <w:tcW w:w="885" w:type="dxa"/>
            <w:tcBorders>
              <w:tl2br w:val="nil"/>
              <w:tr2bl w:val="nil"/>
            </w:tcBorders>
            <w:shd w:val="clear" w:color="auto" w:fill="auto"/>
            <w:vAlign w:val="center"/>
          </w:tcPr>
          <w:p w14:paraId="654DB0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3E5FD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76</w:t>
            </w:r>
          </w:p>
        </w:tc>
        <w:tc>
          <w:tcPr>
            <w:tcW w:w="1236" w:type="dxa"/>
            <w:tcBorders>
              <w:tl2br w:val="nil"/>
              <w:tr2bl w:val="nil"/>
            </w:tcBorders>
            <w:shd w:val="clear" w:color="auto" w:fill="auto"/>
            <w:vAlign w:val="center"/>
          </w:tcPr>
          <w:p w14:paraId="1DF3C4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09A92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EEBAC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A92D1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8D05B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615EC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8E9CE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C1F60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443A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50617AA">
            <w:pPr>
              <w:ind w:left="-105" w:right="-105"/>
              <w:jc w:val="center"/>
              <w:textAlignment w:val="center"/>
              <w:rPr>
                <w:color w:val="auto"/>
                <w:sz w:val="21"/>
                <w:szCs w:val="21"/>
                <w:highlight w:val="none"/>
              </w:rPr>
            </w:pPr>
            <w:r>
              <w:rPr>
                <w:rFonts w:hint="eastAsia"/>
                <w:color w:val="auto"/>
                <w:sz w:val="21"/>
                <w:szCs w:val="21"/>
                <w:highlight w:val="none"/>
                <w:lang w:bidi="ar"/>
              </w:rPr>
              <w:t>萘</w:t>
            </w:r>
          </w:p>
        </w:tc>
        <w:tc>
          <w:tcPr>
            <w:tcW w:w="885" w:type="dxa"/>
            <w:tcBorders>
              <w:tl2br w:val="nil"/>
              <w:tr2bl w:val="nil"/>
            </w:tcBorders>
            <w:shd w:val="clear" w:color="auto" w:fill="auto"/>
            <w:vAlign w:val="center"/>
          </w:tcPr>
          <w:p w14:paraId="2FBBCB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2B602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70</w:t>
            </w:r>
          </w:p>
        </w:tc>
        <w:tc>
          <w:tcPr>
            <w:tcW w:w="1236" w:type="dxa"/>
            <w:tcBorders>
              <w:tl2br w:val="nil"/>
              <w:tr2bl w:val="nil"/>
            </w:tcBorders>
            <w:shd w:val="clear" w:color="auto" w:fill="auto"/>
            <w:vAlign w:val="center"/>
          </w:tcPr>
          <w:p w14:paraId="0C841F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B52BA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559B0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946F6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8A515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32B0D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27608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3AFDB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7CF01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352906B0">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蒽</w:t>
            </w:r>
          </w:p>
        </w:tc>
        <w:tc>
          <w:tcPr>
            <w:tcW w:w="885" w:type="dxa"/>
            <w:tcBorders>
              <w:tl2br w:val="nil"/>
              <w:tr2bl w:val="nil"/>
            </w:tcBorders>
            <w:shd w:val="clear" w:color="auto" w:fill="auto"/>
            <w:vAlign w:val="center"/>
          </w:tcPr>
          <w:p w14:paraId="09174F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43F7A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4B421B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0BF96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77E2E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DB03E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324F2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BD3FC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E485F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B7AB7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00CB3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B7BD267">
            <w:pPr>
              <w:ind w:left="-105" w:right="-105"/>
              <w:jc w:val="center"/>
              <w:textAlignment w:val="center"/>
              <w:rPr>
                <w:color w:val="auto"/>
                <w:sz w:val="21"/>
                <w:szCs w:val="21"/>
                <w:highlight w:val="none"/>
              </w:rPr>
            </w:pPr>
            <w:r>
              <w:rPr>
                <w:rFonts w:hint="eastAsia"/>
                <w:color w:val="auto"/>
                <w:sz w:val="21"/>
                <w:szCs w:val="21"/>
                <w:highlight w:val="none"/>
                <w:lang w:bidi="ar"/>
              </w:rPr>
              <w:t>䓛</w:t>
            </w:r>
          </w:p>
        </w:tc>
        <w:tc>
          <w:tcPr>
            <w:tcW w:w="885" w:type="dxa"/>
            <w:tcBorders>
              <w:tl2br w:val="nil"/>
              <w:tr2bl w:val="nil"/>
            </w:tcBorders>
            <w:shd w:val="clear" w:color="auto" w:fill="auto"/>
            <w:vAlign w:val="center"/>
          </w:tcPr>
          <w:p w14:paraId="3059AF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446DC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1293</w:t>
            </w:r>
          </w:p>
        </w:tc>
        <w:tc>
          <w:tcPr>
            <w:tcW w:w="1236" w:type="dxa"/>
            <w:tcBorders>
              <w:tl2br w:val="nil"/>
              <w:tr2bl w:val="nil"/>
            </w:tcBorders>
            <w:shd w:val="clear" w:color="auto" w:fill="auto"/>
            <w:vAlign w:val="center"/>
          </w:tcPr>
          <w:p w14:paraId="65C7BF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2FC86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CA17C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AB876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3507C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624FE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22ABD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8B925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A32AF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11A9FFAB">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[b]</w:t>
            </w:r>
            <w:r>
              <w:rPr>
                <w:rFonts w:hint="eastAsia"/>
                <w:color w:val="auto"/>
                <w:sz w:val="21"/>
                <w:szCs w:val="21"/>
                <w:highlight w:val="none"/>
                <w:lang w:bidi="ar"/>
              </w:rPr>
              <w:t>荧蒽</w:t>
            </w:r>
          </w:p>
        </w:tc>
        <w:tc>
          <w:tcPr>
            <w:tcW w:w="885" w:type="dxa"/>
            <w:tcBorders>
              <w:tl2br w:val="nil"/>
              <w:tr2bl w:val="nil"/>
            </w:tcBorders>
            <w:shd w:val="clear" w:color="auto" w:fill="auto"/>
            <w:vAlign w:val="center"/>
          </w:tcPr>
          <w:p w14:paraId="07C4A6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82E1EC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27AE91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F1E6F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F88D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D96AD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41921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754FC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76B37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3D265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1941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5F4B5563">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[k]</w:t>
            </w:r>
            <w:r>
              <w:rPr>
                <w:rFonts w:hint="eastAsia"/>
                <w:color w:val="auto"/>
                <w:sz w:val="21"/>
                <w:szCs w:val="21"/>
                <w:highlight w:val="none"/>
                <w:lang w:bidi="ar"/>
              </w:rPr>
              <w:t>荧蒽</w:t>
            </w:r>
          </w:p>
        </w:tc>
        <w:tc>
          <w:tcPr>
            <w:tcW w:w="885" w:type="dxa"/>
            <w:tcBorders>
              <w:tl2br w:val="nil"/>
              <w:tr2bl w:val="nil"/>
            </w:tcBorders>
            <w:shd w:val="clear" w:color="auto" w:fill="auto"/>
            <w:vAlign w:val="center"/>
          </w:tcPr>
          <w:p w14:paraId="0F6AD9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8060C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151</w:t>
            </w:r>
          </w:p>
        </w:tc>
        <w:tc>
          <w:tcPr>
            <w:tcW w:w="1236" w:type="dxa"/>
            <w:tcBorders>
              <w:tl2br w:val="nil"/>
              <w:tr2bl w:val="nil"/>
            </w:tcBorders>
            <w:shd w:val="clear" w:color="auto" w:fill="auto"/>
            <w:vAlign w:val="center"/>
          </w:tcPr>
          <w:p w14:paraId="222F3A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8B687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BD35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7A4EE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18524C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57D7C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4660E1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9EA8B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F0DB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6863F312">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芘</w:t>
            </w:r>
          </w:p>
        </w:tc>
        <w:tc>
          <w:tcPr>
            <w:tcW w:w="885" w:type="dxa"/>
            <w:tcBorders>
              <w:tl2br w:val="nil"/>
              <w:tr2bl w:val="nil"/>
            </w:tcBorders>
            <w:shd w:val="clear" w:color="auto" w:fill="auto"/>
            <w:vAlign w:val="center"/>
          </w:tcPr>
          <w:p w14:paraId="2D1D81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EF671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2D93A4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A1177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064E5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DC28A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69236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2010D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A85ED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A1ABD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DA22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2B0A1A82">
            <w:pPr>
              <w:ind w:left="-105" w:right="-105"/>
              <w:jc w:val="center"/>
              <w:textAlignment w:val="center"/>
              <w:rPr>
                <w:color w:val="auto"/>
                <w:sz w:val="21"/>
                <w:szCs w:val="21"/>
                <w:highlight w:val="none"/>
              </w:rPr>
            </w:pPr>
            <w:r>
              <w:rPr>
                <w:rFonts w:hint="eastAsia"/>
                <w:color w:val="auto"/>
                <w:sz w:val="21"/>
                <w:szCs w:val="21"/>
                <w:highlight w:val="none"/>
                <w:lang w:bidi="ar"/>
              </w:rPr>
              <w:t>茚并</w:t>
            </w:r>
            <w:r>
              <w:rPr>
                <w:rFonts w:ascii="Times New Roman" w:hAnsi="Times New Roman" w:cs="Times New Roman"/>
                <w:color w:val="auto"/>
                <w:sz w:val="21"/>
                <w:szCs w:val="21"/>
                <w:highlight w:val="none"/>
                <w:lang w:bidi="ar"/>
              </w:rPr>
              <w:t>[1,2,3-cd]</w:t>
            </w:r>
            <w:r>
              <w:rPr>
                <w:rFonts w:hint="eastAsia"/>
                <w:color w:val="auto"/>
                <w:sz w:val="21"/>
                <w:szCs w:val="21"/>
                <w:highlight w:val="none"/>
                <w:lang w:bidi="ar"/>
              </w:rPr>
              <w:t>芘</w:t>
            </w:r>
          </w:p>
        </w:tc>
        <w:tc>
          <w:tcPr>
            <w:tcW w:w="885" w:type="dxa"/>
            <w:tcBorders>
              <w:tl2br w:val="nil"/>
              <w:tr2bl w:val="nil"/>
            </w:tcBorders>
            <w:shd w:val="clear" w:color="auto" w:fill="auto"/>
            <w:vAlign w:val="center"/>
          </w:tcPr>
          <w:p w14:paraId="7E215F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D29CA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342CB4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DE479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68E62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0A722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634F3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8A2FD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1CB52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CB8AD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AADBA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77" w:type="dxa"/>
            <w:tcBorders>
              <w:tl2br w:val="nil"/>
              <w:tr2bl w:val="nil"/>
            </w:tcBorders>
            <w:shd w:val="clear" w:color="auto" w:fill="auto"/>
            <w:vAlign w:val="center"/>
          </w:tcPr>
          <w:p w14:paraId="4550C5ED">
            <w:pPr>
              <w:ind w:left="-105" w:right="-105"/>
              <w:jc w:val="center"/>
              <w:textAlignment w:val="center"/>
              <w:rPr>
                <w:color w:val="auto"/>
                <w:sz w:val="21"/>
                <w:szCs w:val="21"/>
                <w:highlight w:val="none"/>
              </w:rPr>
            </w:pPr>
            <w:r>
              <w:rPr>
                <w:rFonts w:hint="eastAsia"/>
                <w:color w:val="auto"/>
                <w:sz w:val="21"/>
                <w:szCs w:val="21"/>
                <w:highlight w:val="none"/>
                <w:lang w:bidi="ar"/>
              </w:rPr>
              <w:t>二苯并</w:t>
            </w:r>
            <w:r>
              <w:rPr>
                <w:rFonts w:ascii="Times New Roman" w:hAnsi="Times New Roman" w:cs="Times New Roman"/>
                <w:color w:val="auto"/>
                <w:sz w:val="21"/>
                <w:szCs w:val="21"/>
                <w:highlight w:val="none"/>
                <w:lang w:bidi="ar"/>
              </w:rPr>
              <w:t>[a,h]</w:t>
            </w:r>
            <w:r>
              <w:rPr>
                <w:rFonts w:hint="eastAsia"/>
                <w:color w:val="auto"/>
                <w:sz w:val="21"/>
                <w:szCs w:val="21"/>
                <w:highlight w:val="none"/>
                <w:lang w:bidi="ar"/>
              </w:rPr>
              <w:t>蒽</w:t>
            </w:r>
          </w:p>
        </w:tc>
        <w:tc>
          <w:tcPr>
            <w:tcW w:w="885" w:type="dxa"/>
            <w:tcBorders>
              <w:tl2br w:val="nil"/>
              <w:tr2bl w:val="nil"/>
            </w:tcBorders>
            <w:shd w:val="clear" w:color="auto" w:fill="auto"/>
            <w:vAlign w:val="center"/>
          </w:tcPr>
          <w:p w14:paraId="3CFFDC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35B5B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1737D5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FD680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889F4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BCA27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B97EE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A2989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0E651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49A79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bl>
    <w:p w14:paraId="0F7466D9">
      <w:pPr>
        <w:pStyle w:val="15"/>
        <w:spacing w:line="360" w:lineRule="auto"/>
        <w:ind w:left="-105" w:right="-105" w:firstLine="482"/>
        <w:rPr>
          <w:rFonts w:eastAsia="宋体" w:cs="Times New Roman"/>
          <w:b w:val="0"/>
          <w:bCs/>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13</w:t>
      </w:r>
      <w:r>
        <w:rPr>
          <w:rFonts w:eastAsia="宋体" w:cs="Times New Roman"/>
          <w:color w:val="auto"/>
          <w:sz w:val="24"/>
          <w:szCs w:val="18"/>
          <w:highlight w:val="none"/>
        </w:rPr>
        <w:fldChar w:fldCharType="end"/>
      </w:r>
      <w:r>
        <w:rPr>
          <w:rFonts w:eastAsia="宋体" w:cs="Times New Roman"/>
          <w:color w:val="auto"/>
          <w:sz w:val="24"/>
          <w:szCs w:val="18"/>
          <w:highlight w:val="none"/>
        </w:rPr>
        <w:t>土壤监测点T</w:t>
      </w:r>
      <w:r>
        <w:rPr>
          <w:rFonts w:hint="eastAsia" w:eastAsia="宋体" w:cs="Times New Roman"/>
          <w:color w:val="auto"/>
          <w:sz w:val="24"/>
          <w:szCs w:val="18"/>
          <w:highlight w:val="none"/>
        </w:rPr>
        <w:t>1-</w:t>
      </w:r>
      <w:r>
        <w:rPr>
          <w:rFonts w:eastAsia="宋体" w:cs="Times New Roman"/>
          <w:color w:val="auto"/>
          <w:sz w:val="24"/>
          <w:szCs w:val="18"/>
          <w:highlight w:val="none"/>
        </w:rPr>
        <w:t>2污染风险筛选结果</w:t>
      </w:r>
    </w:p>
    <w:tbl>
      <w:tblPr>
        <w:tblStyle w:val="45"/>
        <w:tblW w:w="5000" w:type="pct"/>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2"/>
        <w:gridCol w:w="870"/>
        <w:gridCol w:w="900"/>
        <w:gridCol w:w="1236"/>
        <w:gridCol w:w="1236"/>
        <w:gridCol w:w="1236"/>
        <w:gridCol w:w="1236"/>
        <w:gridCol w:w="1236"/>
        <w:gridCol w:w="1236"/>
        <w:gridCol w:w="1236"/>
        <w:gridCol w:w="1238"/>
      </w:tblGrid>
      <w:tr w14:paraId="397588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restart"/>
            <w:tcBorders>
              <w:tl2br w:val="nil"/>
              <w:tr2bl w:val="nil"/>
            </w:tcBorders>
            <w:shd w:val="clear" w:color="auto" w:fill="auto"/>
            <w:vAlign w:val="center"/>
          </w:tcPr>
          <w:p w14:paraId="674964B3">
            <w:pPr>
              <w:ind w:left="-105" w:right="-105"/>
              <w:jc w:val="center"/>
              <w:textAlignment w:val="center"/>
              <w:rPr>
                <w:b/>
                <w:bCs/>
                <w:color w:val="auto"/>
                <w:sz w:val="21"/>
                <w:szCs w:val="21"/>
                <w:highlight w:val="none"/>
              </w:rPr>
            </w:pPr>
            <w:r>
              <w:rPr>
                <w:rFonts w:hint="eastAsia"/>
                <w:b/>
                <w:bCs/>
                <w:color w:val="auto"/>
                <w:sz w:val="21"/>
                <w:szCs w:val="21"/>
                <w:highlight w:val="none"/>
                <w:lang w:bidi="ar"/>
              </w:rPr>
              <w:t>检测项目</w:t>
            </w:r>
          </w:p>
        </w:tc>
        <w:tc>
          <w:tcPr>
            <w:tcW w:w="870" w:type="dxa"/>
            <w:vMerge w:val="restart"/>
            <w:tcBorders>
              <w:tl2br w:val="nil"/>
              <w:tr2bl w:val="nil"/>
            </w:tcBorders>
            <w:shd w:val="clear" w:color="auto" w:fill="auto"/>
            <w:vAlign w:val="center"/>
          </w:tcPr>
          <w:p w14:paraId="428FBE32">
            <w:pPr>
              <w:ind w:left="-105" w:right="-105"/>
              <w:jc w:val="center"/>
              <w:textAlignment w:val="center"/>
              <w:rPr>
                <w:b/>
                <w:bCs/>
                <w:color w:val="auto"/>
                <w:sz w:val="21"/>
                <w:szCs w:val="21"/>
                <w:highlight w:val="none"/>
              </w:rPr>
            </w:pPr>
            <w:r>
              <w:rPr>
                <w:rFonts w:hint="eastAsia"/>
                <w:b/>
                <w:bCs/>
                <w:color w:val="auto"/>
                <w:sz w:val="21"/>
                <w:szCs w:val="21"/>
                <w:highlight w:val="none"/>
                <w:lang w:bidi="ar"/>
              </w:rPr>
              <w:t>单位</w:t>
            </w:r>
          </w:p>
        </w:tc>
        <w:tc>
          <w:tcPr>
            <w:tcW w:w="900" w:type="dxa"/>
            <w:vMerge w:val="restart"/>
            <w:tcBorders>
              <w:tl2br w:val="nil"/>
              <w:tr2bl w:val="nil"/>
            </w:tcBorders>
            <w:shd w:val="clear" w:color="auto" w:fill="auto"/>
            <w:vAlign w:val="center"/>
          </w:tcPr>
          <w:p w14:paraId="4B7051DF">
            <w:pPr>
              <w:ind w:left="-105" w:right="-105"/>
              <w:jc w:val="center"/>
              <w:textAlignment w:val="center"/>
              <w:rPr>
                <w:b/>
                <w:bCs/>
                <w:color w:val="auto"/>
                <w:sz w:val="21"/>
                <w:szCs w:val="21"/>
                <w:highlight w:val="none"/>
              </w:rPr>
            </w:pPr>
            <w:r>
              <w:rPr>
                <w:rFonts w:hint="eastAsia"/>
                <w:b/>
                <w:bCs/>
                <w:color w:val="auto"/>
                <w:sz w:val="21"/>
                <w:szCs w:val="21"/>
                <w:highlight w:val="none"/>
                <w:lang w:bidi="ar"/>
              </w:rPr>
              <w:t>筛选值</w:t>
            </w:r>
          </w:p>
        </w:tc>
        <w:tc>
          <w:tcPr>
            <w:tcW w:w="9890" w:type="dxa"/>
            <w:gridSpan w:val="8"/>
            <w:tcBorders>
              <w:tl2br w:val="nil"/>
              <w:tr2bl w:val="nil"/>
            </w:tcBorders>
            <w:shd w:val="clear" w:color="auto" w:fill="auto"/>
            <w:vAlign w:val="center"/>
          </w:tcPr>
          <w:p w14:paraId="37B56BAC">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T1-2</w:t>
            </w:r>
          </w:p>
        </w:tc>
      </w:tr>
      <w:tr w14:paraId="1AF93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7EAE3463">
            <w:pPr>
              <w:ind w:left="-105" w:right="-105"/>
              <w:jc w:val="center"/>
              <w:rPr>
                <w:b/>
                <w:bCs/>
                <w:color w:val="auto"/>
                <w:sz w:val="21"/>
                <w:szCs w:val="21"/>
                <w:highlight w:val="none"/>
              </w:rPr>
            </w:pPr>
          </w:p>
        </w:tc>
        <w:tc>
          <w:tcPr>
            <w:tcW w:w="870" w:type="dxa"/>
            <w:vMerge w:val="continue"/>
            <w:tcBorders>
              <w:tl2br w:val="nil"/>
              <w:tr2bl w:val="nil"/>
            </w:tcBorders>
            <w:shd w:val="clear" w:color="auto" w:fill="auto"/>
            <w:vAlign w:val="center"/>
          </w:tcPr>
          <w:p w14:paraId="28E09C39">
            <w:pPr>
              <w:ind w:left="-105" w:right="-105"/>
              <w:jc w:val="center"/>
              <w:rPr>
                <w:b/>
                <w:bCs/>
                <w:color w:val="auto"/>
                <w:sz w:val="21"/>
                <w:szCs w:val="21"/>
                <w:highlight w:val="none"/>
              </w:rPr>
            </w:pPr>
          </w:p>
        </w:tc>
        <w:tc>
          <w:tcPr>
            <w:tcW w:w="900" w:type="dxa"/>
            <w:vMerge w:val="continue"/>
            <w:tcBorders>
              <w:tl2br w:val="nil"/>
              <w:tr2bl w:val="nil"/>
            </w:tcBorders>
            <w:shd w:val="clear" w:color="auto" w:fill="auto"/>
            <w:vAlign w:val="center"/>
          </w:tcPr>
          <w:p w14:paraId="4C79C07F">
            <w:pPr>
              <w:ind w:left="-105" w:right="-105"/>
              <w:jc w:val="center"/>
              <w:rPr>
                <w:b/>
                <w:bCs/>
                <w:color w:val="auto"/>
                <w:sz w:val="21"/>
                <w:szCs w:val="21"/>
                <w:highlight w:val="none"/>
              </w:rPr>
            </w:pPr>
          </w:p>
        </w:tc>
        <w:tc>
          <w:tcPr>
            <w:tcW w:w="2472" w:type="dxa"/>
            <w:gridSpan w:val="2"/>
            <w:tcBorders>
              <w:tl2br w:val="nil"/>
              <w:tr2bl w:val="nil"/>
            </w:tcBorders>
            <w:shd w:val="clear" w:color="auto" w:fill="auto"/>
            <w:vAlign w:val="center"/>
          </w:tcPr>
          <w:p w14:paraId="4BD260F3">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c>
          <w:tcPr>
            <w:tcW w:w="2472" w:type="dxa"/>
            <w:gridSpan w:val="2"/>
            <w:tcBorders>
              <w:tl2br w:val="nil"/>
              <w:tr2bl w:val="nil"/>
            </w:tcBorders>
            <w:shd w:val="clear" w:color="auto" w:fill="auto"/>
            <w:vAlign w:val="center"/>
          </w:tcPr>
          <w:p w14:paraId="7550941E">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0.3-0.5m</w:t>
            </w:r>
          </w:p>
        </w:tc>
        <w:tc>
          <w:tcPr>
            <w:tcW w:w="2472" w:type="dxa"/>
            <w:gridSpan w:val="2"/>
            <w:tcBorders>
              <w:tl2br w:val="nil"/>
              <w:tr2bl w:val="nil"/>
            </w:tcBorders>
            <w:shd w:val="clear" w:color="auto" w:fill="auto"/>
            <w:vAlign w:val="center"/>
          </w:tcPr>
          <w:p w14:paraId="1B2B793E">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0.8-1.0m</w:t>
            </w:r>
          </w:p>
        </w:tc>
        <w:tc>
          <w:tcPr>
            <w:tcW w:w="2474" w:type="dxa"/>
            <w:gridSpan w:val="2"/>
            <w:tcBorders>
              <w:tl2br w:val="nil"/>
              <w:tr2bl w:val="nil"/>
            </w:tcBorders>
            <w:shd w:val="clear" w:color="auto" w:fill="auto"/>
            <w:vAlign w:val="center"/>
          </w:tcPr>
          <w:p w14:paraId="4A23CA7E">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1.8-2.0m</w:t>
            </w:r>
          </w:p>
        </w:tc>
      </w:tr>
      <w:tr w14:paraId="5764B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6799B8AC">
            <w:pPr>
              <w:ind w:left="-105" w:right="-105"/>
              <w:jc w:val="center"/>
              <w:rPr>
                <w:b/>
                <w:bCs/>
                <w:color w:val="auto"/>
                <w:sz w:val="21"/>
                <w:szCs w:val="21"/>
                <w:highlight w:val="none"/>
              </w:rPr>
            </w:pPr>
          </w:p>
        </w:tc>
        <w:tc>
          <w:tcPr>
            <w:tcW w:w="870" w:type="dxa"/>
            <w:vMerge w:val="continue"/>
            <w:tcBorders>
              <w:tl2br w:val="nil"/>
              <w:tr2bl w:val="nil"/>
            </w:tcBorders>
            <w:shd w:val="clear" w:color="auto" w:fill="auto"/>
            <w:vAlign w:val="center"/>
          </w:tcPr>
          <w:p w14:paraId="6D74F129">
            <w:pPr>
              <w:ind w:left="-105" w:right="-105"/>
              <w:jc w:val="center"/>
              <w:rPr>
                <w:b/>
                <w:bCs/>
                <w:color w:val="auto"/>
                <w:sz w:val="21"/>
                <w:szCs w:val="21"/>
                <w:highlight w:val="none"/>
              </w:rPr>
            </w:pPr>
          </w:p>
        </w:tc>
        <w:tc>
          <w:tcPr>
            <w:tcW w:w="900" w:type="dxa"/>
            <w:vMerge w:val="continue"/>
            <w:tcBorders>
              <w:tl2br w:val="nil"/>
              <w:tr2bl w:val="nil"/>
            </w:tcBorders>
            <w:shd w:val="clear" w:color="auto" w:fill="auto"/>
            <w:vAlign w:val="center"/>
          </w:tcPr>
          <w:p w14:paraId="459EF5ED">
            <w:pPr>
              <w:ind w:left="-105" w:right="-105"/>
              <w:jc w:val="center"/>
              <w:rPr>
                <w:b/>
                <w:bCs/>
                <w:color w:val="auto"/>
                <w:sz w:val="21"/>
                <w:szCs w:val="21"/>
                <w:highlight w:val="none"/>
              </w:rPr>
            </w:pPr>
          </w:p>
        </w:tc>
        <w:tc>
          <w:tcPr>
            <w:tcW w:w="1236" w:type="dxa"/>
            <w:tcBorders>
              <w:tl2br w:val="nil"/>
              <w:tr2bl w:val="nil"/>
            </w:tcBorders>
            <w:shd w:val="clear" w:color="auto" w:fill="auto"/>
            <w:vAlign w:val="center"/>
          </w:tcPr>
          <w:p w14:paraId="04B53489">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343D15D4">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513BCBA5">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43E56ADC">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746992A2">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6" w:type="dxa"/>
            <w:tcBorders>
              <w:tl2br w:val="nil"/>
              <w:tr2bl w:val="nil"/>
            </w:tcBorders>
            <w:shd w:val="clear" w:color="auto" w:fill="auto"/>
            <w:vAlign w:val="center"/>
          </w:tcPr>
          <w:p w14:paraId="7E1989C5">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6" w:type="dxa"/>
            <w:tcBorders>
              <w:tl2br w:val="nil"/>
              <w:tr2bl w:val="nil"/>
            </w:tcBorders>
            <w:shd w:val="clear" w:color="auto" w:fill="auto"/>
            <w:vAlign w:val="center"/>
          </w:tcPr>
          <w:p w14:paraId="294BADBE">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8" w:type="dxa"/>
            <w:tcBorders>
              <w:tl2br w:val="nil"/>
              <w:tr2bl w:val="nil"/>
            </w:tcBorders>
            <w:shd w:val="clear" w:color="auto" w:fill="auto"/>
            <w:vAlign w:val="center"/>
          </w:tcPr>
          <w:p w14:paraId="11979197">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r>
      <w:tr w14:paraId="72FE9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51B33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pH</w:t>
            </w:r>
          </w:p>
        </w:tc>
        <w:tc>
          <w:tcPr>
            <w:tcW w:w="870" w:type="dxa"/>
            <w:tcBorders>
              <w:tl2br w:val="nil"/>
              <w:tr2bl w:val="nil"/>
            </w:tcBorders>
            <w:shd w:val="clear" w:color="auto" w:fill="auto"/>
            <w:vAlign w:val="center"/>
          </w:tcPr>
          <w:p w14:paraId="5C09A7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900" w:type="dxa"/>
            <w:tcBorders>
              <w:tl2br w:val="nil"/>
              <w:tr2bl w:val="nil"/>
            </w:tcBorders>
            <w:shd w:val="clear" w:color="auto" w:fill="auto"/>
            <w:vAlign w:val="center"/>
          </w:tcPr>
          <w:p w14:paraId="07DAA4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0D3A8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6.74</w:t>
            </w:r>
          </w:p>
        </w:tc>
        <w:tc>
          <w:tcPr>
            <w:tcW w:w="1236" w:type="dxa"/>
            <w:tcBorders>
              <w:tl2br w:val="nil"/>
              <w:tr2bl w:val="nil"/>
            </w:tcBorders>
            <w:shd w:val="clear" w:color="auto" w:fill="auto"/>
            <w:vAlign w:val="center"/>
          </w:tcPr>
          <w:p w14:paraId="48DC2F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960981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6.76</w:t>
            </w:r>
          </w:p>
        </w:tc>
        <w:tc>
          <w:tcPr>
            <w:tcW w:w="1236" w:type="dxa"/>
            <w:tcBorders>
              <w:tl2br w:val="nil"/>
              <w:tr2bl w:val="nil"/>
            </w:tcBorders>
            <w:shd w:val="clear" w:color="auto" w:fill="auto"/>
            <w:vAlign w:val="center"/>
          </w:tcPr>
          <w:p w14:paraId="3DEB3C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093E5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6.83</w:t>
            </w:r>
          </w:p>
        </w:tc>
        <w:tc>
          <w:tcPr>
            <w:tcW w:w="1236" w:type="dxa"/>
            <w:tcBorders>
              <w:tl2br w:val="nil"/>
              <w:tr2bl w:val="nil"/>
            </w:tcBorders>
            <w:shd w:val="clear" w:color="auto" w:fill="auto"/>
            <w:vAlign w:val="center"/>
          </w:tcPr>
          <w:p w14:paraId="5C227F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3927F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6.87</w:t>
            </w:r>
          </w:p>
        </w:tc>
        <w:tc>
          <w:tcPr>
            <w:tcW w:w="1238" w:type="dxa"/>
            <w:tcBorders>
              <w:tl2br w:val="nil"/>
              <w:tr2bl w:val="nil"/>
            </w:tcBorders>
            <w:shd w:val="clear" w:color="auto" w:fill="auto"/>
            <w:vAlign w:val="center"/>
          </w:tcPr>
          <w:p w14:paraId="7FA576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EF416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E2D1A31">
            <w:pPr>
              <w:ind w:left="-105" w:right="-105"/>
              <w:jc w:val="center"/>
              <w:textAlignment w:val="center"/>
              <w:rPr>
                <w:color w:val="auto"/>
                <w:sz w:val="21"/>
                <w:szCs w:val="21"/>
                <w:highlight w:val="none"/>
              </w:rPr>
            </w:pPr>
            <w:r>
              <w:rPr>
                <w:rFonts w:hint="eastAsia"/>
                <w:color w:val="auto"/>
                <w:sz w:val="21"/>
                <w:szCs w:val="21"/>
                <w:highlight w:val="none"/>
                <w:lang w:bidi="ar"/>
              </w:rPr>
              <w:t>汞</w:t>
            </w:r>
          </w:p>
        </w:tc>
        <w:tc>
          <w:tcPr>
            <w:tcW w:w="870" w:type="dxa"/>
            <w:tcBorders>
              <w:tl2br w:val="nil"/>
              <w:tr2bl w:val="nil"/>
            </w:tcBorders>
            <w:shd w:val="clear" w:color="auto" w:fill="auto"/>
            <w:vAlign w:val="center"/>
          </w:tcPr>
          <w:p w14:paraId="58F3BE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EBABC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38</w:t>
            </w:r>
          </w:p>
        </w:tc>
        <w:tc>
          <w:tcPr>
            <w:tcW w:w="1236" w:type="dxa"/>
            <w:tcBorders>
              <w:tl2br w:val="nil"/>
              <w:tr2bl w:val="nil"/>
            </w:tcBorders>
            <w:shd w:val="clear" w:color="auto" w:fill="auto"/>
            <w:vAlign w:val="center"/>
          </w:tcPr>
          <w:p w14:paraId="1643B9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0.02</w:t>
            </w:r>
          </w:p>
        </w:tc>
        <w:tc>
          <w:tcPr>
            <w:tcW w:w="1236" w:type="dxa"/>
            <w:tcBorders>
              <w:tl2br w:val="nil"/>
              <w:tr2bl w:val="nil"/>
            </w:tcBorders>
            <w:shd w:val="clear" w:color="auto" w:fill="auto"/>
            <w:vAlign w:val="center"/>
          </w:tcPr>
          <w:p w14:paraId="3679C9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0.0005 </w:t>
            </w:r>
          </w:p>
        </w:tc>
        <w:tc>
          <w:tcPr>
            <w:tcW w:w="1236" w:type="dxa"/>
            <w:tcBorders>
              <w:tl2br w:val="nil"/>
              <w:tr2bl w:val="nil"/>
            </w:tcBorders>
            <w:shd w:val="clear" w:color="auto" w:fill="auto"/>
            <w:vAlign w:val="center"/>
          </w:tcPr>
          <w:p w14:paraId="4775DA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0.17</w:t>
            </w:r>
          </w:p>
        </w:tc>
        <w:tc>
          <w:tcPr>
            <w:tcW w:w="1236" w:type="dxa"/>
            <w:tcBorders>
              <w:tl2br w:val="nil"/>
              <w:tr2bl w:val="nil"/>
            </w:tcBorders>
            <w:shd w:val="clear" w:color="auto" w:fill="auto"/>
            <w:vAlign w:val="center"/>
          </w:tcPr>
          <w:p w14:paraId="0FA4A6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0.0045 </w:t>
            </w:r>
          </w:p>
        </w:tc>
        <w:tc>
          <w:tcPr>
            <w:tcW w:w="1236" w:type="dxa"/>
            <w:tcBorders>
              <w:tl2br w:val="nil"/>
              <w:tr2bl w:val="nil"/>
            </w:tcBorders>
            <w:shd w:val="clear" w:color="auto" w:fill="auto"/>
            <w:vAlign w:val="center"/>
          </w:tcPr>
          <w:p w14:paraId="0AEB53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0.03</w:t>
            </w:r>
          </w:p>
        </w:tc>
        <w:tc>
          <w:tcPr>
            <w:tcW w:w="1236" w:type="dxa"/>
            <w:tcBorders>
              <w:tl2br w:val="nil"/>
              <w:tr2bl w:val="nil"/>
            </w:tcBorders>
            <w:shd w:val="clear" w:color="auto" w:fill="auto"/>
            <w:vAlign w:val="center"/>
          </w:tcPr>
          <w:p w14:paraId="0083CC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0.0008 </w:t>
            </w:r>
          </w:p>
        </w:tc>
        <w:tc>
          <w:tcPr>
            <w:tcW w:w="1236" w:type="dxa"/>
            <w:tcBorders>
              <w:tl2br w:val="nil"/>
              <w:tr2bl w:val="nil"/>
            </w:tcBorders>
            <w:shd w:val="clear" w:color="auto" w:fill="auto"/>
            <w:vAlign w:val="center"/>
          </w:tcPr>
          <w:p w14:paraId="0765F65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0.14</w:t>
            </w:r>
          </w:p>
        </w:tc>
        <w:tc>
          <w:tcPr>
            <w:tcW w:w="1238" w:type="dxa"/>
            <w:tcBorders>
              <w:tl2br w:val="nil"/>
              <w:tr2bl w:val="nil"/>
            </w:tcBorders>
            <w:shd w:val="clear" w:color="auto" w:fill="auto"/>
            <w:vAlign w:val="center"/>
          </w:tcPr>
          <w:p w14:paraId="6CA106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0.0037 </w:t>
            </w:r>
          </w:p>
        </w:tc>
      </w:tr>
      <w:tr w14:paraId="4EF895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6E4C362">
            <w:pPr>
              <w:ind w:left="-105" w:right="-105"/>
              <w:jc w:val="center"/>
              <w:textAlignment w:val="center"/>
              <w:rPr>
                <w:color w:val="auto"/>
                <w:sz w:val="21"/>
                <w:szCs w:val="21"/>
                <w:highlight w:val="none"/>
              </w:rPr>
            </w:pPr>
            <w:r>
              <w:rPr>
                <w:rFonts w:hint="eastAsia"/>
                <w:color w:val="auto"/>
                <w:sz w:val="21"/>
                <w:szCs w:val="21"/>
                <w:highlight w:val="none"/>
                <w:lang w:bidi="ar"/>
              </w:rPr>
              <w:t>砷</w:t>
            </w:r>
          </w:p>
        </w:tc>
        <w:tc>
          <w:tcPr>
            <w:tcW w:w="870" w:type="dxa"/>
            <w:tcBorders>
              <w:tl2br w:val="nil"/>
              <w:tr2bl w:val="nil"/>
            </w:tcBorders>
            <w:shd w:val="clear" w:color="auto" w:fill="auto"/>
            <w:vAlign w:val="center"/>
          </w:tcPr>
          <w:p w14:paraId="3CF293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C70A20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60</w:t>
            </w:r>
          </w:p>
        </w:tc>
        <w:tc>
          <w:tcPr>
            <w:tcW w:w="1236" w:type="dxa"/>
            <w:tcBorders>
              <w:tl2br w:val="nil"/>
              <w:tr2bl w:val="nil"/>
            </w:tcBorders>
            <w:shd w:val="clear" w:color="auto" w:fill="auto"/>
            <w:vAlign w:val="center"/>
          </w:tcPr>
          <w:p w14:paraId="4DE43D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14.7</w:t>
            </w:r>
          </w:p>
        </w:tc>
        <w:tc>
          <w:tcPr>
            <w:tcW w:w="1236" w:type="dxa"/>
            <w:tcBorders>
              <w:tl2br w:val="nil"/>
              <w:tr2bl w:val="nil"/>
            </w:tcBorders>
            <w:shd w:val="clear" w:color="auto" w:fill="auto"/>
            <w:vAlign w:val="center"/>
          </w:tcPr>
          <w:p w14:paraId="259535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0.2450 </w:t>
            </w:r>
          </w:p>
        </w:tc>
        <w:tc>
          <w:tcPr>
            <w:tcW w:w="1236" w:type="dxa"/>
            <w:tcBorders>
              <w:tl2br w:val="nil"/>
              <w:tr2bl w:val="nil"/>
            </w:tcBorders>
            <w:shd w:val="clear" w:color="auto" w:fill="auto"/>
            <w:vAlign w:val="center"/>
          </w:tcPr>
          <w:p w14:paraId="20DE19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9.61</w:t>
            </w:r>
          </w:p>
        </w:tc>
        <w:tc>
          <w:tcPr>
            <w:tcW w:w="1236" w:type="dxa"/>
            <w:tcBorders>
              <w:tl2br w:val="nil"/>
              <w:tr2bl w:val="nil"/>
            </w:tcBorders>
            <w:shd w:val="clear" w:color="auto" w:fill="auto"/>
            <w:vAlign w:val="center"/>
          </w:tcPr>
          <w:p w14:paraId="544C68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0.1602 </w:t>
            </w:r>
          </w:p>
        </w:tc>
        <w:tc>
          <w:tcPr>
            <w:tcW w:w="1236" w:type="dxa"/>
            <w:tcBorders>
              <w:tl2br w:val="nil"/>
              <w:tr2bl w:val="nil"/>
            </w:tcBorders>
            <w:shd w:val="clear" w:color="auto" w:fill="auto"/>
            <w:vAlign w:val="center"/>
          </w:tcPr>
          <w:p w14:paraId="2721E8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14.8</w:t>
            </w:r>
          </w:p>
        </w:tc>
        <w:tc>
          <w:tcPr>
            <w:tcW w:w="1236" w:type="dxa"/>
            <w:tcBorders>
              <w:tl2br w:val="nil"/>
              <w:tr2bl w:val="nil"/>
            </w:tcBorders>
            <w:shd w:val="clear" w:color="auto" w:fill="auto"/>
            <w:vAlign w:val="center"/>
          </w:tcPr>
          <w:p w14:paraId="15E119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0.2467 </w:t>
            </w:r>
          </w:p>
        </w:tc>
        <w:tc>
          <w:tcPr>
            <w:tcW w:w="1236" w:type="dxa"/>
            <w:tcBorders>
              <w:tl2br w:val="nil"/>
              <w:tr2bl w:val="nil"/>
            </w:tcBorders>
            <w:shd w:val="clear" w:color="auto" w:fill="auto"/>
            <w:vAlign w:val="center"/>
          </w:tcPr>
          <w:p w14:paraId="1757D2A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p>
        </w:tc>
        <w:tc>
          <w:tcPr>
            <w:tcW w:w="1238" w:type="dxa"/>
            <w:tcBorders>
              <w:tl2br w:val="nil"/>
              <w:tr2bl w:val="nil"/>
            </w:tcBorders>
            <w:shd w:val="clear" w:color="auto" w:fill="auto"/>
            <w:vAlign w:val="center"/>
          </w:tcPr>
          <w:p w14:paraId="4115BC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0.2000 </w:t>
            </w:r>
          </w:p>
        </w:tc>
      </w:tr>
      <w:tr w14:paraId="1379A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FE2510C">
            <w:pPr>
              <w:ind w:left="-105" w:right="-105"/>
              <w:jc w:val="center"/>
              <w:textAlignment w:val="center"/>
              <w:rPr>
                <w:color w:val="auto"/>
                <w:sz w:val="21"/>
                <w:szCs w:val="21"/>
                <w:highlight w:val="none"/>
              </w:rPr>
            </w:pPr>
            <w:r>
              <w:rPr>
                <w:rFonts w:hint="eastAsia"/>
                <w:color w:val="auto"/>
                <w:sz w:val="21"/>
                <w:szCs w:val="21"/>
                <w:highlight w:val="none"/>
                <w:lang w:bidi="ar"/>
              </w:rPr>
              <w:t>镉</w:t>
            </w:r>
          </w:p>
        </w:tc>
        <w:tc>
          <w:tcPr>
            <w:tcW w:w="870" w:type="dxa"/>
            <w:tcBorders>
              <w:tl2br w:val="nil"/>
              <w:tr2bl w:val="nil"/>
            </w:tcBorders>
            <w:shd w:val="clear" w:color="auto" w:fill="auto"/>
            <w:vAlign w:val="center"/>
          </w:tcPr>
          <w:p w14:paraId="681BE1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A36A8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65</w:t>
            </w:r>
          </w:p>
        </w:tc>
        <w:tc>
          <w:tcPr>
            <w:tcW w:w="1236" w:type="dxa"/>
            <w:tcBorders>
              <w:tl2br w:val="nil"/>
              <w:tr2bl w:val="nil"/>
            </w:tcBorders>
            <w:shd w:val="clear" w:color="auto" w:fill="auto"/>
            <w:vAlign w:val="center"/>
          </w:tcPr>
          <w:p w14:paraId="324A7B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236" w:type="dxa"/>
            <w:tcBorders>
              <w:tl2br w:val="nil"/>
              <w:tr2bl w:val="nil"/>
            </w:tcBorders>
            <w:shd w:val="clear" w:color="auto" w:fill="auto"/>
            <w:vAlign w:val="center"/>
          </w:tcPr>
          <w:p w14:paraId="766C1D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0.0031 </w:t>
            </w:r>
          </w:p>
        </w:tc>
        <w:tc>
          <w:tcPr>
            <w:tcW w:w="1236" w:type="dxa"/>
            <w:tcBorders>
              <w:tl2br w:val="nil"/>
              <w:tr2bl w:val="nil"/>
            </w:tcBorders>
            <w:shd w:val="clear" w:color="auto" w:fill="auto"/>
            <w:vAlign w:val="center"/>
          </w:tcPr>
          <w:p w14:paraId="7F98F9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0.15</w:t>
            </w:r>
          </w:p>
        </w:tc>
        <w:tc>
          <w:tcPr>
            <w:tcW w:w="1236" w:type="dxa"/>
            <w:tcBorders>
              <w:tl2br w:val="nil"/>
              <w:tr2bl w:val="nil"/>
            </w:tcBorders>
            <w:shd w:val="clear" w:color="auto" w:fill="auto"/>
            <w:vAlign w:val="center"/>
          </w:tcPr>
          <w:p w14:paraId="56879C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0.0023 </w:t>
            </w:r>
          </w:p>
        </w:tc>
        <w:tc>
          <w:tcPr>
            <w:tcW w:w="1236" w:type="dxa"/>
            <w:tcBorders>
              <w:tl2br w:val="nil"/>
              <w:tr2bl w:val="nil"/>
            </w:tcBorders>
            <w:shd w:val="clear" w:color="auto" w:fill="auto"/>
            <w:vAlign w:val="center"/>
          </w:tcPr>
          <w:p w14:paraId="7A908B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0.16</w:t>
            </w:r>
          </w:p>
        </w:tc>
        <w:tc>
          <w:tcPr>
            <w:tcW w:w="1236" w:type="dxa"/>
            <w:tcBorders>
              <w:tl2br w:val="nil"/>
              <w:tr2bl w:val="nil"/>
            </w:tcBorders>
            <w:shd w:val="clear" w:color="auto" w:fill="auto"/>
            <w:vAlign w:val="center"/>
          </w:tcPr>
          <w:p w14:paraId="364AD1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0.0025 </w:t>
            </w:r>
          </w:p>
        </w:tc>
        <w:tc>
          <w:tcPr>
            <w:tcW w:w="1236" w:type="dxa"/>
            <w:tcBorders>
              <w:tl2br w:val="nil"/>
              <w:tr2bl w:val="nil"/>
            </w:tcBorders>
            <w:shd w:val="clear" w:color="auto" w:fill="auto"/>
            <w:vAlign w:val="center"/>
          </w:tcPr>
          <w:p w14:paraId="38A882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0.23</w:t>
            </w:r>
          </w:p>
        </w:tc>
        <w:tc>
          <w:tcPr>
            <w:tcW w:w="1238" w:type="dxa"/>
            <w:tcBorders>
              <w:tl2br w:val="nil"/>
              <w:tr2bl w:val="nil"/>
            </w:tcBorders>
            <w:shd w:val="clear" w:color="auto" w:fill="auto"/>
            <w:vAlign w:val="center"/>
          </w:tcPr>
          <w:p w14:paraId="4FBADB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0.0035 </w:t>
            </w:r>
          </w:p>
        </w:tc>
      </w:tr>
      <w:tr w14:paraId="5C55F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0F7D2C3">
            <w:pPr>
              <w:ind w:left="-105" w:right="-105"/>
              <w:jc w:val="center"/>
              <w:textAlignment w:val="center"/>
              <w:rPr>
                <w:color w:val="auto"/>
                <w:sz w:val="21"/>
                <w:szCs w:val="21"/>
                <w:highlight w:val="none"/>
              </w:rPr>
            </w:pPr>
            <w:r>
              <w:rPr>
                <w:rFonts w:hint="eastAsia"/>
                <w:color w:val="auto"/>
                <w:sz w:val="21"/>
                <w:szCs w:val="21"/>
                <w:highlight w:val="none"/>
                <w:lang w:bidi="ar"/>
              </w:rPr>
              <w:t>铜</w:t>
            </w:r>
          </w:p>
        </w:tc>
        <w:tc>
          <w:tcPr>
            <w:tcW w:w="870" w:type="dxa"/>
            <w:tcBorders>
              <w:tl2br w:val="nil"/>
              <w:tr2bl w:val="nil"/>
            </w:tcBorders>
            <w:shd w:val="clear" w:color="auto" w:fill="auto"/>
            <w:vAlign w:val="center"/>
          </w:tcPr>
          <w:p w14:paraId="7E1801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C9A33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18000</w:t>
            </w:r>
          </w:p>
        </w:tc>
        <w:tc>
          <w:tcPr>
            <w:tcW w:w="1236" w:type="dxa"/>
            <w:tcBorders>
              <w:tl2br w:val="nil"/>
              <w:tr2bl w:val="nil"/>
            </w:tcBorders>
            <w:shd w:val="clear" w:color="auto" w:fill="auto"/>
            <w:vAlign w:val="center"/>
          </w:tcPr>
          <w:p w14:paraId="46DF64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236" w:type="dxa"/>
            <w:tcBorders>
              <w:tl2br w:val="nil"/>
              <w:tr2bl w:val="nil"/>
            </w:tcBorders>
            <w:shd w:val="clear" w:color="auto" w:fill="auto"/>
            <w:vAlign w:val="center"/>
          </w:tcPr>
          <w:p w14:paraId="269177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0.0015 </w:t>
            </w:r>
          </w:p>
        </w:tc>
        <w:tc>
          <w:tcPr>
            <w:tcW w:w="1236" w:type="dxa"/>
            <w:tcBorders>
              <w:tl2br w:val="nil"/>
              <w:tr2bl w:val="nil"/>
            </w:tcBorders>
            <w:shd w:val="clear" w:color="auto" w:fill="auto"/>
            <w:vAlign w:val="center"/>
          </w:tcPr>
          <w:p w14:paraId="549F53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w:t>
            </w:r>
          </w:p>
        </w:tc>
        <w:tc>
          <w:tcPr>
            <w:tcW w:w="1236" w:type="dxa"/>
            <w:tcBorders>
              <w:tl2br w:val="nil"/>
              <w:tr2bl w:val="nil"/>
            </w:tcBorders>
            <w:shd w:val="clear" w:color="auto" w:fill="auto"/>
            <w:vAlign w:val="center"/>
          </w:tcPr>
          <w:p w14:paraId="7270A9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0.0013 </w:t>
            </w:r>
          </w:p>
        </w:tc>
        <w:tc>
          <w:tcPr>
            <w:tcW w:w="1236" w:type="dxa"/>
            <w:tcBorders>
              <w:tl2br w:val="nil"/>
              <w:tr2bl w:val="nil"/>
            </w:tcBorders>
            <w:shd w:val="clear" w:color="auto" w:fill="auto"/>
            <w:vAlign w:val="center"/>
          </w:tcPr>
          <w:p w14:paraId="512A30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236" w:type="dxa"/>
            <w:tcBorders>
              <w:tl2br w:val="nil"/>
              <w:tr2bl w:val="nil"/>
            </w:tcBorders>
            <w:shd w:val="clear" w:color="auto" w:fill="auto"/>
            <w:vAlign w:val="center"/>
          </w:tcPr>
          <w:p w14:paraId="7ABF30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0.0015 </w:t>
            </w:r>
          </w:p>
        </w:tc>
        <w:tc>
          <w:tcPr>
            <w:tcW w:w="1236" w:type="dxa"/>
            <w:tcBorders>
              <w:tl2br w:val="nil"/>
              <w:tr2bl w:val="nil"/>
            </w:tcBorders>
            <w:shd w:val="clear" w:color="auto" w:fill="auto"/>
            <w:vAlign w:val="center"/>
          </w:tcPr>
          <w:p w14:paraId="6F0BBF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30</w:t>
            </w:r>
          </w:p>
        </w:tc>
        <w:tc>
          <w:tcPr>
            <w:tcW w:w="1238" w:type="dxa"/>
            <w:tcBorders>
              <w:tl2br w:val="nil"/>
              <w:tr2bl w:val="nil"/>
            </w:tcBorders>
            <w:shd w:val="clear" w:color="auto" w:fill="auto"/>
            <w:vAlign w:val="center"/>
          </w:tcPr>
          <w:p w14:paraId="15DCD3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0.0017 </w:t>
            </w:r>
          </w:p>
        </w:tc>
      </w:tr>
      <w:tr w14:paraId="3C4A4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CB5DC4E">
            <w:pPr>
              <w:ind w:left="-105" w:right="-105"/>
              <w:jc w:val="center"/>
              <w:textAlignment w:val="center"/>
              <w:rPr>
                <w:color w:val="auto"/>
                <w:sz w:val="21"/>
                <w:szCs w:val="21"/>
                <w:highlight w:val="none"/>
              </w:rPr>
            </w:pPr>
            <w:r>
              <w:rPr>
                <w:rFonts w:hint="eastAsia"/>
                <w:color w:val="auto"/>
                <w:sz w:val="21"/>
                <w:szCs w:val="21"/>
                <w:highlight w:val="none"/>
                <w:lang w:bidi="ar"/>
              </w:rPr>
              <w:t>铅</w:t>
            </w:r>
          </w:p>
        </w:tc>
        <w:tc>
          <w:tcPr>
            <w:tcW w:w="870" w:type="dxa"/>
            <w:tcBorders>
              <w:tl2br w:val="nil"/>
              <w:tr2bl w:val="nil"/>
            </w:tcBorders>
            <w:shd w:val="clear" w:color="auto" w:fill="auto"/>
            <w:vAlign w:val="center"/>
          </w:tcPr>
          <w:p w14:paraId="70DBC6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5049E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800</w:t>
            </w:r>
          </w:p>
        </w:tc>
        <w:tc>
          <w:tcPr>
            <w:tcW w:w="1236" w:type="dxa"/>
            <w:tcBorders>
              <w:tl2br w:val="nil"/>
              <w:tr2bl w:val="nil"/>
            </w:tcBorders>
            <w:shd w:val="clear" w:color="auto" w:fill="auto"/>
            <w:vAlign w:val="center"/>
          </w:tcPr>
          <w:p w14:paraId="2D58D08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22.3</w:t>
            </w:r>
          </w:p>
        </w:tc>
        <w:tc>
          <w:tcPr>
            <w:tcW w:w="1236" w:type="dxa"/>
            <w:tcBorders>
              <w:tl2br w:val="nil"/>
              <w:tr2bl w:val="nil"/>
            </w:tcBorders>
            <w:shd w:val="clear" w:color="auto" w:fill="auto"/>
            <w:vAlign w:val="center"/>
          </w:tcPr>
          <w:p w14:paraId="27C76B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0.0279 </w:t>
            </w:r>
          </w:p>
        </w:tc>
        <w:tc>
          <w:tcPr>
            <w:tcW w:w="1236" w:type="dxa"/>
            <w:tcBorders>
              <w:tl2br w:val="nil"/>
              <w:tr2bl w:val="nil"/>
            </w:tcBorders>
            <w:shd w:val="clear" w:color="auto" w:fill="auto"/>
            <w:vAlign w:val="center"/>
          </w:tcPr>
          <w:p w14:paraId="6962C4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24.9</w:t>
            </w:r>
          </w:p>
        </w:tc>
        <w:tc>
          <w:tcPr>
            <w:tcW w:w="1236" w:type="dxa"/>
            <w:tcBorders>
              <w:tl2br w:val="nil"/>
              <w:tr2bl w:val="nil"/>
            </w:tcBorders>
            <w:shd w:val="clear" w:color="auto" w:fill="auto"/>
            <w:vAlign w:val="center"/>
          </w:tcPr>
          <w:p w14:paraId="1F900B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0.0311 </w:t>
            </w:r>
          </w:p>
        </w:tc>
        <w:tc>
          <w:tcPr>
            <w:tcW w:w="1236" w:type="dxa"/>
            <w:tcBorders>
              <w:tl2br w:val="nil"/>
              <w:tr2bl w:val="nil"/>
            </w:tcBorders>
            <w:shd w:val="clear" w:color="auto" w:fill="auto"/>
            <w:vAlign w:val="center"/>
          </w:tcPr>
          <w:p w14:paraId="596A79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23.4</w:t>
            </w:r>
          </w:p>
        </w:tc>
        <w:tc>
          <w:tcPr>
            <w:tcW w:w="1236" w:type="dxa"/>
            <w:tcBorders>
              <w:tl2br w:val="nil"/>
              <w:tr2bl w:val="nil"/>
            </w:tcBorders>
            <w:shd w:val="clear" w:color="auto" w:fill="auto"/>
            <w:vAlign w:val="center"/>
          </w:tcPr>
          <w:p w14:paraId="1F029F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0.0293 </w:t>
            </w:r>
          </w:p>
        </w:tc>
        <w:tc>
          <w:tcPr>
            <w:tcW w:w="1236" w:type="dxa"/>
            <w:tcBorders>
              <w:tl2br w:val="nil"/>
              <w:tr2bl w:val="nil"/>
            </w:tcBorders>
            <w:shd w:val="clear" w:color="auto" w:fill="auto"/>
            <w:vAlign w:val="center"/>
          </w:tcPr>
          <w:p w14:paraId="37AD1A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26.1</w:t>
            </w:r>
          </w:p>
        </w:tc>
        <w:tc>
          <w:tcPr>
            <w:tcW w:w="1238" w:type="dxa"/>
            <w:tcBorders>
              <w:tl2br w:val="nil"/>
              <w:tr2bl w:val="nil"/>
            </w:tcBorders>
            <w:shd w:val="clear" w:color="auto" w:fill="auto"/>
            <w:vAlign w:val="center"/>
          </w:tcPr>
          <w:p w14:paraId="5D1E37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0.0326 </w:t>
            </w:r>
          </w:p>
        </w:tc>
      </w:tr>
      <w:tr w14:paraId="08E50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EE1E886">
            <w:pPr>
              <w:ind w:left="-105" w:right="-105"/>
              <w:jc w:val="center"/>
              <w:textAlignment w:val="center"/>
              <w:rPr>
                <w:color w:val="auto"/>
                <w:sz w:val="21"/>
                <w:szCs w:val="21"/>
                <w:highlight w:val="none"/>
              </w:rPr>
            </w:pPr>
            <w:r>
              <w:rPr>
                <w:rFonts w:hint="eastAsia"/>
                <w:color w:val="auto"/>
                <w:sz w:val="21"/>
                <w:szCs w:val="21"/>
                <w:highlight w:val="none"/>
                <w:lang w:bidi="ar"/>
              </w:rPr>
              <w:t>镍</w:t>
            </w:r>
          </w:p>
        </w:tc>
        <w:tc>
          <w:tcPr>
            <w:tcW w:w="870" w:type="dxa"/>
            <w:tcBorders>
              <w:tl2br w:val="nil"/>
              <w:tr2bl w:val="nil"/>
            </w:tcBorders>
            <w:shd w:val="clear" w:color="auto" w:fill="auto"/>
            <w:vAlign w:val="center"/>
          </w:tcPr>
          <w:p w14:paraId="1EC2A0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ECA64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900</w:t>
            </w:r>
          </w:p>
        </w:tc>
        <w:tc>
          <w:tcPr>
            <w:tcW w:w="1236" w:type="dxa"/>
            <w:tcBorders>
              <w:tl2br w:val="nil"/>
              <w:tr2bl w:val="nil"/>
            </w:tcBorders>
            <w:shd w:val="clear" w:color="auto" w:fill="auto"/>
            <w:vAlign w:val="center"/>
          </w:tcPr>
          <w:p w14:paraId="34094C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29</w:t>
            </w:r>
          </w:p>
        </w:tc>
        <w:tc>
          <w:tcPr>
            <w:tcW w:w="1236" w:type="dxa"/>
            <w:tcBorders>
              <w:tl2br w:val="nil"/>
              <w:tr2bl w:val="nil"/>
            </w:tcBorders>
            <w:shd w:val="clear" w:color="auto" w:fill="auto"/>
            <w:vAlign w:val="center"/>
          </w:tcPr>
          <w:p w14:paraId="657C29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0.0322 </w:t>
            </w:r>
          </w:p>
        </w:tc>
        <w:tc>
          <w:tcPr>
            <w:tcW w:w="1236" w:type="dxa"/>
            <w:tcBorders>
              <w:tl2br w:val="nil"/>
              <w:tr2bl w:val="nil"/>
            </w:tcBorders>
            <w:shd w:val="clear" w:color="auto" w:fill="auto"/>
            <w:vAlign w:val="center"/>
          </w:tcPr>
          <w:p w14:paraId="6286BB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30</w:t>
            </w:r>
          </w:p>
        </w:tc>
        <w:tc>
          <w:tcPr>
            <w:tcW w:w="1236" w:type="dxa"/>
            <w:tcBorders>
              <w:tl2br w:val="nil"/>
              <w:tr2bl w:val="nil"/>
            </w:tcBorders>
            <w:shd w:val="clear" w:color="auto" w:fill="auto"/>
            <w:vAlign w:val="center"/>
          </w:tcPr>
          <w:p w14:paraId="7E2E0EF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0.0333 </w:t>
            </w:r>
          </w:p>
        </w:tc>
        <w:tc>
          <w:tcPr>
            <w:tcW w:w="1236" w:type="dxa"/>
            <w:tcBorders>
              <w:tl2br w:val="nil"/>
              <w:tr2bl w:val="nil"/>
            </w:tcBorders>
            <w:shd w:val="clear" w:color="auto" w:fill="auto"/>
            <w:vAlign w:val="center"/>
          </w:tcPr>
          <w:p w14:paraId="1B1CED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41</w:t>
            </w:r>
          </w:p>
        </w:tc>
        <w:tc>
          <w:tcPr>
            <w:tcW w:w="1236" w:type="dxa"/>
            <w:tcBorders>
              <w:tl2br w:val="nil"/>
              <w:tr2bl w:val="nil"/>
            </w:tcBorders>
            <w:shd w:val="clear" w:color="auto" w:fill="auto"/>
            <w:vAlign w:val="center"/>
          </w:tcPr>
          <w:p w14:paraId="3A9729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0.0456 </w:t>
            </w:r>
          </w:p>
        </w:tc>
        <w:tc>
          <w:tcPr>
            <w:tcW w:w="1236" w:type="dxa"/>
            <w:tcBorders>
              <w:tl2br w:val="nil"/>
              <w:tr2bl w:val="nil"/>
            </w:tcBorders>
            <w:shd w:val="clear" w:color="auto" w:fill="auto"/>
            <w:vAlign w:val="center"/>
          </w:tcPr>
          <w:p w14:paraId="13F08C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39</w:t>
            </w:r>
          </w:p>
        </w:tc>
        <w:tc>
          <w:tcPr>
            <w:tcW w:w="1238" w:type="dxa"/>
            <w:tcBorders>
              <w:tl2br w:val="nil"/>
              <w:tr2bl w:val="nil"/>
            </w:tcBorders>
            <w:shd w:val="clear" w:color="auto" w:fill="auto"/>
            <w:vAlign w:val="center"/>
          </w:tcPr>
          <w:p w14:paraId="738851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0.0433 </w:t>
            </w:r>
          </w:p>
        </w:tc>
      </w:tr>
      <w:tr w14:paraId="2BC51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B74B534">
            <w:pPr>
              <w:ind w:left="-105" w:right="-105"/>
              <w:jc w:val="center"/>
              <w:textAlignment w:val="center"/>
              <w:rPr>
                <w:color w:val="auto"/>
                <w:sz w:val="21"/>
                <w:szCs w:val="21"/>
                <w:highlight w:val="none"/>
              </w:rPr>
            </w:pPr>
            <w:r>
              <w:rPr>
                <w:rFonts w:hint="eastAsia"/>
                <w:color w:val="auto"/>
                <w:sz w:val="21"/>
                <w:szCs w:val="21"/>
                <w:highlight w:val="none"/>
                <w:lang w:bidi="ar"/>
              </w:rPr>
              <w:t>六价铬</w:t>
            </w:r>
          </w:p>
        </w:tc>
        <w:tc>
          <w:tcPr>
            <w:tcW w:w="870" w:type="dxa"/>
            <w:tcBorders>
              <w:tl2br w:val="nil"/>
              <w:tr2bl w:val="nil"/>
            </w:tcBorders>
            <w:shd w:val="clear" w:color="auto" w:fill="auto"/>
            <w:vAlign w:val="center"/>
          </w:tcPr>
          <w:p w14:paraId="5D5600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81C712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w:t>
            </w:r>
          </w:p>
        </w:tc>
        <w:tc>
          <w:tcPr>
            <w:tcW w:w="1236" w:type="dxa"/>
            <w:tcBorders>
              <w:tl2br w:val="nil"/>
              <w:tr2bl w:val="nil"/>
            </w:tcBorders>
            <w:shd w:val="clear" w:color="auto" w:fill="auto"/>
            <w:vAlign w:val="center"/>
          </w:tcPr>
          <w:p w14:paraId="3DE916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6A582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17F3D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1DEA9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3DE8B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AFAE5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78D83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5CBF0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B394A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6C705DB">
            <w:pPr>
              <w:ind w:left="-105" w:right="-105"/>
              <w:jc w:val="center"/>
              <w:textAlignment w:val="center"/>
              <w:rPr>
                <w:color w:val="auto"/>
                <w:sz w:val="21"/>
                <w:szCs w:val="21"/>
                <w:highlight w:val="none"/>
              </w:rPr>
            </w:pPr>
            <w:r>
              <w:rPr>
                <w:rFonts w:hint="eastAsia"/>
                <w:color w:val="auto"/>
                <w:sz w:val="21"/>
                <w:szCs w:val="21"/>
                <w:highlight w:val="none"/>
                <w:lang w:bidi="ar"/>
              </w:rPr>
              <w:t>氯甲烷</w:t>
            </w:r>
          </w:p>
        </w:tc>
        <w:tc>
          <w:tcPr>
            <w:tcW w:w="870" w:type="dxa"/>
            <w:tcBorders>
              <w:tl2br w:val="nil"/>
              <w:tr2bl w:val="nil"/>
            </w:tcBorders>
            <w:shd w:val="clear" w:color="auto" w:fill="auto"/>
            <w:vAlign w:val="center"/>
          </w:tcPr>
          <w:p w14:paraId="0E0F5C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F8075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37</w:t>
            </w:r>
          </w:p>
        </w:tc>
        <w:tc>
          <w:tcPr>
            <w:tcW w:w="1236" w:type="dxa"/>
            <w:tcBorders>
              <w:tl2br w:val="nil"/>
              <w:tr2bl w:val="nil"/>
            </w:tcBorders>
            <w:shd w:val="clear" w:color="auto" w:fill="auto"/>
            <w:vAlign w:val="center"/>
          </w:tcPr>
          <w:p w14:paraId="6AC9A9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5FB80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3C389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94147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8C745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8AD1C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36154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2600C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64D3C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32DA5E9">
            <w:pPr>
              <w:ind w:left="-105" w:right="-105"/>
              <w:jc w:val="center"/>
              <w:textAlignment w:val="center"/>
              <w:rPr>
                <w:color w:val="auto"/>
                <w:sz w:val="21"/>
                <w:szCs w:val="21"/>
                <w:highlight w:val="none"/>
              </w:rPr>
            </w:pPr>
            <w:r>
              <w:rPr>
                <w:rFonts w:hint="eastAsia"/>
                <w:color w:val="auto"/>
                <w:sz w:val="21"/>
                <w:szCs w:val="21"/>
                <w:highlight w:val="none"/>
                <w:lang w:bidi="ar"/>
              </w:rPr>
              <w:t>氯乙烯</w:t>
            </w:r>
          </w:p>
        </w:tc>
        <w:tc>
          <w:tcPr>
            <w:tcW w:w="870" w:type="dxa"/>
            <w:tcBorders>
              <w:tl2br w:val="nil"/>
              <w:tr2bl w:val="nil"/>
            </w:tcBorders>
            <w:shd w:val="clear" w:color="auto" w:fill="auto"/>
            <w:vAlign w:val="center"/>
          </w:tcPr>
          <w:p w14:paraId="365ED6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CF66F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0.43</w:t>
            </w:r>
          </w:p>
        </w:tc>
        <w:tc>
          <w:tcPr>
            <w:tcW w:w="1236" w:type="dxa"/>
            <w:tcBorders>
              <w:tl2br w:val="nil"/>
              <w:tr2bl w:val="nil"/>
            </w:tcBorders>
            <w:shd w:val="clear" w:color="auto" w:fill="auto"/>
            <w:vAlign w:val="center"/>
          </w:tcPr>
          <w:p w14:paraId="254556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8A619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3C6E4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6B933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4405E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87E23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2C7CE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0858A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0425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3518F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70B130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5EF37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66</w:t>
            </w:r>
          </w:p>
        </w:tc>
        <w:tc>
          <w:tcPr>
            <w:tcW w:w="1236" w:type="dxa"/>
            <w:tcBorders>
              <w:tl2br w:val="nil"/>
              <w:tr2bl w:val="nil"/>
            </w:tcBorders>
            <w:shd w:val="clear" w:color="auto" w:fill="auto"/>
            <w:vAlign w:val="center"/>
          </w:tcPr>
          <w:p w14:paraId="1154FF8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6F4A5A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B2F81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9D9A3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8CF76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51B8F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11DF2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A7676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922A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B5F4687">
            <w:pPr>
              <w:ind w:left="-105" w:right="-105"/>
              <w:jc w:val="center"/>
              <w:textAlignment w:val="center"/>
              <w:rPr>
                <w:color w:val="auto"/>
                <w:sz w:val="21"/>
                <w:szCs w:val="21"/>
                <w:highlight w:val="none"/>
              </w:rPr>
            </w:pPr>
            <w:r>
              <w:rPr>
                <w:rFonts w:hint="eastAsia"/>
                <w:color w:val="auto"/>
                <w:sz w:val="21"/>
                <w:szCs w:val="21"/>
                <w:highlight w:val="none"/>
                <w:lang w:bidi="ar"/>
              </w:rPr>
              <w:t>二氯甲烷</w:t>
            </w:r>
          </w:p>
        </w:tc>
        <w:tc>
          <w:tcPr>
            <w:tcW w:w="870" w:type="dxa"/>
            <w:tcBorders>
              <w:tl2br w:val="nil"/>
              <w:tr2bl w:val="nil"/>
            </w:tcBorders>
            <w:shd w:val="clear" w:color="auto" w:fill="auto"/>
            <w:vAlign w:val="center"/>
          </w:tcPr>
          <w:p w14:paraId="07A656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6FC4B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616</w:t>
            </w:r>
          </w:p>
        </w:tc>
        <w:tc>
          <w:tcPr>
            <w:tcW w:w="1236" w:type="dxa"/>
            <w:tcBorders>
              <w:tl2br w:val="nil"/>
              <w:tr2bl w:val="nil"/>
            </w:tcBorders>
            <w:shd w:val="clear" w:color="auto" w:fill="auto"/>
            <w:vAlign w:val="center"/>
          </w:tcPr>
          <w:p w14:paraId="0A8995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9C9BC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9A39C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77A65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E1F9D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80C11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363E0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375E4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65511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A612967">
            <w:pPr>
              <w:ind w:left="-105" w:right="-105"/>
              <w:jc w:val="center"/>
              <w:textAlignment w:val="center"/>
              <w:rPr>
                <w:color w:val="auto"/>
                <w:sz w:val="21"/>
                <w:szCs w:val="21"/>
                <w:highlight w:val="none"/>
              </w:rPr>
            </w:pPr>
            <w:r>
              <w:rPr>
                <w:rFonts w:hint="eastAsia"/>
                <w:color w:val="auto"/>
                <w:sz w:val="21"/>
                <w:szCs w:val="21"/>
                <w:highlight w:val="none"/>
                <w:lang w:bidi="ar"/>
              </w:rPr>
              <w:t>反式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7BA3EC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A513C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54</w:t>
            </w:r>
          </w:p>
        </w:tc>
        <w:tc>
          <w:tcPr>
            <w:tcW w:w="1236" w:type="dxa"/>
            <w:tcBorders>
              <w:tl2br w:val="nil"/>
              <w:tr2bl w:val="nil"/>
            </w:tcBorders>
            <w:shd w:val="clear" w:color="auto" w:fill="auto"/>
            <w:vAlign w:val="center"/>
          </w:tcPr>
          <w:p w14:paraId="7EF01A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72CD8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921FE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7CB19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5793A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B6C87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DF0CC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9F365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E6409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F72AA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二氯乙烷</w:t>
            </w:r>
          </w:p>
        </w:tc>
        <w:tc>
          <w:tcPr>
            <w:tcW w:w="870" w:type="dxa"/>
            <w:tcBorders>
              <w:tl2br w:val="nil"/>
              <w:tr2bl w:val="nil"/>
            </w:tcBorders>
            <w:shd w:val="clear" w:color="auto" w:fill="auto"/>
            <w:vAlign w:val="center"/>
          </w:tcPr>
          <w:p w14:paraId="2EB456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A0A8A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w:t>
            </w:r>
          </w:p>
        </w:tc>
        <w:tc>
          <w:tcPr>
            <w:tcW w:w="1236" w:type="dxa"/>
            <w:tcBorders>
              <w:tl2br w:val="nil"/>
              <w:tr2bl w:val="nil"/>
            </w:tcBorders>
            <w:shd w:val="clear" w:color="auto" w:fill="auto"/>
            <w:vAlign w:val="center"/>
          </w:tcPr>
          <w:p w14:paraId="0F4B73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70434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C37F1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B13FA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D8965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42C9C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577D9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EF67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D70B2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CAC8F08">
            <w:pPr>
              <w:ind w:left="-105" w:right="-105"/>
              <w:jc w:val="center"/>
              <w:textAlignment w:val="center"/>
              <w:rPr>
                <w:color w:val="auto"/>
                <w:sz w:val="21"/>
                <w:szCs w:val="21"/>
                <w:highlight w:val="none"/>
              </w:rPr>
            </w:pPr>
            <w:r>
              <w:rPr>
                <w:rFonts w:hint="eastAsia"/>
                <w:color w:val="auto"/>
                <w:sz w:val="21"/>
                <w:szCs w:val="21"/>
                <w:highlight w:val="none"/>
                <w:lang w:bidi="ar"/>
              </w:rPr>
              <w:t>顺式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1E600C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1C3CD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596</w:t>
            </w:r>
          </w:p>
        </w:tc>
        <w:tc>
          <w:tcPr>
            <w:tcW w:w="1236" w:type="dxa"/>
            <w:tcBorders>
              <w:tl2br w:val="nil"/>
              <w:tr2bl w:val="nil"/>
            </w:tcBorders>
            <w:shd w:val="clear" w:color="auto" w:fill="auto"/>
            <w:vAlign w:val="center"/>
          </w:tcPr>
          <w:p w14:paraId="4AA26D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57B343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2929F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1F551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A31E2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19C32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73719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0AD76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BF10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332BE0C">
            <w:pPr>
              <w:ind w:left="-105" w:right="-105"/>
              <w:jc w:val="center"/>
              <w:textAlignment w:val="center"/>
              <w:rPr>
                <w:color w:val="auto"/>
                <w:sz w:val="21"/>
                <w:szCs w:val="21"/>
                <w:highlight w:val="none"/>
              </w:rPr>
            </w:pPr>
            <w:r>
              <w:rPr>
                <w:rFonts w:hint="eastAsia"/>
                <w:color w:val="auto"/>
                <w:sz w:val="21"/>
                <w:szCs w:val="21"/>
                <w:highlight w:val="none"/>
                <w:lang w:bidi="ar"/>
              </w:rPr>
              <w:t>氯仿</w:t>
            </w:r>
          </w:p>
        </w:tc>
        <w:tc>
          <w:tcPr>
            <w:tcW w:w="870" w:type="dxa"/>
            <w:tcBorders>
              <w:tl2br w:val="nil"/>
              <w:tr2bl w:val="nil"/>
            </w:tcBorders>
            <w:shd w:val="clear" w:color="auto" w:fill="auto"/>
            <w:vAlign w:val="center"/>
          </w:tcPr>
          <w:p w14:paraId="61E78D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CBBED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0.9</w:t>
            </w:r>
          </w:p>
        </w:tc>
        <w:tc>
          <w:tcPr>
            <w:tcW w:w="1236" w:type="dxa"/>
            <w:tcBorders>
              <w:tl2br w:val="nil"/>
              <w:tr2bl w:val="nil"/>
            </w:tcBorders>
            <w:shd w:val="clear" w:color="auto" w:fill="auto"/>
            <w:vAlign w:val="center"/>
          </w:tcPr>
          <w:p w14:paraId="35F304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3FFB3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0766C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9BF2B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96B7D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CABC8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43002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2FE80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DAA9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1281C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w:t>
            </w:r>
            <w:r>
              <w:rPr>
                <w:rFonts w:hint="eastAsia"/>
                <w:color w:val="auto"/>
                <w:sz w:val="21"/>
                <w:szCs w:val="21"/>
                <w:highlight w:val="none"/>
                <w:lang w:bidi="ar"/>
              </w:rPr>
              <w:t>三氯乙烷</w:t>
            </w:r>
          </w:p>
        </w:tc>
        <w:tc>
          <w:tcPr>
            <w:tcW w:w="870" w:type="dxa"/>
            <w:tcBorders>
              <w:tl2br w:val="nil"/>
              <w:tr2bl w:val="nil"/>
            </w:tcBorders>
            <w:shd w:val="clear" w:color="auto" w:fill="auto"/>
            <w:vAlign w:val="center"/>
          </w:tcPr>
          <w:p w14:paraId="419B1D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2E02A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840</w:t>
            </w:r>
          </w:p>
        </w:tc>
        <w:tc>
          <w:tcPr>
            <w:tcW w:w="1236" w:type="dxa"/>
            <w:tcBorders>
              <w:tl2br w:val="nil"/>
              <w:tr2bl w:val="nil"/>
            </w:tcBorders>
            <w:shd w:val="clear" w:color="auto" w:fill="auto"/>
            <w:vAlign w:val="center"/>
          </w:tcPr>
          <w:p w14:paraId="2444B7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7A977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F9A1E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C2659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A972E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60A59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7C2E0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61994F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319B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6099AA7">
            <w:pPr>
              <w:ind w:left="-105" w:right="-105"/>
              <w:jc w:val="center"/>
              <w:textAlignment w:val="center"/>
              <w:rPr>
                <w:color w:val="auto"/>
                <w:sz w:val="21"/>
                <w:szCs w:val="21"/>
                <w:highlight w:val="none"/>
              </w:rPr>
            </w:pPr>
            <w:r>
              <w:rPr>
                <w:rFonts w:hint="eastAsia"/>
                <w:color w:val="auto"/>
                <w:sz w:val="21"/>
                <w:szCs w:val="21"/>
                <w:highlight w:val="none"/>
                <w:lang w:bidi="ar"/>
              </w:rPr>
              <w:t>四氯化碳</w:t>
            </w:r>
          </w:p>
        </w:tc>
        <w:tc>
          <w:tcPr>
            <w:tcW w:w="870" w:type="dxa"/>
            <w:tcBorders>
              <w:tl2br w:val="nil"/>
              <w:tr2bl w:val="nil"/>
            </w:tcBorders>
            <w:shd w:val="clear" w:color="auto" w:fill="auto"/>
            <w:vAlign w:val="center"/>
          </w:tcPr>
          <w:p w14:paraId="46167A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F7434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47C0DB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A1D66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B19E4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DBBED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4E9D2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3856E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19B2C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AAD1E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B30F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2429F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二氯乙烷</w:t>
            </w:r>
          </w:p>
        </w:tc>
        <w:tc>
          <w:tcPr>
            <w:tcW w:w="870" w:type="dxa"/>
            <w:tcBorders>
              <w:tl2br w:val="nil"/>
              <w:tr2bl w:val="nil"/>
            </w:tcBorders>
            <w:shd w:val="clear" w:color="auto" w:fill="auto"/>
            <w:vAlign w:val="center"/>
          </w:tcPr>
          <w:p w14:paraId="13E945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24B6C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6" w:type="dxa"/>
            <w:tcBorders>
              <w:tl2br w:val="nil"/>
              <w:tr2bl w:val="nil"/>
            </w:tcBorders>
            <w:shd w:val="clear" w:color="auto" w:fill="auto"/>
            <w:vAlign w:val="center"/>
          </w:tcPr>
          <w:p w14:paraId="17ABE8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E3148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7C234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0C62A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5CBFA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909A7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71B5C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C376F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662D0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7788A0E">
            <w:pPr>
              <w:ind w:left="-105" w:right="-105"/>
              <w:jc w:val="center"/>
              <w:textAlignment w:val="center"/>
              <w:rPr>
                <w:color w:val="auto"/>
                <w:sz w:val="21"/>
                <w:szCs w:val="21"/>
                <w:highlight w:val="none"/>
              </w:rPr>
            </w:pPr>
            <w:r>
              <w:rPr>
                <w:rFonts w:hint="eastAsia"/>
                <w:color w:val="auto"/>
                <w:sz w:val="21"/>
                <w:szCs w:val="21"/>
                <w:highlight w:val="none"/>
                <w:lang w:bidi="ar"/>
              </w:rPr>
              <w:t>苯</w:t>
            </w:r>
          </w:p>
        </w:tc>
        <w:tc>
          <w:tcPr>
            <w:tcW w:w="870" w:type="dxa"/>
            <w:tcBorders>
              <w:tl2br w:val="nil"/>
              <w:tr2bl w:val="nil"/>
            </w:tcBorders>
            <w:shd w:val="clear" w:color="auto" w:fill="auto"/>
            <w:vAlign w:val="center"/>
          </w:tcPr>
          <w:p w14:paraId="2151C1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1182F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1236" w:type="dxa"/>
            <w:tcBorders>
              <w:tl2br w:val="nil"/>
              <w:tr2bl w:val="nil"/>
            </w:tcBorders>
            <w:shd w:val="clear" w:color="auto" w:fill="auto"/>
            <w:vAlign w:val="center"/>
          </w:tcPr>
          <w:p w14:paraId="779FF6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FE1F8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DA31F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2C338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16FD1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560C4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BC3F4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B996F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72BF1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3532E72">
            <w:pPr>
              <w:ind w:left="-105" w:right="-105"/>
              <w:jc w:val="center"/>
              <w:textAlignment w:val="center"/>
              <w:rPr>
                <w:color w:val="auto"/>
                <w:sz w:val="21"/>
                <w:szCs w:val="21"/>
                <w:highlight w:val="none"/>
              </w:rPr>
            </w:pPr>
            <w:r>
              <w:rPr>
                <w:rFonts w:hint="eastAsia"/>
                <w:color w:val="auto"/>
                <w:sz w:val="21"/>
                <w:szCs w:val="21"/>
                <w:highlight w:val="none"/>
                <w:lang w:bidi="ar"/>
              </w:rPr>
              <w:t>三氯乙烯</w:t>
            </w:r>
          </w:p>
        </w:tc>
        <w:tc>
          <w:tcPr>
            <w:tcW w:w="870" w:type="dxa"/>
            <w:tcBorders>
              <w:tl2br w:val="nil"/>
              <w:tr2bl w:val="nil"/>
            </w:tcBorders>
            <w:shd w:val="clear" w:color="auto" w:fill="auto"/>
            <w:vAlign w:val="center"/>
          </w:tcPr>
          <w:p w14:paraId="7B4D79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DB138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4B3562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1C05D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84DB4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08E33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7499D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B9FD0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47573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4ACE1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CFE0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2BE2F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二氯丙烷</w:t>
            </w:r>
          </w:p>
        </w:tc>
        <w:tc>
          <w:tcPr>
            <w:tcW w:w="870" w:type="dxa"/>
            <w:tcBorders>
              <w:tl2br w:val="nil"/>
              <w:tr2bl w:val="nil"/>
            </w:tcBorders>
            <w:shd w:val="clear" w:color="auto" w:fill="auto"/>
            <w:vAlign w:val="center"/>
          </w:tcPr>
          <w:p w14:paraId="03D0B3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E832A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6" w:type="dxa"/>
            <w:tcBorders>
              <w:tl2br w:val="nil"/>
              <w:tr2bl w:val="nil"/>
            </w:tcBorders>
            <w:shd w:val="clear" w:color="auto" w:fill="auto"/>
            <w:vAlign w:val="center"/>
          </w:tcPr>
          <w:p w14:paraId="182737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4252E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DABA7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87511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6588D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F7EDE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F05E2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75A18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806E3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5C0C219">
            <w:pPr>
              <w:ind w:left="-105" w:right="-105"/>
              <w:jc w:val="center"/>
              <w:textAlignment w:val="center"/>
              <w:rPr>
                <w:color w:val="auto"/>
                <w:sz w:val="21"/>
                <w:szCs w:val="21"/>
                <w:highlight w:val="none"/>
              </w:rPr>
            </w:pPr>
            <w:r>
              <w:rPr>
                <w:rFonts w:hint="eastAsia"/>
                <w:color w:val="auto"/>
                <w:sz w:val="21"/>
                <w:szCs w:val="21"/>
                <w:highlight w:val="none"/>
                <w:lang w:bidi="ar"/>
              </w:rPr>
              <w:t>甲苯</w:t>
            </w:r>
          </w:p>
        </w:tc>
        <w:tc>
          <w:tcPr>
            <w:tcW w:w="870" w:type="dxa"/>
            <w:tcBorders>
              <w:tl2br w:val="nil"/>
              <w:tr2bl w:val="nil"/>
            </w:tcBorders>
            <w:shd w:val="clear" w:color="auto" w:fill="auto"/>
            <w:vAlign w:val="center"/>
          </w:tcPr>
          <w:p w14:paraId="150DDA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63B5A2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1200</w:t>
            </w:r>
          </w:p>
        </w:tc>
        <w:tc>
          <w:tcPr>
            <w:tcW w:w="1236" w:type="dxa"/>
            <w:tcBorders>
              <w:tl2br w:val="nil"/>
              <w:tr2bl w:val="nil"/>
            </w:tcBorders>
            <w:shd w:val="clear" w:color="auto" w:fill="auto"/>
            <w:vAlign w:val="center"/>
          </w:tcPr>
          <w:p w14:paraId="4C14EB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6F608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59352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0DCA2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93DD8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8FA16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166FE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46D85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770C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55152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w:t>
            </w:r>
            <w:r>
              <w:rPr>
                <w:rFonts w:hint="eastAsia"/>
                <w:color w:val="auto"/>
                <w:sz w:val="21"/>
                <w:szCs w:val="21"/>
                <w:highlight w:val="none"/>
                <w:lang w:bidi="ar"/>
              </w:rPr>
              <w:t>三氯乙烷</w:t>
            </w:r>
          </w:p>
        </w:tc>
        <w:tc>
          <w:tcPr>
            <w:tcW w:w="870" w:type="dxa"/>
            <w:tcBorders>
              <w:tl2br w:val="nil"/>
              <w:tr2bl w:val="nil"/>
            </w:tcBorders>
            <w:shd w:val="clear" w:color="auto" w:fill="auto"/>
            <w:vAlign w:val="center"/>
          </w:tcPr>
          <w:p w14:paraId="334A5E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EEC9A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10BFC8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E1B0C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BF3B2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E2869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008C2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2FDD5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C5113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A6314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060C8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11D0951">
            <w:pPr>
              <w:ind w:left="-105" w:right="-105"/>
              <w:jc w:val="center"/>
              <w:textAlignment w:val="center"/>
              <w:rPr>
                <w:color w:val="auto"/>
                <w:sz w:val="21"/>
                <w:szCs w:val="21"/>
                <w:highlight w:val="none"/>
              </w:rPr>
            </w:pPr>
            <w:r>
              <w:rPr>
                <w:rFonts w:hint="eastAsia"/>
                <w:color w:val="auto"/>
                <w:sz w:val="21"/>
                <w:szCs w:val="21"/>
                <w:highlight w:val="none"/>
                <w:lang w:bidi="ar"/>
              </w:rPr>
              <w:t>四氯乙烯</w:t>
            </w:r>
          </w:p>
        </w:tc>
        <w:tc>
          <w:tcPr>
            <w:tcW w:w="870" w:type="dxa"/>
            <w:tcBorders>
              <w:tl2br w:val="nil"/>
              <w:tr2bl w:val="nil"/>
            </w:tcBorders>
            <w:shd w:val="clear" w:color="auto" w:fill="auto"/>
            <w:vAlign w:val="center"/>
          </w:tcPr>
          <w:p w14:paraId="409C6F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664AA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53</w:t>
            </w:r>
          </w:p>
        </w:tc>
        <w:tc>
          <w:tcPr>
            <w:tcW w:w="1236" w:type="dxa"/>
            <w:tcBorders>
              <w:tl2br w:val="nil"/>
              <w:tr2bl w:val="nil"/>
            </w:tcBorders>
            <w:shd w:val="clear" w:color="auto" w:fill="auto"/>
            <w:vAlign w:val="center"/>
          </w:tcPr>
          <w:p w14:paraId="155BBD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61D23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63A31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F1C96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CA451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B5F7D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020B0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CD54B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B691C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52B1E3F">
            <w:pPr>
              <w:ind w:left="-105" w:right="-105"/>
              <w:jc w:val="center"/>
              <w:textAlignment w:val="center"/>
              <w:rPr>
                <w:color w:val="auto"/>
                <w:sz w:val="21"/>
                <w:szCs w:val="21"/>
                <w:highlight w:val="none"/>
              </w:rPr>
            </w:pPr>
            <w:r>
              <w:rPr>
                <w:rFonts w:hint="eastAsia"/>
                <w:color w:val="auto"/>
                <w:sz w:val="21"/>
                <w:szCs w:val="21"/>
                <w:highlight w:val="none"/>
                <w:lang w:bidi="ar"/>
              </w:rPr>
              <w:t>氯苯</w:t>
            </w:r>
          </w:p>
        </w:tc>
        <w:tc>
          <w:tcPr>
            <w:tcW w:w="870" w:type="dxa"/>
            <w:tcBorders>
              <w:tl2br w:val="nil"/>
              <w:tr2bl w:val="nil"/>
            </w:tcBorders>
            <w:shd w:val="clear" w:color="auto" w:fill="auto"/>
            <w:vAlign w:val="center"/>
          </w:tcPr>
          <w:p w14:paraId="0739CE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D61C41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270</w:t>
            </w:r>
          </w:p>
        </w:tc>
        <w:tc>
          <w:tcPr>
            <w:tcW w:w="1236" w:type="dxa"/>
            <w:tcBorders>
              <w:tl2br w:val="nil"/>
              <w:tr2bl w:val="nil"/>
            </w:tcBorders>
            <w:shd w:val="clear" w:color="auto" w:fill="auto"/>
            <w:vAlign w:val="center"/>
          </w:tcPr>
          <w:p w14:paraId="676C5D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59032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B7B9B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732C9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E56D2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3C5E4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1114C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51122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D64CF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12252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1,1,1,2-</w:t>
            </w:r>
            <w:r>
              <w:rPr>
                <w:rFonts w:hint="eastAsia"/>
                <w:color w:val="auto"/>
                <w:sz w:val="21"/>
                <w:szCs w:val="21"/>
                <w:highlight w:val="none"/>
                <w:lang w:bidi="ar"/>
              </w:rPr>
              <w:t>四氯乙烷</w:t>
            </w:r>
          </w:p>
        </w:tc>
        <w:tc>
          <w:tcPr>
            <w:tcW w:w="870" w:type="dxa"/>
            <w:tcBorders>
              <w:tl2br w:val="nil"/>
              <w:tr2bl w:val="nil"/>
            </w:tcBorders>
            <w:shd w:val="clear" w:color="auto" w:fill="auto"/>
            <w:vAlign w:val="center"/>
          </w:tcPr>
          <w:p w14:paraId="116E3E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89A70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w:t>
            </w:r>
          </w:p>
        </w:tc>
        <w:tc>
          <w:tcPr>
            <w:tcW w:w="1236" w:type="dxa"/>
            <w:tcBorders>
              <w:tl2br w:val="nil"/>
              <w:tr2bl w:val="nil"/>
            </w:tcBorders>
            <w:shd w:val="clear" w:color="auto" w:fill="auto"/>
            <w:vAlign w:val="center"/>
          </w:tcPr>
          <w:p w14:paraId="5E5150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4AD25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D3C1E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1FF36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E3C1B9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3CBC9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E03EA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ABE4C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E3AF8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1406A35">
            <w:pPr>
              <w:ind w:left="-105" w:right="-105"/>
              <w:jc w:val="center"/>
              <w:textAlignment w:val="center"/>
              <w:rPr>
                <w:color w:val="auto"/>
                <w:sz w:val="21"/>
                <w:szCs w:val="21"/>
                <w:highlight w:val="none"/>
              </w:rPr>
            </w:pPr>
            <w:r>
              <w:rPr>
                <w:rFonts w:hint="eastAsia"/>
                <w:color w:val="auto"/>
                <w:sz w:val="21"/>
                <w:szCs w:val="21"/>
                <w:highlight w:val="none"/>
                <w:lang w:bidi="ar"/>
              </w:rPr>
              <w:t>乙苯</w:t>
            </w:r>
          </w:p>
        </w:tc>
        <w:tc>
          <w:tcPr>
            <w:tcW w:w="870" w:type="dxa"/>
            <w:tcBorders>
              <w:tl2br w:val="nil"/>
              <w:tr2bl w:val="nil"/>
            </w:tcBorders>
            <w:shd w:val="clear" w:color="auto" w:fill="auto"/>
            <w:vAlign w:val="center"/>
          </w:tcPr>
          <w:p w14:paraId="4EE232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B92CA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6" w:type="dxa"/>
            <w:tcBorders>
              <w:tl2br w:val="nil"/>
              <w:tr2bl w:val="nil"/>
            </w:tcBorders>
            <w:shd w:val="clear" w:color="auto" w:fill="auto"/>
            <w:vAlign w:val="center"/>
          </w:tcPr>
          <w:p w14:paraId="0F1AE3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C691B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5B4F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6C82A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1CA19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2BCBB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23ED5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4146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BBAE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E4E1E9F">
            <w:pPr>
              <w:ind w:left="-105" w:right="-105"/>
              <w:jc w:val="center"/>
              <w:textAlignment w:val="center"/>
              <w:rPr>
                <w:color w:val="auto"/>
                <w:sz w:val="21"/>
                <w:szCs w:val="21"/>
                <w:highlight w:val="none"/>
              </w:rPr>
            </w:pPr>
            <w:r>
              <w:rPr>
                <w:rFonts w:hint="eastAsia"/>
                <w:color w:val="auto"/>
                <w:sz w:val="21"/>
                <w:szCs w:val="21"/>
                <w:highlight w:val="none"/>
                <w:lang w:bidi="ar"/>
              </w:rPr>
              <w:t>间</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对</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70" w:type="dxa"/>
            <w:tcBorders>
              <w:tl2br w:val="nil"/>
              <w:tr2bl w:val="nil"/>
            </w:tcBorders>
            <w:shd w:val="clear" w:color="auto" w:fill="auto"/>
            <w:vAlign w:val="center"/>
          </w:tcPr>
          <w:p w14:paraId="2D670CF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47815A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570</w:t>
            </w:r>
          </w:p>
        </w:tc>
        <w:tc>
          <w:tcPr>
            <w:tcW w:w="1236" w:type="dxa"/>
            <w:tcBorders>
              <w:tl2br w:val="nil"/>
              <w:tr2bl w:val="nil"/>
            </w:tcBorders>
            <w:shd w:val="clear" w:color="auto" w:fill="auto"/>
            <w:vAlign w:val="center"/>
          </w:tcPr>
          <w:p w14:paraId="0FE987F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69C31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0E86B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BA87C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951D0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D22A7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58FEF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64E0F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593D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0B88F11">
            <w:pPr>
              <w:ind w:left="-105" w:right="-105"/>
              <w:jc w:val="center"/>
              <w:textAlignment w:val="center"/>
              <w:rPr>
                <w:color w:val="auto"/>
                <w:sz w:val="21"/>
                <w:szCs w:val="21"/>
                <w:highlight w:val="none"/>
              </w:rPr>
            </w:pPr>
            <w:r>
              <w:rPr>
                <w:rFonts w:hint="eastAsia"/>
                <w:color w:val="auto"/>
                <w:sz w:val="21"/>
                <w:szCs w:val="21"/>
                <w:highlight w:val="none"/>
                <w:lang w:bidi="ar"/>
              </w:rPr>
              <w:t>邻</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70" w:type="dxa"/>
            <w:tcBorders>
              <w:tl2br w:val="nil"/>
              <w:tr2bl w:val="nil"/>
            </w:tcBorders>
            <w:shd w:val="clear" w:color="auto" w:fill="auto"/>
            <w:vAlign w:val="center"/>
          </w:tcPr>
          <w:p w14:paraId="62CBFE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8C581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640</w:t>
            </w:r>
          </w:p>
        </w:tc>
        <w:tc>
          <w:tcPr>
            <w:tcW w:w="1236" w:type="dxa"/>
            <w:tcBorders>
              <w:tl2br w:val="nil"/>
              <w:tr2bl w:val="nil"/>
            </w:tcBorders>
            <w:shd w:val="clear" w:color="auto" w:fill="auto"/>
            <w:vAlign w:val="center"/>
          </w:tcPr>
          <w:p w14:paraId="42F501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534A6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0F755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472EC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817F4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64AB4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D3EFBC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A528C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465B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F63F21A">
            <w:pPr>
              <w:ind w:left="-105" w:right="-105"/>
              <w:jc w:val="center"/>
              <w:textAlignment w:val="center"/>
              <w:rPr>
                <w:color w:val="auto"/>
                <w:sz w:val="21"/>
                <w:szCs w:val="21"/>
                <w:highlight w:val="none"/>
              </w:rPr>
            </w:pPr>
            <w:r>
              <w:rPr>
                <w:rFonts w:hint="eastAsia"/>
                <w:color w:val="auto"/>
                <w:sz w:val="21"/>
                <w:szCs w:val="21"/>
                <w:highlight w:val="none"/>
                <w:lang w:bidi="ar"/>
              </w:rPr>
              <w:t>苯乙烯</w:t>
            </w:r>
          </w:p>
        </w:tc>
        <w:tc>
          <w:tcPr>
            <w:tcW w:w="870" w:type="dxa"/>
            <w:tcBorders>
              <w:tl2br w:val="nil"/>
              <w:tr2bl w:val="nil"/>
            </w:tcBorders>
            <w:shd w:val="clear" w:color="auto" w:fill="auto"/>
            <w:vAlign w:val="center"/>
          </w:tcPr>
          <w:p w14:paraId="39FEC4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68EDA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1290</w:t>
            </w:r>
          </w:p>
        </w:tc>
        <w:tc>
          <w:tcPr>
            <w:tcW w:w="1236" w:type="dxa"/>
            <w:tcBorders>
              <w:tl2br w:val="nil"/>
              <w:tr2bl w:val="nil"/>
            </w:tcBorders>
            <w:shd w:val="clear" w:color="auto" w:fill="auto"/>
            <w:vAlign w:val="center"/>
          </w:tcPr>
          <w:p w14:paraId="30B315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2BA64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1D41A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65E7E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9FED7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973A7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606DB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5292A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03EB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D22C4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1,1,2,2-</w:t>
            </w:r>
            <w:r>
              <w:rPr>
                <w:rFonts w:hint="eastAsia"/>
                <w:color w:val="auto"/>
                <w:sz w:val="21"/>
                <w:szCs w:val="21"/>
                <w:highlight w:val="none"/>
                <w:lang w:bidi="ar"/>
              </w:rPr>
              <w:t>四氯乙烷</w:t>
            </w:r>
          </w:p>
        </w:tc>
        <w:tc>
          <w:tcPr>
            <w:tcW w:w="870" w:type="dxa"/>
            <w:tcBorders>
              <w:tl2br w:val="nil"/>
              <w:tr2bl w:val="nil"/>
            </w:tcBorders>
            <w:shd w:val="clear" w:color="auto" w:fill="auto"/>
            <w:vAlign w:val="center"/>
          </w:tcPr>
          <w:p w14:paraId="060184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AD05F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w:t>
            </w:r>
          </w:p>
        </w:tc>
        <w:tc>
          <w:tcPr>
            <w:tcW w:w="1236" w:type="dxa"/>
            <w:tcBorders>
              <w:tl2br w:val="nil"/>
              <w:tr2bl w:val="nil"/>
            </w:tcBorders>
            <w:shd w:val="clear" w:color="auto" w:fill="auto"/>
            <w:vAlign w:val="center"/>
          </w:tcPr>
          <w:p w14:paraId="62564B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F58F2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6E464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DEAB0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24A3E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7DE4F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91BC1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239C9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871C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B543F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1,2,3-</w:t>
            </w:r>
            <w:r>
              <w:rPr>
                <w:rFonts w:hint="eastAsia"/>
                <w:color w:val="auto"/>
                <w:sz w:val="21"/>
                <w:szCs w:val="21"/>
                <w:highlight w:val="none"/>
                <w:lang w:bidi="ar"/>
              </w:rPr>
              <w:t>三氯丙烷</w:t>
            </w:r>
          </w:p>
        </w:tc>
        <w:tc>
          <w:tcPr>
            <w:tcW w:w="870" w:type="dxa"/>
            <w:tcBorders>
              <w:tl2br w:val="nil"/>
              <w:tr2bl w:val="nil"/>
            </w:tcBorders>
            <w:shd w:val="clear" w:color="auto" w:fill="auto"/>
            <w:vAlign w:val="center"/>
          </w:tcPr>
          <w:p w14:paraId="2CD44A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9D046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236" w:type="dxa"/>
            <w:tcBorders>
              <w:tl2br w:val="nil"/>
              <w:tr2bl w:val="nil"/>
            </w:tcBorders>
            <w:shd w:val="clear" w:color="auto" w:fill="auto"/>
            <w:vAlign w:val="center"/>
          </w:tcPr>
          <w:p w14:paraId="459148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06582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E078D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9419C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4A3D99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87839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0B714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E856A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9DA22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97BBD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w:t>
            </w:r>
            <w:r>
              <w:rPr>
                <w:rFonts w:hint="eastAsia"/>
                <w:color w:val="auto"/>
                <w:sz w:val="21"/>
                <w:szCs w:val="21"/>
                <w:highlight w:val="none"/>
                <w:lang w:bidi="ar"/>
              </w:rPr>
              <w:t>二氯苯</w:t>
            </w:r>
          </w:p>
        </w:tc>
        <w:tc>
          <w:tcPr>
            <w:tcW w:w="870" w:type="dxa"/>
            <w:tcBorders>
              <w:tl2br w:val="nil"/>
              <w:tr2bl w:val="nil"/>
            </w:tcBorders>
            <w:shd w:val="clear" w:color="auto" w:fill="auto"/>
            <w:vAlign w:val="center"/>
          </w:tcPr>
          <w:p w14:paraId="26C124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7D6438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w:t>
            </w:r>
          </w:p>
        </w:tc>
        <w:tc>
          <w:tcPr>
            <w:tcW w:w="1236" w:type="dxa"/>
            <w:tcBorders>
              <w:tl2br w:val="nil"/>
              <w:tr2bl w:val="nil"/>
            </w:tcBorders>
            <w:shd w:val="clear" w:color="auto" w:fill="auto"/>
            <w:vAlign w:val="center"/>
          </w:tcPr>
          <w:p w14:paraId="3DB11A9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74656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6D200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10A6D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09D83C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45044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86BA7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7F80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9132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77959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二氯苯</w:t>
            </w:r>
          </w:p>
        </w:tc>
        <w:tc>
          <w:tcPr>
            <w:tcW w:w="870" w:type="dxa"/>
            <w:tcBorders>
              <w:tl2br w:val="nil"/>
              <w:tr2bl w:val="nil"/>
            </w:tcBorders>
            <w:shd w:val="clear" w:color="auto" w:fill="auto"/>
            <w:vAlign w:val="center"/>
          </w:tcPr>
          <w:p w14:paraId="3C3356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BDEA3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560</w:t>
            </w:r>
          </w:p>
        </w:tc>
        <w:tc>
          <w:tcPr>
            <w:tcW w:w="1236" w:type="dxa"/>
            <w:tcBorders>
              <w:tl2br w:val="nil"/>
              <w:tr2bl w:val="nil"/>
            </w:tcBorders>
            <w:shd w:val="clear" w:color="auto" w:fill="auto"/>
            <w:vAlign w:val="center"/>
          </w:tcPr>
          <w:p w14:paraId="378826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E8236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01AB2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B9A4E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9A28C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DB0C0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B7310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ABC01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C9C4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C65EB6B">
            <w:pPr>
              <w:ind w:left="-105" w:right="-105"/>
              <w:jc w:val="center"/>
              <w:textAlignment w:val="center"/>
              <w:rPr>
                <w:color w:val="auto"/>
                <w:sz w:val="21"/>
                <w:szCs w:val="21"/>
                <w:highlight w:val="none"/>
              </w:rPr>
            </w:pPr>
            <w:r>
              <w:rPr>
                <w:rFonts w:hint="eastAsia"/>
                <w:color w:val="auto"/>
                <w:sz w:val="21"/>
                <w:szCs w:val="21"/>
                <w:highlight w:val="none"/>
                <w:lang w:bidi="ar"/>
              </w:rPr>
              <w:t>苯胺</w:t>
            </w:r>
          </w:p>
        </w:tc>
        <w:tc>
          <w:tcPr>
            <w:tcW w:w="870" w:type="dxa"/>
            <w:tcBorders>
              <w:tl2br w:val="nil"/>
              <w:tr2bl w:val="nil"/>
            </w:tcBorders>
            <w:shd w:val="clear" w:color="auto" w:fill="auto"/>
            <w:vAlign w:val="center"/>
          </w:tcPr>
          <w:p w14:paraId="5D0F5A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78C5B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260</w:t>
            </w:r>
          </w:p>
        </w:tc>
        <w:tc>
          <w:tcPr>
            <w:tcW w:w="1236" w:type="dxa"/>
            <w:tcBorders>
              <w:tl2br w:val="nil"/>
              <w:tr2bl w:val="nil"/>
            </w:tcBorders>
            <w:shd w:val="clear" w:color="auto" w:fill="auto"/>
            <w:vAlign w:val="center"/>
          </w:tcPr>
          <w:p w14:paraId="5F5119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409870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24CEA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3EC88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E0DEE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4A4DD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17DB3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596CC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EEF9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4D344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w:t>
            </w:r>
            <w:r>
              <w:rPr>
                <w:rFonts w:hint="eastAsia"/>
                <w:color w:val="auto"/>
                <w:sz w:val="21"/>
                <w:szCs w:val="21"/>
                <w:highlight w:val="none"/>
                <w:lang w:bidi="ar"/>
              </w:rPr>
              <w:t>氯酚</w:t>
            </w:r>
          </w:p>
        </w:tc>
        <w:tc>
          <w:tcPr>
            <w:tcW w:w="870" w:type="dxa"/>
            <w:tcBorders>
              <w:tl2br w:val="nil"/>
              <w:tr2bl w:val="nil"/>
            </w:tcBorders>
            <w:shd w:val="clear" w:color="auto" w:fill="auto"/>
            <w:vAlign w:val="center"/>
          </w:tcPr>
          <w:p w14:paraId="48CA7E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C7929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2256</w:t>
            </w:r>
          </w:p>
        </w:tc>
        <w:tc>
          <w:tcPr>
            <w:tcW w:w="1236" w:type="dxa"/>
            <w:tcBorders>
              <w:tl2br w:val="nil"/>
              <w:tr2bl w:val="nil"/>
            </w:tcBorders>
            <w:shd w:val="clear" w:color="auto" w:fill="auto"/>
            <w:vAlign w:val="center"/>
          </w:tcPr>
          <w:p w14:paraId="684E7B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E3E0A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DC6C95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30754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41826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AB8F4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8B6029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3D744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B8E04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2D24215">
            <w:pPr>
              <w:ind w:left="-105" w:right="-105"/>
              <w:jc w:val="center"/>
              <w:textAlignment w:val="center"/>
              <w:rPr>
                <w:color w:val="auto"/>
                <w:sz w:val="21"/>
                <w:szCs w:val="21"/>
                <w:highlight w:val="none"/>
              </w:rPr>
            </w:pPr>
            <w:r>
              <w:rPr>
                <w:rFonts w:hint="eastAsia"/>
                <w:color w:val="auto"/>
                <w:sz w:val="21"/>
                <w:szCs w:val="21"/>
                <w:highlight w:val="none"/>
                <w:lang w:bidi="ar"/>
              </w:rPr>
              <w:t>硝基苯</w:t>
            </w:r>
          </w:p>
        </w:tc>
        <w:tc>
          <w:tcPr>
            <w:tcW w:w="870" w:type="dxa"/>
            <w:tcBorders>
              <w:tl2br w:val="nil"/>
              <w:tr2bl w:val="nil"/>
            </w:tcBorders>
            <w:shd w:val="clear" w:color="auto" w:fill="auto"/>
            <w:vAlign w:val="center"/>
          </w:tcPr>
          <w:p w14:paraId="4E78AA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3FC18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76</w:t>
            </w:r>
          </w:p>
        </w:tc>
        <w:tc>
          <w:tcPr>
            <w:tcW w:w="1236" w:type="dxa"/>
            <w:tcBorders>
              <w:tl2br w:val="nil"/>
              <w:tr2bl w:val="nil"/>
            </w:tcBorders>
            <w:shd w:val="clear" w:color="auto" w:fill="auto"/>
            <w:vAlign w:val="center"/>
          </w:tcPr>
          <w:p w14:paraId="2593DA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29A02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97642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DECDD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77137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3328B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78DE0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8E2E5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EF3F9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A8F5B61">
            <w:pPr>
              <w:ind w:left="-105" w:right="-105"/>
              <w:jc w:val="center"/>
              <w:textAlignment w:val="center"/>
              <w:rPr>
                <w:color w:val="auto"/>
                <w:sz w:val="21"/>
                <w:szCs w:val="21"/>
                <w:highlight w:val="none"/>
              </w:rPr>
            </w:pPr>
            <w:r>
              <w:rPr>
                <w:rFonts w:hint="eastAsia"/>
                <w:color w:val="auto"/>
                <w:sz w:val="21"/>
                <w:szCs w:val="21"/>
                <w:highlight w:val="none"/>
                <w:lang w:bidi="ar"/>
              </w:rPr>
              <w:t>萘</w:t>
            </w:r>
          </w:p>
        </w:tc>
        <w:tc>
          <w:tcPr>
            <w:tcW w:w="870" w:type="dxa"/>
            <w:tcBorders>
              <w:tl2br w:val="nil"/>
              <w:tr2bl w:val="nil"/>
            </w:tcBorders>
            <w:shd w:val="clear" w:color="auto" w:fill="auto"/>
            <w:vAlign w:val="center"/>
          </w:tcPr>
          <w:p w14:paraId="3D9B52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67C42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70</w:t>
            </w:r>
          </w:p>
        </w:tc>
        <w:tc>
          <w:tcPr>
            <w:tcW w:w="1236" w:type="dxa"/>
            <w:tcBorders>
              <w:tl2br w:val="nil"/>
              <w:tr2bl w:val="nil"/>
            </w:tcBorders>
            <w:shd w:val="clear" w:color="auto" w:fill="auto"/>
            <w:vAlign w:val="center"/>
          </w:tcPr>
          <w:p w14:paraId="3BEE85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BBD18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56B35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582E8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E3697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BB8E7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A6080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5F32D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637FC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8826B49">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蒽</w:t>
            </w:r>
          </w:p>
        </w:tc>
        <w:tc>
          <w:tcPr>
            <w:tcW w:w="870" w:type="dxa"/>
            <w:tcBorders>
              <w:tl2br w:val="nil"/>
              <w:tr2bl w:val="nil"/>
            </w:tcBorders>
            <w:shd w:val="clear" w:color="auto" w:fill="auto"/>
            <w:vAlign w:val="center"/>
          </w:tcPr>
          <w:p w14:paraId="5D4021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1329A9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2F8848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9205C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1AFAFE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AC64D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41447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56BD4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E1F62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48BECF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7FEC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64BB3BF">
            <w:pPr>
              <w:ind w:left="-105" w:right="-105"/>
              <w:jc w:val="center"/>
              <w:textAlignment w:val="center"/>
              <w:rPr>
                <w:color w:val="auto"/>
                <w:sz w:val="21"/>
                <w:szCs w:val="21"/>
                <w:highlight w:val="none"/>
              </w:rPr>
            </w:pPr>
            <w:r>
              <w:rPr>
                <w:rFonts w:hint="eastAsia"/>
                <w:color w:val="auto"/>
                <w:sz w:val="21"/>
                <w:szCs w:val="21"/>
                <w:highlight w:val="none"/>
                <w:lang w:bidi="ar"/>
              </w:rPr>
              <w:t>䓛</w:t>
            </w:r>
          </w:p>
        </w:tc>
        <w:tc>
          <w:tcPr>
            <w:tcW w:w="870" w:type="dxa"/>
            <w:tcBorders>
              <w:tl2br w:val="nil"/>
              <w:tr2bl w:val="nil"/>
            </w:tcBorders>
            <w:shd w:val="clear" w:color="auto" w:fill="auto"/>
            <w:vAlign w:val="center"/>
          </w:tcPr>
          <w:p w14:paraId="4BDBDE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2019A6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1293</w:t>
            </w:r>
          </w:p>
        </w:tc>
        <w:tc>
          <w:tcPr>
            <w:tcW w:w="1236" w:type="dxa"/>
            <w:tcBorders>
              <w:tl2br w:val="nil"/>
              <w:tr2bl w:val="nil"/>
            </w:tcBorders>
            <w:shd w:val="clear" w:color="auto" w:fill="auto"/>
            <w:vAlign w:val="center"/>
          </w:tcPr>
          <w:p w14:paraId="4B229B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1329C0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33E81F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D5345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33E14E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6FD06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E6B06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7B7EF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DD37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5D2E406">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[b]</w:t>
            </w:r>
            <w:r>
              <w:rPr>
                <w:rFonts w:hint="eastAsia"/>
                <w:color w:val="auto"/>
                <w:sz w:val="21"/>
                <w:szCs w:val="21"/>
                <w:highlight w:val="none"/>
                <w:lang w:bidi="ar"/>
              </w:rPr>
              <w:t>荧蒽</w:t>
            </w:r>
          </w:p>
        </w:tc>
        <w:tc>
          <w:tcPr>
            <w:tcW w:w="870" w:type="dxa"/>
            <w:tcBorders>
              <w:tl2br w:val="nil"/>
              <w:tr2bl w:val="nil"/>
            </w:tcBorders>
            <w:shd w:val="clear" w:color="auto" w:fill="auto"/>
            <w:vAlign w:val="center"/>
          </w:tcPr>
          <w:p w14:paraId="751061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9857E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34CDD5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29E9F0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DF603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F7BA3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0D910E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35DE2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2ADF5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563F6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9D9F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E0E538F">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[k]</w:t>
            </w:r>
            <w:r>
              <w:rPr>
                <w:rFonts w:hint="eastAsia"/>
                <w:color w:val="auto"/>
                <w:sz w:val="21"/>
                <w:szCs w:val="21"/>
                <w:highlight w:val="none"/>
                <w:lang w:bidi="ar"/>
              </w:rPr>
              <w:t>荧蒽</w:t>
            </w:r>
          </w:p>
        </w:tc>
        <w:tc>
          <w:tcPr>
            <w:tcW w:w="870" w:type="dxa"/>
            <w:tcBorders>
              <w:tl2br w:val="nil"/>
              <w:tr2bl w:val="nil"/>
            </w:tcBorders>
            <w:shd w:val="clear" w:color="auto" w:fill="auto"/>
            <w:vAlign w:val="center"/>
          </w:tcPr>
          <w:p w14:paraId="44E684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396F62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151</w:t>
            </w:r>
          </w:p>
        </w:tc>
        <w:tc>
          <w:tcPr>
            <w:tcW w:w="1236" w:type="dxa"/>
            <w:tcBorders>
              <w:tl2br w:val="nil"/>
              <w:tr2bl w:val="nil"/>
            </w:tcBorders>
            <w:shd w:val="clear" w:color="auto" w:fill="auto"/>
            <w:vAlign w:val="center"/>
          </w:tcPr>
          <w:p w14:paraId="404A93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41AB0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35AE3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34CFE8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A34ED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592306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E5BAC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DBF035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D622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4B309BD">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芘</w:t>
            </w:r>
          </w:p>
        </w:tc>
        <w:tc>
          <w:tcPr>
            <w:tcW w:w="870" w:type="dxa"/>
            <w:tcBorders>
              <w:tl2br w:val="nil"/>
              <w:tr2bl w:val="nil"/>
            </w:tcBorders>
            <w:shd w:val="clear" w:color="auto" w:fill="auto"/>
            <w:vAlign w:val="center"/>
          </w:tcPr>
          <w:p w14:paraId="2F3E45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025407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3C02B6C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14B4C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10C693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F2399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69E691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772276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11B81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261E0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63DAC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705A863">
            <w:pPr>
              <w:ind w:left="-105" w:right="-105"/>
              <w:jc w:val="center"/>
              <w:textAlignment w:val="center"/>
              <w:rPr>
                <w:color w:val="auto"/>
                <w:sz w:val="21"/>
                <w:szCs w:val="21"/>
                <w:highlight w:val="none"/>
              </w:rPr>
            </w:pPr>
            <w:r>
              <w:rPr>
                <w:rFonts w:hint="eastAsia"/>
                <w:color w:val="auto"/>
                <w:sz w:val="21"/>
                <w:szCs w:val="21"/>
                <w:highlight w:val="none"/>
                <w:lang w:bidi="ar"/>
              </w:rPr>
              <w:t>茚并</w:t>
            </w:r>
            <w:r>
              <w:rPr>
                <w:rFonts w:ascii="Times New Roman" w:hAnsi="Times New Roman" w:cs="Times New Roman"/>
                <w:color w:val="auto"/>
                <w:sz w:val="21"/>
                <w:szCs w:val="21"/>
                <w:highlight w:val="none"/>
                <w:lang w:bidi="ar"/>
              </w:rPr>
              <w:t>[1,2,3-cd]</w:t>
            </w:r>
            <w:r>
              <w:rPr>
                <w:rFonts w:hint="eastAsia"/>
                <w:color w:val="auto"/>
                <w:sz w:val="21"/>
                <w:szCs w:val="21"/>
                <w:highlight w:val="none"/>
                <w:lang w:bidi="ar"/>
              </w:rPr>
              <w:t>芘</w:t>
            </w:r>
          </w:p>
        </w:tc>
        <w:tc>
          <w:tcPr>
            <w:tcW w:w="870" w:type="dxa"/>
            <w:tcBorders>
              <w:tl2br w:val="nil"/>
              <w:tr2bl w:val="nil"/>
            </w:tcBorders>
            <w:shd w:val="clear" w:color="auto" w:fill="auto"/>
            <w:vAlign w:val="center"/>
          </w:tcPr>
          <w:p w14:paraId="333114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443270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5F2A3E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9EEB5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70550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1FB6A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25BB27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BC606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007F49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0D5C9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35C6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C79E394">
            <w:pPr>
              <w:ind w:left="-105" w:right="-105"/>
              <w:jc w:val="center"/>
              <w:textAlignment w:val="center"/>
              <w:rPr>
                <w:color w:val="auto"/>
                <w:sz w:val="21"/>
                <w:szCs w:val="21"/>
                <w:highlight w:val="none"/>
              </w:rPr>
            </w:pPr>
            <w:r>
              <w:rPr>
                <w:rFonts w:hint="eastAsia"/>
                <w:color w:val="auto"/>
                <w:sz w:val="21"/>
                <w:szCs w:val="21"/>
                <w:highlight w:val="none"/>
                <w:lang w:bidi="ar"/>
              </w:rPr>
              <w:t>二苯并</w:t>
            </w:r>
            <w:r>
              <w:rPr>
                <w:rFonts w:ascii="Times New Roman" w:hAnsi="Times New Roman" w:cs="Times New Roman"/>
                <w:color w:val="auto"/>
                <w:sz w:val="21"/>
                <w:szCs w:val="21"/>
                <w:highlight w:val="none"/>
                <w:lang w:bidi="ar"/>
              </w:rPr>
              <w:t>[a,h]</w:t>
            </w:r>
            <w:r>
              <w:rPr>
                <w:rFonts w:hint="eastAsia"/>
                <w:color w:val="auto"/>
                <w:sz w:val="21"/>
                <w:szCs w:val="21"/>
                <w:highlight w:val="none"/>
                <w:lang w:bidi="ar"/>
              </w:rPr>
              <w:t>蒽</w:t>
            </w:r>
          </w:p>
        </w:tc>
        <w:tc>
          <w:tcPr>
            <w:tcW w:w="870" w:type="dxa"/>
            <w:tcBorders>
              <w:tl2br w:val="nil"/>
              <w:tr2bl w:val="nil"/>
            </w:tcBorders>
            <w:shd w:val="clear" w:color="auto" w:fill="auto"/>
            <w:vAlign w:val="center"/>
          </w:tcPr>
          <w:p w14:paraId="52C830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900" w:type="dxa"/>
            <w:tcBorders>
              <w:tl2br w:val="nil"/>
              <w:tr2bl w:val="nil"/>
            </w:tcBorders>
            <w:shd w:val="clear" w:color="auto" w:fill="auto"/>
            <w:vAlign w:val="center"/>
          </w:tcPr>
          <w:p w14:paraId="5D9E9BE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6" w:type="dxa"/>
            <w:tcBorders>
              <w:tl2br w:val="nil"/>
              <w:tr2bl w:val="nil"/>
            </w:tcBorders>
            <w:shd w:val="clear" w:color="auto" w:fill="auto"/>
            <w:vAlign w:val="center"/>
          </w:tcPr>
          <w:p w14:paraId="1CC134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423E7F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495939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0011BA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5480A1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6" w:type="dxa"/>
            <w:tcBorders>
              <w:tl2br w:val="nil"/>
              <w:tr2bl w:val="nil"/>
            </w:tcBorders>
            <w:shd w:val="clear" w:color="auto" w:fill="auto"/>
            <w:vAlign w:val="center"/>
          </w:tcPr>
          <w:p w14:paraId="6A4547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6" w:type="dxa"/>
            <w:tcBorders>
              <w:tl2br w:val="nil"/>
              <w:tr2bl w:val="nil"/>
            </w:tcBorders>
            <w:shd w:val="clear" w:color="auto" w:fill="auto"/>
            <w:vAlign w:val="center"/>
          </w:tcPr>
          <w:p w14:paraId="7030D9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87BAB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bl>
    <w:p w14:paraId="3A1D5F73">
      <w:pPr>
        <w:pStyle w:val="15"/>
        <w:spacing w:line="360" w:lineRule="auto"/>
        <w:ind w:left="-105" w:right="-105" w:firstLine="482"/>
        <w:rPr>
          <w:rFonts w:eastAsia="宋体" w:cs="Times New Roman"/>
          <w:b w:val="0"/>
          <w:bCs/>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14</w:t>
      </w:r>
      <w:r>
        <w:rPr>
          <w:rFonts w:eastAsia="宋体" w:cs="Times New Roman"/>
          <w:color w:val="auto"/>
          <w:sz w:val="24"/>
          <w:szCs w:val="18"/>
          <w:highlight w:val="none"/>
        </w:rPr>
        <w:fldChar w:fldCharType="end"/>
      </w:r>
      <w:r>
        <w:rPr>
          <w:rFonts w:eastAsia="宋体" w:cs="Times New Roman"/>
          <w:color w:val="auto"/>
          <w:sz w:val="24"/>
          <w:szCs w:val="18"/>
          <w:highlight w:val="none"/>
        </w:rPr>
        <w:t>土壤监测点T</w:t>
      </w:r>
      <w:r>
        <w:rPr>
          <w:rFonts w:hint="eastAsia" w:eastAsia="宋体" w:cs="Times New Roman"/>
          <w:color w:val="auto"/>
          <w:sz w:val="24"/>
          <w:szCs w:val="18"/>
          <w:highlight w:val="none"/>
        </w:rPr>
        <w:t>1-</w:t>
      </w:r>
      <w:r>
        <w:rPr>
          <w:rFonts w:eastAsia="宋体" w:cs="Times New Roman"/>
          <w:color w:val="auto"/>
          <w:sz w:val="24"/>
          <w:szCs w:val="18"/>
          <w:highlight w:val="none"/>
        </w:rPr>
        <w:t>3污染风险筛选结果</w:t>
      </w:r>
    </w:p>
    <w:tbl>
      <w:tblPr>
        <w:tblStyle w:val="45"/>
        <w:tblW w:w="5000" w:type="pct"/>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2"/>
        <w:gridCol w:w="870"/>
        <w:gridCol w:w="885"/>
        <w:gridCol w:w="1238"/>
        <w:gridCol w:w="1238"/>
        <w:gridCol w:w="1238"/>
        <w:gridCol w:w="1238"/>
        <w:gridCol w:w="1238"/>
        <w:gridCol w:w="1238"/>
        <w:gridCol w:w="1238"/>
        <w:gridCol w:w="1239"/>
      </w:tblGrid>
      <w:tr w14:paraId="75898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restart"/>
            <w:tcBorders>
              <w:tl2br w:val="nil"/>
              <w:tr2bl w:val="nil"/>
            </w:tcBorders>
            <w:shd w:val="clear" w:color="auto" w:fill="auto"/>
            <w:vAlign w:val="center"/>
          </w:tcPr>
          <w:p w14:paraId="03BBD381">
            <w:pPr>
              <w:ind w:left="-105" w:right="-105"/>
              <w:jc w:val="center"/>
              <w:textAlignment w:val="center"/>
              <w:rPr>
                <w:b/>
                <w:bCs/>
                <w:color w:val="auto"/>
                <w:sz w:val="21"/>
                <w:szCs w:val="21"/>
                <w:highlight w:val="none"/>
              </w:rPr>
            </w:pPr>
            <w:r>
              <w:rPr>
                <w:rFonts w:hint="eastAsia"/>
                <w:b/>
                <w:bCs/>
                <w:color w:val="auto"/>
                <w:sz w:val="21"/>
                <w:szCs w:val="21"/>
                <w:highlight w:val="none"/>
                <w:lang w:bidi="ar"/>
              </w:rPr>
              <w:t>检测项目</w:t>
            </w:r>
          </w:p>
        </w:tc>
        <w:tc>
          <w:tcPr>
            <w:tcW w:w="870" w:type="dxa"/>
            <w:vMerge w:val="restart"/>
            <w:tcBorders>
              <w:tl2br w:val="nil"/>
              <w:tr2bl w:val="nil"/>
            </w:tcBorders>
            <w:shd w:val="clear" w:color="auto" w:fill="auto"/>
            <w:vAlign w:val="center"/>
          </w:tcPr>
          <w:p w14:paraId="7CEFE006">
            <w:pPr>
              <w:ind w:left="-105" w:right="-105"/>
              <w:jc w:val="center"/>
              <w:textAlignment w:val="center"/>
              <w:rPr>
                <w:b/>
                <w:bCs/>
                <w:color w:val="auto"/>
                <w:sz w:val="21"/>
                <w:szCs w:val="21"/>
                <w:highlight w:val="none"/>
              </w:rPr>
            </w:pPr>
            <w:r>
              <w:rPr>
                <w:rFonts w:hint="eastAsia"/>
                <w:b/>
                <w:bCs/>
                <w:color w:val="auto"/>
                <w:sz w:val="21"/>
                <w:szCs w:val="21"/>
                <w:highlight w:val="none"/>
                <w:lang w:bidi="ar"/>
              </w:rPr>
              <w:t>单位</w:t>
            </w:r>
          </w:p>
        </w:tc>
        <w:tc>
          <w:tcPr>
            <w:tcW w:w="885" w:type="dxa"/>
            <w:vMerge w:val="restart"/>
            <w:tcBorders>
              <w:tl2br w:val="nil"/>
              <w:tr2bl w:val="nil"/>
            </w:tcBorders>
            <w:shd w:val="clear" w:color="auto" w:fill="auto"/>
            <w:vAlign w:val="center"/>
          </w:tcPr>
          <w:p w14:paraId="3B5163A9">
            <w:pPr>
              <w:ind w:left="-105" w:right="-105"/>
              <w:jc w:val="center"/>
              <w:textAlignment w:val="center"/>
              <w:rPr>
                <w:b/>
                <w:bCs/>
                <w:color w:val="auto"/>
                <w:sz w:val="21"/>
                <w:szCs w:val="21"/>
                <w:highlight w:val="none"/>
              </w:rPr>
            </w:pPr>
            <w:r>
              <w:rPr>
                <w:rFonts w:hint="eastAsia"/>
                <w:b/>
                <w:bCs/>
                <w:color w:val="auto"/>
                <w:sz w:val="21"/>
                <w:szCs w:val="21"/>
                <w:highlight w:val="none"/>
                <w:lang w:bidi="ar"/>
              </w:rPr>
              <w:t>筛选值</w:t>
            </w:r>
          </w:p>
        </w:tc>
        <w:tc>
          <w:tcPr>
            <w:tcW w:w="9905" w:type="dxa"/>
            <w:gridSpan w:val="8"/>
            <w:tcBorders>
              <w:tl2br w:val="nil"/>
              <w:tr2bl w:val="nil"/>
            </w:tcBorders>
            <w:shd w:val="clear" w:color="auto" w:fill="auto"/>
            <w:vAlign w:val="center"/>
          </w:tcPr>
          <w:p w14:paraId="657D0EF5">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T1-3</w:t>
            </w:r>
          </w:p>
        </w:tc>
      </w:tr>
      <w:tr w14:paraId="168C6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1635A39C">
            <w:pPr>
              <w:ind w:left="-105" w:right="-105"/>
              <w:jc w:val="center"/>
              <w:rPr>
                <w:b/>
                <w:bCs/>
                <w:color w:val="auto"/>
                <w:sz w:val="21"/>
                <w:szCs w:val="21"/>
                <w:highlight w:val="none"/>
              </w:rPr>
            </w:pPr>
          </w:p>
        </w:tc>
        <w:tc>
          <w:tcPr>
            <w:tcW w:w="870" w:type="dxa"/>
            <w:vMerge w:val="continue"/>
            <w:tcBorders>
              <w:tl2br w:val="nil"/>
              <w:tr2bl w:val="nil"/>
            </w:tcBorders>
            <w:shd w:val="clear" w:color="auto" w:fill="auto"/>
            <w:vAlign w:val="center"/>
          </w:tcPr>
          <w:p w14:paraId="1142D884">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714153C5">
            <w:pPr>
              <w:ind w:left="-105" w:right="-105"/>
              <w:jc w:val="center"/>
              <w:rPr>
                <w:b/>
                <w:bCs/>
                <w:color w:val="auto"/>
                <w:sz w:val="21"/>
                <w:szCs w:val="21"/>
                <w:highlight w:val="none"/>
              </w:rPr>
            </w:pPr>
          </w:p>
        </w:tc>
        <w:tc>
          <w:tcPr>
            <w:tcW w:w="2476" w:type="dxa"/>
            <w:gridSpan w:val="2"/>
            <w:tcBorders>
              <w:tl2br w:val="nil"/>
              <w:tr2bl w:val="nil"/>
            </w:tcBorders>
            <w:shd w:val="clear" w:color="auto" w:fill="auto"/>
            <w:vAlign w:val="center"/>
          </w:tcPr>
          <w:p w14:paraId="155C7D5A">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c>
          <w:tcPr>
            <w:tcW w:w="2476" w:type="dxa"/>
            <w:gridSpan w:val="2"/>
            <w:tcBorders>
              <w:tl2br w:val="nil"/>
              <w:tr2bl w:val="nil"/>
            </w:tcBorders>
            <w:shd w:val="clear" w:color="auto" w:fill="auto"/>
            <w:vAlign w:val="center"/>
          </w:tcPr>
          <w:p w14:paraId="0DF48528">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0.3-0.5m</w:t>
            </w:r>
          </w:p>
        </w:tc>
        <w:tc>
          <w:tcPr>
            <w:tcW w:w="2476" w:type="dxa"/>
            <w:gridSpan w:val="2"/>
            <w:tcBorders>
              <w:tl2br w:val="nil"/>
              <w:tr2bl w:val="nil"/>
            </w:tcBorders>
            <w:shd w:val="clear" w:color="auto" w:fill="auto"/>
            <w:vAlign w:val="center"/>
          </w:tcPr>
          <w:p w14:paraId="0E2B25BD">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0.8-1.0m</w:t>
            </w:r>
          </w:p>
        </w:tc>
        <w:tc>
          <w:tcPr>
            <w:tcW w:w="2477" w:type="dxa"/>
            <w:gridSpan w:val="2"/>
            <w:tcBorders>
              <w:tl2br w:val="nil"/>
              <w:tr2bl w:val="nil"/>
            </w:tcBorders>
            <w:shd w:val="clear" w:color="auto" w:fill="auto"/>
            <w:vAlign w:val="center"/>
          </w:tcPr>
          <w:p w14:paraId="7E58A06A">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1.8-2.0m</w:t>
            </w:r>
          </w:p>
        </w:tc>
      </w:tr>
      <w:tr w14:paraId="1EFEA6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4F447556">
            <w:pPr>
              <w:ind w:left="-105" w:right="-105"/>
              <w:jc w:val="center"/>
              <w:rPr>
                <w:b/>
                <w:bCs/>
                <w:color w:val="auto"/>
                <w:sz w:val="21"/>
                <w:szCs w:val="21"/>
                <w:highlight w:val="none"/>
              </w:rPr>
            </w:pPr>
          </w:p>
        </w:tc>
        <w:tc>
          <w:tcPr>
            <w:tcW w:w="870" w:type="dxa"/>
            <w:vMerge w:val="continue"/>
            <w:tcBorders>
              <w:tl2br w:val="nil"/>
              <w:tr2bl w:val="nil"/>
            </w:tcBorders>
            <w:shd w:val="clear" w:color="auto" w:fill="auto"/>
            <w:vAlign w:val="center"/>
          </w:tcPr>
          <w:p w14:paraId="784984A2">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0A5ED998">
            <w:pPr>
              <w:ind w:left="-105" w:right="-105"/>
              <w:jc w:val="center"/>
              <w:rPr>
                <w:b/>
                <w:bCs/>
                <w:color w:val="auto"/>
                <w:sz w:val="21"/>
                <w:szCs w:val="21"/>
                <w:highlight w:val="none"/>
              </w:rPr>
            </w:pPr>
          </w:p>
        </w:tc>
        <w:tc>
          <w:tcPr>
            <w:tcW w:w="1238" w:type="dxa"/>
            <w:tcBorders>
              <w:tl2br w:val="nil"/>
              <w:tr2bl w:val="nil"/>
            </w:tcBorders>
            <w:shd w:val="clear" w:color="auto" w:fill="auto"/>
            <w:vAlign w:val="center"/>
          </w:tcPr>
          <w:p w14:paraId="61CA45C7">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8" w:type="dxa"/>
            <w:tcBorders>
              <w:tl2br w:val="nil"/>
              <w:tr2bl w:val="nil"/>
            </w:tcBorders>
            <w:shd w:val="clear" w:color="auto" w:fill="auto"/>
            <w:vAlign w:val="center"/>
          </w:tcPr>
          <w:p w14:paraId="4A500D51">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8" w:type="dxa"/>
            <w:tcBorders>
              <w:tl2br w:val="nil"/>
              <w:tr2bl w:val="nil"/>
            </w:tcBorders>
            <w:shd w:val="clear" w:color="auto" w:fill="auto"/>
            <w:vAlign w:val="center"/>
          </w:tcPr>
          <w:p w14:paraId="229F07FD">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8" w:type="dxa"/>
            <w:tcBorders>
              <w:tl2br w:val="nil"/>
              <w:tr2bl w:val="nil"/>
            </w:tcBorders>
            <w:shd w:val="clear" w:color="auto" w:fill="auto"/>
            <w:vAlign w:val="center"/>
          </w:tcPr>
          <w:p w14:paraId="01AC5474">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8" w:type="dxa"/>
            <w:tcBorders>
              <w:tl2br w:val="nil"/>
              <w:tr2bl w:val="nil"/>
            </w:tcBorders>
            <w:shd w:val="clear" w:color="auto" w:fill="auto"/>
            <w:vAlign w:val="center"/>
          </w:tcPr>
          <w:p w14:paraId="21DCDAC0">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8" w:type="dxa"/>
            <w:tcBorders>
              <w:tl2br w:val="nil"/>
              <w:tr2bl w:val="nil"/>
            </w:tcBorders>
            <w:shd w:val="clear" w:color="auto" w:fill="auto"/>
            <w:vAlign w:val="center"/>
          </w:tcPr>
          <w:p w14:paraId="3B814BBB">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238" w:type="dxa"/>
            <w:tcBorders>
              <w:tl2br w:val="nil"/>
              <w:tr2bl w:val="nil"/>
            </w:tcBorders>
            <w:shd w:val="clear" w:color="auto" w:fill="auto"/>
            <w:vAlign w:val="center"/>
          </w:tcPr>
          <w:p w14:paraId="18A42E23">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239" w:type="dxa"/>
            <w:tcBorders>
              <w:tl2br w:val="nil"/>
              <w:tr2bl w:val="nil"/>
            </w:tcBorders>
            <w:shd w:val="clear" w:color="auto" w:fill="auto"/>
            <w:vAlign w:val="center"/>
          </w:tcPr>
          <w:p w14:paraId="58249F3C">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r>
      <w:tr w14:paraId="1B2A3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5C12C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pH</w:t>
            </w:r>
          </w:p>
        </w:tc>
        <w:tc>
          <w:tcPr>
            <w:tcW w:w="870" w:type="dxa"/>
            <w:tcBorders>
              <w:tl2br w:val="nil"/>
              <w:tr2bl w:val="nil"/>
            </w:tcBorders>
            <w:shd w:val="clear" w:color="auto" w:fill="auto"/>
            <w:vAlign w:val="center"/>
          </w:tcPr>
          <w:p w14:paraId="0FB68A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885" w:type="dxa"/>
            <w:tcBorders>
              <w:tl2br w:val="nil"/>
              <w:tr2bl w:val="nil"/>
            </w:tcBorders>
            <w:shd w:val="clear" w:color="auto" w:fill="auto"/>
            <w:vAlign w:val="center"/>
          </w:tcPr>
          <w:p w14:paraId="63E9C5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01208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w:t>
            </w:r>
          </w:p>
        </w:tc>
        <w:tc>
          <w:tcPr>
            <w:tcW w:w="1238" w:type="dxa"/>
            <w:tcBorders>
              <w:tl2br w:val="nil"/>
              <w:tr2bl w:val="nil"/>
            </w:tcBorders>
            <w:shd w:val="clear" w:color="auto" w:fill="auto"/>
            <w:vAlign w:val="center"/>
          </w:tcPr>
          <w:p w14:paraId="411D7F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EE276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6.76</w:t>
            </w:r>
          </w:p>
        </w:tc>
        <w:tc>
          <w:tcPr>
            <w:tcW w:w="1238" w:type="dxa"/>
            <w:tcBorders>
              <w:tl2br w:val="nil"/>
              <w:tr2bl w:val="nil"/>
            </w:tcBorders>
            <w:shd w:val="clear" w:color="auto" w:fill="auto"/>
            <w:vAlign w:val="center"/>
          </w:tcPr>
          <w:p w14:paraId="1D28EC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3DEE4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6.79</w:t>
            </w:r>
          </w:p>
        </w:tc>
        <w:tc>
          <w:tcPr>
            <w:tcW w:w="1238" w:type="dxa"/>
            <w:tcBorders>
              <w:tl2br w:val="nil"/>
              <w:tr2bl w:val="nil"/>
            </w:tcBorders>
            <w:shd w:val="clear" w:color="auto" w:fill="auto"/>
            <w:vAlign w:val="center"/>
          </w:tcPr>
          <w:p w14:paraId="1853BB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93939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6.86</w:t>
            </w:r>
          </w:p>
        </w:tc>
        <w:tc>
          <w:tcPr>
            <w:tcW w:w="1239" w:type="dxa"/>
            <w:tcBorders>
              <w:tl2br w:val="nil"/>
              <w:tr2bl w:val="nil"/>
            </w:tcBorders>
            <w:shd w:val="clear" w:color="auto" w:fill="auto"/>
            <w:vAlign w:val="center"/>
          </w:tcPr>
          <w:p w14:paraId="7F6360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2C59F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78E98E6">
            <w:pPr>
              <w:ind w:left="-105" w:right="-105"/>
              <w:jc w:val="center"/>
              <w:textAlignment w:val="center"/>
              <w:rPr>
                <w:color w:val="auto"/>
                <w:sz w:val="21"/>
                <w:szCs w:val="21"/>
                <w:highlight w:val="none"/>
              </w:rPr>
            </w:pPr>
            <w:r>
              <w:rPr>
                <w:rFonts w:hint="eastAsia"/>
                <w:color w:val="auto"/>
                <w:sz w:val="21"/>
                <w:szCs w:val="21"/>
                <w:highlight w:val="none"/>
                <w:lang w:bidi="ar"/>
              </w:rPr>
              <w:t>汞</w:t>
            </w:r>
          </w:p>
        </w:tc>
        <w:tc>
          <w:tcPr>
            <w:tcW w:w="870" w:type="dxa"/>
            <w:tcBorders>
              <w:tl2br w:val="nil"/>
              <w:tr2bl w:val="nil"/>
            </w:tcBorders>
            <w:shd w:val="clear" w:color="auto" w:fill="auto"/>
            <w:vAlign w:val="center"/>
          </w:tcPr>
          <w:p w14:paraId="36063EC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08719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38</w:t>
            </w:r>
          </w:p>
        </w:tc>
        <w:tc>
          <w:tcPr>
            <w:tcW w:w="1238" w:type="dxa"/>
            <w:tcBorders>
              <w:tl2br w:val="nil"/>
              <w:tr2bl w:val="nil"/>
            </w:tcBorders>
            <w:shd w:val="clear" w:color="auto" w:fill="auto"/>
            <w:vAlign w:val="center"/>
          </w:tcPr>
          <w:p w14:paraId="664BFE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0.17</w:t>
            </w:r>
          </w:p>
        </w:tc>
        <w:tc>
          <w:tcPr>
            <w:tcW w:w="1238" w:type="dxa"/>
            <w:tcBorders>
              <w:tl2br w:val="nil"/>
              <w:tr2bl w:val="nil"/>
            </w:tcBorders>
            <w:shd w:val="clear" w:color="auto" w:fill="auto"/>
            <w:vAlign w:val="center"/>
          </w:tcPr>
          <w:p w14:paraId="49AD58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0.0045 </w:t>
            </w:r>
          </w:p>
        </w:tc>
        <w:tc>
          <w:tcPr>
            <w:tcW w:w="1238" w:type="dxa"/>
            <w:tcBorders>
              <w:tl2br w:val="nil"/>
              <w:tr2bl w:val="nil"/>
            </w:tcBorders>
            <w:shd w:val="clear" w:color="auto" w:fill="auto"/>
            <w:vAlign w:val="center"/>
          </w:tcPr>
          <w:p w14:paraId="400B091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0.29</w:t>
            </w:r>
          </w:p>
        </w:tc>
        <w:tc>
          <w:tcPr>
            <w:tcW w:w="1238" w:type="dxa"/>
            <w:tcBorders>
              <w:tl2br w:val="nil"/>
              <w:tr2bl w:val="nil"/>
            </w:tcBorders>
            <w:shd w:val="clear" w:color="auto" w:fill="auto"/>
            <w:vAlign w:val="center"/>
          </w:tcPr>
          <w:p w14:paraId="633C0D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0.0076 </w:t>
            </w:r>
          </w:p>
        </w:tc>
        <w:tc>
          <w:tcPr>
            <w:tcW w:w="1238" w:type="dxa"/>
            <w:tcBorders>
              <w:tl2br w:val="nil"/>
              <w:tr2bl w:val="nil"/>
            </w:tcBorders>
            <w:shd w:val="clear" w:color="auto" w:fill="auto"/>
            <w:vAlign w:val="center"/>
          </w:tcPr>
          <w:p w14:paraId="1A9033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0.25</w:t>
            </w:r>
          </w:p>
        </w:tc>
        <w:tc>
          <w:tcPr>
            <w:tcW w:w="1238" w:type="dxa"/>
            <w:tcBorders>
              <w:tl2br w:val="nil"/>
              <w:tr2bl w:val="nil"/>
            </w:tcBorders>
            <w:shd w:val="clear" w:color="auto" w:fill="auto"/>
            <w:vAlign w:val="center"/>
          </w:tcPr>
          <w:p w14:paraId="0EE6D0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0.0066 </w:t>
            </w:r>
          </w:p>
        </w:tc>
        <w:tc>
          <w:tcPr>
            <w:tcW w:w="1238" w:type="dxa"/>
            <w:tcBorders>
              <w:tl2br w:val="nil"/>
              <w:tr2bl w:val="nil"/>
            </w:tcBorders>
            <w:shd w:val="clear" w:color="auto" w:fill="auto"/>
            <w:vAlign w:val="center"/>
          </w:tcPr>
          <w:p w14:paraId="1EE0993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0.07</w:t>
            </w:r>
          </w:p>
        </w:tc>
        <w:tc>
          <w:tcPr>
            <w:tcW w:w="1239" w:type="dxa"/>
            <w:tcBorders>
              <w:tl2br w:val="nil"/>
              <w:tr2bl w:val="nil"/>
            </w:tcBorders>
            <w:shd w:val="clear" w:color="auto" w:fill="auto"/>
            <w:vAlign w:val="center"/>
          </w:tcPr>
          <w:p w14:paraId="3EED0F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0.0018 </w:t>
            </w:r>
          </w:p>
        </w:tc>
      </w:tr>
      <w:tr w14:paraId="01593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6F8ED62">
            <w:pPr>
              <w:ind w:left="-105" w:right="-105"/>
              <w:jc w:val="center"/>
              <w:textAlignment w:val="center"/>
              <w:rPr>
                <w:color w:val="auto"/>
                <w:sz w:val="21"/>
                <w:szCs w:val="21"/>
                <w:highlight w:val="none"/>
              </w:rPr>
            </w:pPr>
            <w:r>
              <w:rPr>
                <w:rFonts w:hint="eastAsia"/>
                <w:color w:val="auto"/>
                <w:sz w:val="21"/>
                <w:szCs w:val="21"/>
                <w:highlight w:val="none"/>
                <w:lang w:bidi="ar"/>
              </w:rPr>
              <w:t>砷</w:t>
            </w:r>
          </w:p>
        </w:tc>
        <w:tc>
          <w:tcPr>
            <w:tcW w:w="870" w:type="dxa"/>
            <w:tcBorders>
              <w:tl2br w:val="nil"/>
              <w:tr2bl w:val="nil"/>
            </w:tcBorders>
            <w:shd w:val="clear" w:color="auto" w:fill="auto"/>
            <w:vAlign w:val="center"/>
          </w:tcPr>
          <w:p w14:paraId="275312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8A04B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60</w:t>
            </w:r>
          </w:p>
        </w:tc>
        <w:tc>
          <w:tcPr>
            <w:tcW w:w="1238" w:type="dxa"/>
            <w:tcBorders>
              <w:tl2br w:val="nil"/>
              <w:tr2bl w:val="nil"/>
            </w:tcBorders>
            <w:shd w:val="clear" w:color="auto" w:fill="auto"/>
            <w:vAlign w:val="center"/>
          </w:tcPr>
          <w:p w14:paraId="02B9BE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10.5</w:t>
            </w:r>
          </w:p>
        </w:tc>
        <w:tc>
          <w:tcPr>
            <w:tcW w:w="1238" w:type="dxa"/>
            <w:tcBorders>
              <w:tl2br w:val="nil"/>
              <w:tr2bl w:val="nil"/>
            </w:tcBorders>
            <w:shd w:val="clear" w:color="auto" w:fill="auto"/>
            <w:vAlign w:val="center"/>
          </w:tcPr>
          <w:p w14:paraId="018389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0.1750 </w:t>
            </w:r>
          </w:p>
        </w:tc>
        <w:tc>
          <w:tcPr>
            <w:tcW w:w="1238" w:type="dxa"/>
            <w:tcBorders>
              <w:tl2br w:val="nil"/>
              <w:tr2bl w:val="nil"/>
            </w:tcBorders>
            <w:shd w:val="clear" w:color="auto" w:fill="auto"/>
            <w:vAlign w:val="center"/>
          </w:tcPr>
          <w:p w14:paraId="351B79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16</w:t>
            </w:r>
          </w:p>
        </w:tc>
        <w:tc>
          <w:tcPr>
            <w:tcW w:w="1238" w:type="dxa"/>
            <w:tcBorders>
              <w:tl2br w:val="nil"/>
              <w:tr2bl w:val="nil"/>
            </w:tcBorders>
            <w:shd w:val="clear" w:color="auto" w:fill="auto"/>
            <w:vAlign w:val="center"/>
          </w:tcPr>
          <w:p w14:paraId="201C42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0.2667 </w:t>
            </w:r>
          </w:p>
        </w:tc>
        <w:tc>
          <w:tcPr>
            <w:tcW w:w="1238" w:type="dxa"/>
            <w:tcBorders>
              <w:tl2br w:val="nil"/>
              <w:tr2bl w:val="nil"/>
            </w:tcBorders>
            <w:shd w:val="clear" w:color="auto" w:fill="auto"/>
            <w:vAlign w:val="center"/>
          </w:tcPr>
          <w:p w14:paraId="44BBDF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p>
        </w:tc>
        <w:tc>
          <w:tcPr>
            <w:tcW w:w="1238" w:type="dxa"/>
            <w:tcBorders>
              <w:tl2br w:val="nil"/>
              <w:tr2bl w:val="nil"/>
            </w:tcBorders>
            <w:shd w:val="clear" w:color="auto" w:fill="auto"/>
            <w:vAlign w:val="center"/>
          </w:tcPr>
          <w:p w14:paraId="6A05B8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0.2000 </w:t>
            </w:r>
          </w:p>
        </w:tc>
        <w:tc>
          <w:tcPr>
            <w:tcW w:w="1238" w:type="dxa"/>
            <w:tcBorders>
              <w:tl2br w:val="nil"/>
              <w:tr2bl w:val="nil"/>
            </w:tcBorders>
            <w:shd w:val="clear" w:color="auto" w:fill="auto"/>
            <w:vAlign w:val="center"/>
          </w:tcPr>
          <w:p w14:paraId="120C72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239" w:type="dxa"/>
            <w:tcBorders>
              <w:tl2br w:val="nil"/>
              <w:tr2bl w:val="nil"/>
            </w:tcBorders>
            <w:shd w:val="clear" w:color="auto" w:fill="auto"/>
            <w:vAlign w:val="center"/>
          </w:tcPr>
          <w:p w14:paraId="73373D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0.0450 </w:t>
            </w:r>
          </w:p>
        </w:tc>
      </w:tr>
      <w:tr w14:paraId="4606C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E8970AC">
            <w:pPr>
              <w:ind w:left="-105" w:right="-105"/>
              <w:jc w:val="center"/>
              <w:textAlignment w:val="center"/>
              <w:rPr>
                <w:color w:val="auto"/>
                <w:sz w:val="21"/>
                <w:szCs w:val="21"/>
                <w:highlight w:val="none"/>
              </w:rPr>
            </w:pPr>
            <w:r>
              <w:rPr>
                <w:rFonts w:hint="eastAsia"/>
                <w:color w:val="auto"/>
                <w:sz w:val="21"/>
                <w:szCs w:val="21"/>
                <w:highlight w:val="none"/>
                <w:lang w:bidi="ar"/>
              </w:rPr>
              <w:t>镉</w:t>
            </w:r>
          </w:p>
        </w:tc>
        <w:tc>
          <w:tcPr>
            <w:tcW w:w="870" w:type="dxa"/>
            <w:tcBorders>
              <w:tl2br w:val="nil"/>
              <w:tr2bl w:val="nil"/>
            </w:tcBorders>
            <w:shd w:val="clear" w:color="auto" w:fill="auto"/>
            <w:vAlign w:val="center"/>
          </w:tcPr>
          <w:p w14:paraId="7E802DF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08A9E4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65</w:t>
            </w:r>
          </w:p>
        </w:tc>
        <w:tc>
          <w:tcPr>
            <w:tcW w:w="1238" w:type="dxa"/>
            <w:tcBorders>
              <w:tl2br w:val="nil"/>
              <w:tr2bl w:val="nil"/>
            </w:tcBorders>
            <w:shd w:val="clear" w:color="auto" w:fill="auto"/>
            <w:vAlign w:val="center"/>
          </w:tcPr>
          <w:p w14:paraId="36DC6D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0.15</w:t>
            </w:r>
          </w:p>
        </w:tc>
        <w:tc>
          <w:tcPr>
            <w:tcW w:w="1238" w:type="dxa"/>
            <w:tcBorders>
              <w:tl2br w:val="nil"/>
              <w:tr2bl w:val="nil"/>
            </w:tcBorders>
            <w:shd w:val="clear" w:color="auto" w:fill="auto"/>
            <w:vAlign w:val="center"/>
          </w:tcPr>
          <w:p w14:paraId="0935FA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0.0023 </w:t>
            </w:r>
          </w:p>
        </w:tc>
        <w:tc>
          <w:tcPr>
            <w:tcW w:w="1238" w:type="dxa"/>
            <w:tcBorders>
              <w:tl2br w:val="nil"/>
              <w:tr2bl w:val="nil"/>
            </w:tcBorders>
            <w:shd w:val="clear" w:color="auto" w:fill="auto"/>
            <w:vAlign w:val="center"/>
          </w:tcPr>
          <w:p w14:paraId="683C74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0.18</w:t>
            </w:r>
          </w:p>
        </w:tc>
        <w:tc>
          <w:tcPr>
            <w:tcW w:w="1238" w:type="dxa"/>
            <w:tcBorders>
              <w:tl2br w:val="nil"/>
              <w:tr2bl w:val="nil"/>
            </w:tcBorders>
            <w:shd w:val="clear" w:color="auto" w:fill="auto"/>
            <w:vAlign w:val="center"/>
          </w:tcPr>
          <w:p w14:paraId="11B1A5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0.0028 </w:t>
            </w:r>
          </w:p>
        </w:tc>
        <w:tc>
          <w:tcPr>
            <w:tcW w:w="1238" w:type="dxa"/>
            <w:tcBorders>
              <w:tl2br w:val="nil"/>
              <w:tr2bl w:val="nil"/>
            </w:tcBorders>
            <w:shd w:val="clear" w:color="auto" w:fill="auto"/>
            <w:vAlign w:val="center"/>
          </w:tcPr>
          <w:p w14:paraId="4AF096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0.15</w:t>
            </w:r>
          </w:p>
        </w:tc>
        <w:tc>
          <w:tcPr>
            <w:tcW w:w="1238" w:type="dxa"/>
            <w:tcBorders>
              <w:tl2br w:val="nil"/>
              <w:tr2bl w:val="nil"/>
            </w:tcBorders>
            <w:shd w:val="clear" w:color="auto" w:fill="auto"/>
            <w:vAlign w:val="center"/>
          </w:tcPr>
          <w:p w14:paraId="72FFA9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0.0023 </w:t>
            </w:r>
          </w:p>
        </w:tc>
        <w:tc>
          <w:tcPr>
            <w:tcW w:w="1238" w:type="dxa"/>
            <w:tcBorders>
              <w:tl2br w:val="nil"/>
              <w:tr2bl w:val="nil"/>
            </w:tcBorders>
            <w:shd w:val="clear" w:color="auto" w:fill="auto"/>
            <w:vAlign w:val="center"/>
          </w:tcPr>
          <w:p w14:paraId="3DD18C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0.18</w:t>
            </w:r>
          </w:p>
        </w:tc>
        <w:tc>
          <w:tcPr>
            <w:tcW w:w="1239" w:type="dxa"/>
            <w:tcBorders>
              <w:tl2br w:val="nil"/>
              <w:tr2bl w:val="nil"/>
            </w:tcBorders>
            <w:shd w:val="clear" w:color="auto" w:fill="auto"/>
            <w:vAlign w:val="center"/>
          </w:tcPr>
          <w:p w14:paraId="5F141BA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0.0028 </w:t>
            </w:r>
          </w:p>
        </w:tc>
      </w:tr>
      <w:tr w14:paraId="487C47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F5D2957">
            <w:pPr>
              <w:ind w:left="-105" w:right="-105"/>
              <w:jc w:val="center"/>
              <w:textAlignment w:val="center"/>
              <w:rPr>
                <w:color w:val="auto"/>
                <w:sz w:val="21"/>
                <w:szCs w:val="21"/>
                <w:highlight w:val="none"/>
              </w:rPr>
            </w:pPr>
            <w:r>
              <w:rPr>
                <w:rFonts w:hint="eastAsia"/>
                <w:color w:val="auto"/>
                <w:sz w:val="21"/>
                <w:szCs w:val="21"/>
                <w:highlight w:val="none"/>
                <w:lang w:bidi="ar"/>
              </w:rPr>
              <w:t>铜</w:t>
            </w:r>
          </w:p>
        </w:tc>
        <w:tc>
          <w:tcPr>
            <w:tcW w:w="870" w:type="dxa"/>
            <w:tcBorders>
              <w:tl2br w:val="nil"/>
              <w:tr2bl w:val="nil"/>
            </w:tcBorders>
            <w:shd w:val="clear" w:color="auto" w:fill="auto"/>
            <w:vAlign w:val="center"/>
          </w:tcPr>
          <w:p w14:paraId="10FE53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6874E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18000</w:t>
            </w:r>
          </w:p>
        </w:tc>
        <w:tc>
          <w:tcPr>
            <w:tcW w:w="1238" w:type="dxa"/>
            <w:tcBorders>
              <w:tl2br w:val="nil"/>
              <w:tr2bl w:val="nil"/>
            </w:tcBorders>
            <w:shd w:val="clear" w:color="auto" w:fill="auto"/>
            <w:vAlign w:val="center"/>
          </w:tcPr>
          <w:p w14:paraId="19B267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21</w:t>
            </w:r>
          </w:p>
        </w:tc>
        <w:tc>
          <w:tcPr>
            <w:tcW w:w="1238" w:type="dxa"/>
            <w:tcBorders>
              <w:tl2br w:val="nil"/>
              <w:tr2bl w:val="nil"/>
            </w:tcBorders>
            <w:shd w:val="clear" w:color="auto" w:fill="auto"/>
            <w:vAlign w:val="center"/>
          </w:tcPr>
          <w:p w14:paraId="7913E92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0.0012 </w:t>
            </w:r>
          </w:p>
        </w:tc>
        <w:tc>
          <w:tcPr>
            <w:tcW w:w="1238" w:type="dxa"/>
            <w:tcBorders>
              <w:tl2br w:val="nil"/>
              <w:tr2bl w:val="nil"/>
            </w:tcBorders>
            <w:shd w:val="clear" w:color="auto" w:fill="auto"/>
            <w:vAlign w:val="center"/>
          </w:tcPr>
          <w:p w14:paraId="225B1E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21</w:t>
            </w:r>
          </w:p>
        </w:tc>
        <w:tc>
          <w:tcPr>
            <w:tcW w:w="1238" w:type="dxa"/>
            <w:tcBorders>
              <w:tl2br w:val="nil"/>
              <w:tr2bl w:val="nil"/>
            </w:tcBorders>
            <w:shd w:val="clear" w:color="auto" w:fill="auto"/>
            <w:vAlign w:val="center"/>
          </w:tcPr>
          <w:p w14:paraId="40D80B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0.0012 </w:t>
            </w:r>
          </w:p>
        </w:tc>
        <w:tc>
          <w:tcPr>
            <w:tcW w:w="1238" w:type="dxa"/>
            <w:tcBorders>
              <w:tl2br w:val="nil"/>
              <w:tr2bl w:val="nil"/>
            </w:tcBorders>
            <w:shd w:val="clear" w:color="auto" w:fill="auto"/>
            <w:vAlign w:val="center"/>
          </w:tcPr>
          <w:p w14:paraId="638031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8" w:type="dxa"/>
            <w:tcBorders>
              <w:tl2br w:val="nil"/>
              <w:tr2bl w:val="nil"/>
            </w:tcBorders>
            <w:shd w:val="clear" w:color="auto" w:fill="auto"/>
            <w:vAlign w:val="center"/>
          </w:tcPr>
          <w:p w14:paraId="5BB3FF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0.0014 </w:t>
            </w:r>
          </w:p>
        </w:tc>
        <w:tc>
          <w:tcPr>
            <w:tcW w:w="1238" w:type="dxa"/>
            <w:tcBorders>
              <w:tl2br w:val="nil"/>
              <w:tr2bl w:val="nil"/>
            </w:tcBorders>
            <w:shd w:val="clear" w:color="auto" w:fill="auto"/>
            <w:vAlign w:val="center"/>
          </w:tcPr>
          <w:p w14:paraId="64C1B5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w:t>
            </w:r>
          </w:p>
        </w:tc>
        <w:tc>
          <w:tcPr>
            <w:tcW w:w="1239" w:type="dxa"/>
            <w:tcBorders>
              <w:tl2br w:val="nil"/>
              <w:tr2bl w:val="nil"/>
            </w:tcBorders>
            <w:shd w:val="clear" w:color="auto" w:fill="auto"/>
            <w:vAlign w:val="center"/>
          </w:tcPr>
          <w:p w14:paraId="1822B1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0.0013 </w:t>
            </w:r>
          </w:p>
        </w:tc>
      </w:tr>
      <w:tr w14:paraId="782B1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3E8D7A4">
            <w:pPr>
              <w:ind w:left="-105" w:right="-105"/>
              <w:jc w:val="center"/>
              <w:textAlignment w:val="center"/>
              <w:rPr>
                <w:color w:val="auto"/>
                <w:sz w:val="21"/>
                <w:szCs w:val="21"/>
                <w:highlight w:val="none"/>
              </w:rPr>
            </w:pPr>
            <w:r>
              <w:rPr>
                <w:rFonts w:hint="eastAsia"/>
                <w:color w:val="auto"/>
                <w:sz w:val="21"/>
                <w:szCs w:val="21"/>
                <w:highlight w:val="none"/>
                <w:lang w:bidi="ar"/>
              </w:rPr>
              <w:t>铅</w:t>
            </w:r>
          </w:p>
        </w:tc>
        <w:tc>
          <w:tcPr>
            <w:tcW w:w="870" w:type="dxa"/>
            <w:tcBorders>
              <w:tl2br w:val="nil"/>
              <w:tr2bl w:val="nil"/>
            </w:tcBorders>
            <w:shd w:val="clear" w:color="auto" w:fill="auto"/>
            <w:vAlign w:val="center"/>
          </w:tcPr>
          <w:p w14:paraId="2B44CB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7ED5B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800</w:t>
            </w:r>
          </w:p>
        </w:tc>
        <w:tc>
          <w:tcPr>
            <w:tcW w:w="1238" w:type="dxa"/>
            <w:tcBorders>
              <w:tl2br w:val="nil"/>
              <w:tr2bl w:val="nil"/>
            </w:tcBorders>
            <w:shd w:val="clear" w:color="auto" w:fill="auto"/>
            <w:vAlign w:val="center"/>
          </w:tcPr>
          <w:p w14:paraId="646AA4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8" w:type="dxa"/>
            <w:tcBorders>
              <w:tl2br w:val="nil"/>
              <w:tr2bl w:val="nil"/>
            </w:tcBorders>
            <w:shd w:val="clear" w:color="auto" w:fill="auto"/>
            <w:vAlign w:val="center"/>
          </w:tcPr>
          <w:p w14:paraId="347C8F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0.0350 </w:t>
            </w:r>
          </w:p>
        </w:tc>
        <w:tc>
          <w:tcPr>
            <w:tcW w:w="1238" w:type="dxa"/>
            <w:tcBorders>
              <w:tl2br w:val="nil"/>
              <w:tr2bl w:val="nil"/>
            </w:tcBorders>
            <w:shd w:val="clear" w:color="auto" w:fill="auto"/>
            <w:vAlign w:val="center"/>
          </w:tcPr>
          <w:p w14:paraId="22EE15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8" w:type="dxa"/>
            <w:tcBorders>
              <w:tl2br w:val="nil"/>
              <w:tr2bl w:val="nil"/>
            </w:tcBorders>
            <w:shd w:val="clear" w:color="auto" w:fill="auto"/>
            <w:vAlign w:val="center"/>
          </w:tcPr>
          <w:p w14:paraId="451F27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0.0313 </w:t>
            </w:r>
          </w:p>
        </w:tc>
        <w:tc>
          <w:tcPr>
            <w:tcW w:w="1238" w:type="dxa"/>
            <w:tcBorders>
              <w:tl2br w:val="nil"/>
              <w:tr2bl w:val="nil"/>
            </w:tcBorders>
            <w:shd w:val="clear" w:color="auto" w:fill="auto"/>
            <w:vAlign w:val="center"/>
          </w:tcPr>
          <w:p w14:paraId="61068A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24.3</w:t>
            </w:r>
          </w:p>
        </w:tc>
        <w:tc>
          <w:tcPr>
            <w:tcW w:w="1238" w:type="dxa"/>
            <w:tcBorders>
              <w:tl2br w:val="nil"/>
              <w:tr2bl w:val="nil"/>
            </w:tcBorders>
            <w:shd w:val="clear" w:color="auto" w:fill="auto"/>
            <w:vAlign w:val="center"/>
          </w:tcPr>
          <w:p w14:paraId="597DAB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0.0304 </w:t>
            </w:r>
          </w:p>
        </w:tc>
        <w:tc>
          <w:tcPr>
            <w:tcW w:w="1238" w:type="dxa"/>
            <w:tcBorders>
              <w:tl2br w:val="nil"/>
              <w:tr2bl w:val="nil"/>
            </w:tcBorders>
            <w:shd w:val="clear" w:color="auto" w:fill="auto"/>
            <w:vAlign w:val="center"/>
          </w:tcPr>
          <w:p w14:paraId="524813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23.9</w:t>
            </w:r>
          </w:p>
        </w:tc>
        <w:tc>
          <w:tcPr>
            <w:tcW w:w="1239" w:type="dxa"/>
            <w:tcBorders>
              <w:tl2br w:val="nil"/>
              <w:tr2bl w:val="nil"/>
            </w:tcBorders>
            <w:shd w:val="clear" w:color="auto" w:fill="auto"/>
            <w:vAlign w:val="center"/>
          </w:tcPr>
          <w:p w14:paraId="1ACB78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0.0299 </w:t>
            </w:r>
          </w:p>
        </w:tc>
      </w:tr>
      <w:tr w14:paraId="26ED8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A04462F">
            <w:pPr>
              <w:ind w:left="-105" w:right="-105"/>
              <w:jc w:val="center"/>
              <w:textAlignment w:val="center"/>
              <w:rPr>
                <w:color w:val="auto"/>
                <w:sz w:val="21"/>
                <w:szCs w:val="21"/>
                <w:highlight w:val="none"/>
              </w:rPr>
            </w:pPr>
            <w:r>
              <w:rPr>
                <w:rFonts w:hint="eastAsia"/>
                <w:color w:val="auto"/>
                <w:sz w:val="21"/>
                <w:szCs w:val="21"/>
                <w:highlight w:val="none"/>
                <w:lang w:bidi="ar"/>
              </w:rPr>
              <w:t>镍</w:t>
            </w:r>
          </w:p>
        </w:tc>
        <w:tc>
          <w:tcPr>
            <w:tcW w:w="870" w:type="dxa"/>
            <w:tcBorders>
              <w:tl2br w:val="nil"/>
              <w:tr2bl w:val="nil"/>
            </w:tcBorders>
            <w:shd w:val="clear" w:color="auto" w:fill="auto"/>
            <w:vAlign w:val="center"/>
          </w:tcPr>
          <w:p w14:paraId="1C577A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7862B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900</w:t>
            </w:r>
          </w:p>
        </w:tc>
        <w:tc>
          <w:tcPr>
            <w:tcW w:w="1238" w:type="dxa"/>
            <w:tcBorders>
              <w:tl2br w:val="nil"/>
              <w:tr2bl w:val="nil"/>
            </w:tcBorders>
            <w:shd w:val="clear" w:color="auto" w:fill="auto"/>
            <w:vAlign w:val="center"/>
          </w:tcPr>
          <w:p w14:paraId="1B2BAF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8" w:type="dxa"/>
            <w:tcBorders>
              <w:tl2br w:val="nil"/>
              <w:tr2bl w:val="nil"/>
            </w:tcBorders>
            <w:shd w:val="clear" w:color="auto" w:fill="auto"/>
            <w:vAlign w:val="center"/>
          </w:tcPr>
          <w:p w14:paraId="65870C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0.0278 </w:t>
            </w:r>
          </w:p>
        </w:tc>
        <w:tc>
          <w:tcPr>
            <w:tcW w:w="1238" w:type="dxa"/>
            <w:tcBorders>
              <w:tl2br w:val="nil"/>
              <w:tr2bl w:val="nil"/>
            </w:tcBorders>
            <w:shd w:val="clear" w:color="auto" w:fill="auto"/>
            <w:vAlign w:val="center"/>
          </w:tcPr>
          <w:p w14:paraId="5AB786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w:t>
            </w:r>
          </w:p>
        </w:tc>
        <w:tc>
          <w:tcPr>
            <w:tcW w:w="1238" w:type="dxa"/>
            <w:tcBorders>
              <w:tl2br w:val="nil"/>
              <w:tr2bl w:val="nil"/>
            </w:tcBorders>
            <w:shd w:val="clear" w:color="auto" w:fill="auto"/>
            <w:vAlign w:val="center"/>
          </w:tcPr>
          <w:p w14:paraId="2CCDC6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0.0267 </w:t>
            </w:r>
          </w:p>
        </w:tc>
        <w:tc>
          <w:tcPr>
            <w:tcW w:w="1238" w:type="dxa"/>
            <w:tcBorders>
              <w:tl2br w:val="nil"/>
              <w:tr2bl w:val="nil"/>
            </w:tcBorders>
            <w:shd w:val="clear" w:color="auto" w:fill="auto"/>
            <w:vAlign w:val="center"/>
          </w:tcPr>
          <w:p w14:paraId="72CA9C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35</w:t>
            </w:r>
          </w:p>
        </w:tc>
        <w:tc>
          <w:tcPr>
            <w:tcW w:w="1238" w:type="dxa"/>
            <w:tcBorders>
              <w:tl2br w:val="nil"/>
              <w:tr2bl w:val="nil"/>
            </w:tcBorders>
            <w:shd w:val="clear" w:color="auto" w:fill="auto"/>
            <w:vAlign w:val="center"/>
          </w:tcPr>
          <w:p w14:paraId="7D677D9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0.0389 </w:t>
            </w:r>
          </w:p>
        </w:tc>
        <w:tc>
          <w:tcPr>
            <w:tcW w:w="1238" w:type="dxa"/>
            <w:tcBorders>
              <w:tl2br w:val="nil"/>
              <w:tr2bl w:val="nil"/>
            </w:tcBorders>
            <w:shd w:val="clear" w:color="auto" w:fill="auto"/>
            <w:vAlign w:val="center"/>
          </w:tcPr>
          <w:p w14:paraId="06B442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33</w:t>
            </w:r>
          </w:p>
        </w:tc>
        <w:tc>
          <w:tcPr>
            <w:tcW w:w="1239" w:type="dxa"/>
            <w:tcBorders>
              <w:tl2br w:val="nil"/>
              <w:tr2bl w:val="nil"/>
            </w:tcBorders>
            <w:shd w:val="clear" w:color="auto" w:fill="auto"/>
            <w:vAlign w:val="center"/>
          </w:tcPr>
          <w:p w14:paraId="317864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0.0367 </w:t>
            </w:r>
          </w:p>
        </w:tc>
      </w:tr>
      <w:tr w14:paraId="475C2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EA0117C">
            <w:pPr>
              <w:ind w:left="-105" w:right="-105"/>
              <w:jc w:val="center"/>
              <w:textAlignment w:val="center"/>
              <w:rPr>
                <w:color w:val="auto"/>
                <w:sz w:val="21"/>
                <w:szCs w:val="21"/>
                <w:highlight w:val="none"/>
              </w:rPr>
            </w:pPr>
            <w:r>
              <w:rPr>
                <w:rFonts w:hint="eastAsia"/>
                <w:color w:val="auto"/>
                <w:sz w:val="21"/>
                <w:szCs w:val="21"/>
                <w:highlight w:val="none"/>
                <w:lang w:bidi="ar"/>
              </w:rPr>
              <w:t>六价铬</w:t>
            </w:r>
          </w:p>
        </w:tc>
        <w:tc>
          <w:tcPr>
            <w:tcW w:w="870" w:type="dxa"/>
            <w:tcBorders>
              <w:tl2br w:val="nil"/>
              <w:tr2bl w:val="nil"/>
            </w:tcBorders>
            <w:shd w:val="clear" w:color="auto" w:fill="auto"/>
            <w:vAlign w:val="center"/>
          </w:tcPr>
          <w:p w14:paraId="1C7F10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033F34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w:t>
            </w:r>
          </w:p>
        </w:tc>
        <w:tc>
          <w:tcPr>
            <w:tcW w:w="1238" w:type="dxa"/>
            <w:tcBorders>
              <w:tl2br w:val="nil"/>
              <w:tr2bl w:val="nil"/>
            </w:tcBorders>
            <w:shd w:val="clear" w:color="auto" w:fill="auto"/>
            <w:vAlign w:val="center"/>
          </w:tcPr>
          <w:p w14:paraId="21FEE0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975AF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7BEFE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7D1E0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5169F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FA3C4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A55C0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3CCEBFA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5FBD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4F7BB10">
            <w:pPr>
              <w:ind w:left="-105" w:right="-105"/>
              <w:jc w:val="center"/>
              <w:textAlignment w:val="center"/>
              <w:rPr>
                <w:color w:val="auto"/>
                <w:sz w:val="21"/>
                <w:szCs w:val="21"/>
                <w:highlight w:val="none"/>
              </w:rPr>
            </w:pPr>
            <w:r>
              <w:rPr>
                <w:rFonts w:hint="eastAsia"/>
                <w:color w:val="auto"/>
                <w:sz w:val="21"/>
                <w:szCs w:val="21"/>
                <w:highlight w:val="none"/>
                <w:lang w:bidi="ar"/>
              </w:rPr>
              <w:t>氯甲烷</w:t>
            </w:r>
          </w:p>
        </w:tc>
        <w:tc>
          <w:tcPr>
            <w:tcW w:w="870" w:type="dxa"/>
            <w:tcBorders>
              <w:tl2br w:val="nil"/>
              <w:tr2bl w:val="nil"/>
            </w:tcBorders>
            <w:shd w:val="clear" w:color="auto" w:fill="auto"/>
            <w:vAlign w:val="center"/>
          </w:tcPr>
          <w:p w14:paraId="7A764A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10F9A1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37</w:t>
            </w:r>
          </w:p>
        </w:tc>
        <w:tc>
          <w:tcPr>
            <w:tcW w:w="1238" w:type="dxa"/>
            <w:tcBorders>
              <w:tl2br w:val="nil"/>
              <w:tr2bl w:val="nil"/>
            </w:tcBorders>
            <w:shd w:val="clear" w:color="auto" w:fill="auto"/>
            <w:vAlign w:val="center"/>
          </w:tcPr>
          <w:p w14:paraId="0B311D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FC66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72E09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D22B8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3F036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8" w:type="dxa"/>
            <w:tcBorders>
              <w:tl2br w:val="nil"/>
              <w:tr2bl w:val="nil"/>
            </w:tcBorders>
            <w:shd w:val="clear" w:color="auto" w:fill="auto"/>
            <w:vAlign w:val="center"/>
          </w:tcPr>
          <w:p w14:paraId="0F06B7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0.0676 </w:t>
            </w:r>
          </w:p>
        </w:tc>
        <w:tc>
          <w:tcPr>
            <w:tcW w:w="1238" w:type="dxa"/>
            <w:tcBorders>
              <w:tl2br w:val="nil"/>
              <w:tr2bl w:val="nil"/>
            </w:tcBorders>
            <w:shd w:val="clear" w:color="auto" w:fill="auto"/>
            <w:vAlign w:val="center"/>
          </w:tcPr>
          <w:p w14:paraId="69743E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9.8</w:t>
            </w:r>
          </w:p>
        </w:tc>
        <w:tc>
          <w:tcPr>
            <w:tcW w:w="1239" w:type="dxa"/>
            <w:tcBorders>
              <w:tl2br w:val="nil"/>
              <w:tr2bl w:val="nil"/>
            </w:tcBorders>
            <w:shd w:val="clear" w:color="auto" w:fill="auto"/>
            <w:vAlign w:val="center"/>
          </w:tcPr>
          <w:p w14:paraId="7EF08D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0.2649 </w:t>
            </w:r>
          </w:p>
        </w:tc>
      </w:tr>
      <w:tr w14:paraId="71402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8F428E6">
            <w:pPr>
              <w:ind w:left="-105" w:right="-105"/>
              <w:jc w:val="center"/>
              <w:textAlignment w:val="center"/>
              <w:rPr>
                <w:color w:val="auto"/>
                <w:sz w:val="21"/>
                <w:szCs w:val="21"/>
                <w:highlight w:val="none"/>
              </w:rPr>
            </w:pPr>
            <w:r>
              <w:rPr>
                <w:rFonts w:hint="eastAsia"/>
                <w:color w:val="auto"/>
                <w:sz w:val="21"/>
                <w:szCs w:val="21"/>
                <w:highlight w:val="none"/>
                <w:lang w:bidi="ar"/>
              </w:rPr>
              <w:t>氯乙烯</w:t>
            </w:r>
          </w:p>
        </w:tc>
        <w:tc>
          <w:tcPr>
            <w:tcW w:w="870" w:type="dxa"/>
            <w:tcBorders>
              <w:tl2br w:val="nil"/>
              <w:tr2bl w:val="nil"/>
            </w:tcBorders>
            <w:shd w:val="clear" w:color="auto" w:fill="auto"/>
            <w:vAlign w:val="center"/>
          </w:tcPr>
          <w:p w14:paraId="31E110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6B1FF3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0.43</w:t>
            </w:r>
          </w:p>
        </w:tc>
        <w:tc>
          <w:tcPr>
            <w:tcW w:w="1238" w:type="dxa"/>
            <w:tcBorders>
              <w:tl2br w:val="nil"/>
              <w:tr2bl w:val="nil"/>
            </w:tcBorders>
            <w:shd w:val="clear" w:color="auto" w:fill="auto"/>
            <w:vAlign w:val="center"/>
          </w:tcPr>
          <w:p w14:paraId="37DCC7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3C1A0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DD93C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CFD97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8F4C5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A6E40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17B96C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B9287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7426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FF097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5257E90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006D3C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66</w:t>
            </w:r>
          </w:p>
        </w:tc>
        <w:tc>
          <w:tcPr>
            <w:tcW w:w="1238" w:type="dxa"/>
            <w:tcBorders>
              <w:tl2br w:val="nil"/>
              <w:tr2bl w:val="nil"/>
            </w:tcBorders>
            <w:shd w:val="clear" w:color="auto" w:fill="auto"/>
            <w:vAlign w:val="center"/>
          </w:tcPr>
          <w:p w14:paraId="09CAE2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9760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3A365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78517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0F6E6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7B22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23EDD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37B7FB8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26B8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99229C3">
            <w:pPr>
              <w:ind w:left="-105" w:right="-105"/>
              <w:jc w:val="center"/>
              <w:textAlignment w:val="center"/>
              <w:rPr>
                <w:color w:val="auto"/>
                <w:sz w:val="21"/>
                <w:szCs w:val="21"/>
                <w:highlight w:val="none"/>
              </w:rPr>
            </w:pPr>
            <w:r>
              <w:rPr>
                <w:rFonts w:hint="eastAsia"/>
                <w:color w:val="auto"/>
                <w:sz w:val="21"/>
                <w:szCs w:val="21"/>
                <w:highlight w:val="none"/>
                <w:lang w:bidi="ar"/>
              </w:rPr>
              <w:t>二氯甲烷</w:t>
            </w:r>
          </w:p>
        </w:tc>
        <w:tc>
          <w:tcPr>
            <w:tcW w:w="870" w:type="dxa"/>
            <w:tcBorders>
              <w:tl2br w:val="nil"/>
              <w:tr2bl w:val="nil"/>
            </w:tcBorders>
            <w:shd w:val="clear" w:color="auto" w:fill="auto"/>
            <w:vAlign w:val="center"/>
          </w:tcPr>
          <w:p w14:paraId="3CB0C9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188FA6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616</w:t>
            </w:r>
          </w:p>
        </w:tc>
        <w:tc>
          <w:tcPr>
            <w:tcW w:w="1238" w:type="dxa"/>
            <w:tcBorders>
              <w:tl2br w:val="nil"/>
              <w:tr2bl w:val="nil"/>
            </w:tcBorders>
            <w:shd w:val="clear" w:color="auto" w:fill="auto"/>
            <w:vAlign w:val="center"/>
          </w:tcPr>
          <w:p w14:paraId="7325AC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EA294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1D7AA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D7EB8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A7EEA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39BFB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A7EF4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7D6156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E020E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F27E039">
            <w:pPr>
              <w:ind w:left="-105" w:right="-105"/>
              <w:jc w:val="center"/>
              <w:textAlignment w:val="center"/>
              <w:rPr>
                <w:color w:val="auto"/>
                <w:sz w:val="21"/>
                <w:szCs w:val="21"/>
                <w:highlight w:val="none"/>
              </w:rPr>
            </w:pPr>
            <w:r>
              <w:rPr>
                <w:rFonts w:hint="eastAsia"/>
                <w:color w:val="auto"/>
                <w:sz w:val="21"/>
                <w:szCs w:val="21"/>
                <w:highlight w:val="none"/>
                <w:lang w:bidi="ar"/>
              </w:rPr>
              <w:t>反式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27FF5B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588360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54</w:t>
            </w:r>
          </w:p>
        </w:tc>
        <w:tc>
          <w:tcPr>
            <w:tcW w:w="1238" w:type="dxa"/>
            <w:tcBorders>
              <w:tl2br w:val="nil"/>
              <w:tr2bl w:val="nil"/>
            </w:tcBorders>
            <w:shd w:val="clear" w:color="auto" w:fill="auto"/>
            <w:vAlign w:val="center"/>
          </w:tcPr>
          <w:p w14:paraId="53BA64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976B1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7E83D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C90E3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7CEA4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0CA19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600C7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73C998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4F64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E59C2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二氯乙烷</w:t>
            </w:r>
          </w:p>
        </w:tc>
        <w:tc>
          <w:tcPr>
            <w:tcW w:w="870" w:type="dxa"/>
            <w:tcBorders>
              <w:tl2br w:val="nil"/>
              <w:tr2bl w:val="nil"/>
            </w:tcBorders>
            <w:shd w:val="clear" w:color="auto" w:fill="auto"/>
            <w:vAlign w:val="center"/>
          </w:tcPr>
          <w:p w14:paraId="688E6B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83141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w:t>
            </w:r>
          </w:p>
        </w:tc>
        <w:tc>
          <w:tcPr>
            <w:tcW w:w="1238" w:type="dxa"/>
            <w:tcBorders>
              <w:tl2br w:val="nil"/>
              <w:tr2bl w:val="nil"/>
            </w:tcBorders>
            <w:shd w:val="clear" w:color="auto" w:fill="auto"/>
            <w:vAlign w:val="center"/>
          </w:tcPr>
          <w:p w14:paraId="2B30BA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EE9FF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D0AB6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08C7D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4A576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D125C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A2F1C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B3628C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6A75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ABB6CDF">
            <w:pPr>
              <w:ind w:left="-105" w:right="-105"/>
              <w:jc w:val="center"/>
              <w:textAlignment w:val="center"/>
              <w:rPr>
                <w:color w:val="auto"/>
                <w:sz w:val="21"/>
                <w:szCs w:val="21"/>
                <w:highlight w:val="none"/>
              </w:rPr>
            </w:pPr>
            <w:r>
              <w:rPr>
                <w:rFonts w:hint="eastAsia"/>
                <w:color w:val="auto"/>
                <w:sz w:val="21"/>
                <w:szCs w:val="21"/>
                <w:highlight w:val="none"/>
                <w:lang w:bidi="ar"/>
              </w:rPr>
              <w:t>顺式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70" w:type="dxa"/>
            <w:tcBorders>
              <w:tl2br w:val="nil"/>
              <w:tr2bl w:val="nil"/>
            </w:tcBorders>
            <w:shd w:val="clear" w:color="auto" w:fill="auto"/>
            <w:vAlign w:val="center"/>
          </w:tcPr>
          <w:p w14:paraId="4C3A31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234F38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596</w:t>
            </w:r>
          </w:p>
        </w:tc>
        <w:tc>
          <w:tcPr>
            <w:tcW w:w="1238" w:type="dxa"/>
            <w:tcBorders>
              <w:tl2br w:val="nil"/>
              <w:tr2bl w:val="nil"/>
            </w:tcBorders>
            <w:shd w:val="clear" w:color="auto" w:fill="auto"/>
            <w:vAlign w:val="center"/>
          </w:tcPr>
          <w:p w14:paraId="762089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2573A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11BB8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49F23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85B3E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F0807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13264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572322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E17F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F9347F3">
            <w:pPr>
              <w:ind w:left="-105" w:right="-105"/>
              <w:jc w:val="center"/>
              <w:textAlignment w:val="center"/>
              <w:rPr>
                <w:color w:val="auto"/>
                <w:sz w:val="21"/>
                <w:szCs w:val="21"/>
                <w:highlight w:val="none"/>
              </w:rPr>
            </w:pPr>
            <w:r>
              <w:rPr>
                <w:rFonts w:hint="eastAsia"/>
                <w:color w:val="auto"/>
                <w:sz w:val="21"/>
                <w:szCs w:val="21"/>
                <w:highlight w:val="none"/>
                <w:lang w:bidi="ar"/>
              </w:rPr>
              <w:t>氯仿</w:t>
            </w:r>
          </w:p>
        </w:tc>
        <w:tc>
          <w:tcPr>
            <w:tcW w:w="870" w:type="dxa"/>
            <w:tcBorders>
              <w:tl2br w:val="nil"/>
              <w:tr2bl w:val="nil"/>
            </w:tcBorders>
            <w:shd w:val="clear" w:color="auto" w:fill="auto"/>
            <w:vAlign w:val="center"/>
          </w:tcPr>
          <w:p w14:paraId="737933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58BAE0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0.9</w:t>
            </w:r>
          </w:p>
        </w:tc>
        <w:tc>
          <w:tcPr>
            <w:tcW w:w="1238" w:type="dxa"/>
            <w:tcBorders>
              <w:tl2br w:val="nil"/>
              <w:tr2bl w:val="nil"/>
            </w:tcBorders>
            <w:shd w:val="clear" w:color="auto" w:fill="auto"/>
            <w:vAlign w:val="center"/>
          </w:tcPr>
          <w:p w14:paraId="7533E3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E23BE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E9493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7A05BF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1CE5B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A08AE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812FE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3E40EF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BB562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C8E875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w:t>
            </w:r>
            <w:r>
              <w:rPr>
                <w:rFonts w:hint="eastAsia"/>
                <w:color w:val="auto"/>
                <w:sz w:val="21"/>
                <w:szCs w:val="21"/>
                <w:highlight w:val="none"/>
                <w:lang w:bidi="ar"/>
              </w:rPr>
              <w:t>三氯乙烷</w:t>
            </w:r>
          </w:p>
        </w:tc>
        <w:tc>
          <w:tcPr>
            <w:tcW w:w="870" w:type="dxa"/>
            <w:tcBorders>
              <w:tl2br w:val="nil"/>
              <w:tr2bl w:val="nil"/>
            </w:tcBorders>
            <w:shd w:val="clear" w:color="auto" w:fill="auto"/>
            <w:vAlign w:val="center"/>
          </w:tcPr>
          <w:p w14:paraId="072F30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EE91E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840</w:t>
            </w:r>
          </w:p>
        </w:tc>
        <w:tc>
          <w:tcPr>
            <w:tcW w:w="1238" w:type="dxa"/>
            <w:tcBorders>
              <w:tl2br w:val="nil"/>
              <w:tr2bl w:val="nil"/>
            </w:tcBorders>
            <w:shd w:val="clear" w:color="auto" w:fill="auto"/>
            <w:vAlign w:val="center"/>
          </w:tcPr>
          <w:p w14:paraId="5164D2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E563A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AB87B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1A260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BCC56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FD294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60C45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36F717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D8CAE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B1015C0">
            <w:pPr>
              <w:ind w:left="-105" w:right="-105"/>
              <w:jc w:val="center"/>
              <w:textAlignment w:val="center"/>
              <w:rPr>
                <w:color w:val="auto"/>
                <w:sz w:val="21"/>
                <w:szCs w:val="21"/>
                <w:highlight w:val="none"/>
              </w:rPr>
            </w:pPr>
            <w:r>
              <w:rPr>
                <w:rFonts w:hint="eastAsia"/>
                <w:color w:val="auto"/>
                <w:sz w:val="21"/>
                <w:szCs w:val="21"/>
                <w:highlight w:val="none"/>
                <w:lang w:bidi="ar"/>
              </w:rPr>
              <w:t>四氯化碳</w:t>
            </w:r>
          </w:p>
        </w:tc>
        <w:tc>
          <w:tcPr>
            <w:tcW w:w="870" w:type="dxa"/>
            <w:tcBorders>
              <w:tl2br w:val="nil"/>
              <w:tr2bl w:val="nil"/>
            </w:tcBorders>
            <w:shd w:val="clear" w:color="auto" w:fill="auto"/>
            <w:vAlign w:val="center"/>
          </w:tcPr>
          <w:p w14:paraId="092642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AFE64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8" w:type="dxa"/>
            <w:tcBorders>
              <w:tl2br w:val="nil"/>
              <w:tr2bl w:val="nil"/>
            </w:tcBorders>
            <w:shd w:val="clear" w:color="auto" w:fill="auto"/>
            <w:vAlign w:val="center"/>
          </w:tcPr>
          <w:p w14:paraId="08EEF2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3408F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44AE3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6F9E8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7DB2C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E6470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6FC59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3790C7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5EA3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F2CC6F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二氯乙烷</w:t>
            </w:r>
          </w:p>
        </w:tc>
        <w:tc>
          <w:tcPr>
            <w:tcW w:w="870" w:type="dxa"/>
            <w:tcBorders>
              <w:tl2br w:val="nil"/>
              <w:tr2bl w:val="nil"/>
            </w:tcBorders>
            <w:shd w:val="clear" w:color="auto" w:fill="auto"/>
            <w:vAlign w:val="center"/>
          </w:tcPr>
          <w:p w14:paraId="443A0E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A2728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8" w:type="dxa"/>
            <w:tcBorders>
              <w:tl2br w:val="nil"/>
              <w:tr2bl w:val="nil"/>
            </w:tcBorders>
            <w:shd w:val="clear" w:color="auto" w:fill="auto"/>
            <w:vAlign w:val="center"/>
          </w:tcPr>
          <w:p w14:paraId="68019A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610DB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1B312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B5D9E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85E9C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CF6BF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D0A51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4BAE89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A5B4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A2779B9">
            <w:pPr>
              <w:ind w:left="-105" w:right="-105"/>
              <w:jc w:val="center"/>
              <w:textAlignment w:val="center"/>
              <w:rPr>
                <w:color w:val="auto"/>
                <w:sz w:val="21"/>
                <w:szCs w:val="21"/>
                <w:highlight w:val="none"/>
              </w:rPr>
            </w:pPr>
            <w:r>
              <w:rPr>
                <w:rFonts w:hint="eastAsia"/>
                <w:color w:val="auto"/>
                <w:sz w:val="21"/>
                <w:szCs w:val="21"/>
                <w:highlight w:val="none"/>
                <w:lang w:bidi="ar"/>
              </w:rPr>
              <w:t>苯</w:t>
            </w:r>
          </w:p>
        </w:tc>
        <w:tc>
          <w:tcPr>
            <w:tcW w:w="870" w:type="dxa"/>
            <w:tcBorders>
              <w:tl2br w:val="nil"/>
              <w:tr2bl w:val="nil"/>
            </w:tcBorders>
            <w:shd w:val="clear" w:color="auto" w:fill="auto"/>
            <w:vAlign w:val="center"/>
          </w:tcPr>
          <w:p w14:paraId="22D75F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A5BE2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1238" w:type="dxa"/>
            <w:tcBorders>
              <w:tl2br w:val="nil"/>
              <w:tr2bl w:val="nil"/>
            </w:tcBorders>
            <w:shd w:val="clear" w:color="auto" w:fill="auto"/>
            <w:vAlign w:val="center"/>
          </w:tcPr>
          <w:p w14:paraId="32EF3C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F4EB8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A224B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83FF5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48270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51BB1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39FABF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4EDB39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A7B66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60DDFCE">
            <w:pPr>
              <w:ind w:left="-105" w:right="-105"/>
              <w:jc w:val="center"/>
              <w:textAlignment w:val="center"/>
              <w:rPr>
                <w:color w:val="auto"/>
                <w:sz w:val="21"/>
                <w:szCs w:val="21"/>
                <w:highlight w:val="none"/>
              </w:rPr>
            </w:pPr>
            <w:r>
              <w:rPr>
                <w:rFonts w:hint="eastAsia"/>
                <w:color w:val="auto"/>
                <w:sz w:val="21"/>
                <w:szCs w:val="21"/>
                <w:highlight w:val="none"/>
                <w:lang w:bidi="ar"/>
              </w:rPr>
              <w:t>三氯乙烯</w:t>
            </w:r>
          </w:p>
        </w:tc>
        <w:tc>
          <w:tcPr>
            <w:tcW w:w="870" w:type="dxa"/>
            <w:tcBorders>
              <w:tl2br w:val="nil"/>
              <w:tr2bl w:val="nil"/>
            </w:tcBorders>
            <w:shd w:val="clear" w:color="auto" w:fill="auto"/>
            <w:vAlign w:val="center"/>
          </w:tcPr>
          <w:p w14:paraId="2B21A7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15CCA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8" w:type="dxa"/>
            <w:tcBorders>
              <w:tl2br w:val="nil"/>
              <w:tr2bl w:val="nil"/>
            </w:tcBorders>
            <w:shd w:val="clear" w:color="auto" w:fill="auto"/>
            <w:vAlign w:val="center"/>
          </w:tcPr>
          <w:p w14:paraId="515D9F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D5B7D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7D67D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9B007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DFCD8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9268A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8F5DF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C59C8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03A6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A4DCD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二氯丙烷</w:t>
            </w:r>
          </w:p>
        </w:tc>
        <w:tc>
          <w:tcPr>
            <w:tcW w:w="870" w:type="dxa"/>
            <w:tcBorders>
              <w:tl2br w:val="nil"/>
              <w:tr2bl w:val="nil"/>
            </w:tcBorders>
            <w:shd w:val="clear" w:color="auto" w:fill="auto"/>
            <w:vAlign w:val="center"/>
          </w:tcPr>
          <w:p w14:paraId="4F3770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634187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238" w:type="dxa"/>
            <w:tcBorders>
              <w:tl2br w:val="nil"/>
              <w:tr2bl w:val="nil"/>
            </w:tcBorders>
            <w:shd w:val="clear" w:color="auto" w:fill="auto"/>
            <w:vAlign w:val="center"/>
          </w:tcPr>
          <w:p w14:paraId="64FD7F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8B2F8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C3E1A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9CABC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41A6E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90CEA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E09CC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171DB2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1A459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FCDC2AD">
            <w:pPr>
              <w:ind w:left="-105" w:right="-105"/>
              <w:jc w:val="center"/>
              <w:textAlignment w:val="center"/>
              <w:rPr>
                <w:color w:val="auto"/>
                <w:sz w:val="21"/>
                <w:szCs w:val="21"/>
                <w:highlight w:val="none"/>
              </w:rPr>
            </w:pPr>
            <w:r>
              <w:rPr>
                <w:rFonts w:hint="eastAsia"/>
                <w:color w:val="auto"/>
                <w:sz w:val="21"/>
                <w:szCs w:val="21"/>
                <w:highlight w:val="none"/>
                <w:lang w:bidi="ar"/>
              </w:rPr>
              <w:t>甲苯</w:t>
            </w:r>
          </w:p>
        </w:tc>
        <w:tc>
          <w:tcPr>
            <w:tcW w:w="870" w:type="dxa"/>
            <w:tcBorders>
              <w:tl2br w:val="nil"/>
              <w:tr2bl w:val="nil"/>
            </w:tcBorders>
            <w:shd w:val="clear" w:color="auto" w:fill="auto"/>
            <w:vAlign w:val="center"/>
          </w:tcPr>
          <w:p w14:paraId="74E973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1976D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1200</w:t>
            </w:r>
          </w:p>
        </w:tc>
        <w:tc>
          <w:tcPr>
            <w:tcW w:w="1238" w:type="dxa"/>
            <w:tcBorders>
              <w:tl2br w:val="nil"/>
              <w:tr2bl w:val="nil"/>
            </w:tcBorders>
            <w:shd w:val="clear" w:color="auto" w:fill="auto"/>
            <w:vAlign w:val="center"/>
          </w:tcPr>
          <w:p w14:paraId="211E75F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2C39A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063F8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1CD63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4B151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BA46A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FB9F3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ECE87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FEDAD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BA522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w:t>
            </w:r>
            <w:r>
              <w:rPr>
                <w:rFonts w:hint="eastAsia"/>
                <w:color w:val="auto"/>
                <w:sz w:val="21"/>
                <w:szCs w:val="21"/>
                <w:highlight w:val="none"/>
                <w:lang w:bidi="ar"/>
              </w:rPr>
              <w:t>三氯乙烷</w:t>
            </w:r>
          </w:p>
        </w:tc>
        <w:tc>
          <w:tcPr>
            <w:tcW w:w="870" w:type="dxa"/>
            <w:tcBorders>
              <w:tl2br w:val="nil"/>
              <w:tr2bl w:val="nil"/>
            </w:tcBorders>
            <w:shd w:val="clear" w:color="auto" w:fill="auto"/>
            <w:vAlign w:val="center"/>
          </w:tcPr>
          <w:p w14:paraId="70194E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08F8D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8" w:type="dxa"/>
            <w:tcBorders>
              <w:tl2br w:val="nil"/>
              <w:tr2bl w:val="nil"/>
            </w:tcBorders>
            <w:shd w:val="clear" w:color="auto" w:fill="auto"/>
            <w:vAlign w:val="center"/>
          </w:tcPr>
          <w:p w14:paraId="63A2F4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FF948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F0760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59A6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CF45F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F19BA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90FCE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11DA08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2AD10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E169C6F">
            <w:pPr>
              <w:ind w:left="-105" w:right="-105"/>
              <w:jc w:val="center"/>
              <w:textAlignment w:val="center"/>
              <w:rPr>
                <w:color w:val="auto"/>
                <w:sz w:val="21"/>
                <w:szCs w:val="21"/>
                <w:highlight w:val="none"/>
              </w:rPr>
            </w:pPr>
            <w:r>
              <w:rPr>
                <w:rFonts w:hint="eastAsia"/>
                <w:color w:val="auto"/>
                <w:sz w:val="21"/>
                <w:szCs w:val="21"/>
                <w:highlight w:val="none"/>
                <w:lang w:bidi="ar"/>
              </w:rPr>
              <w:t>四氯乙烯</w:t>
            </w:r>
          </w:p>
        </w:tc>
        <w:tc>
          <w:tcPr>
            <w:tcW w:w="870" w:type="dxa"/>
            <w:tcBorders>
              <w:tl2br w:val="nil"/>
              <w:tr2bl w:val="nil"/>
            </w:tcBorders>
            <w:shd w:val="clear" w:color="auto" w:fill="auto"/>
            <w:vAlign w:val="center"/>
          </w:tcPr>
          <w:p w14:paraId="107F5B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131D4C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53</w:t>
            </w:r>
          </w:p>
        </w:tc>
        <w:tc>
          <w:tcPr>
            <w:tcW w:w="1238" w:type="dxa"/>
            <w:tcBorders>
              <w:tl2br w:val="nil"/>
              <w:tr2bl w:val="nil"/>
            </w:tcBorders>
            <w:shd w:val="clear" w:color="auto" w:fill="auto"/>
            <w:vAlign w:val="center"/>
          </w:tcPr>
          <w:p w14:paraId="7504C2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2B4F7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E1387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2887D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A98C0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55098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F45CC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07E4DE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3C1E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267E4B0">
            <w:pPr>
              <w:ind w:left="-105" w:right="-105"/>
              <w:jc w:val="center"/>
              <w:textAlignment w:val="center"/>
              <w:rPr>
                <w:color w:val="auto"/>
                <w:sz w:val="21"/>
                <w:szCs w:val="21"/>
                <w:highlight w:val="none"/>
              </w:rPr>
            </w:pPr>
            <w:r>
              <w:rPr>
                <w:rFonts w:hint="eastAsia"/>
                <w:color w:val="auto"/>
                <w:sz w:val="21"/>
                <w:szCs w:val="21"/>
                <w:highlight w:val="none"/>
                <w:lang w:bidi="ar"/>
              </w:rPr>
              <w:t>氯苯</w:t>
            </w:r>
          </w:p>
        </w:tc>
        <w:tc>
          <w:tcPr>
            <w:tcW w:w="870" w:type="dxa"/>
            <w:tcBorders>
              <w:tl2br w:val="nil"/>
              <w:tr2bl w:val="nil"/>
            </w:tcBorders>
            <w:shd w:val="clear" w:color="auto" w:fill="auto"/>
            <w:vAlign w:val="center"/>
          </w:tcPr>
          <w:p w14:paraId="4D1CF1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E7669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270</w:t>
            </w:r>
          </w:p>
        </w:tc>
        <w:tc>
          <w:tcPr>
            <w:tcW w:w="1238" w:type="dxa"/>
            <w:tcBorders>
              <w:tl2br w:val="nil"/>
              <w:tr2bl w:val="nil"/>
            </w:tcBorders>
            <w:shd w:val="clear" w:color="auto" w:fill="auto"/>
            <w:vAlign w:val="center"/>
          </w:tcPr>
          <w:p w14:paraId="47C766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10AFC1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2AA2B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9BAC6A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29180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4180C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480F1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74A83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07C9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7CF5F1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1,1,1,2-</w:t>
            </w:r>
            <w:r>
              <w:rPr>
                <w:rFonts w:hint="eastAsia"/>
                <w:color w:val="auto"/>
                <w:sz w:val="21"/>
                <w:szCs w:val="21"/>
                <w:highlight w:val="none"/>
                <w:lang w:bidi="ar"/>
              </w:rPr>
              <w:t>四氯乙烷</w:t>
            </w:r>
          </w:p>
        </w:tc>
        <w:tc>
          <w:tcPr>
            <w:tcW w:w="870" w:type="dxa"/>
            <w:tcBorders>
              <w:tl2br w:val="nil"/>
              <w:tr2bl w:val="nil"/>
            </w:tcBorders>
            <w:shd w:val="clear" w:color="auto" w:fill="auto"/>
            <w:vAlign w:val="center"/>
          </w:tcPr>
          <w:p w14:paraId="7BF3AE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DEA6C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w:t>
            </w:r>
          </w:p>
        </w:tc>
        <w:tc>
          <w:tcPr>
            <w:tcW w:w="1238" w:type="dxa"/>
            <w:tcBorders>
              <w:tl2br w:val="nil"/>
              <w:tr2bl w:val="nil"/>
            </w:tcBorders>
            <w:shd w:val="clear" w:color="auto" w:fill="auto"/>
            <w:vAlign w:val="center"/>
          </w:tcPr>
          <w:p w14:paraId="1CCBB5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824BE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7A0BC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5CFFC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8238B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5EED54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8CB5E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4E4FC80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F2D58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CFFA27E">
            <w:pPr>
              <w:ind w:left="-105" w:right="-105"/>
              <w:jc w:val="center"/>
              <w:textAlignment w:val="center"/>
              <w:rPr>
                <w:color w:val="auto"/>
                <w:sz w:val="21"/>
                <w:szCs w:val="21"/>
                <w:highlight w:val="none"/>
              </w:rPr>
            </w:pPr>
            <w:r>
              <w:rPr>
                <w:rFonts w:hint="eastAsia"/>
                <w:color w:val="auto"/>
                <w:sz w:val="21"/>
                <w:szCs w:val="21"/>
                <w:highlight w:val="none"/>
                <w:lang w:bidi="ar"/>
              </w:rPr>
              <w:t>乙苯</w:t>
            </w:r>
          </w:p>
        </w:tc>
        <w:tc>
          <w:tcPr>
            <w:tcW w:w="870" w:type="dxa"/>
            <w:tcBorders>
              <w:tl2br w:val="nil"/>
              <w:tr2bl w:val="nil"/>
            </w:tcBorders>
            <w:shd w:val="clear" w:color="auto" w:fill="auto"/>
            <w:vAlign w:val="center"/>
          </w:tcPr>
          <w:p w14:paraId="44E728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5973A0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238" w:type="dxa"/>
            <w:tcBorders>
              <w:tl2br w:val="nil"/>
              <w:tr2bl w:val="nil"/>
            </w:tcBorders>
            <w:shd w:val="clear" w:color="auto" w:fill="auto"/>
            <w:vAlign w:val="center"/>
          </w:tcPr>
          <w:p w14:paraId="685C98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DD609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55C8A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E7599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164E6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1955B3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199CA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3F9DBC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FFD6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F6AE0CD">
            <w:pPr>
              <w:ind w:left="-105" w:right="-105"/>
              <w:jc w:val="center"/>
              <w:textAlignment w:val="center"/>
              <w:rPr>
                <w:color w:val="auto"/>
                <w:sz w:val="21"/>
                <w:szCs w:val="21"/>
                <w:highlight w:val="none"/>
              </w:rPr>
            </w:pPr>
            <w:r>
              <w:rPr>
                <w:rFonts w:hint="eastAsia"/>
                <w:color w:val="auto"/>
                <w:sz w:val="21"/>
                <w:szCs w:val="21"/>
                <w:highlight w:val="none"/>
                <w:lang w:bidi="ar"/>
              </w:rPr>
              <w:t>间</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对</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70" w:type="dxa"/>
            <w:tcBorders>
              <w:tl2br w:val="nil"/>
              <w:tr2bl w:val="nil"/>
            </w:tcBorders>
            <w:shd w:val="clear" w:color="auto" w:fill="auto"/>
            <w:vAlign w:val="center"/>
          </w:tcPr>
          <w:p w14:paraId="58789E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CE108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570</w:t>
            </w:r>
          </w:p>
        </w:tc>
        <w:tc>
          <w:tcPr>
            <w:tcW w:w="1238" w:type="dxa"/>
            <w:tcBorders>
              <w:tl2br w:val="nil"/>
              <w:tr2bl w:val="nil"/>
            </w:tcBorders>
            <w:shd w:val="clear" w:color="auto" w:fill="auto"/>
            <w:vAlign w:val="center"/>
          </w:tcPr>
          <w:p w14:paraId="575E56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04F64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0B004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238" w:type="dxa"/>
            <w:tcBorders>
              <w:tl2br w:val="nil"/>
              <w:tr2bl w:val="nil"/>
            </w:tcBorders>
            <w:shd w:val="clear" w:color="auto" w:fill="auto"/>
            <w:vAlign w:val="center"/>
          </w:tcPr>
          <w:p w14:paraId="14C740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0.0044 </w:t>
            </w:r>
          </w:p>
        </w:tc>
        <w:tc>
          <w:tcPr>
            <w:tcW w:w="1238" w:type="dxa"/>
            <w:tcBorders>
              <w:tl2br w:val="nil"/>
              <w:tr2bl w:val="nil"/>
            </w:tcBorders>
            <w:shd w:val="clear" w:color="auto" w:fill="auto"/>
            <w:vAlign w:val="center"/>
          </w:tcPr>
          <w:p w14:paraId="7494CE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E0494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7B45D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53A09E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5354A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C972D73">
            <w:pPr>
              <w:ind w:left="-105" w:right="-105"/>
              <w:jc w:val="center"/>
              <w:textAlignment w:val="center"/>
              <w:rPr>
                <w:color w:val="auto"/>
                <w:sz w:val="21"/>
                <w:szCs w:val="21"/>
                <w:highlight w:val="none"/>
              </w:rPr>
            </w:pPr>
            <w:r>
              <w:rPr>
                <w:rFonts w:hint="eastAsia"/>
                <w:color w:val="auto"/>
                <w:sz w:val="21"/>
                <w:szCs w:val="21"/>
                <w:highlight w:val="none"/>
                <w:lang w:bidi="ar"/>
              </w:rPr>
              <w:t>邻</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70" w:type="dxa"/>
            <w:tcBorders>
              <w:tl2br w:val="nil"/>
              <w:tr2bl w:val="nil"/>
            </w:tcBorders>
            <w:shd w:val="clear" w:color="auto" w:fill="auto"/>
            <w:vAlign w:val="center"/>
          </w:tcPr>
          <w:p w14:paraId="705239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AC5CB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640</w:t>
            </w:r>
          </w:p>
        </w:tc>
        <w:tc>
          <w:tcPr>
            <w:tcW w:w="1238" w:type="dxa"/>
            <w:tcBorders>
              <w:tl2br w:val="nil"/>
              <w:tr2bl w:val="nil"/>
            </w:tcBorders>
            <w:shd w:val="clear" w:color="auto" w:fill="auto"/>
            <w:vAlign w:val="center"/>
          </w:tcPr>
          <w:p w14:paraId="20A2E5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AD33B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0CAA1F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1.3</w:t>
            </w:r>
          </w:p>
        </w:tc>
        <w:tc>
          <w:tcPr>
            <w:tcW w:w="1238" w:type="dxa"/>
            <w:tcBorders>
              <w:tl2br w:val="nil"/>
              <w:tr2bl w:val="nil"/>
            </w:tcBorders>
            <w:shd w:val="clear" w:color="auto" w:fill="auto"/>
            <w:vAlign w:val="center"/>
          </w:tcPr>
          <w:p w14:paraId="3CFA20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0.0020 </w:t>
            </w:r>
          </w:p>
        </w:tc>
        <w:tc>
          <w:tcPr>
            <w:tcW w:w="1238" w:type="dxa"/>
            <w:tcBorders>
              <w:tl2br w:val="nil"/>
              <w:tr2bl w:val="nil"/>
            </w:tcBorders>
            <w:shd w:val="clear" w:color="auto" w:fill="auto"/>
            <w:vAlign w:val="center"/>
          </w:tcPr>
          <w:p w14:paraId="311657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BE674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7D478F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FED2E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FD419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9F35698">
            <w:pPr>
              <w:ind w:left="-105" w:right="-105"/>
              <w:jc w:val="center"/>
              <w:textAlignment w:val="center"/>
              <w:rPr>
                <w:color w:val="auto"/>
                <w:sz w:val="21"/>
                <w:szCs w:val="21"/>
                <w:highlight w:val="none"/>
              </w:rPr>
            </w:pPr>
            <w:r>
              <w:rPr>
                <w:rFonts w:hint="eastAsia"/>
                <w:color w:val="auto"/>
                <w:sz w:val="21"/>
                <w:szCs w:val="21"/>
                <w:highlight w:val="none"/>
                <w:lang w:bidi="ar"/>
              </w:rPr>
              <w:t>苯乙烯</w:t>
            </w:r>
          </w:p>
        </w:tc>
        <w:tc>
          <w:tcPr>
            <w:tcW w:w="870" w:type="dxa"/>
            <w:tcBorders>
              <w:tl2br w:val="nil"/>
              <w:tr2bl w:val="nil"/>
            </w:tcBorders>
            <w:shd w:val="clear" w:color="auto" w:fill="auto"/>
            <w:vAlign w:val="center"/>
          </w:tcPr>
          <w:p w14:paraId="0D4B44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100AD2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1290</w:t>
            </w:r>
          </w:p>
        </w:tc>
        <w:tc>
          <w:tcPr>
            <w:tcW w:w="1238" w:type="dxa"/>
            <w:tcBorders>
              <w:tl2br w:val="nil"/>
              <w:tr2bl w:val="nil"/>
            </w:tcBorders>
            <w:shd w:val="clear" w:color="auto" w:fill="auto"/>
            <w:vAlign w:val="center"/>
          </w:tcPr>
          <w:p w14:paraId="0FA70F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95191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05AA6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296C6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B4050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BBA7E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F1D7D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0BA4B33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61FC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BC42B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1,1,2,2-</w:t>
            </w:r>
            <w:r>
              <w:rPr>
                <w:rFonts w:hint="eastAsia"/>
                <w:color w:val="auto"/>
                <w:sz w:val="21"/>
                <w:szCs w:val="21"/>
                <w:highlight w:val="none"/>
                <w:lang w:bidi="ar"/>
              </w:rPr>
              <w:t>四氯乙烷</w:t>
            </w:r>
          </w:p>
        </w:tc>
        <w:tc>
          <w:tcPr>
            <w:tcW w:w="870" w:type="dxa"/>
            <w:tcBorders>
              <w:tl2br w:val="nil"/>
              <w:tr2bl w:val="nil"/>
            </w:tcBorders>
            <w:shd w:val="clear" w:color="auto" w:fill="auto"/>
            <w:vAlign w:val="center"/>
          </w:tcPr>
          <w:p w14:paraId="45ACF9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5F209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w:t>
            </w:r>
          </w:p>
        </w:tc>
        <w:tc>
          <w:tcPr>
            <w:tcW w:w="1238" w:type="dxa"/>
            <w:tcBorders>
              <w:tl2br w:val="nil"/>
              <w:tr2bl w:val="nil"/>
            </w:tcBorders>
            <w:shd w:val="clear" w:color="auto" w:fill="auto"/>
            <w:vAlign w:val="center"/>
          </w:tcPr>
          <w:p w14:paraId="263162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7B92F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36BC9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4B10D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F75B4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0B50D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9E3A2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1CA99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79D7A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B2C3E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1,2,3-</w:t>
            </w:r>
            <w:r>
              <w:rPr>
                <w:rFonts w:hint="eastAsia"/>
                <w:color w:val="auto"/>
                <w:sz w:val="21"/>
                <w:szCs w:val="21"/>
                <w:highlight w:val="none"/>
                <w:lang w:bidi="ar"/>
              </w:rPr>
              <w:t>三氯丙烷</w:t>
            </w:r>
          </w:p>
        </w:tc>
        <w:tc>
          <w:tcPr>
            <w:tcW w:w="870" w:type="dxa"/>
            <w:tcBorders>
              <w:tl2br w:val="nil"/>
              <w:tr2bl w:val="nil"/>
            </w:tcBorders>
            <w:shd w:val="clear" w:color="auto" w:fill="auto"/>
            <w:vAlign w:val="center"/>
          </w:tcPr>
          <w:p w14:paraId="21640B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D26B0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238" w:type="dxa"/>
            <w:tcBorders>
              <w:tl2br w:val="nil"/>
              <w:tr2bl w:val="nil"/>
            </w:tcBorders>
            <w:shd w:val="clear" w:color="auto" w:fill="auto"/>
            <w:vAlign w:val="center"/>
          </w:tcPr>
          <w:p w14:paraId="2CB755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D77E9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9304C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037CC79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854EA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4B4B7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FD749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47E6FC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CFAC4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468AC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w:t>
            </w:r>
            <w:r>
              <w:rPr>
                <w:rFonts w:hint="eastAsia"/>
                <w:color w:val="auto"/>
                <w:sz w:val="21"/>
                <w:szCs w:val="21"/>
                <w:highlight w:val="none"/>
                <w:lang w:bidi="ar"/>
              </w:rPr>
              <w:t>二氯苯</w:t>
            </w:r>
          </w:p>
        </w:tc>
        <w:tc>
          <w:tcPr>
            <w:tcW w:w="870" w:type="dxa"/>
            <w:tcBorders>
              <w:tl2br w:val="nil"/>
              <w:tr2bl w:val="nil"/>
            </w:tcBorders>
            <w:shd w:val="clear" w:color="auto" w:fill="auto"/>
            <w:vAlign w:val="center"/>
          </w:tcPr>
          <w:p w14:paraId="40F2F39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4F732B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w:t>
            </w:r>
          </w:p>
        </w:tc>
        <w:tc>
          <w:tcPr>
            <w:tcW w:w="1238" w:type="dxa"/>
            <w:tcBorders>
              <w:tl2br w:val="nil"/>
              <w:tr2bl w:val="nil"/>
            </w:tcBorders>
            <w:shd w:val="clear" w:color="auto" w:fill="auto"/>
            <w:vAlign w:val="center"/>
          </w:tcPr>
          <w:p w14:paraId="2BE370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CD19C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C5CE05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20890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DC633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EE6D8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7CBBC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D9FAE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1082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A5032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二氯苯</w:t>
            </w:r>
          </w:p>
        </w:tc>
        <w:tc>
          <w:tcPr>
            <w:tcW w:w="870" w:type="dxa"/>
            <w:tcBorders>
              <w:tl2br w:val="nil"/>
              <w:tr2bl w:val="nil"/>
            </w:tcBorders>
            <w:shd w:val="clear" w:color="auto" w:fill="auto"/>
            <w:vAlign w:val="center"/>
          </w:tcPr>
          <w:p w14:paraId="47B398A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E8FE0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560</w:t>
            </w:r>
          </w:p>
        </w:tc>
        <w:tc>
          <w:tcPr>
            <w:tcW w:w="1238" w:type="dxa"/>
            <w:tcBorders>
              <w:tl2br w:val="nil"/>
              <w:tr2bl w:val="nil"/>
            </w:tcBorders>
            <w:shd w:val="clear" w:color="auto" w:fill="auto"/>
            <w:vAlign w:val="center"/>
          </w:tcPr>
          <w:p w14:paraId="4C5524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2BBBF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80E86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F7FAE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88136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06CDE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25184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5658B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F277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9665BC9">
            <w:pPr>
              <w:ind w:left="-105" w:right="-105"/>
              <w:jc w:val="center"/>
              <w:textAlignment w:val="center"/>
              <w:rPr>
                <w:color w:val="auto"/>
                <w:sz w:val="21"/>
                <w:szCs w:val="21"/>
                <w:highlight w:val="none"/>
              </w:rPr>
            </w:pPr>
            <w:r>
              <w:rPr>
                <w:rFonts w:hint="eastAsia"/>
                <w:color w:val="auto"/>
                <w:sz w:val="21"/>
                <w:szCs w:val="21"/>
                <w:highlight w:val="none"/>
                <w:lang w:bidi="ar"/>
              </w:rPr>
              <w:t>苯胺</w:t>
            </w:r>
          </w:p>
        </w:tc>
        <w:tc>
          <w:tcPr>
            <w:tcW w:w="870" w:type="dxa"/>
            <w:tcBorders>
              <w:tl2br w:val="nil"/>
              <w:tr2bl w:val="nil"/>
            </w:tcBorders>
            <w:shd w:val="clear" w:color="auto" w:fill="auto"/>
            <w:vAlign w:val="center"/>
          </w:tcPr>
          <w:p w14:paraId="7142ED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A8DC9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260</w:t>
            </w:r>
          </w:p>
        </w:tc>
        <w:tc>
          <w:tcPr>
            <w:tcW w:w="1238" w:type="dxa"/>
            <w:tcBorders>
              <w:tl2br w:val="nil"/>
              <w:tr2bl w:val="nil"/>
            </w:tcBorders>
            <w:shd w:val="clear" w:color="auto" w:fill="auto"/>
            <w:vAlign w:val="center"/>
          </w:tcPr>
          <w:p w14:paraId="641569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1573B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7C39CB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2D46D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1C091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9BFFB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6D102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48A5F5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E088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CB220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w:t>
            </w:r>
            <w:r>
              <w:rPr>
                <w:rFonts w:hint="eastAsia"/>
                <w:color w:val="auto"/>
                <w:sz w:val="21"/>
                <w:szCs w:val="21"/>
                <w:highlight w:val="none"/>
                <w:lang w:bidi="ar"/>
              </w:rPr>
              <w:t>氯酚</w:t>
            </w:r>
          </w:p>
        </w:tc>
        <w:tc>
          <w:tcPr>
            <w:tcW w:w="870" w:type="dxa"/>
            <w:tcBorders>
              <w:tl2br w:val="nil"/>
              <w:tr2bl w:val="nil"/>
            </w:tcBorders>
            <w:shd w:val="clear" w:color="auto" w:fill="auto"/>
            <w:vAlign w:val="center"/>
          </w:tcPr>
          <w:p w14:paraId="4BDA09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436F1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2256</w:t>
            </w:r>
          </w:p>
        </w:tc>
        <w:tc>
          <w:tcPr>
            <w:tcW w:w="1238" w:type="dxa"/>
            <w:tcBorders>
              <w:tl2br w:val="nil"/>
              <w:tr2bl w:val="nil"/>
            </w:tcBorders>
            <w:shd w:val="clear" w:color="auto" w:fill="auto"/>
            <w:vAlign w:val="center"/>
          </w:tcPr>
          <w:p w14:paraId="53E36D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749A4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16873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41A6DE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2B8B9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E793D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DD533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295B9E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32DB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B1D6E65">
            <w:pPr>
              <w:ind w:left="-105" w:right="-105"/>
              <w:jc w:val="center"/>
              <w:textAlignment w:val="center"/>
              <w:rPr>
                <w:color w:val="auto"/>
                <w:sz w:val="21"/>
                <w:szCs w:val="21"/>
                <w:highlight w:val="none"/>
              </w:rPr>
            </w:pPr>
            <w:r>
              <w:rPr>
                <w:rFonts w:hint="eastAsia"/>
                <w:color w:val="auto"/>
                <w:sz w:val="21"/>
                <w:szCs w:val="21"/>
                <w:highlight w:val="none"/>
                <w:lang w:bidi="ar"/>
              </w:rPr>
              <w:t>硝基苯</w:t>
            </w:r>
          </w:p>
        </w:tc>
        <w:tc>
          <w:tcPr>
            <w:tcW w:w="870" w:type="dxa"/>
            <w:tcBorders>
              <w:tl2br w:val="nil"/>
              <w:tr2bl w:val="nil"/>
            </w:tcBorders>
            <w:shd w:val="clear" w:color="auto" w:fill="auto"/>
            <w:vAlign w:val="center"/>
          </w:tcPr>
          <w:p w14:paraId="5B292B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2FBF9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76</w:t>
            </w:r>
          </w:p>
        </w:tc>
        <w:tc>
          <w:tcPr>
            <w:tcW w:w="1238" w:type="dxa"/>
            <w:tcBorders>
              <w:tl2br w:val="nil"/>
              <w:tr2bl w:val="nil"/>
            </w:tcBorders>
            <w:shd w:val="clear" w:color="auto" w:fill="auto"/>
            <w:vAlign w:val="center"/>
          </w:tcPr>
          <w:p w14:paraId="627E89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974A3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F87CE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7C5BD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C8F69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1BE81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0E4E6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1F84FD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3A99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0BF6B6A">
            <w:pPr>
              <w:ind w:left="-105" w:right="-105"/>
              <w:jc w:val="center"/>
              <w:textAlignment w:val="center"/>
              <w:rPr>
                <w:color w:val="auto"/>
                <w:sz w:val="21"/>
                <w:szCs w:val="21"/>
                <w:highlight w:val="none"/>
              </w:rPr>
            </w:pPr>
            <w:r>
              <w:rPr>
                <w:rFonts w:hint="eastAsia"/>
                <w:color w:val="auto"/>
                <w:sz w:val="21"/>
                <w:szCs w:val="21"/>
                <w:highlight w:val="none"/>
                <w:lang w:bidi="ar"/>
              </w:rPr>
              <w:t>萘</w:t>
            </w:r>
          </w:p>
        </w:tc>
        <w:tc>
          <w:tcPr>
            <w:tcW w:w="870" w:type="dxa"/>
            <w:tcBorders>
              <w:tl2br w:val="nil"/>
              <w:tr2bl w:val="nil"/>
            </w:tcBorders>
            <w:shd w:val="clear" w:color="auto" w:fill="auto"/>
            <w:vAlign w:val="center"/>
          </w:tcPr>
          <w:p w14:paraId="55CEFB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24D64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70</w:t>
            </w:r>
          </w:p>
        </w:tc>
        <w:tc>
          <w:tcPr>
            <w:tcW w:w="1238" w:type="dxa"/>
            <w:tcBorders>
              <w:tl2br w:val="nil"/>
              <w:tr2bl w:val="nil"/>
            </w:tcBorders>
            <w:shd w:val="clear" w:color="auto" w:fill="auto"/>
            <w:vAlign w:val="center"/>
          </w:tcPr>
          <w:p w14:paraId="2EF101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6A0E5A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FF914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5CFA5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98DEC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EE525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8B06E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1351C1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3AA9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B68ADAB">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蒽</w:t>
            </w:r>
          </w:p>
        </w:tc>
        <w:tc>
          <w:tcPr>
            <w:tcW w:w="870" w:type="dxa"/>
            <w:tcBorders>
              <w:tl2br w:val="nil"/>
              <w:tr2bl w:val="nil"/>
            </w:tcBorders>
            <w:shd w:val="clear" w:color="auto" w:fill="auto"/>
            <w:vAlign w:val="center"/>
          </w:tcPr>
          <w:p w14:paraId="118405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FCFE1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8" w:type="dxa"/>
            <w:tcBorders>
              <w:tl2br w:val="nil"/>
              <w:tr2bl w:val="nil"/>
            </w:tcBorders>
            <w:shd w:val="clear" w:color="auto" w:fill="auto"/>
            <w:vAlign w:val="center"/>
          </w:tcPr>
          <w:p w14:paraId="5D3809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w:t>
            </w:r>
          </w:p>
        </w:tc>
        <w:tc>
          <w:tcPr>
            <w:tcW w:w="1238" w:type="dxa"/>
            <w:tcBorders>
              <w:tl2br w:val="nil"/>
              <w:tr2bl w:val="nil"/>
            </w:tcBorders>
            <w:shd w:val="clear" w:color="auto" w:fill="auto"/>
            <w:vAlign w:val="center"/>
          </w:tcPr>
          <w:p w14:paraId="0C2394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0.0067 </w:t>
            </w:r>
          </w:p>
        </w:tc>
        <w:tc>
          <w:tcPr>
            <w:tcW w:w="1238" w:type="dxa"/>
            <w:tcBorders>
              <w:tl2br w:val="nil"/>
              <w:tr2bl w:val="nil"/>
            </w:tcBorders>
            <w:shd w:val="clear" w:color="auto" w:fill="auto"/>
            <w:vAlign w:val="center"/>
          </w:tcPr>
          <w:p w14:paraId="4BCE75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0.6</w:t>
            </w:r>
          </w:p>
        </w:tc>
        <w:tc>
          <w:tcPr>
            <w:tcW w:w="1238" w:type="dxa"/>
            <w:tcBorders>
              <w:tl2br w:val="nil"/>
              <w:tr2bl w:val="nil"/>
            </w:tcBorders>
            <w:shd w:val="clear" w:color="auto" w:fill="auto"/>
            <w:vAlign w:val="center"/>
          </w:tcPr>
          <w:p w14:paraId="5BD099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0.0400 </w:t>
            </w:r>
          </w:p>
        </w:tc>
        <w:tc>
          <w:tcPr>
            <w:tcW w:w="1238" w:type="dxa"/>
            <w:tcBorders>
              <w:tl2br w:val="nil"/>
              <w:tr2bl w:val="nil"/>
            </w:tcBorders>
            <w:shd w:val="clear" w:color="auto" w:fill="auto"/>
            <w:vAlign w:val="center"/>
          </w:tcPr>
          <w:p w14:paraId="550B9E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819F0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6831A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239" w:type="dxa"/>
            <w:tcBorders>
              <w:tl2br w:val="nil"/>
              <w:tr2bl w:val="nil"/>
            </w:tcBorders>
            <w:shd w:val="clear" w:color="auto" w:fill="auto"/>
            <w:vAlign w:val="center"/>
          </w:tcPr>
          <w:p w14:paraId="30D49C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0.0200 </w:t>
            </w:r>
          </w:p>
        </w:tc>
      </w:tr>
      <w:tr w14:paraId="1479F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23A8114">
            <w:pPr>
              <w:ind w:left="-105" w:right="-105"/>
              <w:jc w:val="center"/>
              <w:textAlignment w:val="center"/>
              <w:rPr>
                <w:color w:val="auto"/>
                <w:sz w:val="21"/>
                <w:szCs w:val="21"/>
                <w:highlight w:val="none"/>
              </w:rPr>
            </w:pPr>
            <w:r>
              <w:rPr>
                <w:rFonts w:hint="eastAsia"/>
                <w:color w:val="auto"/>
                <w:sz w:val="21"/>
                <w:szCs w:val="21"/>
                <w:highlight w:val="none"/>
                <w:lang w:bidi="ar"/>
              </w:rPr>
              <w:t>䓛</w:t>
            </w:r>
          </w:p>
        </w:tc>
        <w:tc>
          <w:tcPr>
            <w:tcW w:w="870" w:type="dxa"/>
            <w:tcBorders>
              <w:tl2br w:val="nil"/>
              <w:tr2bl w:val="nil"/>
            </w:tcBorders>
            <w:shd w:val="clear" w:color="auto" w:fill="auto"/>
            <w:vAlign w:val="center"/>
          </w:tcPr>
          <w:p w14:paraId="107130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6C11A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1293</w:t>
            </w:r>
          </w:p>
        </w:tc>
        <w:tc>
          <w:tcPr>
            <w:tcW w:w="1238" w:type="dxa"/>
            <w:tcBorders>
              <w:tl2br w:val="nil"/>
              <w:tr2bl w:val="nil"/>
            </w:tcBorders>
            <w:shd w:val="clear" w:color="auto" w:fill="auto"/>
            <w:vAlign w:val="center"/>
          </w:tcPr>
          <w:p w14:paraId="6E1478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w:t>
            </w:r>
          </w:p>
        </w:tc>
        <w:tc>
          <w:tcPr>
            <w:tcW w:w="1238" w:type="dxa"/>
            <w:tcBorders>
              <w:tl2br w:val="nil"/>
              <w:tr2bl w:val="nil"/>
            </w:tcBorders>
            <w:shd w:val="clear" w:color="auto" w:fill="auto"/>
            <w:vAlign w:val="center"/>
          </w:tcPr>
          <w:p w14:paraId="60E1CB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0.0001 </w:t>
            </w:r>
          </w:p>
        </w:tc>
        <w:tc>
          <w:tcPr>
            <w:tcW w:w="1238" w:type="dxa"/>
            <w:tcBorders>
              <w:tl2br w:val="nil"/>
              <w:tr2bl w:val="nil"/>
            </w:tcBorders>
            <w:shd w:val="clear" w:color="auto" w:fill="auto"/>
            <w:vAlign w:val="center"/>
          </w:tcPr>
          <w:p w14:paraId="1ED19D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0.6</w:t>
            </w:r>
          </w:p>
        </w:tc>
        <w:tc>
          <w:tcPr>
            <w:tcW w:w="1238" w:type="dxa"/>
            <w:tcBorders>
              <w:tl2br w:val="nil"/>
              <w:tr2bl w:val="nil"/>
            </w:tcBorders>
            <w:shd w:val="clear" w:color="auto" w:fill="auto"/>
            <w:vAlign w:val="center"/>
          </w:tcPr>
          <w:p w14:paraId="75445E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0.0005 </w:t>
            </w:r>
          </w:p>
        </w:tc>
        <w:tc>
          <w:tcPr>
            <w:tcW w:w="1238" w:type="dxa"/>
            <w:tcBorders>
              <w:tl2br w:val="nil"/>
              <w:tr2bl w:val="nil"/>
            </w:tcBorders>
            <w:shd w:val="clear" w:color="auto" w:fill="auto"/>
            <w:vAlign w:val="center"/>
          </w:tcPr>
          <w:p w14:paraId="62C378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898DD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CA899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239" w:type="dxa"/>
            <w:tcBorders>
              <w:tl2br w:val="nil"/>
              <w:tr2bl w:val="nil"/>
            </w:tcBorders>
            <w:shd w:val="clear" w:color="auto" w:fill="auto"/>
            <w:vAlign w:val="center"/>
          </w:tcPr>
          <w:p w14:paraId="5A5738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0.0002 </w:t>
            </w:r>
          </w:p>
        </w:tc>
      </w:tr>
      <w:tr w14:paraId="10C13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51D5786">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[b]</w:t>
            </w:r>
            <w:r>
              <w:rPr>
                <w:rFonts w:hint="eastAsia"/>
                <w:color w:val="auto"/>
                <w:sz w:val="21"/>
                <w:szCs w:val="21"/>
                <w:highlight w:val="none"/>
                <w:lang w:bidi="ar"/>
              </w:rPr>
              <w:t>荧蒽</w:t>
            </w:r>
          </w:p>
        </w:tc>
        <w:tc>
          <w:tcPr>
            <w:tcW w:w="870" w:type="dxa"/>
            <w:tcBorders>
              <w:tl2br w:val="nil"/>
              <w:tr2bl w:val="nil"/>
            </w:tcBorders>
            <w:shd w:val="clear" w:color="auto" w:fill="auto"/>
            <w:vAlign w:val="center"/>
          </w:tcPr>
          <w:p w14:paraId="35A047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B8533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8" w:type="dxa"/>
            <w:tcBorders>
              <w:tl2br w:val="nil"/>
              <w:tr2bl w:val="nil"/>
            </w:tcBorders>
            <w:shd w:val="clear" w:color="auto" w:fill="auto"/>
            <w:vAlign w:val="center"/>
          </w:tcPr>
          <w:p w14:paraId="36ED94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2A108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1ABF19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238" w:type="dxa"/>
            <w:tcBorders>
              <w:tl2br w:val="nil"/>
              <w:tr2bl w:val="nil"/>
            </w:tcBorders>
            <w:shd w:val="clear" w:color="auto" w:fill="auto"/>
            <w:vAlign w:val="center"/>
          </w:tcPr>
          <w:p w14:paraId="62052A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0.0267 </w:t>
            </w:r>
          </w:p>
        </w:tc>
        <w:tc>
          <w:tcPr>
            <w:tcW w:w="1238" w:type="dxa"/>
            <w:tcBorders>
              <w:tl2br w:val="nil"/>
              <w:tr2bl w:val="nil"/>
            </w:tcBorders>
            <w:shd w:val="clear" w:color="auto" w:fill="auto"/>
            <w:vAlign w:val="center"/>
          </w:tcPr>
          <w:p w14:paraId="430066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D5E69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E13EFA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239" w:type="dxa"/>
            <w:tcBorders>
              <w:tl2br w:val="nil"/>
              <w:tr2bl w:val="nil"/>
            </w:tcBorders>
            <w:shd w:val="clear" w:color="auto" w:fill="auto"/>
            <w:vAlign w:val="center"/>
          </w:tcPr>
          <w:p w14:paraId="3BA086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0.0267 </w:t>
            </w:r>
          </w:p>
        </w:tc>
      </w:tr>
      <w:tr w14:paraId="4CF8C4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DC6C3EF">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[k]</w:t>
            </w:r>
            <w:r>
              <w:rPr>
                <w:rFonts w:hint="eastAsia"/>
                <w:color w:val="auto"/>
                <w:sz w:val="21"/>
                <w:szCs w:val="21"/>
                <w:highlight w:val="none"/>
                <w:lang w:bidi="ar"/>
              </w:rPr>
              <w:t>荧蒽</w:t>
            </w:r>
          </w:p>
        </w:tc>
        <w:tc>
          <w:tcPr>
            <w:tcW w:w="870" w:type="dxa"/>
            <w:tcBorders>
              <w:tl2br w:val="nil"/>
              <w:tr2bl w:val="nil"/>
            </w:tcBorders>
            <w:shd w:val="clear" w:color="auto" w:fill="auto"/>
            <w:vAlign w:val="center"/>
          </w:tcPr>
          <w:p w14:paraId="6D0B2E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744B89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151</w:t>
            </w:r>
          </w:p>
        </w:tc>
        <w:tc>
          <w:tcPr>
            <w:tcW w:w="1238" w:type="dxa"/>
            <w:tcBorders>
              <w:tl2br w:val="nil"/>
              <w:tr2bl w:val="nil"/>
            </w:tcBorders>
            <w:shd w:val="clear" w:color="auto" w:fill="auto"/>
            <w:vAlign w:val="center"/>
          </w:tcPr>
          <w:p w14:paraId="442E9F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C62BD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5802EF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238" w:type="dxa"/>
            <w:tcBorders>
              <w:tl2br w:val="nil"/>
              <w:tr2bl w:val="nil"/>
            </w:tcBorders>
            <w:shd w:val="clear" w:color="auto" w:fill="auto"/>
            <w:vAlign w:val="center"/>
          </w:tcPr>
          <w:p w14:paraId="63509F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0.0026 </w:t>
            </w:r>
          </w:p>
        </w:tc>
        <w:tc>
          <w:tcPr>
            <w:tcW w:w="1238" w:type="dxa"/>
            <w:tcBorders>
              <w:tl2br w:val="nil"/>
              <w:tr2bl w:val="nil"/>
            </w:tcBorders>
            <w:shd w:val="clear" w:color="auto" w:fill="auto"/>
            <w:vAlign w:val="center"/>
          </w:tcPr>
          <w:p w14:paraId="6CDFCC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6B100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67D179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239" w:type="dxa"/>
            <w:tcBorders>
              <w:tl2br w:val="nil"/>
              <w:tr2bl w:val="nil"/>
            </w:tcBorders>
            <w:shd w:val="clear" w:color="auto" w:fill="auto"/>
            <w:vAlign w:val="center"/>
          </w:tcPr>
          <w:p w14:paraId="080344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0.0020 </w:t>
            </w:r>
          </w:p>
        </w:tc>
      </w:tr>
      <w:tr w14:paraId="69747E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64172EC">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芘</w:t>
            </w:r>
          </w:p>
        </w:tc>
        <w:tc>
          <w:tcPr>
            <w:tcW w:w="870" w:type="dxa"/>
            <w:tcBorders>
              <w:tl2br w:val="nil"/>
              <w:tr2bl w:val="nil"/>
            </w:tcBorders>
            <w:shd w:val="clear" w:color="auto" w:fill="auto"/>
            <w:vAlign w:val="center"/>
          </w:tcPr>
          <w:p w14:paraId="1AF2A8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5E489F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8" w:type="dxa"/>
            <w:tcBorders>
              <w:tl2br w:val="nil"/>
              <w:tr2bl w:val="nil"/>
            </w:tcBorders>
            <w:shd w:val="clear" w:color="auto" w:fill="auto"/>
            <w:vAlign w:val="center"/>
          </w:tcPr>
          <w:p w14:paraId="12E929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52E87C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3A6684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238" w:type="dxa"/>
            <w:tcBorders>
              <w:tl2br w:val="nil"/>
              <w:tr2bl w:val="nil"/>
            </w:tcBorders>
            <w:shd w:val="clear" w:color="auto" w:fill="auto"/>
            <w:vAlign w:val="center"/>
          </w:tcPr>
          <w:p w14:paraId="420298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0.2667 </w:t>
            </w:r>
          </w:p>
        </w:tc>
        <w:tc>
          <w:tcPr>
            <w:tcW w:w="1238" w:type="dxa"/>
            <w:tcBorders>
              <w:tl2br w:val="nil"/>
              <w:tr2bl w:val="nil"/>
            </w:tcBorders>
            <w:shd w:val="clear" w:color="auto" w:fill="auto"/>
            <w:vAlign w:val="center"/>
          </w:tcPr>
          <w:p w14:paraId="3B8DCD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2757F2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63F01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239" w:type="dxa"/>
            <w:tcBorders>
              <w:tl2br w:val="nil"/>
              <w:tr2bl w:val="nil"/>
            </w:tcBorders>
            <w:shd w:val="clear" w:color="auto" w:fill="auto"/>
            <w:vAlign w:val="center"/>
          </w:tcPr>
          <w:p w14:paraId="78EF66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0.2000 </w:t>
            </w:r>
          </w:p>
        </w:tc>
      </w:tr>
      <w:tr w14:paraId="0AF10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35592E9">
            <w:pPr>
              <w:ind w:left="-105" w:right="-105"/>
              <w:jc w:val="center"/>
              <w:textAlignment w:val="center"/>
              <w:rPr>
                <w:color w:val="auto"/>
                <w:sz w:val="21"/>
                <w:szCs w:val="21"/>
                <w:highlight w:val="none"/>
              </w:rPr>
            </w:pPr>
            <w:r>
              <w:rPr>
                <w:rFonts w:hint="eastAsia"/>
                <w:color w:val="auto"/>
                <w:sz w:val="21"/>
                <w:szCs w:val="21"/>
                <w:highlight w:val="none"/>
                <w:lang w:bidi="ar"/>
              </w:rPr>
              <w:t>茚并</w:t>
            </w:r>
            <w:r>
              <w:rPr>
                <w:rFonts w:ascii="Times New Roman" w:hAnsi="Times New Roman" w:cs="Times New Roman"/>
                <w:color w:val="auto"/>
                <w:sz w:val="21"/>
                <w:szCs w:val="21"/>
                <w:highlight w:val="none"/>
                <w:lang w:bidi="ar"/>
              </w:rPr>
              <w:t>[1,2,3-cd]</w:t>
            </w:r>
            <w:r>
              <w:rPr>
                <w:rFonts w:hint="eastAsia"/>
                <w:color w:val="auto"/>
                <w:sz w:val="21"/>
                <w:szCs w:val="21"/>
                <w:highlight w:val="none"/>
                <w:lang w:bidi="ar"/>
              </w:rPr>
              <w:t>芘</w:t>
            </w:r>
          </w:p>
        </w:tc>
        <w:tc>
          <w:tcPr>
            <w:tcW w:w="870" w:type="dxa"/>
            <w:tcBorders>
              <w:tl2br w:val="nil"/>
              <w:tr2bl w:val="nil"/>
            </w:tcBorders>
            <w:shd w:val="clear" w:color="auto" w:fill="auto"/>
            <w:vAlign w:val="center"/>
          </w:tcPr>
          <w:p w14:paraId="587D55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251618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8" w:type="dxa"/>
            <w:tcBorders>
              <w:tl2br w:val="nil"/>
              <w:tr2bl w:val="nil"/>
            </w:tcBorders>
            <w:shd w:val="clear" w:color="auto" w:fill="auto"/>
            <w:vAlign w:val="center"/>
          </w:tcPr>
          <w:p w14:paraId="2BF81C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631B31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42B62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238" w:type="dxa"/>
            <w:tcBorders>
              <w:tl2br w:val="nil"/>
              <w:tr2bl w:val="nil"/>
            </w:tcBorders>
            <w:shd w:val="clear" w:color="auto" w:fill="auto"/>
            <w:vAlign w:val="center"/>
          </w:tcPr>
          <w:p w14:paraId="3A4479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0.0200 </w:t>
            </w:r>
          </w:p>
        </w:tc>
        <w:tc>
          <w:tcPr>
            <w:tcW w:w="1238" w:type="dxa"/>
            <w:tcBorders>
              <w:tl2br w:val="nil"/>
              <w:tr2bl w:val="nil"/>
            </w:tcBorders>
            <w:shd w:val="clear" w:color="auto" w:fill="auto"/>
            <w:vAlign w:val="center"/>
          </w:tcPr>
          <w:p w14:paraId="0238BD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79BAB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2C39FD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239" w:type="dxa"/>
            <w:tcBorders>
              <w:tl2br w:val="nil"/>
              <w:tr2bl w:val="nil"/>
            </w:tcBorders>
            <w:shd w:val="clear" w:color="auto" w:fill="auto"/>
            <w:vAlign w:val="center"/>
          </w:tcPr>
          <w:p w14:paraId="1E4489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0.0133 </w:t>
            </w:r>
          </w:p>
        </w:tc>
      </w:tr>
      <w:tr w14:paraId="37EEA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4807778">
            <w:pPr>
              <w:ind w:left="-105" w:right="-105"/>
              <w:jc w:val="center"/>
              <w:textAlignment w:val="center"/>
              <w:rPr>
                <w:color w:val="auto"/>
                <w:sz w:val="21"/>
                <w:szCs w:val="21"/>
                <w:highlight w:val="none"/>
              </w:rPr>
            </w:pPr>
            <w:r>
              <w:rPr>
                <w:rFonts w:hint="eastAsia"/>
                <w:color w:val="auto"/>
                <w:sz w:val="21"/>
                <w:szCs w:val="21"/>
                <w:highlight w:val="none"/>
                <w:lang w:bidi="ar"/>
              </w:rPr>
              <w:t>二苯并</w:t>
            </w:r>
            <w:r>
              <w:rPr>
                <w:rFonts w:ascii="Times New Roman" w:hAnsi="Times New Roman" w:cs="Times New Roman"/>
                <w:color w:val="auto"/>
                <w:sz w:val="21"/>
                <w:szCs w:val="21"/>
                <w:highlight w:val="none"/>
                <w:lang w:bidi="ar"/>
              </w:rPr>
              <w:t>[a,h]</w:t>
            </w:r>
            <w:r>
              <w:rPr>
                <w:rFonts w:hint="eastAsia"/>
                <w:color w:val="auto"/>
                <w:sz w:val="21"/>
                <w:szCs w:val="21"/>
                <w:highlight w:val="none"/>
                <w:lang w:bidi="ar"/>
              </w:rPr>
              <w:t>蒽</w:t>
            </w:r>
          </w:p>
        </w:tc>
        <w:tc>
          <w:tcPr>
            <w:tcW w:w="870" w:type="dxa"/>
            <w:tcBorders>
              <w:tl2br w:val="nil"/>
              <w:tr2bl w:val="nil"/>
            </w:tcBorders>
            <w:shd w:val="clear" w:color="auto" w:fill="auto"/>
            <w:vAlign w:val="center"/>
          </w:tcPr>
          <w:p w14:paraId="49B1D2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885" w:type="dxa"/>
            <w:tcBorders>
              <w:tl2br w:val="nil"/>
              <w:tr2bl w:val="nil"/>
            </w:tcBorders>
            <w:shd w:val="clear" w:color="auto" w:fill="auto"/>
            <w:vAlign w:val="center"/>
          </w:tcPr>
          <w:p w14:paraId="324B9D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238" w:type="dxa"/>
            <w:tcBorders>
              <w:tl2br w:val="nil"/>
              <w:tr2bl w:val="nil"/>
            </w:tcBorders>
            <w:shd w:val="clear" w:color="auto" w:fill="auto"/>
            <w:vAlign w:val="center"/>
          </w:tcPr>
          <w:p w14:paraId="5314FC4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115FA6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6AB241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339ED9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04B709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8" w:type="dxa"/>
            <w:tcBorders>
              <w:tl2br w:val="nil"/>
              <w:tr2bl w:val="nil"/>
            </w:tcBorders>
            <w:shd w:val="clear" w:color="auto" w:fill="auto"/>
            <w:vAlign w:val="center"/>
          </w:tcPr>
          <w:p w14:paraId="719005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238" w:type="dxa"/>
            <w:tcBorders>
              <w:tl2br w:val="nil"/>
              <w:tr2bl w:val="nil"/>
            </w:tcBorders>
            <w:shd w:val="clear" w:color="auto" w:fill="auto"/>
            <w:vAlign w:val="center"/>
          </w:tcPr>
          <w:p w14:paraId="4521F3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239" w:type="dxa"/>
            <w:tcBorders>
              <w:tl2br w:val="nil"/>
              <w:tr2bl w:val="nil"/>
            </w:tcBorders>
            <w:shd w:val="clear" w:color="auto" w:fill="auto"/>
            <w:vAlign w:val="center"/>
          </w:tcPr>
          <w:p w14:paraId="0EF2BE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bl>
    <w:p w14:paraId="6C441128">
      <w:pPr>
        <w:pStyle w:val="15"/>
        <w:spacing w:line="360" w:lineRule="auto"/>
        <w:ind w:left="-105" w:right="-105" w:firstLine="482"/>
        <w:rPr>
          <w:rFonts w:eastAsia="宋体" w:cs="Times New Roman"/>
          <w:b w:val="0"/>
          <w:color w:val="auto"/>
          <w:kern w:val="0"/>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15</w:t>
      </w:r>
      <w:r>
        <w:rPr>
          <w:rFonts w:eastAsia="宋体" w:cs="Times New Roman"/>
          <w:color w:val="auto"/>
          <w:sz w:val="24"/>
          <w:szCs w:val="18"/>
          <w:highlight w:val="none"/>
        </w:rPr>
        <w:fldChar w:fldCharType="end"/>
      </w:r>
      <w:r>
        <w:rPr>
          <w:rFonts w:eastAsia="宋体" w:cs="Times New Roman"/>
          <w:bCs/>
          <w:color w:val="auto"/>
          <w:kern w:val="0"/>
          <w:sz w:val="24"/>
          <w:szCs w:val="24"/>
          <w:highlight w:val="none"/>
        </w:rPr>
        <w:t>本项目范围</w:t>
      </w:r>
      <w:r>
        <w:rPr>
          <w:rFonts w:hint="eastAsia" w:eastAsia="宋体" w:cs="Times New Roman"/>
          <w:bCs/>
          <w:color w:val="auto"/>
          <w:kern w:val="0"/>
          <w:sz w:val="24"/>
          <w:szCs w:val="24"/>
          <w:highlight w:val="none"/>
        </w:rPr>
        <w:t>内、</w:t>
      </w:r>
      <w:r>
        <w:rPr>
          <w:rFonts w:eastAsia="宋体" w:cs="Times New Roman"/>
          <w:bCs/>
          <w:color w:val="auto"/>
          <w:kern w:val="0"/>
          <w:sz w:val="24"/>
          <w:szCs w:val="24"/>
          <w:highlight w:val="none"/>
        </w:rPr>
        <w:t>外土壤监测点T</w:t>
      </w:r>
      <w:r>
        <w:rPr>
          <w:rFonts w:hint="eastAsia" w:eastAsia="宋体" w:cs="Times New Roman"/>
          <w:bCs/>
          <w:color w:val="auto"/>
          <w:kern w:val="0"/>
          <w:sz w:val="24"/>
          <w:szCs w:val="24"/>
          <w:highlight w:val="none"/>
        </w:rPr>
        <w:t>1-4</w:t>
      </w:r>
      <w:r>
        <w:rPr>
          <w:rFonts w:eastAsia="宋体" w:cs="Times New Roman"/>
          <w:bCs/>
          <w:color w:val="auto"/>
          <w:kern w:val="0"/>
          <w:sz w:val="24"/>
          <w:szCs w:val="24"/>
          <w:highlight w:val="none"/>
        </w:rPr>
        <w:t>、T</w:t>
      </w:r>
      <w:r>
        <w:rPr>
          <w:rFonts w:hint="eastAsia" w:eastAsia="宋体" w:cs="Times New Roman"/>
          <w:bCs/>
          <w:color w:val="auto"/>
          <w:kern w:val="0"/>
          <w:sz w:val="24"/>
          <w:szCs w:val="24"/>
          <w:highlight w:val="none"/>
        </w:rPr>
        <w:t>2-1</w:t>
      </w:r>
      <w:r>
        <w:rPr>
          <w:rFonts w:eastAsia="宋体" w:cs="Times New Roman"/>
          <w:bCs/>
          <w:color w:val="auto"/>
          <w:kern w:val="0"/>
          <w:sz w:val="24"/>
          <w:szCs w:val="24"/>
          <w:highlight w:val="none"/>
        </w:rPr>
        <w:t>、T</w:t>
      </w:r>
      <w:r>
        <w:rPr>
          <w:rFonts w:hint="eastAsia" w:eastAsia="宋体" w:cs="Times New Roman"/>
          <w:bCs/>
          <w:color w:val="auto"/>
          <w:kern w:val="0"/>
          <w:sz w:val="24"/>
          <w:szCs w:val="24"/>
          <w:highlight w:val="none"/>
        </w:rPr>
        <w:t>2-2</w:t>
      </w:r>
      <w:r>
        <w:rPr>
          <w:rFonts w:eastAsia="宋体" w:cs="Times New Roman"/>
          <w:bCs/>
          <w:color w:val="auto"/>
          <w:kern w:val="0"/>
          <w:sz w:val="24"/>
          <w:szCs w:val="24"/>
          <w:highlight w:val="none"/>
        </w:rPr>
        <w:t>污染风险筛选结果</w:t>
      </w:r>
    </w:p>
    <w:tbl>
      <w:tblPr>
        <w:tblStyle w:val="45"/>
        <w:tblW w:w="5000" w:type="pct"/>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2"/>
        <w:gridCol w:w="885"/>
        <w:gridCol w:w="1341"/>
        <w:gridCol w:w="1406"/>
        <w:gridCol w:w="1738"/>
        <w:gridCol w:w="1406"/>
        <w:gridCol w:w="1738"/>
        <w:gridCol w:w="1407"/>
        <w:gridCol w:w="1739"/>
      </w:tblGrid>
      <w:tr w14:paraId="4E677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restart"/>
            <w:tcBorders>
              <w:tl2br w:val="nil"/>
              <w:tr2bl w:val="nil"/>
            </w:tcBorders>
            <w:shd w:val="clear" w:color="auto" w:fill="auto"/>
            <w:vAlign w:val="center"/>
          </w:tcPr>
          <w:p w14:paraId="7AF896A9">
            <w:pPr>
              <w:ind w:left="-105" w:right="-105"/>
              <w:jc w:val="center"/>
              <w:textAlignment w:val="center"/>
              <w:rPr>
                <w:b/>
                <w:bCs/>
                <w:color w:val="auto"/>
                <w:sz w:val="21"/>
                <w:szCs w:val="21"/>
                <w:highlight w:val="none"/>
              </w:rPr>
            </w:pPr>
            <w:r>
              <w:rPr>
                <w:rFonts w:hint="eastAsia"/>
                <w:b/>
                <w:bCs/>
                <w:color w:val="auto"/>
                <w:sz w:val="21"/>
                <w:szCs w:val="21"/>
                <w:highlight w:val="none"/>
                <w:lang w:bidi="ar"/>
              </w:rPr>
              <w:t>检测项目</w:t>
            </w:r>
          </w:p>
        </w:tc>
        <w:tc>
          <w:tcPr>
            <w:tcW w:w="885" w:type="dxa"/>
            <w:vMerge w:val="restart"/>
            <w:tcBorders>
              <w:tl2br w:val="nil"/>
              <w:tr2bl w:val="nil"/>
            </w:tcBorders>
            <w:shd w:val="clear" w:color="auto" w:fill="auto"/>
            <w:vAlign w:val="center"/>
          </w:tcPr>
          <w:p w14:paraId="473B614F">
            <w:pPr>
              <w:ind w:left="-105" w:right="-105"/>
              <w:jc w:val="center"/>
              <w:textAlignment w:val="center"/>
              <w:rPr>
                <w:b/>
                <w:bCs/>
                <w:color w:val="auto"/>
                <w:sz w:val="21"/>
                <w:szCs w:val="21"/>
                <w:highlight w:val="none"/>
              </w:rPr>
            </w:pPr>
            <w:r>
              <w:rPr>
                <w:rFonts w:hint="eastAsia"/>
                <w:b/>
                <w:bCs/>
                <w:color w:val="auto"/>
                <w:sz w:val="21"/>
                <w:szCs w:val="21"/>
                <w:highlight w:val="none"/>
                <w:lang w:bidi="ar"/>
              </w:rPr>
              <w:t>单位</w:t>
            </w:r>
          </w:p>
        </w:tc>
        <w:tc>
          <w:tcPr>
            <w:tcW w:w="1341" w:type="dxa"/>
            <w:vMerge w:val="restart"/>
            <w:tcBorders>
              <w:tl2br w:val="nil"/>
              <w:tr2bl w:val="nil"/>
            </w:tcBorders>
            <w:shd w:val="clear" w:color="auto" w:fill="auto"/>
            <w:vAlign w:val="center"/>
          </w:tcPr>
          <w:p w14:paraId="4F7B4BC2">
            <w:pPr>
              <w:ind w:left="-105" w:right="-105"/>
              <w:jc w:val="center"/>
              <w:textAlignment w:val="center"/>
              <w:rPr>
                <w:b/>
                <w:bCs/>
                <w:color w:val="auto"/>
                <w:sz w:val="21"/>
                <w:szCs w:val="21"/>
                <w:highlight w:val="none"/>
              </w:rPr>
            </w:pPr>
            <w:r>
              <w:rPr>
                <w:rFonts w:hint="eastAsia"/>
                <w:b/>
                <w:bCs/>
                <w:color w:val="auto"/>
                <w:sz w:val="21"/>
                <w:szCs w:val="21"/>
                <w:highlight w:val="none"/>
                <w:lang w:bidi="ar"/>
              </w:rPr>
              <w:t>筛选值</w:t>
            </w:r>
          </w:p>
        </w:tc>
        <w:tc>
          <w:tcPr>
            <w:tcW w:w="3144" w:type="dxa"/>
            <w:gridSpan w:val="2"/>
            <w:tcBorders>
              <w:tl2br w:val="nil"/>
              <w:tr2bl w:val="nil"/>
            </w:tcBorders>
            <w:shd w:val="clear" w:color="auto" w:fill="auto"/>
            <w:vAlign w:val="center"/>
          </w:tcPr>
          <w:p w14:paraId="445AECCB">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T1-4</w:t>
            </w:r>
          </w:p>
        </w:tc>
        <w:tc>
          <w:tcPr>
            <w:tcW w:w="3144" w:type="dxa"/>
            <w:gridSpan w:val="2"/>
            <w:tcBorders>
              <w:tl2br w:val="nil"/>
              <w:tr2bl w:val="nil"/>
            </w:tcBorders>
            <w:shd w:val="clear" w:color="auto" w:fill="auto"/>
            <w:vAlign w:val="center"/>
          </w:tcPr>
          <w:p w14:paraId="6DB1D8B9">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T2-1</w:t>
            </w:r>
          </w:p>
        </w:tc>
        <w:tc>
          <w:tcPr>
            <w:tcW w:w="3146" w:type="dxa"/>
            <w:gridSpan w:val="2"/>
            <w:tcBorders>
              <w:tl2br w:val="nil"/>
              <w:tr2bl w:val="nil"/>
            </w:tcBorders>
            <w:shd w:val="clear" w:color="auto" w:fill="auto"/>
            <w:vAlign w:val="center"/>
          </w:tcPr>
          <w:p w14:paraId="37664F63">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T2-2</w:t>
            </w:r>
          </w:p>
        </w:tc>
      </w:tr>
      <w:tr w14:paraId="0664C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1472197F">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313BEEF7">
            <w:pPr>
              <w:ind w:left="-105" w:right="-105"/>
              <w:jc w:val="center"/>
              <w:rPr>
                <w:b/>
                <w:bCs/>
                <w:color w:val="auto"/>
                <w:sz w:val="21"/>
                <w:szCs w:val="21"/>
                <w:highlight w:val="none"/>
              </w:rPr>
            </w:pPr>
          </w:p>
        </w:tc>
        <w:tc>
          <w:tcPr>
            <w:tcW w:w="1341" w:type="dxa"/>
            <w:vMerge w:val="continue"/>
            <w:tcBorders>
              <w:tl2br w:val="nil"/>
              <w:tr2bl w:val="nil"/>
            </w:tcBorders>
            <w:shd w:val="clear" w:color="auto" w:fill="auto"/>
            <w:vAlign w:val="center"/>
          </w:tcPr>
          <w:p w14:paraId="1BCC106A">
            <w:pPr>
              <w:ind w:left="-105" w:right="-105"/>
              <w:jc w:val="center"/>
              <w:rPr>
                <w:b/>
                <w:bCs/>
                <w:color w:val="auto"/>
                <w:sz w:val="21"/>
                <w:szCs w:val="21"/>
                <w:highlight w:val="none"/>
              </w:rPr>
            </w:pPr>
          </w:p>
        </w:tc>
        <w:tc>
          <w:tcPr>
            <w:tcW w:w="3144" w:type="dxa"/>
            <w:gridSpan w:val="2"/>
            <w:tcBorders>
              <w:tl2br w:val="nil"/>
              <w:tr2bl w:val="nil"/>
            </w:tcBorders>
            <w:shd w:val="clear" w:color="auto" w:fill="auto"/>
            <w:vAlign w:val="center"/>
          </w:tcPr>
          <w:p w14:paraId="48B2CF65">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c>
          <w:tcPr>
            <w:tcW w:w="3144" w:type="dxa"/>
            <w:gridSpan w:val="2"/>
            <w:tcBorders>
              <w:tl2br w:val="nil"/>
              <w:tr2bl w:val="nil"/>
            </w:tcBorders>
            <w:shd w:val="clear" w:color="auto" w:fill="auto"/>
            <w:vAlign w:val="center"/>
          </w:tcPr>
          <w:p w14:paraId="0D480A5A">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c>
          <w:tcPr>
            <w:tcW w:w="3146" w:type="dxa"/>
            <w:gridSpan w:val="2"/>
            <w:tcBorders>
              <w:tl2br w:val="nil"/>
              <w:tr2bl w:val="nil"/>
            </w:tcBorders>
            <w:shd w:val="clear" w:color="auto" w:fill="auto"/>
            <w:vAlign w:val="center"/>
          </w:tcPr>
          <w:p w14:paraId="18045F95">
            <w:pPr>
              <w:ind w:left="-105" w:right="-105"/>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0-0.2m</w:t>
            </w:r>
          </w:p>
        </w:tc>
      </w:tr>
      <w:tr w14:paraId="1B1FAC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vMerge w:val="continue"/>
            <w:tcBorders>
              <w:tl2br w:val="nil"/>
              <w:tr2bl w:val="nil"/>
            </w:tcBorders>
            <w:shd w:val="clear" w:color="auto" w:fill="auto"/>
            <w:vAlign w:val="center"/>
          </w:tcPr>
          <w:p w14:paraId="356F45D1">
            <w:pPr>
              <w:ind w:left="-105" w:right="-105"/>
              <w:jc w:val="center"/>
              <w:rPr>
                <w:b/>
                <w:bCs/>
                <w:color w:val="auto"/>
                <w:sz w:val="21"/>
                <w:szCs w:val="21"/>
                <w:highlight w:val="none"/>
              </w:rPr>
            </w:pPr>
          </w:p>
        </w:tc>
        <w:tc>
          <w:tcPr>
            <w:tcW w:w="885" w:type="dxa"/>
            <w:vMerge w:val="continue"/>
            <w:tcBorders>
              <w:tl2br w:val="nil"/>
              <w:tr2bl w:val="nil"/>
            </w:tcBorders>
            <w:shd w:val="clear" w:color="auto" w:fill="auto"/>
            <w:vAlign w:val="center"/>
          </w:tcPr>
          <w:p w14:paraId="6DF30AEA">
            <w:pPr>
              <w:ind w:left="-105" w:right="-105"/>
              <w:jc w:val="center"/>
              <w:rPr>
                <w:b/>
                <w:bCs/>
                <w:color w:val="auto"/>
                <w:sz w:val="21"/>
                <w:szCs w:val="21"/>
                <w:highlight w:val="none"/>
              </w:rPr>
            </w:pPr>
          </w:p>
        </w:tc>
        <w:tc>
          <w:tcPr>
            <w:tcW w:w="1341" w:type="dxa"/>
            <w:vMerge w:val="continue"/>
            <w:tcBorders>
              <w:tl2br w:val="nil"/>
              <w:tr2bl w:val="nil"/>
            </w:tcBorders>
            <w:shd w:val="clear" w:color="auto" w:fill="auto"/>
            <w:vAlign w:val="center"/>
          </w:tcPr>
          <w:p w14:paraId="6D5C0527">
            <w:pPr>
              <w:ind w:left="-105" w:right="-105"/>
              <w:jc w:val="center"/>
              <w:rPr>
                <w:b/>
                <w:bCs/>
                <w:color w:val="auto"/>
                <w:sz w:val="21"/>
                <w:szCs w:val="21"/>
                <w:highlight w:val="none"/>
              </w:rPr>
            </w:pPr>
          </w:p>
        </w:tc>
        <w:tc>
          <w:tcPr>
            <w:tcW w:w="1406" w:type="dxa"/>
            <w:tcBorders>
              <w:tl2br w:val="nil"/>
              <w:tr2bl w:val="nil"/>
            </w:tcBorders>
            <w:shd w:val="clear" w:color="auto" w:fill="auto"/>
            <w:vAlign w:val="center"/>
          </w:tcPr>
          <w:p w14:paraId="73E3F854">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738" w:type="dxa"/>
            <w:tcBorders>
              <w:tl2br w:val="nil"/>
              <w:tr2bl w:val="nil"/>
            </w:tcBorders>
            <w:shd w:val="clear" w:color="auto" w:fill="auto"/>
            <w:vAlign w:val="center"/>
          </w:tcPr>
          <w:p w14:paraId="7724CCA8">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406" w:type="dxa"/>
            <w:tcBorders>
              <w:tl2br w:val="nil"/>
              <w:tr2bl w:val="nil"/>
            </w:tcBorders>
            <w:shd w:val="clear" w:color="auto" w:fill="auto"/>
            <w:vAlign w:val="center"/>
          </w:tcPr>
          <w:p w14:paraId="48D150D5">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738" w:type="dxa"/>
            <w:tcBorders>
              <w:tl2br w:val="nil"/>
              <w:tr2bl w:val="nil"/>
            </w:tcBorders>
            <w:shd w:val="clear" w:color="auto" w:fill="auto"/>
            <w:vAlign w:val="center"/>
          </w:tcPr>
          <w:p w14:paraId="054482F1">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c>
          <w:tcPr>
            <w:tcW w:w="1407" w:type="dxa"/>
            <w:tcBorders>
              <w:tl2br w:val="nil"/>
              <w:tr2bl w:val="nil"/>
            </w:tcBorders>
            <w:shd w:val="clear" w:color="auto" w:fill="auto"/>
            <w:vAlign w:val="center"/>
          </w:tcPr>
          <w:p w14:paraId="759B3D79">
            <w:pPr>
              <w:ind w:left="-105" w:right="-105"/>
              <w:jc w:val="center"/>
              <w:textAlignment w:val="center"/>
              <w:rPr>
                <w:b/>
                <w:bCs/>
                <w:color w:val="auto"/>
                <w:sz w:val="21"/>
                <w:szCs w:val="21"/>
                <w:highlight w:val="none"/>
              </w:rPr>
            </w:pPr>
            <w:r>
              <w:rPr>
                <w:rFonts w:hint="eastAsia"/>
                <w:b/>
                <w:bCs/>
                <w:color w:val="auto"/>
                <w:sz w:val="21"/>
                <w:szCs w:val="21"/>
                <w:highlight w:val="none"/>
                <w:lang w:bidi="ar"/>
              </w:rPr>
              <w:t>检测结果</w:t>
            </w:r>
          </w:p>
        </w:tc>
        <w:tc>
          <w:tcPr>
            <w:tcW w:w="1739" w:type="dxa"/>
            <w:tcBorders>
              <w:tl2br w:val="nil"/>
              <w:tr2bl w:val="nil"/>
            </w:tcBorders>
            <w:shd w:val="clear" w:color="auto" w:fill="auto"/>
            <w:vAlign w:val="center"/>
          </w:tcPr>
          <w:p w14:paraId="340407EE">
            <w:pPr>
              <w:ind w:left="-105" w:right="-105"/>
              <w:jc w:val="center"/>
              <w:textAlignment w:val="center"/>
              <w:rPr>
                <w:b/>
                <w:bCs/>
                <w:color w:val="auto"/>
                <w:sz w:val="21"/>
                <w:szCs w:val="21"/>
                <w:highlight w:val="none"/>
              </w:rPr>
            </w:pPr>
            <w:r>
              <w:rPr>
                <w:rFonts w:hint="eastAsia"/>
                <w:b/>
                <w:bCs/>
                <w:color w:val="auto"/>
                <w:sz w:val="21"/>
                <w:szCs w:val="21"/>
                <w:highlight w:val="none"/>
                <w:lang w:bidi="ar"/>
              </w:rPr>
              <w:t>标准指数</w:t>
            </w:r>
          </w:p>
        </w:tc>
      </w:tr>
      <w:tr w14:paraId="0E9682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ADF5A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pH</w:t>
            </w:r>
          </w:p>
        </w:tc>
        <w:tc>
          <w:tcPr>
            <w:tcW w:w="885" w:type="dxa"/>
            <w:tcBorders>
              <w:tl2br w:val="nil"/>
              <w:tr2bl w:val="nil"/>
            </w:tcBorders>
            <w:shd w:val="clear" w:color="auto" w:fill="auto"/>
            <w:vAlign w:val="center"/>
          </w:tcPr>
          <w:p w14:paraId="02954F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341" w:type="dxa"/>
            <w:tcBorders>
              <w:tl2br w:val="nil"/>
              <w:tr2bl w:val="nil"/>
            </w:tcBorders>
            <w:shd w:val="clear" w:color="auto" w:fill="auto"/>
            <w:vAlign w:val="center"/>
          </w:tcPr>
          <w:p w14:paraId="1EEE49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599E10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8.23</w:t>
            </w:r>
          </w:p>
        </w:tc>
        <w:tc>
          <w:tcPr>
            <w:tcW w:w="1738" w:type="dxa"/>
            <w:tcBorders>
              <w:tl2br w:val="nil"/>
              <w:tr2bl w:val="nil"/>
            </w:tcBorders>
            <w:shd w:val="clear" w:color="auto" w:fill="auto"/>
            <w:vAlign w:val="center"/>
          </w:tcPr>
          <w:p w14:paraId="745058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31BB37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5.99</w:t>
            </w:r>
          </w:p>
        </w:tc>
        <w:tc>
          <w:tcPr>
            <w:tcW w:w="1738" w:type="dxa"/>
            <w:tcBorders>
              <w:tl2br w:val="nil"/>
              <w:tr2bl w:val="nil"/>
            </w:tcBorders>
            <w:shd w:val="clear" w:color="auto" w:fill="auto"/>
            <w:vAlign w:val="center"/>
          </w:tcPr>
          <w:p w14:paraId="402B18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2C3286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6.34</w:t>
            </w:r>
          </w:p>
        </w:tc>
        <w:tc>
          <w:tcPr>
            <w:tcW w:w="1739" w:type="dxa"/>
            <w:tcBorders>
              <w:tl2br w:val="nil"/>
              <w:tr2bl w:val="nil"/>
            </w:tcBorders>
            <w:shd w:val="clear" w:color="auto" w:fill="auto"/>
            <w:vAlign w:val="center"/>
          </w:tcPr>
          <w:p w14:paraId="352CC8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80F9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10D25C4">
            <w:pPr>
              <w:ind w:left="-105" w:right="-105"/>
              <w:jc w:val="center"/>
              <w:textAlignment w:val="center"/>
              <w:rPr>
                <w:color w:val="auto"/>
                <w:sz w:val="21"/>
                <w:szCs w:val="21"/>
                <w:highlight w:val="none"/>
              </w:rPr>
            </w:pPr>
            <w:r>
              <w:rPr>
                <w:rFonts w:hint="eastAsia"/>
                <w:color w:val="auto"/>
                <w:sz w:val="21"/>
                <w:szCs w:val="21"/>
                <w:highlight w:val="none"/>
                <w:lang w:bidi="ar"/>
              </w:rPr>
              <w:t>汞</w:t>
            </w:r>
          </w:p>
        </w:tc>
        <w:tc>
          <w:tcPr>
            <w:tcW w:w="885" w:type="dxa"/>
            <w:tcBorders>
              <w:tl2br w:val="nil"/>
              <w:tr2bl w:val="nil"/>
            </w:tcBorders>
            <w:shd w:val="clear" w:color="auto" w:fill="auto"/>
            <w:vAlign w:val="center"/>
          </w:tcPr>
          <w:p w14:paraId="029E92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323D5F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38</w:t>
            </w:r>
          </w:p>
        </w:tc>
        <w:tc>
          <w:tcPr>
            <w:tcW w:w="1406" w:type="dxa"/>
            <w:tcBorders>
              <w:tl2br w:val="nil"/>
              <w:tr2bl w:val="nil"/>
            </w:tcBorders>
            <w:shd w:val="clear" w:color="auto" w:fill="auto"/>
            <w:vAlign w:val="center"/>
          </w:tcPr>
          <w:p w14:paraId="01C7CD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0.114</w:t>
            </w:r>
          </w:p>
        </w:tc>
        <w:tc>
          <w:tcPr>
            <w:tcW w:w="1738" w:type="dxa"/>
            <w:tcBorders>
              <w:tl2br w:val="nil"/>
              <w:tr2bl w:val="nil"/>
            </w:tcBorders>
            <w:shd w:val="clear" w:color="auto" w:fill="auto"/>
            <w:vAlign w:val="center"/>
          </w:tcPr>
          <w:p w14:paraId="6BE4E0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0.0030 </w:t>
            </w:r>
          </w:p>
        </w:tc>
        <w:tc>
          <w:tcPr>
            <w:tcW w:w="1406" w:type="dxa"/>
            <w:tcBorders>
              <w:tl2br w:val="nil"/>
              <w:tr2bl w:val="nil"/>
            </w:tcBorders>
            <w:shd w:val="clear" w:color="auto" w:fill="auto"/>
            <w:vAlign w:val="center"/>
          </w:tcPr>
          <w:p w14:paraId="78762F2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0.242</w:t>
            </w:r>
          </w:p>
        </w:tc>
        <w:tc>
          <w:tcPr>
            <w:tcW w:w="1738" w:type="dxa"/>
            <w:tcBorders>
              <w:tl2br w:val="nil"/>
              <w:tr2bl w:val="nil"/>
            </w:tcBorders>
            <w:shd w:val="clear" w:color="auto" w:fill="auto"/>
            <w:vAlign w:val="center"/>
          </w:tcPr>
          <w:p w14:paraId="1A2DA4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0.0064 </w:t>
            </w:r>
          </w:p>
        </w:tc>
        <w:tc>
          <w:tcPr>
            <w:tcW w:w="1407" w:type="dxa"/>
            <w:tcBorders>
              <w:tl2br w:val="nil"/>
              <w:tr2bl w:val="nil"/>
            </w:tcBorders>
            <w:shd w:val="clear" w:color="auto" w:fill="auto"/>
            <w:vAlign w:val="center"/>
          </w:tcPr>
          <w:p w14:paraId="36343C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0.262</w:t>
            </w:r>
          </w:p>
        </w:tc>
        <w:tc>
          <w:tcPr>
            <w:tcW w:w="1739" w:type="dxa"/>
            <w:tcBorders>
              <w:tl2br w:val="nil"/>
              <w:tr2bl w:val="nil"/>
            </w:tcBorders>
            <w:shd w:val="clear" w:color="auto" w:fill="auto"/>
            <w:vAlign w:val="center"/>
          </w:tcPr>
          <w:p w14:paraId="65E72B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0.0069 </w:t>
            </w:r>
          </w:p>
        </w:tc>
      </w:tr>
      <w:tr w14:paraId="2BB7C8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1539DE7">
            <w:pPr>
              <w:ind w:left="-105" w:right="-105"/>
              <w:jc w:val="center"/>
              <w:textAlignment w:val="center"/>
              <w:rPr>
                <w:color w:val="auto"/>
                <w:sz w:val="21"/>
                <w:szCs w:val="21"/>
                <w:highlight w:val="none"/>
              </w:rPr>
            </w:pPr>
            <w:r>
              <w:rPr>
                <w:rFonts w:hint="eastAsia"/>
                <w:color w:val="auto"/>
                <w:sz w:val="21"/>
                <w:szCs w:val="21"/>
                <w:highlight w:val="none"/>
                <w:lang w:bidi="ar"/>
              </w:rPr>
              <w:t>砷</w:t>
            </w:r>
          </w:p>
        </w:tc>
        <w:tc>
          <w:tcPr>
            <w:tcW w:w="885" w:type="dxa"/>
            <w:tcBorders>
              <w:tl2br w:val="nil"/>
              <w:tr2bl w:val="nil"/>
            </w:tcBorders>
            <w:shd w:val="clear" w:color="auto" w:fill="auto"/>
            <w:vAlign w:val="center"/>
          </w:tcPr>
          <w:p w14:paraId="551D09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38BEB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60</w:t>
            </w:r>
          </w:p>
        </w:tc>
        <w:tc>
          <w:tcPr>
            <w:tcW w:w="1406" w:type="dxa"/>
            <w:tcBorders>
              <w:tl2br w:val="nil"/>
              <w:tr2bl w:val="nil"/>
            </w:tcBorders>
            <w:shd w:val="clear" w:color="auto" w:fill="auto"/>
            <w:vAlign w:val="center"/>
          </w:tcPr>
          <w:p w14:paraId="12A8E9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7.55</w:t>
            </w:r>
          </w:p>
        </w:tc>
        <w:tc>
          <w:tcPr>
            <w:tcW w:w="1738" w:type="dxa"/>
            <w:tcBorders>
              <w:tl2br w:val="nil"/>
              <w:tr2bl w:val="nil"/>
            </w:tcBorders>
            <w:shd w:val="clear" w:color="auto" w:fill="auto"/>
            <w:vAlign w:val="center"/>
          </w:tcPr>
          <w:p w14:paraId="2E827B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0.1258 </w:t>
            </w:r>
          </w:p>
        </w:tc>
        <w:tc>
          <w:tcPr>
            <w:tcW w:w="1406" w:type="dxa"/>
            <w:tcBorders>
              <w:tl2br w:val="nil"/>
              <w:tr2bl w:val="nil"/>
            </w:tcBorders>
            <w:shd w:val="clear" w:color="auto" w:fill="auto"/>
            <w:vAlign w:val="center"/>
          </w:tcPr>
          <w:p w14:paraId="307B09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7.61</w:t>
            </w:r>
          </w:p>
        </w:tc>
        <w:tc>
          <w:tcPr>
            <w:tcW w:w="1738" w:type="dxa"/>
            <w:tcBorders>
              <w:tl2br w:val="nil"/>
              <w:tr2bl w:val="nil"/>
            </w:tcBorders>
            <w:shd w:val="clear" w:color="auto" w:fill="auto"/>
            <w:vAlign w:val="center"/>
          </w:tcPr>
          <w:p w14:paraId="6C84FC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0.1268 </w:t>
            </w:r>
          </w:p>
        </w:tc>
        <w:tc>
          <w:tcPr>
            <w:tcW w:w="1407" w:type="dxa"/>
            <w:tcBorders>
              <w:tl2br w:val="nil"/>
              <w:tr2bl w:val="nil"/>
            </w:tcBorders>
            <w:shd w:val="clear" w:color="auto" w:fill="auto"/>
            <w:vAlign w:val="center"/>
          </w:tcPr>
          <w:p w14:paraId="7E44DF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8.45</w:t>
            </w:r>
          </w:p>
        </w:tc>
        <w:tc>
          <w:tcPr>
            <w:tcW w:w="1739" w:type="dxa"/>
            <w:tcBorders>
              <w:tl2br w:val="nil"/>
              <w:tr2bl w:val="nil"/>
            </w:tcBorders>
            <w:shd w:val="clear" w:color="auto" w:fill="auto"/>
            <w:vAlign w:val="center"/>
          </w:tcPr>
          <w:p w14:paraId="13D9A7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0.1408 </w:t>
            </w:r>
          </w:p>
        </w:tc>
      </w:tr>
      <w:tr w14:paraId="0C62E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227FDA4">
            <w:pPr>
              <w:ind w:left="-105" w:right="-105"/>
              <w:jc w:val="center"/>
              <w:textAlignment w:val="center"/>
              <w:rPr>
                <w:color w:val="auto"/>
                <w:sz w:val="21"/>
                <w:szCs w:val="21"/>
                <w:highlight w:val="none"/>
              </w:rPr>
            </w:pPr>
            <w:r>
              <w:rPr>
                <w:rFonts w:hint="eastAsia"/>
                <w:color w:val="auto"/>
                <w:sz w:val="21"/>
                <w:szCs w:val="21"/>
                <w:highlight w:val="none"/>
                <w:lang w:bidi="ar"/>
              </w:rPr>
              <w:t>镉</w:t>
            </w:r>
          </w:p>
        </w:tc>
        <w:tc>
          <w:tcPr>
            <w:tcW w:w="885" w:type="dxa"/>
            <w:tcBorders>
              <w:tl2br w:val="nil"/>
              <w:tr2bl w:val="nil"/>
            </w:tcBorders>
            <w:shd w:val="clear" w:color="auto" w:fill="auto"/>
            <w:vAlign w:val="center"/>
          </w:tcPr>
          <w:p w14:paraId="42ACB1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69D0B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65</w:t>
            </w:r>
          </w:p>
        </w:tc>
        <w:tc>
          <w:tcPr>
            <w:tcW w:w="1406" w:type="dxa"/>
            <w:tcBorders>
              <w:tl2br w:val="nil"/>
              <w:tr2bl w:val="nil"/>
            </w:tcBorders>
            <w:shd w:val="clear" w:color="auto" w:fill="auto"/>
            <w:vAlign w:val="center"/>
          </w:tcPr>
          <w:p w14:paraId="33AF0C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0.05</w:t>
            </w:r>
          </w:p>
        </w:tc>
        <w:tc>
          <w:tcPr>
            <w:tcW w:w="1738" w:type="dxa"/>
            <w:tcBorders>
              <w:tl2br w:val="nil"/>
              <w:tr2bl w:val="nil"/>
            </w:tcBorders>
            <w:shd w:val="clear" w:color="auto" w:fill="auto"/>
            <w:vAlign w:val="center"/>
          </w:tcPr>
          <w:p w14:paraId="34EB9C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0.0008 </w:t>
            </w:r>
          </w:p>
        </w:tc>
        <w:tc>
          <w:tcPr>
            <w:tcW w:w="1406" w:type="dxa"/>
            <w:tcBorders>
              <w:tl2br w:val="nil"/>
              <w:tr2bl w:val="nil"/>
            </w:tcBorders>
            <w:shd w:val="clear" w:color="auto" w:fill="auto"/>
            <w:vAlign w:val="center"/>
          </w:tcPr>
          <w:p w14:paraId="744A4C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0.19</w:t>
            </w:r>
          </w:p>
        </w:tc>
        <w:tc>
          <w:tcPr>
            <w:tcW w:w="1738" w:type="dxa"/>
            <w:tcBorders>
              <w:tl2br w:val="nil"/>
              <w:tr2bl w:val="nil"/>
            </w:tcBorders>
            <w:shd w:val="clear" w:color="auto" w:fill="auto"/>
            <w:vAlign w:val="center"/>
          </w:tcPr>
          <w:p w14:paraId="171F97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0.0029 </w:t>
            </w:r>
          </w:p>
        </w:tc>
        <w:tc>
          <w:tcPr>
            <w:tcW w:w="1407" w:type="dxa"/>
            <w:tcBorders>
              <w:tl2br w:val="nil"/>
              <w:tr2bl w:val="nil"/>
            </w:tcBorders>
            <w:shd w:val="clear" w:color="auto" w:fill="auto"/>
            <w:vAlign w:val="center"/>
          </w:tcPr>
          <w:p w14:paraId="7A6A9C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0.16</w:t>
            </w:r>
          </w:p>
        </w:tc>
        <w:tc>
          <w:tcPr>
            <w:tcW w:w="1739" w:type="dxa"/>
            <w:tcBorders>
              <w:tl2br w:val="nil"/>
              <w:tr2bl w:val="nil"/>
            </w:tcBorders>
            <w:shd w:val="clear" w:color="auto" w:fill="auto"/>
            <w:vAlign w:val="center"/>
          </w:tcPr>
          <w:p w14:paraId="39B576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0.0025 </w:t>
            </w:r>
          </w:p>
        </w:tc>
      </w:tr>
      <w:tr w14:paraId="6223B4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0E36F2C">
            <w:pPr>
              <w:ind w:left="-105" w:right="-105"/>
              <w:jc w:val="center"/>
              <w:textAlignment w:val="center"/>
              <w:rPr>
                <w:color w:val="auto"/>
                <w:sz w:val="21"/>
                <w:szCs w:val="21"/>
                <w:highlight w:val="none"/>
              </w:rPr>
            </w:pPr>
            <w:r>
              <w:rPr>
                <w:rFonts w:hint="eastAsia"/>
                <w:color w:val="auto"/>
                <w:sz w:val="21"/>
                <w:szCs w:val="21"/>
                <w:highlight w:val="none"/>
                <w:lang w:bidi="ar"/>
              </w:rPr>
              <w:t>铜</w:t>
            </w:r>
          </w:p>
        </w:tc>
        <w:tc>
          <w:tcPr>
            <w:tcW w:w="885" w:type="dxa"/>
            <w:tcBorders>
              <w:tl2br w:val="nil"/>
              <w:tr2bl w:val="nil"/>
            </w:tcBorders>
            <w:shd w:val="clear" w:color="auto" w:fill="auto"/>
            <w:vAlign w:val="center"/>
          </w:tcPr>
          <w:p w14:paraId="151F7B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28A5A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18000</w:t>
            </w:r>
          </w:p>
        </w:tc>
        <w:tc>
          <w:tcPr>
            <w:tcW w:w="1406" w:type="dxa"/>
            <w:tcBorders>
              <w:tl2br w:val="nil"/>
              <w:tr2bl w:val="nil"/>
            </w:tcBorders>
            <w:shd w:val="clear" w:color="auto" w:fill="auto"/>
            <w:vAlign w:val="center"/>
          </w:tcPr>
          <w:p w14:paraId="72E4CC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17</w:t>
            </w:r>
          </w:p>
        </w:tc>
        <w:tc>
          <w:tcPr>
            <w:tcW w:w="1738" w:type="dxa"/>
            <w:tcBorders>
              <w:tl2br w:val="nil"/>
              <w:tr2bl w:val="nil"/>
            </w:tcBorders>
            <w:shd w:val="clear" w:color="auto" w:fill="auto"/>
            <w:vAlign w:val="center"/>
          </w:tcPr>
          <w:p w14:paraId="5A17F2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0.0009 </w:t>
            </w:r>
          </w:p>
        </w:tc>
        <w:tc>
          <w:tcPr>
            <w:tcW w:w="1406" w:type="dxa"/>
            <w:tcBorders>
              <w:tl2br w:val="nil"/>
              <w:tr2bl w:val="nil"/>
            </w:tcBorders>
            <w:shd w:val="clear" w:color="auto" w:fill="auto"/>
            <w:vAlign w:val="center"/>
          </w:tcPr>
          <w:p w14:paraId="13E11E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34</w:t>
            </w:r>
          </w:p>
        </w:tc>
        <w:tc>
          <w:tcPr>
            <w:tcW w:w="1738" w:type="dxa"/>
            <w:tcBorders>
              <w:tl2br w:val="nil"/>
              <w:tr2bl w:val="nil"/>
            </w:tcBorders>
            <w:shd w:val="clear" w:color="auto" w:fill="auto"/>
            <w:vAlign w:val="center"/>
          </w:tcPr>
          <w:p w14:paraId="0CCBED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0.0019 </w:t>
            </w:r>
          </w:p>
        </w:tc>
        <w:tc>
          <w:tcPr>
            <w:tcW w:w="1407" w:type="dxa"/>
            <w:tcBorders>
              <w:tl2br w:val="nil"/>
              <w:tr2bl w:val="nil"/>
            </w:tcBorders>
            <w:shd w:val="clear" w:color="auto" w:fill="auto"/>
            <w:vAlign w:val="center"/>
          </w:tcPr>
          <w:p w14:paraId="25ECB8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33</w:t>
            </w:r>
          </w:p>
        </w:tc>
        <w:tc>
          <w:tcPr>
            <w:tcW w:w="1739" w:type="dxa"/>
            <w:tcBorders>
              <w:tl2br w:val="nil"/>
              <w:tr2bl w:val="nil"/>
            </w:tcBorders>
            <w:shd w:val="clear" w:color="auto" w:fill="auto"/>
            <w:vAlign w:val="center"/>
          </w:tcPr>
          <w:p w14:paraId="6349AF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0.0018 </w:t>
            </w:r>
          </w:p>
        </w:tc>
      </w:tr>
      <w:tr w14:paraId="2F4E9A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6FE18D1">
            <w:pPr>
              <w:ind w:left="-105" w:right="-105"/>
              <w:jc w:val="center"/>
              <w:textAlignment w:val="center"/>
              <w:rPr>
                <w:color w:val="auto"/>
                <w:sz w:val="21"/>
                <w:szCs w:val="21"/>
                <w:highlight w:val="none"/>
              </w:rPr>
            </w:pPr>
            <w:r>
              <w:rPr>
                <w:rFonts w:hint="eastAsia"/>
                <w:color w:val="auto"/>
                <w:sz w:val="21"/>
                <w:szCs w:val="21"/>
                <w:highlight w:val="none"/>
                <w:lang w:bidi="ar"/>
              </w:rPr>
              <w:t>铅</w:t>
            </w:r>
          </w:p>
        </w:tc>
        <w:tc>
          <w:tcPr>
            <w:tcW w:w="885" w:type="dxa"/>
            <w:tcBorders>
              <w:tl2br w:val="nil"/>
              <w:tr2bl w:val="nil"/>
            </w:tcBorders>
            <w:shd w:val="clear" w:color="auto" w:fill="auto"/>
            <w:vAlign w:val="center"/>
          </w:tcPr>
          <w:p w14:paraId="1F5E9E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63F16E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800</w:t>
            </w:r>
          </w:p>
        </w:tc>
        <w:tc>
          <w:tcPr>
            <w:tcW w:w="1406" w:type="dxa"/>
            <w:tcBorders>
              <w:tl2br w:val="nil"/>
              <w:tr2bl w:val="nil"/>
            </w:tcBorders>
            <w:shd w:val="clear" w:color="auto" w:fill="auto"/>
            <w:vAlign w:val="center"/>
          </w:tcPr>
          <w:p w14:paraId="4407C2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20.5</w:t>
            </w:r>
          </w:p>
        </w:tc>
        <w:tc>
          <w:tcPr>
            <w:tcW w:w="1738" w:type="dxa"/>
            <w:tcBorders>
              <w:tl2br w:val="nil"/>
              <w:tr2bl w:val="nil"/>
            </w:tcBorders>
            <w:shd w:val="clear" w:color="auto" w:fill="auto"/>
            <w:vAlign w:val="center"/>
          </w:tcPr>
          <w:p w14:paraId="5DD823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0.0256 </w:t>
            </w:r>
          </w:p>
        </w:tc>
        <w:tc>
          <w:tcPr>
            <w:tcW w:w="1406" w:type="dxa"/>
            <w:tcBorders>
              <w:tl2br w:val="nil"/>
              <w:tr2bl w:val="nil"/>
            </w:tcBorders>
            <w:shd w:val="clear" w:color="auto" w:fill="auto"/>
            <w:vAlign w:val="center"/>
          </w:tcPr>
          <w:p w14:paraId="72CF59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32</w:t>
            </w:r>
          </w:p>
        </w:tc>
        <w:tc>
          <w:tcPr>
            <w:tcW w:w="1738" w:type="dxa"/>
            <w:tcBorders>
              <w:tl2br w:val="nil"/>
              <w:tr2bl w:val="nil"/>
            </w:tcBorders>
            <w:shd w:val="clear" w:color="auto" w:fill="auto"/>
            <w:vAlign w:val="center"/>
          </w:tcPr>
          <w:p w14:paraId="014BB0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0.0400 </w:t>
            </w:r>
          </w:p>
        </w:tc>
        <w:tc>
          <w:tcPr>
            <w:tcW w:w="1407" w:type="dxa"/>
            <w:tcBorders>
              <w:tl2br w:val="nil"/>
              <w:tr2bl w:val="nil"/>
            </w:tcBorders>
            <w:shd w:val="clear" w:color="auto" w:fill="auto"/>
            <w:vAlign w:val="center"/>
          </w:tcPr>
          <w:p w14:paraId="3943BA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29</w:t>
            </w:r>
          </w:p>
        </w:tc>
        <w:tc>
          <w:tcPr>
            <w:tcW w:w="1739" w:type="dxa"/>
            <w:tcBorders>
              <w:tl2br w:val="nil"/>
              <w:tr2bl w:val="nil"/>
            </w:tcBorders>
            <w:shd w:val="clear" w:color="auto" w:fill="auto"/>
            <w:vAlign w:val="center"/>
          </w:tcPr>
          <w:p w14:paraId="2FE3E0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0.0363 </w:t>
            </w:r>
          </w:p>
        </w:tc>
      </w:tr>
      <w:tr w14:paraId="6A03A0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9799E3B">
            <w:pPr>
              <w:ind w:left="-105" w:right="-105"/>
              <w:jc w:val="center"/>
              <w:textAlignment w:val="center"/>
              <w:rPr>
                <w:color w:val="auto"/>
                <w:sz w:val="21"/>
                <w:szCs w:val="21"/>
                <w:highlight w:val="none"/>
              </w:rPr>
            </w:pPr>
            <w:r>
              <w:rPr>
                <w:rFonts w:hint="eastAsia"/>
                <w:color w:val="auto"/>
                <w:sz w:val="21"/>
                <w:szCs w:val="21"/>
                <w:highlight w:val="none"/>
                <w:lang w:bidi="ar"/>
              </w:rPr>
              <w:t>镍</w:t>
            </w:r>
          </w:p>
        </w:tc>
        <w:tc>
          <w:tcPr>
            <w:tcW w:w="885" w:type="dxa"/>
            <w:tcBorders>
              <w:tl2br w:val="nil"/>
              <w:tr2bl w:val="nil"/>
            </w:tcBorders>
            <w:shd w:val="clear" w:color="auto" w:fill="auto"/>
            <w:vAlign w:val="center"/>
          </w:tcPr>
          <w:p w14:paraId="29BA01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5A216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900</w:t>
            </w:r>
          </w:p>
        </w:tc>
        <w:tc>
          <w:tcPr>
            <w:tcW w:w="1406" w:type="dxa"/>
            <w:tcBorders>
              <w:tl2br w:val="nil"/>
              <w:tr2bl w:val="nil"/>
            </w:tcBorders>
            <w:shd w:val="clear" w:color="auto" w:fill="auto"/>
            <w:vAlign w:val="center"/>
          </w:tcPr>
          <w:p w14:paraId="3134DA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738" w:type="dxa"/>
            <w:tcBorders>
              <w:tl2br w:val="nil"/>
              <w:tr2bl w:val="nil"/>
            </w:tcBorders>
            <w:shd w:val="clear" w:color="auto" w:fill="auto"/>
            <w:vAlign w:val="center"/>
          </w:tcPr>
          <w:p w14:paraId="4541F6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0.0278 </w:t>
            </w:r>
          </w:p>
        </w:tc>
        <w:tc>
          <w:tcPr>
            <w:tcW w:w="1406" w:type="dxa"/>
            <w:tcBorders>
              <w:tl2br w:val="nil"/>
              <w:tr2bl w:val="nil"/>
            </w:tcBorders>
            <w:shd w:val="clear" w:color="auto" w:fill="auto"/>
            <w:vAlign w:val="center"/>
          </w:tcPr>
          <w:p w14:paraId="640EE4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738" w:type="dxa"/>
            <w:tcBorders>
              <w:tl2br w:val="nil"/>
              <w:tr2bl w:val="nil"/>
            </w:tcBorders>
            <w:shd w:val="clear" w:color="auto" w:fill="auto"/>
            <w:vAlign w:val="center"/>
          </w:tcPr>
          <w:p w14:paraId="7B3C99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0.0311 </w:t>
            </w:r>
          </w:p>
        </w:tc>
        <w:tc>
          <w:tcPr>
            <w:tcW w:w="1407" w:type="dxa"/>
            <w:tcBorders>
              <w:tl2br w:val="nil"/>
              <w:tr2bl w:val="nil"/>
            </w:tcBorders>
            <w:shd w:val="clear" w:color="auto" w:fill="auto"/>
            <w:vAlign w:val="center"/>
          </w:tcPr>
          <w:p w14:paraId="51A45E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739" w:type="dxa"/>
            <w:tcBorders>
              <w:tl2br w:val="nil"/>
              <w:tr2bl w:val="nil"/>
            </w:tcBorders>
            <w:shd w:val="clear" w:color="auto" w:fill="auto"/>
            <w:vAlign w:val="center"/>
          </w:tcPr>
          <w:p w14:paraId="25428E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0.0300 </w:t>
            </w:r>
          </w:p>
        </w:tc>
      </w:tr>
      <w:tr w14:paraId="0C53E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1FF1EC0">
            <w:pPr>
              <w:ind w:left="-105" w:right="-105"/>
              <w:jc w:val="center"/>
              <w:textAlignment w:val="center"/>
              <w:rPr>
                <w:color w:val="auto"/>
                <w:sz w:val="21"/>
                <w:szCs w:val="21"/>
                <w:highlight w:val="none"/>
              </w:rPr>
            </w:pPr>
            <w:r>
              <w:rPr>
                <w:rFonts w:hint="eastAsia"/>
                <w:color w:val="auto"/>
                <w:sz w:val="21"/>
                <w:szCs w:val="21"/>
                <w:highlight w:val="none"/>
                <w:lang w:bidi="ar"/>
              </w:rPr>
              <w:t>六价铬</w:t>
            </w:r>
          </w:p>
        </w:tc>
        <w:tc>
          <w:tcPr>
            <w:tcW w:w="885" w:type="dxa"/>
            <w:tcBorders>
              <w:tl2br w:val="nil"/>
              <w:tr2bl w:val="nil"/>
            </w:tcBorders>
            <w:shd w:val="clear" w:color="auto" w:fill="auto"/>
            <w:vAlign w:val="center"/>
          </w:tcPr>
          <w:p w14:paraId="4B6927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73ECA0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w:t>
            </w:r>
          </w:p>
        </w:tc>
        <w:tc>
          <w:tcPr>
            <w:tcW w:w="1406" w:type="dxa"/>
            <w:tcBorders>
              <w:tl2br w:val="nil"/>
              <w:tr2bl w:val="nil"/>
            </w:tcBorders>
            <w:shd w:val="clear" w:color="auto" w:fill="auto"/>
            <w:vAlign w:val="center"/>
          </w:tcPr>
          <w:p w14:paraId="54B94A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44C60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1C3A1CE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5043D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D3F44A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2A764C0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8E2BC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9672136">
            <w:pPr>
              <w:ind w:left="-105" w:right="-105"/>
              <w:jc w:val="center"/>
              <w:textAlignment w:val="center"/>
              <w:rPr>
                <w:color w:val="auto"/>
                <w:sz w:val="21"/>
                <w:szCs w:val="21"/>
                <w:highlight w:val="none"/>
              </w:rPr>
            </w:pPr>
            <w:r>
              <w:rPr>
                <w:rFonts w:hint="eastAsia"/>
                <w:color w:val="auto"/>
                <w:sz w:val="21"/>
                <w:szCs w:val="21"/>
                <w:highlight w:val="none"/>
                <w:lang w:bidi="ar"/>
              </w:rPr>
              <w:t>氯甲烷</w:t>
            </w:r>
          </w:p>
        </w:tc>
        <w:tc>
          <w:tcPr>
            <w:tcW w:w="885" w:type="dxa"/>
            <w:tcBorders>
              <w:tl2br w:val="nil"/>
              <w:tr2bl w:val="nil"/>
            </w:tcBorders>
            <w:shd w:val="clear" w:color="auto" w:fill="auto"/>
            <w:vAlign w:val="center"/>
          </w:tcPr>
          <w:p w14:paraId="1C1BC4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99841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37</w:t>
            </w:r>
          </w:p>
        </w:tc>
        <w:tc>
          <w:tcPr>
            <w:tcW w:w="1406" w:type="dxa"/>
            <w:tcBorders>
              <w:tl2br w:val="nil"/>
              <w:tr2bl w:val="nil"/>
            </w:tcBorders>
            <w:shd w:val="clear" w:color="auto" w:fill="auto"/>
            <w:vAlign w:val="center"/>
          </w:tcPr>
          <w:p w14:paraId="73AF9D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979D4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639F2C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084439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D0D19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7A9D1D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1E002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D18543D">
            <w:pPr>
              <w:ind w:left="-105" w:right="-105"/>
              <w:jc w:val="center"/>
              <w:textAlignment w:val="center"/>
              <w:rPr>
                <w:color w:val="auto"/>
                <w:sz w:val="21"/>
                <w:szCs w:val="21"/>
                <w:highlight w:val="none"/>
              </w:rPr>
            </w:pPr>
            <w:r>
              <w:rPr>
                <w:rFonts w:hint="eastAsia"/>
                <w:color w:val="auto"/>
                <w:sz w:val="21"/>
                <w:szCs w:val="21"/>
                <w:highlight w:val="none"/>
                <w:lang w:bidi="ar"/>
              </w:rPr>
              <w:t>氯乙烯</w:t>
            </w:r>
          </w:p>
        </w:tc>
        <w:tc>
          <w:tcPr>
            <w:tcW w:w="885" w:type="dxa"/>
            <w:tcBorders>
              <w:tl2br w:val="nil"/>
              <w:tr2bl w:val="nil"/>
            </w:tcBorders>
            <w:shd w:val="clear" w:color="auto" w:fill="auto"/>
            <w:vAlign w:val="center"/>
          </w:tcPr>
          <w:p w14:paraId="3F5713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75EC8B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0.43</w:t>
            </w:r>
          </w:p>
        </w:tc>
        <w:tc>
          <w:tcPr>
            <w:tcW w:w="1406" w:type="dxa"/>
            <w:tcBorders>
              <w:tl2br w:val="nil"/>
              <w:tr2bl w:val="nil"/>
            </w:tcBorders>
            <w:shd w:val="clear" w:color="auto" w:fill="auto"/>
            <w:vAlign w:val="center"/>
          </w:tcPr>
          <w:p w14:paraId="503B4AC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4DF7C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69662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2FD60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02EC23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DDD23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F5529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11F43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0AB9AD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3D8D55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66</w:t>
            </w:r>
          </w:p>
        </w:tc>
        <w:tc>
          <w:tcPr>
            <w:tcW w:w="1406" w:type="dxa"/>
            <w:tcBorders>
              <w:tl2br w:val="nil"/>
              <w:tr2bl w:val="nil"/>
            </w:tcBorders>
            <w:shd w:val="clear" w:color="auto" w:fill="auto"/>
            <w:vAlign w:val="center"/>
          </w:tcPr>
          <w:p w14:paraId="4965AF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8BD11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AD268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0362E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D76E1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26CB4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1C56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872D938">
            <w:pPr>
              <w:ind w:left="-105" w:right="-105"/>
              <w:jc w:val="center"/>
              <w:textAlignment w:val="center"/>
              <w:rPr>
                <w:color w:val="auto"/>
                <w:sz w:val="21"/>
                <w:szCs w:val="21"/>
                <w:highlight w:val="none"/>
              </w:rPr>
            </w:pPr>
            <w:r>
              <w:rPr>
                <w:rFonts w:hint="eastAsia"/>
                <w:color w:val="auto"/>
                <w:sz w:val="21"/>
                <w:szCs w:val="21"/>
                <w:highlight w:val="none"/>
                <w:lang w:bidi="ar"/>
              </w:rPr>
              <w:t>二氯甲烷</w:t>
            </w:r>
          </w:p>
        </w:tc>
        <w:tc>
          <w:tcPr>
            <w:tcW w:w="885" w:type="dxa"/>
            <w:tcBorders>
              <w:tl2br w:val="nil"/>
              <w:tr2bl w:val="nil"/>
            </w:tcBorders>
            <w:shd w:val="clear" w:color="auto" w:fill="auto"/>
            <w:vAlign w:val="center"/>
          </w:tcPr>
          <w:p w14:paraId="0B635E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61A97E3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616</w:t>
            </w:r>
          </w:p>
        </w:tc>
        <w:tc>
          <w:tcPr>
            <w:tcW w:w="1406" w:type="dxa"/>
            <w:tcBorders>
              <w:tl2br w:val="nil"/>
              <w:tr2bl w:val="nil"/>
            </w:tcBorders>
            <w:shd w:val="clear" w:color="auto" w:fill="auto"/>
            <w:vAlign w:val="center"/>
          </w:tcPr>
          <w:p w14:paraId="0FD437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0A92B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DE39E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02070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570562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AFBCD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DB94B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59C3509">
            <w:pPr>
              <w:ind w:left="-105" w:right="-105"/>
              <w:jc w:val="center"/>
              <w:textAlignment w:val="center"/>
              <w:rPr>
                <w:color w:val="auto"/>
                <w:sz w:val="21"/>
                <w:szCs w:val="21"/>
                <w:highlight w:val="none"/>
              </w:rPr>
            </w:pPr>
            <w:r>
              <w:rPr>
                <w:rFonts w:hint="eastAsia"/>
                <w:color w:val="auto"/>
                <w:sz w:val="21"/>
                <w:szCs w:val="21"/>
                <w:highlight w:val="none"/>
                <w:lang w:bidi="ar"/>
              </w:rPr>
              <w:t>反式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17B99F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7DF3BE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54</w:t>
            </w:r>
          </w:p>
        </w:tc>
        <w:tc>
          <w:tcPr>
            <w:tcW w:w="1406" w:type="dxa"/>
            <w:tcBorders>
              <w:tl2br w:val="nil"/>
              <w:tr2bl w:val="nil"/>
            </w:tcBorders>
            <w:shd w:val="clear" w:color="auto" w:fill="auto"/>
            <w:vAlign w:val="center"/>
          </w:tcPr>
          <w:p w14:paraId="4D7DD8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B66F5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38B00E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F0CF4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C937C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F29BF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59619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09A89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二氯乙烷</w:t>
            </w:r>
          </w:p>
        </w:tc>
        <w:tc>
          <w:tcPr>
            <w:tcW w:w="885" w:type="dxa"/>
            <w:tcBorders>
              <w:tl2br w:val="nil"/>
              <w:tr2bl w:val="nil"/>
            </w:tcBorders>
            <w:shd w:val="clear" w:color="auto" w:fill="auto"/>
            <w:vAlign w:val="center"/>
          </w:tcPr>
          <w:p w14:paraId="7F2AE8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33EF7E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w:t>
            </w:r>
          </w:p>
        </w:tc>
        <w:tc>
          <w:tcPr>
            <w:tcW w:w="1406" w:type="dxa"/>
            <w:tcBorders>
              <w:tl2br w:val="nil"/>
              <w:tr2bl w:val="nil"/>
            </w:tcBorders>
            <w:shd w:val="clear" w:color="auto" w:fill="auto"/>
            <w:vAlign w:val="center"/>
          </w:tcPr>
          <w:p w14:paraId="304456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802E5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931A7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16F3E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6BAB2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B1A93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10444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808393F">
            <w:pPr>
              <w:ind w:left="-105" w:right="-105"/>
              <w:jc w:val="center"/>
              <w:textAlignment w:val="center"/>
              <w:rPr>
                <w:color w:val="auto"/>
                <w:sz w:val="21"/>
                <w:szCs w:val="21"/>
                <w:highlight w:val="none"/>
              </w:rPr>
            </w:pPr>
            <w:r>
              <w:rPr>
                <w:rFonts w:hint="eastAsia"/>
                <w:color w:val="auto"/>
                <w:sz w:val="21"/>
                <w:szCs w:val="21"/>
                <w:highlight w:val="none"/>
                <w:lang w:bidi="ar"/>
              </w:rPr>
              <w:t>顺式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885" w:type="dxa"/>
            <w:tcBorders>
              <w:tl2br w:val="nil"/>
              <w:tr2bl w:val="nil"/>
            </w:tcBorders>
            <w:shd w:val="clear" w:color="auto" w:fill="auto"/>
            <w:vAlign w:val="center"/>
          </w:tcPr>
          <w:p w14:paraId="33EFF7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32138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596</w:t>
            </w:r>
          </w:p>
        </w:tc>
        <w:tc>
          <w:tcPr>
            <w:tcW w:w="1406" w:type="dxa"/>
            <w:tcBorders>
              <w:tl2br w:val="nil"/>
              <w:tr2bl w:val="nil"/>
            </w:tcBorders>
            <w:shd w:val="clear" w:color="auto" w:fill="auto"/>
            <w:vAlign w:val="center"/>
          </w:tcPr>
          <w:p w14:paraId="1D22E2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7AB84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6585C5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74B94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DA1C0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6F142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F7E99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B5BF3EB">
            <w:pPr>
              <w:ind w:left="-105" w:right="-105"/>
              <w:jc w:val="center"/>
              <w:textAlignment w:val="center"/>
              <w:rPr>
                <w:color w:val="auto"/>
                <w:sz w:val="21"/>
                <w:szCs w:val="21"/>
                <w:highlight w:val="none"/>
              </w:rPr>
            </w:pPr>
            <w:r>
              <w:rPr>
                <w:rFonts w:hint="eastAsia"/>
                <w:color w:val="auto"/>
                <w:sz w:val="21"/>
                <w:szCs w:val="21"/>
                <w:highlight w:val="none"/>
                <w:lang w:bidi="ar"/>
              </w:rPr>
              <w:t>氯仿</w:t>
            </w:r>
          </w:p>
        </w:tc>
        <w:tc>
          <w:tcPr>
            <w:tcW w:w="885" w:type="dxa"/>
            <w:tcBorders>
              <w:tl2br w:val="nil"/>
              <w:tr2bl w:val="nil"/>
            </w:tcBorders>
            <w:shd w:val="clear" w:color="auto" w:fill="auto"/>
            <w:vAlign w:val="center"/>
          </w:tcPr>
          <w:p w14:paraId="4E1C4C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24A226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0.9</w:t>
            </w:r>
          </w:p>
        </w:tc>
        <w:tc>
          <w:tcPr>
            <w:tcW w:w="1406" w:type="dxa"/>
            <w:tcBorders>
              <w:tl2br w:val="nil"/>
              <w:tr2bl w:val="nil"/>
            </w:tcBorders>
            <w:shd w:val="clear" w:color="auto" w:fill="auto"/>
            <w:vAlign w:val="center"/>
          </w:tcPr>
          <w:p w14:paraId="5DBF95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152C8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5A7A4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E7A48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C7DDF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67D179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42611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83391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w:t>
            </w:r>
            <w:r>
              <w:rPr>
                <w:rFonts w:hint="eastAsia"/>
                <w:color w:val="auto"/>
                <w:sz w:val="21"/>
                <w:szCs w:val="21"/>
                <w:highlight w:val="none"/>
                <w:lang w:bidi="ar"/>
              </w:rPr>
              <w:t>三氯乙烷</w:t>
            </w:r>
          </w:p>
        </w:tc>
        <w:tc>
          <w:tcPr>
            <w:tcW w:w="885" w:type="dxa"/>
            <w:tcBorders>
              <w:tl2br w:val="nil"/>
              <w:tr2bl w:val="nil"/>
            </w:tcBorders>
            <w:shd w:val="clear" w:color="auto" w:fill="auto"/>
            <w:vAlign w:val="center"/>
          </w:tcPr>
          <w:p w14:paraId="579EC1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3BF351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840</w:t>
            </w:r>
          </w:p>
        </w:tc>
        <w:tc>
          <w:tcPr>
            <w:tcW w:w="1406" w:type="dxa"/>
            <w:tcBorders>
              <w:tl2br w:val="nil"/>
              <w:tr2bl w:val="nil"/>
            </w:tcBorders>
            <w:shd w:val="clear" w:color="auto" w:fill="auto"/>
            <w:vAlign w:val="center"/>
          </w:tcPr>
          <w:p w14:paraId="43EDE0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A51B8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57782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408A2B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08D08E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290DC8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1E21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141D0FA">
            <w:pPr>
              <w:ind w:left="-105" w:right="-105"/>
              <w:jc w:val="center"/>
              <w:textAlignment w:val="center"/>
              <w:rPr>
                <w:color w:val="auto"/>
                <w:sz w:val="21"/>
                <w:szCs w:val="21"/>
                <w:highlight w:val="none"/>
              </w:rPr>
            </w:pPr>
            <w:r>
              <w:rPr>
                <w:rFonts w:hint="eastAsia"/>
                <w:color w:val="auto"/>
                <w:sz w:val="21"/>
                <w:szCs w:val="21"/>
                <w:highlight w:val="none"/>
                <w:lang w:bidi="ar"/>
              </w:rPr>
              <w:t>四氯化碳</w:t>
            </w:r>
          </w:p>
        </w:tc>
        <w:tc>
          <w:tcPr>
            <w:tcW w:w="885" w:type="dxa"/>
            <w:tcBorders>
              <w:tl2br w:val="nil"/>
              <w:tr2bl w:val="nil"/>
            </w:tcBorders>
            <w:shd w:val="clear" w:color="auto" w:fill="auto"/>
            <w:vAlign w:val="center"/>
          </w:tcPr>
          <w:p w14:paraId="1D7FF2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15442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406" w:type="dxa"/>
            <w:tcBorders>
              <w:tl2br w:val="nil"/>
              <w:tr2bl w:val="nil"/>
            </w:tcBorders>
            <w:shd w:val="clear" w:color="auto" w:fill="auto"/>
            <w:vAlign w:val="center"/>
          </w:tcPr>
          <w:p w14:paraId="105D97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028B5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501B8A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7D47E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DDC39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636780F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726E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5A2A7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二氯乙烷</w:t>
            </w:r>
          </w:p>
        </w:tc>
        <w:tc>
          <w:tcPr>
            <w:tcW w:w="885" w:type="dxa"/>
            <w:tcBorders>
              <w:tl2br w:val="nil"/>
              <w:tr2bl w:val="nil"/>
            </w:tcBorders>
            <w:shd w:val="clear" w:color="auto" w:fill="auto"/>
            <w:vAlign w:val="center"/>
          </w:tcPr>
          <w:p w14:paraId="11540D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35BA6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406" w:type="dxa"/>
            <w:tcBorders>
              <w:tl2br w:val="nil"/>
              <w:tr2bl w:val="nil"/>
            </w:tcBorders>
            <w:shd w:val="clear" w:color="auto" w:fill="auto"/>
            <w:vAlign w:val="center"/>
          </w:tcPr>
          <w:p w14:paraId="757A55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114141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578DB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76280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A3AA2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3AD775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994C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8358C67">
            <w:pPr>
              <w:ind w:left="-105" w:right="-105"/>
              <w:jc w:val="center"/>
              <w:textAlignment w:val="center"/>
              <w:rPr>
                <w:color w:val="auto"/>
                <w:sz w:val="21"/>
                <w:szCs w:val="21"/>
                <w:highlight w:val="none"/>
              </w:rPr>
            </w:pPr>
            <w:r>
              <w:rPr>
                <w:rFonts w:hint="eastAsia"/>
                <w:color w:val="auto"/>
                <w:sz w:val="21"/>
                <w:szCs w:val="21"/>
                <w:highlight w:val="none"/>
                <w:lang w:bidi="ar"/>
              </w:rPr>
              <w:t>苯</w:t>
            </w:r>
          </w:p>
        </w:tc>
        <w:tc>
          <w:tcPr>
            <w:tcW w:w="885" w:type="dxa"/>
            <w:tcBorders>
              <w:tl2br w:val="nil"/>
              <w:tr2bl w:val="nil"/>
            </w:tcBorders>
            <w:shd w:val="clear" w:color="auto" w:fill="auto"/>
            <w:vAlign w:val="center"/>
          </w:tcPr>
          <w:p w14:paraId="32CF30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72F0FB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w:t>
            </w:r>
          </w:p>
        </w:tc>
        <w:tc>
          <w:tcPr>
            <w:tcW w:w="1406" w:type="dxa"/>
            <w:tcBorders>
              <w:tl2br w:val="nil"/>
              <w:tr2bl w:val="nil"/>
            </w:tcBorders>
            <w:shd w:val="clear" w:color="auto" w:fill="auto"/>
            <w:vAlign w:val="center"/>
          </w:tcPr>
          <w:p w14:paraId="6BF222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0D682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AE7EBA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54E731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D41D6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12CA47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FFD3D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8130D47">
            <w:pPr>
              <w:ind w:left="-105" w:right="-105"/>
              <w:jc w:val="center"/>
              <w:textAlignment w:val="center"/>
              <w:rPr>
                <w:color w:val="auto"/>
                <w:sz w:val="21"/>
                <w:szCs w:val="21"/>
                <w:highlight w:val="none"/>
              </w:rPr>
            </w:pPr>
            <w:r>
              <w:rPr>
                <w:rFonts w:hint="eastAsia"/>
                <w:color w:val="auto"/>
                <w:sz w:val="21"/>
                <w:szCs w:val="21"/>
                <w:highlight w:val="none"/>
                <w:lang w:bidi="ar"/>
              </w:rPr>
              <w:t>三氯乙烯</w:t>
            </w:r>
          </w:p>
        </w:tc>
        <w:tc>
          <w:tcPr>
            <w:tcW w:w="885" w:type="dxa"/>
            <w:tcBorders>
              <w:tl2br w:val="nil"/>
              <w:tr2bl w:val="nil"/>
            </w:tcBorders>
            <w:shd w:val="clear" w:color="auto" w:fill="auto"/>
            <w:vAlign w:val="center"/>
          </w:tcPr>
          <w:p w14:paraId="583A1F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EB45D7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406" w:type="dxa"/>
            <w:tcBorders>
              <w:tl2br w:val="nil"/>
              <w:tr2bl w:val="nil"/>
            </w:tcBorders>
            <w:shd w:val="clear" w:color="auto" w:fill="auto"/>
            <w:vAlign w:val="center"/>
          </w:tcPr>
          <w:p w14:paraId="0CF032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B498E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0262D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1A68B7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66C621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490681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59BB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76482B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二氯丙烷</w:t>
            </w:r>
          </w:p>
        </w:tc>
        <w:tc>
          <w:tcPr>
            <w:tcW w:w="885" w:type="dxa"/>
            <w:tcBorders>
              <w:tl2br w:val="nil"/>
              <w:tr2bl w:val="nil"/>
            </w:tcBorders>
            <w:shd w:val="clear" w:color="auto" w:fill="auto"/>
            <w:vAlign w:val="center"/>
          </w:tcPr>
          <w:p w14:paraId="6829A4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3F531F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w:t>
            </w:r>
          </w:p>
        </w:tc>
        <w:tc>
          <w:tcPr>
            <w:tcW w:w="1406" w:type="dxa"/>
            <w:tcBorders>
              <w:tl2br w:val="nil"/>
              <w:tr2bl w:val="nil"/>
            </w:tcBorders>
            <w:shd w:val="clear" w:color="auto" w:fill="auto"/>
            <w:vAlign w:val="center"/>
          </w:tcPr>
          <w:p w14:paraId="642C15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19A8B2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A1038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DDC37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681368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2F7062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C59AD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2C06E68">
            <w:pPr>
              <w:ind w:left="-105" w:right="-105"/>
              <w:jc w:val="center"/>
              <w:textAlignment w:val="center"/>
              <w:rPr>
                <w:color w:val="auto"/>
                <w:sz w:val="21"/>
                <w:szCs w:val="21"/>
                <w:highlight w:val="none"/>
              </w:rPr>
            </w:pPr>
            <w:r>
              <w:rPr>
                <w:rFonts w:hint="eastAsia"/>
                <w:color w:val="auto"/>
                <w:sz w:val="21"/>
                <w:szCs w:val="21"/>
                <w:highlight w:val="none"/>
                <w:lang w:bidi="ar"/>
              </w:rPr>
              <w:t>甲苯</w:t>
            </w:r>
          </w:p>
        </w:tc>
        <w:tc>
          <w:tcPr>
            <w:tcW w:w="885" w:type="dxa"/>
            <w:tcBorders>
              <w:tl2br w:val="nil"/>
              <w:tr2bl w:val="nil"/>
            </w:tcBorders>
            <w:shd w:val="clear" w:color="auto" w:fill="auto"/>
            <w:vAlign w:val="center"/>
          </w:tcPr>
          <w:p w14:paraId="1E44C8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5BA53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1200</w:t>
            </w:r>
          </w:p>
        </w:tc>
        <w:tc>
          <w:tcPr>
            <w:tcW w:w="1406" w:type="dxa"/>
            <w:tcBorders>
              <w:tl2br w:val="nil"/>
              <w:tr2bl w:val="nil"/>
            </w:tcBorders>
            <w:shd w:val="clear" w:color="auto" w:fill="auto"/>
            <w:vAlign w:val="center"/>
          </w:tcPr>
          <w:p w14:paraId="511B55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60810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BDB90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03300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6F8759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68E10D2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EA998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ECBDE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w:t>
            </w:r>
            <w:r>
              <w:rPr>
                <w:rFonts w:hint="eastAsia"/>
                <w:color w:val="auto"/>
                <w:sz w:val="21"/>
                <w:szCs w:val="21"/>
                <w:highlight w:val="none"/>
                <w:lang w:bidi="ar"/>
              </w:rPr>
              <w:t>三氯乙烷</w:t>
            </w:r>
          </w:p>
        </w:tc>
        <w:tc>
          <w:tcPr>
            <w:tcW w:w="885" w:type="dxa"/>
            <w:tcBorders>
              <w:tl2br w:val="nil"/>
              <w:tr2bl w:val="nil"/>
            </w:tcBorders>
            <w:shd w:val="clear" w:color="auto" w:fill="auto"/>
            <w:vAlign w:val="center"/>
          </w:tcPr>
          <w:p w14:paraId="305C89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7EA96CF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406" w:type="dxa"/>
            <w:tcBorders>
              <w:tl2br w:val="nil"/>
              <w:tr2bl w:val="nil"/>
            </w:tcBorders>
            <w:shd w:val="clear" w:color="auto" w:fill="auto"/>
            <w:vAlign w:val="center"/>
          </w:tcPr>
          <w:p w14:paraId="642698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44F18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39289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2A479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0D6046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6DD65A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61A2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B2AD63C">
            <w:pPr>
              <w:ind w:left="-105" w:right="-105"/>
              <w:jc w:val="center"/>
              <w:textAlignment w:val="center"/>
              <w:rPr>
                <w:color w:val="auto"/>
                <w:sz w:val="21"/>
                <w:szCs w:val="21"/>
                <w:highlight w:val="none"/>
              </w:rPr>
            </w:pPr>
            <w:r>
              <w:rPr>
                <w:rFonts w:hint="eastAsia"/>
                <w:color w:val="auto"/>
                <w:sz w:val="21"/>
                <w:szCs w:val="21"/>
                <w:highlight w:val="none"/>
                <w:lang w:bidi="ar"/>
              </w:rPr>
              <w:t>四氯乙烯</w:t>
            </w:r>
          </w:p>
        </w:tc>
        <w:tc>
          <w:tcPr>
            <w:tcW w:w="885" w:type="dxa"/>
            <w:tcBorders>
              <w:tl2br w:val="nil"/>
              <w:tr2bl w:val="nil"/>
            </w:tcBorders>
            <w:shd w:val="clear" w:color="auto" w:fill="auto"/>
            <w:vAlign w:val="center"/>
          </w:tcPr>
          <w:p w14:paraId="3CCD9C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6A2728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53</w:t>
            </w:r>
          </w:p>
        </w:tc>
        <w:tc>
          <w:tcPr>
            <w:tcW w:w="1406" w:type="dxa"/>
            <w:tcBorders>
              <w:tl2br w:val="nil"/>
              <w:tr2bl w:val="nil"/>
            </w:tcBorders>
            <w:shd w:val="clear" w:color="auto" w:fill="auto"/>
            <w:vAlign w:val="center"/>
          </w:tcPr>
          <w:p w14:paraId="768547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99F08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5EEC8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E1DDF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56E72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8FB8C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0CC4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C4C07A6">
            <w:pPr>
              <w:ind w:left="-105" w:right="-105"/>
              <w:jc w:val="center"/>
              <w:textAlignment w:val="center"/>
              <w:rPr>
                <w:color w:val="auto"/>
                <w:sz w:val="21"/>
                <w:szCs w:val="21"/>
                <w:highlight w:val="none"/>
              </w:rPr>
            </w:pPr>
            <w:r>
              <w:rPr>
                <w:rFonts w:hint="eastAsia"/>
                <w:color w:val="auto"/>
                <w:sz w:val="21"/>
                <w:szCs w:val="21"/>
                <w:highlight w:val="none"/>
                <w:lang w:bidi="ar"/>
              </w:rPr>
              <w:t>氯苯</w:t>
            </w:r>
          </w:p>
        </w:tc>
        <w:tc>
          <w:tcPr>
            <w:tcW w:w="885" w:type="dxa"/>
            <w:tcBorders>
              <w:tl2br w:val="nil"/>
              <w:tr2bl w:val="nil"/>
            </w:tcBorders>
            <w:shd w:val="clear" w:color="auto" w:fill="auto"/>
            <w:vAlign w:val="center"/>
          </w:tcPr>
          <w:p w14:paraId="63B7E6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9A5BD2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270</w:t>
            </w:r>
          </w:p>
        </w:tc>
        <w:tc>
          <w:tcPr>
            <w:tcW w:w="1406" w:type="dxa"/>
            <w:tcBorders>
              <w:tl2br w:val="nil"/>
              <w:tr2bl w:val="nil"/>
            </w:tcBorders>
            <w:shd w:val="clear" w:color="auto" w:fill="auto"/>
            <w:vAlign w:val="center"/>
          </w:tcPr>
          <w:p w14:paraId="69790E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9F524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877F5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F8012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C7EF25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6785E1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9D938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63543A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1,1,1,2-</w:t>
            </w:r>
            <w:r>
              <w:rPr>
                <w:rFonts w:hint="eastAsia"/>
                <w:color w:val="auto"/>
                <w:sz w:val="21"/>
                <w:szCs w:val="21"/>
                <w:highlight w:val="none"/>
                <w:lang w:bidi="ar"/>
              </w:rPr>
              <w:t>四氯乙烷</w:t>
            </w:r>
          </w:p>
        </w:tc>
        <w:tc>
          <w:tcPr>
            <w:tcW w:w="885" w:type="dxa"/>
            <w:tcBorders>
              <w:tl2br w:val="nil"/>
              <w:tr2bl w:val="nil"/>
            </w:tcBorders>
            <w:shd w:val="clear" w:color="auto" w:fill="auto"/>
            <w:vAlign w:val="center"/>
          </w:tcPr>
          <w:p w14:paraId="07E165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1FF72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w:t>
            </w:r>
          </w:p>
        </w:tc>
        <w:tc>
          <w:tcPr>
            <w:tcW w:w="1406" w:type="dxa"/>
            <w:tcBorders>
              <w:tl2br w:val="nil"/>
              <w:tr2bl w:val="nil"/>
            </w:tcBorders>
            <w:shd w:val="clear" w:color="auto" w:fill="auto"/>
            <w:vAlign w:val="center"/>
          </w:tcPr>
          <w:p w14:paraId="4620EC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8D7B1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32D2CA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E2FA0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466A1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191462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B9896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439A274C">
            <w:pPr>
              <w:ind w:left="-105" w:right="-105"/>
              <w:jc w:val="center"/>
              <w:textAlignment w:val="center"/>
              <w:rPr>
                <w:color w:val="auto"/>
                <w:sz w:val="21"/>
                <w:szCs w:val="21"/>
                <w:highlight w:val="none"/>
              </w:rPr>
            </w:pPr>
            <w:r>
              <w:rPr>
                <w:rFonts w:hint="eastAsia"/>
                <w:color w:val="auto"/>
                <w:sz w:val="21"/>
                <w:szCs w:val="21"/>
                <w:highlight w:val="none"/>
                <w:lang w:bidi="ar"/>
              </w:rPr>
              <w:t>乙苯</w:t>
            </w:r>
          </w:p>
        </w:tc>
        <w:tc>
          <w:tcPr>
            <w:tcW w:w="885" w:type="dxa"/>
            <w:tcBorders>
              <w:tl2br w:val="nil"/>
              <w:tr2bl w:val="nil"/>
            </w:tcBorders>
            <w:shd w:val="clear" w:color="auto" w:fill="auto"/>
            <w:vAlign w:val="center"/>
          </w:tcPr>
          <w:p w14:paraId="1D69EF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77F27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28</w:t>
            </w:r>
          </w:p>
        </w:tc>
        <w:tc>
          <w:tcPr>
            <w:tcW w:w="1406" w:type="dxa"/>
            <w:tcBorders>
              <w:tl2br w:val="nil"/>
              <w:tr2bl w:val="nil"/>
            </w:tcBorders>
            <w:shd w:val="clear" w:color="auto" w:fill="auto"/>
            <w:vAlign w:val="center"/>
          </w:tcPr>
          <w:p w14:paraId="12C3A7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9D4D8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004E54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F7E39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64143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742A57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B930D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0205C43">
            <w:pPr>
              <w:ind w:left="-105" w:right="-105"/>
              <w:jc w:val="center"/>
              <w:textAlignment w:val="center"/>
              <w:rPr>
                <w:color w:val="auto"/>
                <w:sz w:val="21"/>
                <w:szCs w:val="21"/>
                <w:highlight w:val="none"/>
              </w:rPr>
            </w:pPr>
            <w:r>
              <w:rPr>
                <w:rFonts w:hint="eastAsia"/>
                <w:color w:val="auto"/>
                <w:sz w:val="21"/>
                <w:szCs w:val="21"/>
                <w:highlight w:val="none"/>
                <w:lang w:bidi="ar"/>
              </w:rPr>
              <w:t>间</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对</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85" w:type="dxa"/>
            <w:tcBorders>
              <w:tl2br w:val="nil"/>
              <w:tr2bl w:val="nil"/>
            </w:tcBorders>
            <w:shd w:val="clear" w:color="auto" w:fill="auto"/>
            <w:vAlign w:val="center"/>
          </w:tcPr>
          <w:p w14:paraId="0AEF3D4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2B54DD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570</w:t>
            </w:r>
          </w:p>
        </w:tc>
        <w:tc>
          <w:tcPr>
            <w:tcW w:w="1406" w:type="dxa"/>
            <w:tcBorders>
              <w:tl2br w:val="nil"/>
              <w:tr2bl w:val="nil"/>
            </w:tcBorders>
            <w:shd w:val="clear" w:color="auto" w:fill="auto"/>
            <w:vAlign w:val="center"/>
          </w:tcPr>
          <w:p w14:paraId="0798E9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42A72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13E833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217D3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C16495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49EA8E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B6F0B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6B11F67">
            <w:pPr>
              <w:ind w:left="-105" w:right="-105"/>
              <w:jc w:val="center"/>
              <w:textAlignment w:val="center"/>
              <w:rPr>
                <w:color w:val="auto"/>
                <w:sz w:val="21"/>
                <w:szCs w:val="21"/>
                <w:highlight w:val="none"/>
              </w:rPr>
            </w:pPr>
            <w:r>
              <w:rPr>
                <w:rFonts w:hint="eastAsia"/>
                <w:color w:val="auto"/>
                <w:sz w:val="21"/>
                <w:szCs w:val="21"/>
                <w:highlight w:val="none"/>
                <w:lang w:bidi="ar"/>
              </w:rPr>
              <w:t>邻</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885" w:type="dxa"/>
            <w:tcBorders>
              <w:tl2br w:val="nil"/>
              <w:tr2bl w:val="nil"/>
            </w:tcBorders>
            <w:shd w:val="clear" w:color="auto" w:fill="auto"/>
            <w:vAlign w:val="center"/>
          </w:tcPr>
          <w:p w14:paraId="690B61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56F7F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640</w:t>
            </w:r>
          </w:p>
        </w:tc>
        <w:tc>
          <w:tcPr>
            <w:tcW w:w="1406" w:type="dxa"/>
            <w:tcBorders>
              <w:tl2br w:val="nil"/>
              <w:tr2bl w:val="nil"/>
            </w:tcBorders>
            <w:shd w:val="clear" w:color="auto" w:fill="auto"/>
            <w:vAlign w:val="center"/>
          </w:tcPr>
          <w:p w14:paraId="07E522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4A8495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73499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FB7F1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6C212D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4132E5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087F3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625F7C5">
            <w:pPr>
              <w:ind w:left="-105" w:right="-105"/>
              <w:jc w:val="center"/>
              <w:textAlignment w:val="center"/>
              <w:rPr>
                <w:color w:val="auto"/>
                <w:sz w:val="21"/>
                <w:szCs w:val="21"/>
                <w:highlight w:val="none"/>
              </w:rPr>
            </w:pPr>
            <w:r>
              <w:rPr>
                <w:rFonts w:hint="eastAsia"/>
                <w:color w:val="auto"/>
                <w:sz w:val="21"/>
                <w:szCs w:val="21"/>
                <w:highlight w:val="none"/>
                <w:lang w:bidi="ar"/>
              </w:rPr>
              <w:t>苯乙烯</w:t>
            </w:r>
          </w:p>
        </w:tc>
        <w:tc>
          <w:tcPr>
            <w:tcW w:w="885" w:type="dxa"/>
            <w:tcBorders>
              <w:tl2br w:val="nil"/>
              <w:tr2bl w:val="nil"/>
            </w:tcBorders>
            <w:shd w:val="clear" w:color="auto" w:fill="auto"/>
            <w:vAlign w:val="center"/>
          </w:tcPr>
          <w:p w14:paraId="289D1D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79B9DE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1290</w:t>
            </w:r>
          </w:p>
        </w:tc>
        <w:tc>
          <w:tcPr>
            <w:tcW w:w="1406" w:type="dxa"/>
            <w:tcBorders>
              <w:tl2br w:val="nil"/>
              <w:tr2bl w:val="nil"/>
            </w:tcBorders>
            <w:shd w:val="clear" w:color="auto" w:fill="auto"/>
            <w:vAlign w:val="center"/>
          </w:tcPr>
          <w:p w14:paraId="2DD36F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ABADC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5206A1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8AE5CE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3B0C6D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0B8369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14F75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7F7E8C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1,1,2,2-</w:t>
            </w:r>
            <w:r>
              <w:rPr>
                <w:rFonts w:hint="eastAsia"/>
                <w:color w:val="auto"/>
                <w:sz w:val="21"/>
                <w:szCs w:val="21"/>
                <w:highlight w:val="none"/>
                <w:lang w:bidi="ar"/>
              </w:rPr>
              <w:t>四氯乙烷</w:t>
            </w:r>
          </w:p>
        </w:tc>
        <w:tc>
          <w:tcPr>
            <w:tcW w:w="885" w:type="dxa"/>
            <w:tcBorders>
              <w:tl2br w:val="nil"/>
              <w:tr2bl w:val="nil"/>
            </w:tcBorders>
            <w:shd w:val="clear" w:color="auto" w:fill="auto"/>
            <w:vAlign w:val="center"/>
          </w:tcPr>
          <w:p w14:paraId="4DCF15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6D03ED6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w:t>
            </w:r>
          </w:p>
        </w:tc>
        <w:tc>
          <w:tcPr>
            <w:tcW w:w="1406" w:type="dxa"/>
            <w:tcBorders>
              <w:tl2br w:val="nil"/>
              <w:tr2bl w:val="nil"/>
            </w:tcBorders>
            <w:shd w:val="clear" w:color="auto" w:fill="auto"/>
            <w:vAlign w:val="center"/>
          </w:tcPr>
          <w:p w14:paraId="6F5B64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8C7AD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12907F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9FF52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6897A8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257436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BEA6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A86E0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1,2,3-</w:t>
            </w:r>
            <w:r>
              <w:rPr>
                <w:rFonts w:hint="eastAsia"/>
                <w:color w:val="auto"/>
                <w:sz w:val="21"/>
                <w:szCs w:val="21"/>
                <w:highlight w:val="none"/>
                <w:lang w:bidi="ar"/>
              </w:rPr>
              <w:t>三氯丙烷</w:t>
            </w:r>
          </w:p>
        </w:tc>
        <w:tc>
          <w:tcPr>
            <w:tcW w:w="885" w:type="dxa"/>
            <w:tcBorders>
              <w:tl2br w:val="nil"/>
              <w:tr2bl w:val="nil"/>
            </w:tcBorders>
            <w:shd w:val="clear" w:color="auto" w:fill="auto"/>
            <w:vAlign w:val="center"/>
          </w:tcPr>
          <w:p w14:paraId="12C92D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AF556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406" w:type="dxa"/>
            <w:tcBorders>
              <w:tl2br w:val="nil"/>
              <w:tr2bl w:val="nil"/>
            </w:tcBorders>
            <w:shd w:val="clear" w:color="auto" w:fill="auto"/>
            <w:vAlign w:val="center"/>
          </w:tcPr>
          <w:p w14:paraId="2336B7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C459F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6FE963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1D9122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1E5791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1D2FE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6802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3DCED77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w:t>
            </w:r>
            <w:r>
              <w:rPr>
                <w:rFonts w:hint="eastAsia"/>
                <w:color w:val="auto"/>
                <w:sz w:val="21"/>
                <w:szCs w:val="21"/>
                <w:highlight w:val="none"/>
                <w:lang w:bidi="ar"/>
              </w:rPr>
              <w:t>二氯苯</w:t>
            </w:r>
          </w:p>
        </w:tc>
        <w:tc>
          <w:tcPr>
            <w:tcW w:w="885" w:type="dxa"/>
            <w:tcBorders>
              <w:tl2br w:val="nil"/>
              <w:tr2bl w:val="nil"/>
            </w:tcBorders>
            <w:shd w:val="clear" w:color="auto" w:fill="auto"/>
            <w:vAlign w:val="center"/>
          </w:tcPr>
          <w:p w14:paraId="0874E6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70CCC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w:t>
            </w:r>
          </w:p>
        </w:tc>
        <w:tc>
          <w:tcPr>
            <w:tcW w:w="1406" w:type="dxa"/>
            <w:tcBorders>
              <w:tl2br w:val="nil"/>
              <w:tr2bl w:val="nil"/>
            </w:tcBorders>
            <w:shd w:val="clear" w:color="auto" w:fill="auto"/>
            <w:vAlign w:val="center"/>
          </w:tcPr>
          <w:p w14:paraId="5F86D1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CCC58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993AD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31D3C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DDB00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E8F2A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18D1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C0F86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二氯苯</w:t>
            </w:r>
          </w:p>
        </w:tc>
        <w:tc>
          <w:tcPr>
            <w:tcW w:w="885" w:type="dxa"/>
            <w:tcBorders>
              <w:tl2br w:val="nil"/>
              <w:tr2bl w:val="nil"/>
            </w:tcBorders>
            <w:shd w:val="clear" w:color="auto" w:fill="auto"/>
            <w:vAlign w:val="center"/>
          </w:tcPr>
          <w:p w14:paraId="1424F6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220CF8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560</w:t>
            </w:r>
          </w:p>
        </w:tc>
        <w:tc>
          <w:tcPr>
            <w:tcW w:w="1406" w:type="dxa"/>
            <w:tcBorders>
              <w:tl2br w:val="nil"/>
              <w:tr2bl w:val="nil"/>
            </w:tcBorders>
            <w:shd w:val="clear" w:color="auto" w:fill="auto"/>
            <w:vAlign w:val="center"/>
          </w:tcPr>
          <w:p w14:paraId="712AC9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52CFD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1FF914A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57359F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C218E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3E19FE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3B6EB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850F430">
            <w:pPr>
              <w:ind w:left="-105" w:right="-105"/>
              <w:jc w:val="center"/>
              <w:textAlignment w:val="center"/>
              <w:rPr>
                <w:color w:val="auto"/>
                <w:sz w:val="21"/>
                <w:szCs w:val="21"/>
                <w:highlight w:val="none"/>
              </w:rPr>
            </w:pPr>
            <w:r>
              <w:rPr>
                <w:rFonts w:hint="eastAsia"/>
                <w:color w:val="auto"/>
                <w:sz w:val="21"/>
                <w:szCs w:val="21"/>
                <w:highlight w:val="none"/>
                <w:lang w:bidi="ar"/>
              </w:rPr>
              <w:t>苯胺</w:t>
            </w:r>
          </w:p>
        </w:tc>
        <w:tc>
          <w:tcPr>
            <w:tcW w:w="885" w:type="dxa"/>
            <w:tcBorders>
              <w:tl2br w:val="nil"/>
              <w:tr2bl w:val="nil"/>
            </w:tcBorders>
            <w:shd w:val="clear" w:color="auto" w:fill="auto"/>
            <w:vAlign w:val="center"/>
          </w:tcPr>
          <w:p w14:paraId="773CE6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F8E95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260</w:t>
            </w:r>
          </w:p>
        </w:tc>
        <w:tc>
          <w:tcPr>
            <w:tcW w:w="1406" w:type="dxa"/>
            <w:tcBorders>
              <w:tl2br w:val="nil"/>
              <w:tr2bl w:val="nil"/>
            </w:tcBorders>
            <w:shd w:val="clear" w:color="auto" w:fill="auto"/>
            <w:vAlign w:val="center"/>
          </w:tcPr>
          <w:p w14:paraId="1C3B0D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3EF34F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32387D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16C22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37A001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11F5A5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95DF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1882D5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w:t>
            </w:r>
            <w:r>
              <w:rPr>
                <w:rFonts w:hint="eastAsia"/>
                <w:color w:val="auto"/>
                <w:sz w:val="21"/>
                <w:szCs w:val="21"/>
                <w:highlight w:val="none"/>
                <w:lang w:bidi="ar"/>
              </w:rPr>
              <w:t>氯酚</w:t>
            </w:r>
          </w:p>
        </w:tc>
        <w:tc>
          <w:tcPr>
            <w:tcW w:w="885" w:type="dxa"/>
            <w:tcBorders>
              <w:tl2br w:val="nil"/>
              <w:tr2bl w:val="nil"/>
            </w:tcBorders>
            <w:shd w:val="clear" w:color="auto" w:fill="auto"/>
            <w:vAlign w:val="center"/>
          </w:tcPr>
          <w:p w14:paraId="4C95BB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5E47A2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2256</w:t>
            </w:r>
          </w:p>
        </w:tc>
        <w:tc>
          <w:tcPr>
            <w:tcW w:w="1406" w:type="dxa"/>
            <w:tcBorders>
              <w:tl2br w:val="nil"/>
              <w:tr2bl w:val="nil"/>
            </w:tcBorders>
            <w:shd w:val="clear" w:color="auto" w:fill="auto"/>
            <w:vAlign w:val="center"/>
          </w:tcPr>
          <w:p w14:paraId="4BBADB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1953B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2780CE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5F8BC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53E0EB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541AC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BA41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F615900">
            <w:pPr>
              <w:ind w:left="-105" w:right="-105"/>
              <w:jc w:val="center"/>
              <w:textAlignment w:val="center"/>
              <w:rPr>
                <w:color w:val="auto"/>
                <w:sz w:val="21"/>
                <w:szCs w:val="21"/>
                <w:highlight w:val="none"/>
              </w:rPr>
            </w:pPr>
            <w:r>
              <w:rPr>
                <w:rFonts w:hint="eastAsia"/>
                <w:color w:val="auto"/>
                <w:sz w:val="21"/>
                <w:szCs w:val="21"/>
                <w:highlight w:val="none"/>
                <w:lang w:bidi="ar"/>
              </w:rPr>
              <w:t>硝基苯</w:t>
            </w:r>
          </w:p>
        </w:tc>
        <w:tc>
          <w:tcPr>
            <w:tcW w:w="885" w:type="dxa"/>
            <w:tcBorders>
              <w:tl2br w:val="nil"/>
              <w:tr2bl w:val="nil"/>
            </w:tcBorders>
            <w:shd w:val="clear" w:color="auto" w:fill="auto"/>
            <w:vAlign w:val="center"/>
          </w:tcPr>
          <w:p w14:paraId="180B49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F6934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76</w:t>
            </w:r>
          </w:p>
        </w:tc>
        <w:tc>
          <w:tcPr>
            <w:tcW w:w="1406" w:type="dxa"/>
            <w:tcBorders>
              <w:tl2br w:val="nil"/>
              <w:tr2bl w:val="nil"/>
            </w:tcBorders>
            <w:shd w:val="clear" w:color="auto" w:fill="auto"/>
            <w:vAlign w:val="center"/>
          </w:tcPr>
          <w:p w14:paraId="27708E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25161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3E0BF8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51C19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73ED86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0AE6F2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6CEF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96C19CC">
            <w:pPr>
              <w:ind w:left="-105" w:right="-105"/>
              <w:jc w:val="center"/>
              <w:textAlignment w:val="center"/>
              <w:rPr>
                <w:color w:val="auto"/>
                <w:sz w:val="21"/>
                <w:szCs w:val="21"/>
                <w:highlight w:val="none"/>
              </w:rPr>
            </w:pPr>
            <w:r>
              <w:rPr>
                <w:rFonts w:hint="eastAsia"/>
                <w:color w:val="auto"/>
                <w:sz w:val="21"/>
                <w:szCs w:val="21"/>
                <w:highlight w:val="none"/>
                <w:lang w:bidi="ar"/>
              </w:rPr>
              <w:t>萘</w:t>
            </w:r>
          </w:p>
        </w:tc>
        <w:tc>
          <w:tcPr>
            <w:tcW w:w="885" w:type="dxa"/>
            <w:tcBorders>
              <w:tl2br w:val="nil"/>
              <w:tr2bl w:val="nil"/>
            </w:tcBorders>
            <w:shd w:val="clear" w:color="auto" w:fill="auto"/>
            <w:vAlign w:val="center"/>
          </w:tcPr>
          <w:p w14:paraId="1C4EB4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1587C8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70</w:t>
            </w:r>
          </w:p>
        </w:tc>
        <w:tc>
          <w:tcPr>
            <w:tcW w:w="1406" w:type="dxa"/>
            <w:tcBorders>
              <w:tl2br w:val="nil"/>
              <w:tr2bl w:val="nil"/>
            </w:tcBorders>
            <w:shd w:val="clear" w:color="auto" w:fill="auto"/>
            <w:vAlign w:val="center"/>
          </w:tcPr>
          <w:p w14:paraId="2418750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46962E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6E7DB4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B10ED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51C71D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7002E0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4A404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9E4D6D2">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蒽</w:t>
            </w:r>
          </w:p>
        </w:tc>
        <w:tc>
          <w:tcPr>
            <w:tcW w:w="885" w:type="dxa"/>
            <w:tcBorders>
              <w:tl2br w:val="nil"/>
              <w:tr2bl w:val="nil"/>
            </w:tcBorders>
            <w:shd w:val="clear" w:color="auto" w:fill="auto"/>
            <w:vAlign w:val="center"/>
          </w:tcPr>
          <w:p w14:paraId="00B060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AABDE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406" w:type="dxa"/>
            <w:tcBorders>
              <w:tl2br w:val="nil"/>
              <w:tr2bl w:val="nil"/>
            </w:tcBorders>
            <w:shd w:val="clear" w:color="auto" w:fill="auto"/>
            <w:vAlign w:val="center"/>
          </w:tcPr>
          <w:p w14:paraId="546A25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0C340B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771BBD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8" w:type="dxa"/>
            <w:tcBorders>
              <w:tl2br w:val="nil"/>
              <w:tr2bl w:val="nil"/>
            </w:tcBorders>
            <w:shd w:val="clear" w:color="auto" w:fill="auto"/>
            <w:vAlign w:val="center"/>
          </w:tcPr>
          <w:p w14:paraId="355106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0.0133 </w:t>
            </w:r>
          </w:p>
        </w:tc>
        <w:tc>
          <w:tcPr>
            <w:tcW w:w="1407" w:type="dxa"/>
            <w:tcBorders>
              <w:tl2br w:val="nil"/>
              <w:tr2bl w:val="nil"/>
            </w:tcBorders>
            <w:shd w:val="clear" w:color="auto" w:fill="auto"/>
            <w:vAlign w:val="center"/>
          </w:tcPr>
          <w:p w14:paraId="444BBF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739" w:type="dxa"/>
            <w:tcBorders>
              <w:tl2br w:val="nil"/>
              <w:tr2bl w:val="nil"/>
            </w:tcBorders>
            <w:shd w:val="clear" w:color="auto" w:fill="auto"/>
            <w:vAlign w:val="center"/>
          </w:tcPr>
          <w:p w14:paraId="08D5AD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0.0267 </w:t>
            </w:r>
          </w:p>
        </w:tc>
      </w:tr>
      <w:tr w14:paraId="5E357D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F4F242A">
            <w:pPr>
              <w:ind w:left="-105" w:right="-105"/>
              <w:jc w:val="center"/>
              <w:textAlignment w:val="center"/>
              <w:rPr>
                <w:color w:val="auto"/>
                <w:sz w:val="21"/>
                <w:szCs w:val="21"/>
                <w:highlight w:val="none"/>
              </w:rPr>
            </w:pPr>
            <w:r>
              <w:rPr>
                <w:rFonts w:hint="eastAsia"/>
                <w:color w:val="auto"/>
                <w:sz w:val="21"/>
                <w:szCs w:val="21"/>
                <w:highlight w:val="none"/>
                <w:lang w:bidi="ar"/>
              </w:rPr>
              <w:t>䓛</w:t>
            </w:r>
          </w:p>
        </w:tc>
        <w:tc>
          <w:tcPr>
            <w:tcW w:w="885" w:type="dxa"/>
            <w:tcBorders>
              <w:tl2br w:val="nil"/>
              <w:tr2bl w:val="nil"/>
            </w:tcBorders>
            <w:shd w:val="clear" w:color="auto" w:fill="auto"/>
            <w:vAlign w:val="center"/>
          </w:tcPr>
          <w:p w14:paraId="372004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765B3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1293</w:t>
            </w:r>
          </w:p>
        </w:tc>
        <w:tc>
          <w:tcPr>
            <w:tcW w:w="1406" w:type="dxa"/>
            <w:tcBorders>
              <w:tl2br w:val="nil"/>
              <w:tr2bl w:val="nil"/>
            </w:tcBorders>
            <w:shd w:val="clear" w:color="auto" w:fill="auto"/>
            <w:vAlign w:val="center"/>
          </w:tcPr>
          <w:p w14:paraId="5F31AC1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656CE55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3CC6ED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8" w:type="dxa"/>
            <w:tcBorders>
              <w:tl2br w:val="nil"/>
              <w:tr2bl w:val="nil"/>
            </w:tcBorders>
            <w:shd w:val="clear" w:color="auto" w:fill="auto"/>
            <w:vAlign w:val="center"/>
          </w:tcPr>
          <w:p w14:paraId="1A7336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0.0002 </w:t>
            </w:r>
          </w:p>
        </w:tc>
        <w:tc>
          <w:tcPr>
            <w:tcW w:w="1407" w:type="dxa"/>
            <w:tcBorders>
              <w:tl2br w:val="nil"/>
              <w:tr2bl w:val="nil"/>
            </w:tcBorders>
            <w:shd w:val="clear" w:color="auto" w:fill="auto"/>
            <w:vAlign w:val="center"/>
          </w:tcPr>
          <w:p w14:paraId="698DD6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739" w:type="dxa"/>
            <w:tcBorders>
              <w:tl2br w:val="nil"/>
              <w:tr2bl w:val="nil"/>
            </w:tcBorders>
            <w:shd w:val="clear" w:color="auto" w:fill="auto"/>
            <w:vAlign w:val="center"/>
          </w:tcPr>
          <w:p w14:paraId="26D295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0.0004 </w:t>
            </w:r>
          </w:p>
        </w:tc>
      </w:tr>
      <w:tr w14:paraId="703438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261167C1">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[b]</w:t>
            </w:r>
            <w:r>
              <w:rPr>
                <w:rFonts w:hint="eastAsia"/>
                <w:color w:val="auto"/>
                <w:sz w:val="21"/>
                <w:szCs w:val="21"/>
                <w:highlight w:val="none"/>
                <w:lang w:bidi="ar"/>
              </w:rPr>
              <w:t>荧蒽</w:t>
            </w:r>
          </w:p>
        </w:tc>
        <w:tc>
          <w:tcPr>
            <w:tcW w:w="885" w:type="dxa"/>
            <w:tcBorders>
              <w:tl2br w:val="nil"/>
              <w:tr2bl w:val="nil"/>
            </w:tcBorders>
            <w:shd w:val="clear" w:color="auto" w:fill="auto"/>
            <w:vAlign w:val="center"/>
          </w:tcPr>
          <w:p w14:paraId="324485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62A5D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406" w:type="dxa"/>
            <w:tcBorders>
              <w:tl2br w:val="nil"/>
              <w:tr2bl w:val="nil"/>
            </w:tcBorders>
            <w:shd w:val="clear" w:color="auto" w:fill="auto"/>
            <w:vAlign w:val="center"/>
          </w:tcPr>
          <w:p w14:paraId="5C3C441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62319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F0F92A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8" w:type="dxa"/>
            <w:tcBorders>
              <w:tl2br w:val="nil"/>
              <w:tr2bl w:val="nil"/>
            </w:tcBorders>
            <w:shd w:val="clear" w:color="auto" w:fill="auto"/>
            <w:vAlign w:val="center"/>
          </w:tcPr>
          <w:p w14:paraId="7D5457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0.0133 </w:t>
            </w:r>
          </w:p>
        </w:tc>
        <w:tc>
          <w:tcPr>
            <w:tcW w:w="1407" w:type="dxa"/>
            <w:tcBorders>
              <w:tl2br w:val="nil"/>
              <w:tr2bl w:val="nil"/>
            </w:tcBorders>
            <w:shd w:val="clear" w:color="auto" w:fill="auto"/>
            <w:vAlign w:val="center"/>
          </w:tcPr>
          <w:p w14:paraId="7F9A8D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739" w:type="dxa"/>
            <w:tcBorders>
              <w:tl2br w:val="nil"/>
              <w:tr2bl w:val="nil"/>
            </w:tcBorders>
            <w:shd w:val="clear" w:color="auto" w:fill="auto"/>
            <w:vAlign w:val="center"/>
          </w:tcPr>
          <w:p w14:paraId="5219AF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0.0333 </w:t>
            </w:r>
          </w:p>
        </w:tc>
      </w:tr>
      <w:tr w14:paraId="375A3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5B2D4FFD">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[k]</w:t>
            </w:r>
            <w:r>
              <w:rPr>
                <w:rFonts w:hint="eastAsia"/>
                <w:color w:val="auto"/>
                <w:sz w:val="21"/>
                <w:szCs w:val="21"/>
                <w:highlight w:val="none"/>
                <w:lang w:bidi="ar"/>
              </w:rPr>
              <w:t>荧蒽</w:t>
            </w:r>
          </w:p>
        </w:tc>
        <w:tc>
          <w:tcPr>
            <w:tcW w:w="885" w:type="dxa"/>
            <w:tcBorders>
              <w:tl2br w:val="nil"/>
              <w:tr2bl w:val="nil"/>
            </w:tcBorders>
            <w:shd w:val="clear" w:color="auto" w:fill="auto"/>
            <w:vAlign w:val="center"/>
          </w:tcPr>
          <w:p w14:paraId="584E0B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092AF1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151</w:t>
            </w:r>
          </w:p>
        </w:tc>
        <w:tc>
          <w:tcPr>
            <w:tcW w:w="1406" w:type="dxa"/>
            <w:tcBorders>
              <w:tl2br w:val="nil"/>
              <w:tr2bl w:val="nil"/>
            </w:tcBorders>
            <w:shd w:val="clear" w:color="auto" w:fill="auto"/>
            <w:vAlign w:val="center"/>
          </w:tcPr>
          <w:p w14:paraId="0CDFB0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5A9E77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7D42793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8" w:type="dxa"/>
            <w:tcBorders>
              <w:tl2br w:val="nil"/>
              <w:tr2bl w:val="nil"/>
            </w:tcBorders>
            <w:shd w:val="clear" w:color="auto" w:fill="auto"/>
            <w:vAlign w:val="center"/>
          </w:tcPr>
          <w:p w14:paraId="5718391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0.0013 </w:t>
            </w:r>
          </w:p>
        </w:tc>
        <w:tc>
          <w:tcPr>
            <w:tcW w:w="1407" w:type="dxa"/>
            <w:tcBorders>
              <w:tl2br w:val="nil"/>
              <w:tr2bl w:val="nil"/>
            </w:tcBorders>
            <w:shd w:val="clear" w:color="auto" w:fill="auto"/>
            <w:vAlign w:val="center"/>
          </w:tcPr>
          <w:p w14:paraId="01BA56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739" w:type="dxa"/>
            <w:tcBorders>
              <w:tl2br w:val="nil"/>
              <w:tr2bl w:val="nil"/>
            </w:tcBorders>
            <w:shd w:val="clear" w:color="auto" w:fill="auto"/>
            <w:vAlign w:val="center"/>
          </w:tcPr>
          <w:p w14:paraId="7DE30B2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0.0020 </w:t>
            </w:r>
          </w:p>
        </w:tc>
      </w:tr>
      <w:tr w14:paraId="2642A2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1332475B">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芘</w:t>
            </w:r>
          </w:p>
        </w:tc>
        <w:tc>
          <w:tcPr>
            <w:tcW w:w="885" w:type="dxa"/>
            <w:tcBorders>
              <w:tl2br w:val="nil"/>
              <w:tr2bl w:val="nil"/>
            </w:tcBorders>
            <w:shd w:val="clear" w:color="auto" w:fill="auto"/>
            <w:vAlign w:val="center"/>
          </w:tcPr>
          <w:p w14:paraId="36E6B3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2DFCD7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406" w:type="dxa"/>
            <w:tcBorders>
              <w:tl2br w:val="nil"/>
              <w:tr2bl w:val="nil"/>
            </w:tcBorders>
            <w:shd w:val="clear" w:color="auto" w:fill="auto"/>
            <w:vAlign w:val="center"/>
          </w:tcPr>
          <w:p w14:paraId="0768A6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7151FC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754D12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w:t>
            </w:r>
          </w:p>
        </w:tc>
        <w:tc>
          <w:tcPr>
            <w:tcW w:w="1738" w:type="dxa"/>
            <w:tcBorders>
              <w:tl2br w:val="nil"/>
              <w:tr2bl w:val="nil"/>
            </w:tcBorders>
            <w:shd w:val="clear" w:color="auto" w:fill="auto"/>
            <w:vAlign w:val="center"/>
          </w:tcPr>
          <w:p w14:paraId="6154E31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0.0667 </w:t>
            </w:r>
          </w:p>
        </w:tc>
        <w:tc>
          <w:tcPr>
            <w:tcW w:w="1407" w:type="dxa"/>
            <w:tcBorders>
              <w:tl2br w:val="nil"/>
              <w:tr2bl w:val="nil"/>
            </w:tcBorders>
            <w:shd w:val="clear" w:color="auto" w:fill="auto"/>
            <w:vAlign w:val="center"/>
          </w:tcPr>
          <w:p w14:paraId="740ACB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9" w:type="dxa"/>
            <w:tcBorders>
              <w:tl2br w:val="nil"/>
              <w:tr2bl w:val="nil"/>
            </w:tcBorders>
            <w:shd w:val="clear" w:color="auto" w:fill="auto"/>
            <w:vAlign w:val="center"/>
          </w:tcPr>
          <w:p w14:paraId="059A82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0.1333 </w:t>
            </w:r>
          </w:p>
        </w:tc>
      </w:tr>
      <w:tr w14:paraId="4D869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0EAF2358">
            <w:pPr>
              <w:ind w:left="-105" w:right="-105"/>
              <w:jc w:val="center"/>
              <w:textAlignment w:val="center"/>
              <w:rPr>
                <w:color w:val="auto"/>
                <w:sz w:val="21"/>
                <w:szCs w:val="21"/>
                <w:highlight w:val="none"/>
              </w:rPr>
            </w:pPr>
            <w:r>
              <w:rPr>
                <w:rFonts w:hint="eastAsia"/>
                <w:color w:val="auto"/>
                <w:sz w:val="21"/>
                <w:szCs w:val="21"/>
                <w:highlight w:val="none"/>
                <w:lang w:bidi="ar"/>
              </w:rPr>
              <w:t>茚并</w:t>
            </w:r>
            <w:r>
              <w:rPr>
                <w:rFonts w:ascii="Times New Roman" w:hAnsi="Times New Roman" w:cs="Times New Roman"/>
                <w:color w:val="auto"/>
                <w:sz w:val="21"/>
                <w:szCs w:val="21"/>
                <w:highlight w:val="none"/>
                <w:lang w:bidi="ar"/>
              </w:rPr>
              <w:t>[1,2,3-cd]</w:t>
            </w:r>
            <w:r>
              <w:rPr>
                <w:rFonts w:hint="eastAsia"/>
                <w:color w:val="auto"/>
                <w:sz w:val="21"/>
                <w:szCs w:val="21"/>
                <w:highlight w:val="none"/>
                <w:lang w:bidi="ar"/>
              </w:rPr>
              <w:t>芘</w:t>
            </w:r>
          </w:p>
        </w:tc>
        <w:tc>
          <w:tcPr>
            <w:tcW w:w="885" w:type="dxa"/>
            <w:tcBorders>
              <w:tl2br w:val="nil"/>
              <w:tr2bl w:val="nil"/>
            </w:tcBorders>
            <w:shd w:val="clear" w:color="auto" w:fill="auto"/>
            <w:vAlign w:val="center"/>
          </w:tcPr>
          <w:p w14:paraId="5317FC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21317C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406" w:type="dxa"/>
            <w:tcBorders>
              <w:tl2br w:val="nil"/>
              <w:tr2bl w:val="nil"/>
            </w:tcBorders>
            <w:shd w:val="clear" w:color="auto" w:fill="auto"/>
            <w:vAlign w:val="center"/>
          </w:tcPr>
          <w:p w14:paraId="264B87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16587B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6B9279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w:t>
            </w:r>
          </w:p>
        </w:tc>
        <w:tc>
          <w:tcPr>
            <w:tcW w:w="1738" w:type="dxa"/>
            <w:tcBorders>
              <w:tl2br w:val="nil"/>
              <w:tr2bl w:val="nil"/>
            </w:tcBorders>
            <w:shd w:val="clear" w:color="auto" w:fill="auto"/>
            <w:vAlign w:val="center"/>
          </w:tcPr>
          <w:p w14:paraId="4A8974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0.0133 </w:t>
            </w:r>
          </w:p>
        </w:tc>
        <w:tc>
          <w:tcPr>
            <w:tcW w:w="1407" w:type="dxa"/>
            <w:tcBorders>
              <w:tl2br w:val="nil"/>
              <w:tr2bl w:val="nil"/>
            </w:tcBorders>
            <w:shd w:val="clear" w:color="auto" w:fill="auto"/>
            <w:vAlign w:val="center"/>
          </w:tcPr>
          <w:p w14:paraId="1CEEB1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739" w:type="dxa"/>
            <w:tcBorders>
              <w:tl2br w:val="nil"/>
              <w:tr2bl w:val="nil"/>
            </w:tcBorders>
            <w:shd w:val="clear" w:color="auto" w:fill="auto"/>
            <w:vAlign w:val="center"/>
          </w:tcPr>
          <w:p w14:paraId="6D07CF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 xml:space="preserve">0.0200 </w:t>
            </w:r>
          </w:p>
        </w:tc>
      </w:tr>
      <w:tr w14:paraId="5023D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2" w:type="dxa"/>
            <w:tcBorders>
              <w:tl2br w:val="nil"/>
              <w:tr2bl w:val="nil"/>
            </w:tcBorders>
            <w:shd w:val="clear" w:color="auto" w:fill="auto"/>
            <w:vAlign w:val="center"/>
          </w:tcPr>
          <w:p w14:paraId="7805E6F3">
            <w:pPr>
              <w:ind w:left="-105" w:right="-105"/>
              <w:jc w:val="center"/>
              <w:textAlignment w:val="center"/>
              <w:rPr>
                <w:color w:val="auto"/>
                <w:sz w:val="21"/>
                <w:szCs w:val="21"/>
                <w:highlight w:val="none"/>
              </w:rPr>
            </w:pPr>
            <w:r>
              <w:rPr>
                <w:rFonts w:hint="eastAsia"/>
                <w:color w:val="auto"/>
                <w:sz w:val="21"/>
                <w:szCs w:val="21"/>
                <w:highlight w:val="none"/>
                <w:lang w:bidi="ar"/>
              </w:rPr>
              <w:t>二苯并</w:t>
            </w:r>
            <w:r>
              <w:rPr>
                <w:rFonts w:ascii="Times New Roman" w:hAnsi="Times New Roman" w:cs="Times New Roman"/>
                <w:color w:val="auto"/>
                <w:sz w:val="21"/>
                <w:szCs w:val="21"/>
                <w:highlight w:val="none"/>
                <w:lang w:bidi="ar"/>
              </w:rPr>
              <w:t>[a,h]</w:t>
            </w:r>
            <w:r>
              <w:rPr>
                <w:rFonts w:hint="eastAsia"/>
                <w:color w:val="auto"/>
                <w:sz w:val="21"/>
                <w:szCs w:val="21"/>
                <w:highlight w:val="none"/>
                <w:lang w:bidi="ar"/>
              </w:rPr>
              <w:t>蒽</w:t>
            </w:r>
          </w:p>
        </w:tc>
        <w:tc>
          <w:tcPr>
            <w:tcW w:w="885" w:type="dxa"/>
            <w:tcBorders>
              <w:tl2br w:val="nil"/>
              <w:tr2bl w:val="nil"/>
            </w:tcBorders>
            <w:shd w:val="clear" w:color="auto" w:fill="auto"/>
            <w:vAlign w:val="center"/>
          </w:tcPr>
          <w:p w14:paraId="47FD2D4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41" w:type="dxa"/>
            <w:tcBorders>
              <w:tl2br w:val="nil"/>
              <w:tr2bl w:val="nil"/>
            </w:tcBorders>
            <w:shd w:val="clear" w:color="auto" w:fill="auto"/>
            <w:vAlign w:val="center"/>
          </w:tcPr>
          <w:p w14:paraId="48A709C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406" w:type="dxa"/>
            <w:tcBorders>
              <w:tl2br w:val="nil"/>
              <w:tr2bl w:val="nil"/>
            </w:tcBorders>
            <w:shd w:val="clear" w:color="auto" w:fill="auto"/>
            <w:vAlign w:val="center"/>
          </w:tcPr>
          <w:p w14:paraId="4CD8C6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24510F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6" w:type="dxa"/>
            <w:tcBorders>
              <w:tl2br w:val="nil"/>
              <w:tr2bl w:val="nil"/>
            </w:tcBorders>
            <w:shd w:val="clear" w:color="auto" w:fill="auto"/>
            <w:vAlign w:val="center"/>
          </w:tcPr>
          <w:p w14:paraId="4201A5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8" w:type="dxa"/>
            <w:tcBorders>
              <w:tl2br w:val="nil"/>
              <w:tr2bl w:val="nil"/>
            </w:tcBorders>
            <w:shd w:val="clear" w:color="auto" w:fill="auto"/>
            <w:vAlign w:val="center"/>
          </w:tcPr>
          <w:p w14:paraId="3B25FE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407" w:type="dxa"/>
            <w:tcBorders>
              <w:tl2br w:val="nil"/>
              <w:tr2bl w:val="nil"/>
            </w:tcBorders>
            <w:shd w:val="clear" w:color="auto" w:fill="auto"/>
            <w:vAlign w:val="center"/>
          </w:tcPr>
          <w:p w14:paraId="420E0F9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739" w:type="dxa"/>
            <w:tcBorders>
              <w:tl2br w:val="nil"/>
              <w:tr2bl w:val="nil"/>
            </w:tcBorders>
            <w:shd w:val="clear" w:color="auto" w:fill="auto"/>
            <w:vAlign w:val="center"/>
          </w:tcPr>
          <w:p w14:paraId="5B369F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bl>
    <w:p w14:paraId="40D5DA11">
      <w:pPr>
        <w:spacing w:line="360" w:lineRule="auto"/>
        <w:ind w:left="-105" w:right="-105"/>
        <w:rPr>
          <w:rFonts w:ascii="Times New Roman" w:hAnsi="Times New Roman"/>
          <w:color w:val="auto"/>
          <w:highlight w:val="none"/>
        </w:rPr>
      </w:pPr>
    </w:p>
    <w:p w14:paraId="53F61E5D">
      <w:pPr>
        <w:spacing w:line="360" w:lineRule="auto"/>
        <w:ind w:left="-105" w:right="-105"/>
        <w:rPr>
          <w:rFonts w:ascii="Times New Roman" w:hAnsi="Times New Roman"/>
          <w:color w:val="auto"/>
          <w:highlight w:val="none"/>
        </w:rPr>
        <w:sectPr>
          <w:pgSz w:w="16838" w:h="11906" w:orient="landscape"/>
          <w:pgMar w:top="1797" w:right="1701" w:bottom="1514" w:left="1701" w:header="851" w:footer="851" w:gutter="0"/>
          <w:pgBorders>
            <w:top w:val="none" w:sz="0" w:space="0"/>
            <w:left w:val="none" w:sz="0" w:space="0"/>
            <w:bottom w:val="none" w:sz="0" w:space="0"/>
            <w:right w:val="none" w:sz="0" w:space="0"/>
          </w:pgBorders>
          <w:cols w:space="720" w:num="1"/>
          <w:docGrid w:linePitch="498" w:charSpace="0"/>
        </w:sectPr>
      </w:pPr>
    </w:p>
    <w:p w14:paraId="2F26ADBC">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（3）现状数据统计及结论</w:t>
      </w:r>
    </w:p>
    <w:p w14:paraId="35F5E692">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根据监测结果，对土壤监测数据进行统计分析，具体见下表。</w:t>
      </w:r>
    </w:p>
    <w:p w14:paraId="3477CAEB">
      <w:pPr>
        <w:pStyle w:val="15"/>
        <w:spacing w:line="360" w:lineRule="auto"/>
        <w:ind w:left="-105" w:right="-105" w:firstLine="482"/>
        <w:rPr>
          <w:rFonts w:eastAsia="宋体" w:cs="Times New Roman"/>
          <w:bCs/>
          <w:color w:val="auto"/>
          <w:kern w:val="0"/>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5.3</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16</w:t>
      </w:r>
      <w:r>
        <w:rPr>
          <w:rFonts w:eastAsia="宋体" w:cs="Times New Roman"/>
          <w:color w:val="auto"/>
          <w:sz w:val="24"/>
          <w:szCs w:val="18"/>
          <w:highlight w:val="none"/>
        </w:rPr>
        <w:fldChar w:fldCharType="end"/>
      </w:r>
      <w:r>
        <w:rPr>
          <w:rFonts w:eastAsia="宋体" w:cs="Times New Roman"/>
          <w:bCs/>
          <w:color w:val="auto"/>
          <w:kern w:val="0"/>
          <w:sz w:val="24"/>
          <w:szCs w:val="24"/>
          <w:highlight w:val="none"/>
        </w:rPr>
        <w:t>土壤现状质量数据统计结果</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40"/>
        <w:gridCol w:w="1155"/>
        <w:gridCol w:w="1015"/>
        <w:gridCol w:w="1304"/>
        <w:gridCol w:w="1304"/>
        <w:gridCol w:w="1611"/>
        <w:gridCol w:w="1611"/>
        <w:gridCol w:w="1304"/>
        <w:gridCol w:w="1304"/>
        <w:gridCol w:w="1304"/>
      </w:tblGrid>
      <w:tr w14:paraId="52225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0DFED308">
            <w:pPr>
              <w:ind w:left="-105" w:right="-105"/>
              <w:jc w:val="center"/>
              <w:textAlignment w:val="center"/>
              <w:rPr>
                <w:b/>
                <w:bCs/>
                <w:color w:val="auto"/>
                <w:sz w:val="21"/>
                <w:szCs w:val="21"/>
                <w:highlight w:val="none"/>
              </w:rPr>
            </w:pPr>
            <w:r>
              <w:rPr>
                <w:rFonts w:hint="eastAsia"/>
                <w:b/>
                <w:bCs/>
                <w:color w:val="auto"/>
                <w:sz w:val="21"/>
                <w:szCs w:val="21"/>
                <w:highlight w:val="none"/>
                <w:lang w:bidi="ar"/>
              </w:rPr>
              <w:t>检测项目</w:t>
            </w:r>
          </w:p>
        </w:tc>
        <w:tc>
          <w:tcPr>
            <w:tcW w:w="1155" w:type="dxa"/>
            <w:tcBorders>
              <w:tl2br w:val="nil"/>
              <w:tr2bl w:val="nil"/>
            </w:tcBorders>
            <w:shd w:val="clear" w:color="auto" w:fill="auto"/>
            <w:vAlign w:val="center"/>
          </w:tcPr>
          <w:p w14:paraId="0388DC49">
            <w:pPr>
              <w:ind w:left="-105" w:right="-105"/>
              <w:jc w:val="center"/>
              <w:textAlignment w:val="center"/>
              <w:rPr>
                <w:b/>
                <w:bCs/>
                <w:color w:val="auto"/>
                <w:sz w:val="21"/>
                <w:szCs w:val="21"/>
                <w:highlight w:val="none"/>
              </w:rPr>
            </w:pPr>
            <w:r>
              <w:rPr>
                <w:rFonts w:hint="eastAsia"/>
                <w:b/>
                <w:bCs/>
                <w:color w:val="auto"/>
                <w:sz w:val="21"/>
                <w:szCs w:val="21"/>
                <w:highlight w:val="none"/>
                <w:lang w:bidi="ar"/>
              </w:rPr>
              <w:t>样本数量</w:t>
            </w:r>
          </w:p>
        </w:tc>
        <w:tc>
          <w:tcPr>
            <w:tcW w:w="1015" w:type="dxa"/>
            <w:tcBorders>
              <w:tl2br w:val="nil"/>
              <w:tr2bl w:val="nil"/>
            </w:tcBorders>
            <w:shd w:val="clear" w:color="auto" w:fill="auto"/>
            <w:vAlign w:val="center"/>
          </w:tcPr>
          <w:p w14:paraId="026C0A66">
            <w:pPr>
              <w:ind w:left="-105" w:right="-105"/>
              <w:jc w:val="center"/>
              <w:textAlignment w:val="center"/>
              <w:rPr>
                <w:b/>
                <w:bCs/>
                <w:color w:val="auto"/>
                <w:sz w:val="21"/>
                <w:szCs w:val="21"/>
                <w:highlight w:val="none"/>
              </w:rPr>
            </w:pPr>
            <w:r>
              <w:rPr>
                <w:rFonts w:hint="eastAsia"/>
                <w:b/>
                <w:bCs/>
                <w:color w:val="auto"/>
                <w:sz w:val="21"/>
                <w:szCs w:val="21"/>
                <w:highlight w:val="none"/>
                <w:lang w:bidi="ar"/>
              </w:rPr>
              <w:t>单位</w:t>
            </w:r>
          </w:p>
        </w:tc>
        <w:tc>
          <w:tcPr>
            <w:tcW w:w="1304" w:type="dxa"/>
            <w:tcBorders>
              <w:tl2br w:val="nil"/>
              <w:tr2bl w:val="nil"/>
            </w:tcBorders>
            <w:shd w:val="clear" w:color="auto" w:fill="auto"/>
            <w:vAlign w:val="center"/>
          </w:tcPr>
          <w:p w14:paraId="255A1525">
            <w:pPr>
              <w:ind w:left="-105" w:right="-105"/>
              <w:jc w:val="center"/>
              <w:textAlignment w:val="center"/>
              <w:rPr>
                <w:b/>
                <w:bCs/>
                <w:color w:val="auto"/>
                <w:sz w:val="21"/>
                <w:szCs w:val="21"/>
                <w:highlight w:val="none"/>
              </w:rPr>
            </w:pPr>
            <w:r>
              <w:rPr>
                <w:rFonts w:hint="eastAsia"/>
                <w:b/>
                <w:bCs/>
                <w:color w:val="auto"/>
                <w:sz w:val="21"/>
                <w:szCs w:val="21"/>
                <w:highlight w:val="none"/>
                <w:lang w:bidi="ar"/>
              </w:rPr>
              <w:t>最大值</w:t>
            </w:r>
          </w:p>
        </w:tc>
        <w:tc>
          <w:tcPr>
            <w:tcW w:w="1304" w:type="dxa"/>
            <w:tcBorders>
              <w:tl2br w:val="nil"/>
              <w:tr2bl w:val="nil"/>
            </w:tcBorders>
            <w:shd w:val="clear" w:color="auto" w:fill="auto"/>
            <w:vAlign w:val="center"/>
          </w:tcPr>
          <w:p w14:paraId="019CFB4B">
            <w:pPr>
              <w:ind w:left="-105" w:right="-105"/>
              <w:jc w:val="center"/>
              <w:textAlignment w:val="center"/>
              <w:rPr>
                <w:b/>
                <w:bCs/>
                <w:color w:val="auto"/>
                <w:sz w:val="21"/>
                <w:szCs w:val="21"/>
                <w:highlight w:val="none"/>
              </w:rPr>
            </w:pPr>
            <w:r>
              <w:rPr>
                <w:rFonts w:hint="eastAsia"/>
                <w:b/>
                <w:bCs/>
                <w:color w:val="auto"/>
                <w:sz w:val="21"/>
                <w:szCs w:val="21"/>
                <w:highlight w:val="none"/>
                <w:lang w:bidi="ar"/>
              </w:rPr>
              <w:t>最小值</w:t>
            </w:r>
          </w:p>
        </w:tc>
        <w:tc>
          <w:tcPr>
            <w:tcW w:w="1611" w:type="dxa"/>
            <w:tcBorders>
              <w:tl2br w:val="nil"/>
              <w:tr2bl w:val="nil"/>
            </w:tcBorders>
            <w:shd w:val="clear" w:color="auto" w:fill="auto"/>
            <w:vAlign w:val="center"/>
          </w:tcPr>
          <w:p w14:paraId="5C5DF570">
            <w:pPr>
              <w:ind w:left="-105" w:right="-105"/>
              <w:jc w:val="center"/>
              <w:textAlignment w:val="center"/>
              <w:rPr>
                <w:b/>
                <w:bCs/>
                <w:color w:val="auto"/>
                <w:sz w:val="21"/>
                <w:szCs w:val="21"/>
                <w:highlight w:val="none"/>
              </w:rPr>
            </w:pPr>
            <w:r>
              <w:rPr>
                <w:rFonts w:hint="eastAsia"/>
                <w:b/>
                <w:bCs/>
                <w:color w:val="auto"/>
                <w:sz w:val="21"/>
                <w:szCs w:val="21"/>
                <w:highlight w:val="none"/>
                <w:lang w:bidi="ar"/>
              </w:rPr>
              <w:t>均值</w:t>
            </w:r>
          </w:p>
        </w:tc>
        <w:tc>
          <w:tcPr>
            <w:tcW w:w="1611" w:type="dxa"/>
            <w:tcBorders>
              <w:tl2br w:val="nil"/>
              <w:tr2bl w:val="nil"/>
            </w:tcBorders>
            <w:shd w:val="clear" w:color="auto" w:fill="auto"/>
            <w:vAlign w:val="center"/>
          </w:tcPr>
          <w:p w14:paraId="7E6DC243">
            <w:pPr>
              <w:ind w:left="-105" w:right="-105"/>
              <w:jc w:val="center"/>
              <w:textAlignment w:val="center"/>
              <w:rPr>
                <w:b/>
                <w:bCs/>
                <w:color w:val="auto"/>
                <w:sz w:val="21"/>
                <w:szCs w:val="21"/>
                <w:highlight w:val="none"/>
              </w:rPr>
            </w:pPr>
            <w:r>
              <w:rPr>
                <w:rFonts w:hint="eastAsia"/>
                <w:b/>
                <w:bCs/>
                <w:color w:val="auto"/>
                <w:sz w:val="21"/>
                <w:szCs w:val="21"/>
                <w:highlight w:val="none"/>
                <w:lang w:bidi="ar"/>
              </w:rPr>
              <w:t>标准差</w:t>
            </w:r>
          </w:p>
        </w:tc>
        <w:tc>
          <w:tcPr>
            <w:tcW w:w="1304" w:type="dxa"/>
            <w:tcBorders>
              <w:tl2br w:val="nil"/>
              <w:tr2bl w:val="nil"/>
            </w:tcBorders>
            <w:shd w:val="clear" w:color="auto" w:fill="auto"/>
            <w:vAlign w:val="center"/>
          </w:tcPr>
          <w:p w14:paraId="2A33390F">
            <w:pPr>
              <w:ind w:left="-105" w:right="-105"/>
              <w:jc w:val="center"/>
              <w:textAlignment w:val="center"/>
              <w:rPr>
                <w:b/>
                <w:bCs/>
                <w:color w:val="auto"/>
                <w:sz w:val="21"/>
                <w:szCs w:val="21"/>
                <w:highlight w:val="none"/>
              </w:rPr>
            </w:pPr>
            <w:r>
              <w:rPr>
                <w:rFonts w:hint="eastAsia"/>
                <w:b/>
                <w:bCs/>
                <w:color w:val="auto"/>
                <w:sz w:val="21"/>
                <w:szCs w:val="21"/>
                <w:highlight w:val="none"/>
                <w:lang w:bidi="ar"/>
              </w:rPr>
              <w:t>检出率</w:t>
            </w:r>
            <w:r>
              <w:rPr>
                <w:rFonts w:ascii="Times New Roman" w:hAnsi="Times New Roman" w:cs="Times New Roman"/>
                <w:b/>
                <w:bCs/>
                <w:color w:val="auto"/>
                <w:sz w:val="21"/>
                <w:szCs w:val="21"/>
                <w:highlight w:val="none"/>
                <w:lang w:bidi="ar"/>
              </w:rPr>
              <w:t>/%</w:t>
            </w:r>
          </w:p>
        </w:tc>
        <w:tc>
          <w:tcPr>
            <w:tcW w:w="1304" w:type="dxa"/>
            <w:tcBorders>
              <w:tl2br w:val="nil"/>
              <w:tr2bl w:val="nil"/>
            </w:tcBorders>
            <w:shd w:val="clear" w:color="auto" w:fill="auto"/>
            <w:vAlign w:val="center"/>
          </w:tcPr>
          <w:p w14:paraId="3445BBD7">
            <w:pPr>
              <w:ind w:left="-105" w:right="-105"/>
              <w:jc w:val="center"/>
              <w:textAlignment w:val="center"/>
              <w:rPr>
                <w:b/>
                <w:bCs/>
                <w:color w:val="auto"/>
                <w:sz w:val="21"/>
                <w:szCs w:val="21"/>
                <w:highlight w:val="none"/>
              </w:rPr>
            </w:pPr>
            <w:r>
              <w:rPr>
                <w:rFonts w:hint="eastAsia"/>
                <w:b/>
                <w:bCs/>
                <w:color w:val="auto"/>
                <w:sz w:val="21"/>
                <w:szCs w:val="21"/>
                <w:highlight w:val="none"/>
                <w:lang w:bidi="ar"/>
              </w:rPr>
              <w:t>超标率</w:t>
            </w:r>
            <w:r>
              <w:rPr>
                <w:rFonts w:ascii="Times New Roman" w:hAnsi="Times New Roman" w:cs="Times New Roman"/>
                <w:b/>
                <w:bCs/>
                <w:color w:val="auto"/>
                <w:sz w:val="21"/>
                <w:szCs w:val="21"/>
                <w:highlight w:val="none"/>
                <w:lang w:bidi="ar"/>
              </w:rPr>
              <w:t>/%</w:t>
            </w:r>
          </w:p>
        </w:tc>
        <w:tc>
          <w:tcPr>
            <w:tcW w:w="1304" w:type="dxa"/>
            <w:tcBorders>
              <w:tl2br w:val="nil"/>
              <w:tr2bl w:val="nil"/>
            </w:tcBorders>
            <w:shd w:val="clear" w:color="auto" w:fill="auto"/>
            <w:vAlign w:val="center"/>
          </w:tcPr>
          <w:p w14:paraId="14F2B617">
            <w:pPr>
              <w:ind w:left="-105" w:right="-105"/>
              <w:jc w:val="center"/>
              <w:textAlignment w:val="center"/>
              <w:rPr>
                <w:b/>
                <w:bCs/>
                <w:color w:val="auto"/>
                <w:sz w:val="21"/>
                <w:szCs w:val="21"/>
                <w:highlight w:val="none"/>
              </w:rPr>
            </w:pPr>
            <w:r>
              <w:rPr>
                <w:rFonts w:hint="eastAsia"/>
                <w:b/>
                <w:bCs/>
                <w:color w:val="auto"/>
                <w:sz w:val="21"/>
                <w:szCs w:val="21"/>
                <w:highlight w:val="none"/>
                <w:lang w:bidi="ar"/>
              </w:rPr>
              <w:t>最大超标率</w:t>
            </w:r>
            <w:r>
              <w:rPr>
                <w:rFonts w:ascii="Times New Roman" w:hAnsi="Times New Roman" w:cs="Times New Roman"/>
                <w:b/>
                <w:bCs/>
                <w:color w:val="auto"/>
                <w:sz w:val="21"/>
                <w:szCs w:val="21"/>
                <w:highlight w:val="none"/>
                <w:lang w:bidi="ar"/>
              </w:rPr>
              <w:t>/%</w:t>
            </w:r>
          </w:p>
        </w:tc>
      </w:tr>
      <w:tr w14:paraId="107E09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0E0F5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pH</w:t>
            </w:r>
          </w:p>
        </w:tc>
        <w:tc>
          <w:tcPr>
            <w:tcW w:w="1155" w:type="dxa"/>
            <w:tcBorders>
              <w:tl2br w:val="nil"/>
              <w:tr2bl w:val="nil"/>
            </w:tcBorders>
            <w:shd w:val="clear" w:color="auto" w:fill="auto"/>
            <w:vAlign w:val="center"/>
          </w:tcPr>
          <w:p w14:paraId="179C5E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8E5DD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c>
          <w:tcPr>
            <w:tcW w:w="1304" w:type="dxa"/>
            <w:tcBorders>
              <w:tl2br w:val="nil"/>
              <w:tr2bl w:val="nil"/>
            </w:tcBorders>
            <w:shd w:val="clear" w:color="auto" w:fill="auto"/>
            <w:vAlign w:val="center"/>
          </w:tcPr>
          <w:p w14:paraId="45C03F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8.23</w:t>
            </w:r>
          </w:p>
        </w:tc>
        <w:tc>
          <w:tcPr>
            <w:tcW w:w="1304" w:type="dxa"/>
            <w:tcBorders>
              <w:tl2br w:val="nil"/>
              <w:tr2bl w:val="nil"/>
            </w:tcBorders>
            <w:shd w:val="clear" w:color="auto" w:fill="auto"/>
            <w:vAlign w:val="center"/>
          </w:tcPr>
          <w:p w14:paraId="35BFC8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5.99</w:t>
            </w:r>
          </w:p>
        </w:tc>
        <w:tc>
          <w:tcPr>
            <w:tcW w:w="1611" w:type="dxa"/>
            <w:tcBorders>
              <w:tl2br w:val="nil"/>
              <w:tr2bl w:val="nil"/>
            </w:tcBorders>
            <w:shd w:val="clear" w:color="auto" w:fill="auto"/>
            <w:vAlign w:val="center"/>
          </w:tcPr>
          <w:p w14:paraId="090FFF8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6.81</w:t>
            </w:r>
          </w:p>
        </w:tc>
        <w:tc>
          <w:tcPr>
            <w:tcW w:w="1611" w:type="dxa"/>
            <w:tcBorders>
              <w:tl2br w:val="nil"/>
              <w:tr2bl w:val="nil"/>
            </w:tcBorders>
            <w:shd w:val="clear" w:color="auto" w:fill="auto"/>
            <w:vAlign w:val="center"/>
          </w:tcPr>
          <w:p w14:paraId="148A78A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0.4599</w:t>
            </w:r>
          </w:p>
        </w:tc>
        <w:tc>
          <w:tcPr>
            <w:tcW w:w="1304" w:type="dxa"/>
            <w:tcBorders>
              <w:tl2br w:val="nil"/>
              <w:tr2bl w:val="nil"/>
            </w:tcBorders>
            <w:shd w:val="clear" w:color="auto" w:fill="auto"/>
            <w:vAlign w:val="center"/>
          </w:tcPr>
          <w:p w14:paraId="4C1DDB9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5AA155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B8470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47F6D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E478F63">
            <w:pPr>
              <w:ind w:left="-105" w:right="-105"/>
              <w:jc w:val="center"/>
              <w:textAlignment w:val="center"/>
              <w:rPr>
                <w:color w:val="auto"/>
                <w:sz w:val="21"/>
                <w:szCs w:val="21"/>
                <w:highlight w:val="none"/>
              </w:rPr>
            </w:pPr>
            <w:r>
              <w:rPr>
                <w:rFonts w:hint="eastAsia"/>
                <w:color w:val="auto"/>
                <w:sz w:val="21"/>
                <w:szCs w:val="21"/>
                <w:highlight w:val="none"/>
                <w:lang w:bidi="ar"/>
              </w:rPr>
              <w:t>汞</w:t>
            </w:r>
          </w:p>
        </w:tc>
        <w:tc>
          <w:tcPr>
            <w:tcW w:w="1155" w:type="dxa"/>
            <w:tcBorders>
              <w:tl2br w:val="nil"/>
              <w:tr2bl w:val="nil"/>
            </w:tcBorders>
            <w:shd w:val="clear" w:color="auto" w:fill="auto"/>
            <w:vAlign w:val="center"/>
          </w:tcPr>
          <w:p w14:paraId="76B04DB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35BA5D3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4C76A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0.29</w:t>
            </w:r>
          </w:p>
        </w:tc>
        <w:tc>
          <w:tcPr>
            <w:tcW w:w="1304" w:type="dxa"/>
            <w:tcBorders>
              <w:tl2br w:val="nil"/>
              <w:tr2bl w:val="nil"/>
            </w:tcBorders>
            <w:shd w:val="clear" w:color="auto" w:fill="auto"/>
            <w:vAlign w:val="center"/>
          </w:tcPr>
          <w:p w14:paraId="6F94C4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0.02</w:t>
            </w:r>
          </w:p>
        </w:tc>
        <w:tc>
          <w:tcPr>
            <w:tcW w:w="1611" w:type="dxa"/>
            <w:tcBorders>
              <w:tl2br w:val="nil"/>
              <w:tr2bl w:val="nil"/>
            </w:tcBorders>
            <w:shd w:val="clear" w:color="auto" w:fill="auto"/>
            <w:vAlign w:val="center"/>
          </w:tcPr>
          <w:p w14:paraId="34535C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0.14</w:t>
            </w:r>
          </w:p>
        </w:tc>
        <w:tc>
          <w:tcPr>
            <w:tcW w:w="1611" w:type="dxa"/>
            <w:tcBorders>
              <w:tl2br w:val="nil"/>
              <w:tr2bl w:val="nil"/>
            </w:tcBorders>
            <w:shd w:val="clear" w:color="auto" w:fill="auto"/>
            <w:vAlign w:val="center"/>
          </w:tcPr>
          <w:p w14:paraId="3A9B5C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0.0951</w:t>
            </w:r>
          </w:p>
        </w:tc>
        <w:tc>
          <w:tcPr>
            <w:tcW w:w="1304" w:type="dxa"/>
            <w:tcBorders>
              <w:tl2br w:val="nil"/>
              <w:tr2bl w:val="nil"/>
            </w:tcBorders>
            <w:shd w:val="clear" w:color="auto" w:fill="auto"/>
            <w:vAlign w:val="center"/>
          </w:tcPr>
          <w:p w14:paraId="24E4D1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25FD95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5707FC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885AD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D7F5B1F">
            <w:pPr>
              <w:ind w:left="-105" w:right="-105"/>
              <w:jc w:val="center"/>
              <w:textAlignment w:val="center"/>
              <w:rPr>
                <w:color w:val="auto"/>
                <w:sz w:val="21"/>
                <w:szCs w:val="21"/>
                <w:highlight w:val="none"/>
              </w:rPr>
            </w:pPr>
            <w:r>
              <w:rPr>
                <w:rFonts w:hint="eastAsia"/>
                <w:color w:val="auto"/>
                <w:sz w:val="21"/>
                <w:szCs w:val="21"/>
                <w:highlight w:val="none"/>
                <w:lang w:bidi="ar"/>
              </w:rPr>
              <w:t>砷</w:t>
            </w:r>
          </w:p>
        </w:tc>
        <w:tc>
          <w:tcPr>
            <w:tcW w:w="1155" w:type="dxa"/>
            <w:tcBorders>
              <w:tl2br w:val="nil"/>
              <w:tr2bl w:val="nil"/>
            </w:tcBorders>
            <w:shd w:val="clear" w:color="auto" w:fill="auto"/>
            <w:vAlign w:val="center"/>
          </w:tcPr>
          <w:p w14:paraId="33A6AA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05D1C5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BFBA40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17.7</w:t>
            </w:r>
          </w:p>
        </w:tc>
        <w:tc>
          <w:tcPr>
            <w:tcW w:w="1304" w:type="dxa"/>
            <w:tcBorders>
              <w:tl2br w:val="nil"/>
              <w:tr2bl w:val="nil"/>
            </w:tcBorders>
            <w:shd w:val="clear" w:color="auto" w:fill="auto"/>
            <w:vAlign w:val="center"/>
          </w:tcPr>
          <w:p w14:paraId="6D1553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611" w:type="dxa"/>
            <w:tcBorders>
              <w:tl2br w:val="nil"/>
              <w:tr2bl w:val="nil"/>
            </w:tcBorders>
            <w:shd w:val="clear" w:color="auto" w:fill="auto"/>
            <w:vAlign w:val="center"/>
          </w:tcPr>
          <w:p w14:paraId="584159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11.99</w:t>
            </w:r>
          </w:p>
        </w:tc>
        <w:tc>
          <w:tcPr>
            <w:tcW w:w="1611" w:type="dxa"/>
            <w:tcBorders>
              <w:tl2br w:val="nil"/>
              <w:tr2bl w:val="nil"/>
            </w:tcBorders>
            <w:shd w:val="clear" w:color="auto" w:fill="auto"/>
            <w:vAlign w:val="center"/>
          </w:tcPr>
          <w:p w14:paraId="63FA5E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4.1919</w:t>
            </w:r>
          </w:p>
        </w:tc>
        <w:tc>
          <w:tcPr>
            <w:tcW w:w="1304" w:type="dxa"/>
            <w:tcBorders>
              <w:tl2br w:val="nil"/>
              <w:tr2bl w:val="nil"/>
            </w:tcBorders>
            <w:shd w:val="clear" w:color="auto" w:fill="auto"/>
            <w:vAlign w:val="center"/>
          </w:tcPr>
          <w:p w14:paraId="4A4E2F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43D26B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8763DF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F2765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33BDDBCE">
            <w:pPr>
              <w:ind w:left="-105" w:right="-105"/>
              <w:jc w:val="center"/>
              <w:textAlignment w:val="center"/>
              <w:rPr>
                <w:color w:val="auto"/>
                <w:sz w:val="21"/>
                <w:szCs w:val="21"/>
                <w:highlight w:val="none"/>
              </w:rPr>
            </w:pPr>
            <w:r>
              <w:rPr>
                <w:rFonts w:hint="eastAsia"/>
                <w:color w:val="auto"/>
                <w:sz w:val="21"/>
                <w:szCs w:val="21"/>
                <w:highlight w:val="none"/>
                <w:lang w:bidi="ar"/>
              </w:rPr>
              <w:t>镉</w:t>
            </w:r>
          </w:p>
        </w:tc>
        <w:tc>
          <w:tcPr>
            <w:tcW w:w="1155" w:type="dxa"/>
            <w:tcBorders>
              <w:tl2br w:val="nil"/>
              <w:tr2bl w:val="nil"/>
            </w:tcBorders>
            <w:shd w:val="clear" w:color="auto" w:fill="auto"/>
            <w:vAlign w:val="center"/>
          </w:tcPr>
          <w:p w14:paraId="23B784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788F32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E6CD5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0.24</w:t>
            </w:r>
          </w:p>
        </w:tc>
        <w:tc>
          <w:tcPr>
            <w:tcW w:w="1304" w:type="dxa"/>
            <w:tcBorders>
              <w:tl2br w:val="nil"/>
              <w:tr2bl w:val="nil"/>
            </w:tcBorders>
            <w:shd w:val="clear" w:color="auto" w:fill="auto"/>
            <w:vAlign w:val="center"/>
          </w:tcPr>
          <w:p w14:paraId="09ABE7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0.05</w:t>
            </w:r>
          </w:p>
        </w:tc>
        <w:tc>
          <w:tcPr>
            <w:tcW w:w="1611" w:type="dxa"/>
            <w:tcBorders>
              <w:tl2br w:val="nil"/>
              <w:tr2bl w:val="nil"/>
            </w:tcBorders>
            <w:shd w:val="clear" w:color="auto" w:fill="auto"/>
            <w:vAlign w:val="center"/>
          </w:tcPr>
          <w:p w14:paraId="1338C9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0.18</w:t>
            </w:r>
          </w:p>
        </w:tc>
        <w:tc>
          <w:tcPr>
            <w:tcW w:w="1611" w:type="dxa"/>
            <w:tcBorders>
              <w:tl2br w:val="nil"/>
              <w:tr2bl w:val="nil"/>
            </w:tcBorders>
            <w:shd w:val="clear" w:color="auto" w:fill="auto"/>
            <w:vAlign w:val="center"/>
          </w:tcPr>
          <w:p w14:paraId="10FE79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0.0466</w:t>
            </w:r>
          </w:p>
        </w:tc>
        <w:tc>
          <w:tcPr>
            <w:tcW w:w="1304" w:type="dxa"/>
            <w:tcBorders>
              <w:tl2br w:val="nil"/>
              <w:tr2bl w:val="nil"/>
            </w:tcBorders>
            <w:shd w:val="clear" w:color="auto" w:fill="auto"/>
            <w:vAlign w:val="center"/>
          </w:tcPr>
          <w:p w14:paraId="590598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321454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787FE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17875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4B20320">
            <w:pPr>
              <w:ind w:left="-105" w:right="-105"/>
              <w:jc w:val="center"/>
              <w:textAlignment w:val="center"/>
              <w:rPr>
                <w:color w:val="auto"/>
                <w:sz w:val="21"/>
                <w:szCs w:val="21"/>
                <w:highlight w:val="none"/>
              </w:rPr>
            </w:pPr>
            <w:r>
              <w:rPr>
                <w:rFonts w:hint="eastAsia"/>
                <w:color w:val="auto"/>
                <w:sz w:val="21"/>
                <w:szCs w:val="21"/>
                <w:highlight w:val="none"/>
                <w:lang w:bidi="ar"/>
              </w:rPr>
              <w:t>铜</w:t>
            </w:r>
          </w:p>
        </w:tc>
        <w:tc>
          <w:tcPr>
            <w:tcW w:w="1155" w:type="dxa"/>
            <w:tcBorders>
              <w:tl2br w:val="nil"/>
              <w:tr2bl w:val="nil"/>
            </w:tcBorders>
            <w:shd w:val="clear" w:color="auto" w:fill="auto"/>
            <w:vAlign w:val="center"/>
          </w:tcPr>
          <w:p w14:paraId="5D87801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BFCDC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68097A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34</w:t>
            </w:r>
          </w:p>
        </w:tc>
        <w:tc>
          <w:tcPr>
            <w:tcW w:w="1304" w:type="dxa"/>
            <w:tcBorders>
              <w:tl2br w:val="nil"/>
              <w:tr2bl w:val="nil"/>
            </w:tcBorders>
            <w:shd w:val="clear" w:color="auto" w:fill="auto"/>
            <w:vAlign w:val="center"/>
          </w:tcPr>
          <w:p w14:paraId="21BFB2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17</w:t>
            </w:r>
          </w:p>
        </w:tc>
        <w:tc>
          <w:tcPr>
            <w:tcW w:w="1611" w:type="dxa"/>
            <w:tcBorders>
              <w:tl2br w:val="nil"/>
              <w:tr2bl w:val="nil"/>
            </w:tcBorders>
            <w:shd w:val="clear" w:color="auto" w:fill="auto"/>
            <w:vAlign w:val="center"/>
          </w:tcPr>
          <w:p w14:paraId="072935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26.13</w:t>
            </w:r>
          </w:p>
        </w:tc>
        <w:tc>
          <w:tcPr>
            <w:tcW w:w="1611" w:type="dxa"/>
            <w:tcBorders>
              <w:tl2br w:val="nil"/>
              <w:tr2bl w:val="nil"/>
            </w:tcBorders>
            <w:shd w:val="clear" w:color="auto" w:fill="auto"/>
            <w:vAlign w:val="center"/>
          </w:tcPr>
          <w:p w14:paraId="4665365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4.6116</w:t>
            </w:r>
          </w:p>
        </w:tc>
        <w:tc>
          <w:tcPr>
            <w:tcW w:w="1304" w:type="dxa"/>
            <w:tcBorders>
              <w:tl2br w:val="nil"/>
              <w:tr2bl w:val="nil"/>
            </w:tcBorders>
            <w:shd w:val="clear" w:color="auto" w:fill="auto"/>
            <w:vAlign w:val="center"/>
          </w:tcPr>
          <w:p w14:paraId="5A15E4A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5A4E2E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5123FDB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D864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4F3E4CD6">
            <w:pPr>
              <w:ind w:left="-105" w:right="-105"/>
              <w:jc w:val="center"/>
              <w:textAlignment w:val="center"/>
              <w:rPr>
                <w:color w:val="auto"/>
                <w:sz w:val="21"/>
                <w:szCs w:val="21"/>
                <w:highlight w:val="none"/>
              </w:rPr>
            </w:pPr>
            <w:r>
              <w:rPr>
                <w:rFonts w:hint="eastAsia"/>
                <w:color w:val="auto"/>
                <w:sz w:val="21"/>
                <w:szCs w:val="21"/>
                <w:highlight w:val="none"/>
                <w:lang w:bidi="ar"/>
              </w:rPr>
              <w:t>铅</w:t>
            </w:r>
          </w:p>
        </w:tc>
        <w:tc>
          <w:tcPr>
            <w:tcW w:w="1155" w:type="dxa"/>
            <w:tcBorders>
              <w:tl2br w:val="nil"/>
              <w:tr2bl w:val="nil"/>
            </w:tcBorders>
            <w:shd w:val="clear" w:color="auto" w:fill="auto"/>
            <w:vAlign w:val="center"/>
          </w:tcPr>
          <w:p w14:paraId="390022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C108DC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3EFBB8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32</w:t>
            </w:r>
          </w:p>
        </w:tc>
        <w:tc>
          <w:tcPr>
            <w:tcW w:w="1304" w:type="dxa"/>
            <w:tcBorders>
              <w:tl2br w:val="nil"/>
              <w:tr2bl w:val="nil"/>
            </w:tcBorders>
            <w:shd w:val="clear" w:color="auto" w:fill="auto"/>
            <w:vAlign w:val="center"/>
          </w:tcPr>
          <w:p w14:paraId="0932BE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20.5</w:t>
            </w:r>
          </w:p>
        </w:tc>
        <w:tc>
          <w:tcPr>
            <w:tcW w:w="1611" w:type="dxa"/>
            <w:tcBorders>
              <w:tl2br w:val="nil"/>
              <w:tr2bl w:val="nil"/>
            </w:tcBorders>
            <w:shd w:val="clear" w:color="auto" w:fill="auto"/>
            <w:vAlign w:val="center"/>
          </w:tcPr>
          <w:p w14:paraId="4280D1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25.39</w:t>
            </w:r>
          </w:p>
        </w:tc>
        <w:tc>
          <w:tcPr>
            <w:tcW w:w="1611" w:type="dxa"/>
            <w:tcBorders>
              <w:tl2br w:val="nil"/>
              <w:tr2bl w:val="nil"/>
            </w:tcBorders>
            <w:shd w:val="clear" w:color="auto" w:fill="auto"/>
            <w:vAlign w:val="center"/>
          </w:tcPr>
          <w:p w14:paraId="73DAEC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3.2857</w:t>
            </w:r>
          </w:p>
        </w:tc>
        <w:tc>
          <w:tcPr>
            <w:tcW w:w="1304" w:type="dxa"/>
            <w:tcBorders>
              <w:tl2br w:val="nil"/>
              <w:tr2bl w:val="nil"/>
            </w:tcBorders>
            <w:shd w:val="clear" w:color="auto" w:fill="auto"/>
            <w:vAlign w:val="center"/>
          </w:tcPr>
          <w:p w14:paraId="118AE5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4476F08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4FD50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57A98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DB24E51">
            <w:pPr>
              <w:ind w:left="-105" w:right="-105"/>
              <w:jc w:val="center"/>
              <w:textAlignment w:val="center"/>
              <w:rPr>
                <w:color w:val="auto"/>
                <w:sz w:val="21"/>
                <w:szCs w:val="21"/>
                <w:highlight w:val="none"/>
              </w:rPr>
            </w:pPr>
            <w:r>
              <w:rPr>
                <w:rFonts w:hint="eastAsia"/>
                <w:color w:val="auto"/>
                <w:sz w:val="21"/>
                <w:szCs w:val="21"/>
                <w:highlight w:val="none"/>
                <w:lang w:bidi="ar"/>
              </w:rPr>
              <w:t>镍</w:t>
            </w:r>
          </w:p>
        </w:tc>
        <w:tc>
          <w:tcPr>
            <w:tcW w:w="1155" w:type="dxa"/>
            <w:tcBorders>
              <w:tl2br w:val="nil"/>
              <w:tr2bl w:val="nil"/>
            </w:tcBorders>
            <w:shd w:val="clear" w:color="auto" w:fill="auto"/>
            <w:vAlign w:val="center"/>
          </w:tcPr>
          <w:p w14:paraId="204F09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F551D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406657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47</w:t>
            </w:r>
          </w:p>
        </w:tc>
        <w:tc>
          <w:tcPr>
            <w:tcW w:w="1304" w:type="dxa"/>
            <w:tcBorders>
              <w:tl2br w:val="nil"/>
              <w:tr2bl w:val="nil"/>
            </w:tcBorders>
            <w:shd w:val="clear" w:color="auto" w:fill="auto"/>
            <w:vAlign w:val="center"/>
          </w:tcPr>
          <w:p w14:paraId="172040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24</w:t>
            </w:r>
          </w:p>
        </w:tc>
        <w:tc>
          <w:tcPr>
            <w:tcW w:w="1611" w:type="dxa"/>
            <w:tcBorders>
              <w:tl2br w:val="nil"/>
              <w:tr2bl w:val="nil"/>
            </w:tcBorders>
            <w:shd w:val="clear" w:color="auto" w:fill="auto"/>
            <w:vAlign w:val="center"/>
          </w:tcPr>
          <w:p w14:paraId="06DD570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33.60</w:t>
            </w:r>
          </w:p>
        </w:tc>
        <w:tc>
          <w:tcPr>
            <w:tcW w:w="1611" w:type="dxa"/>
            <w:tcBorders>
              <w:tl2br w:val="nil"/>
              <w:tr2bl w:val="nil"/>
            </w:tcBorders>
            <w:shd w:val="clear" w:color="auto" w:fill="auto"/>
            <w:vAlign w:val="center"/>
          </w:tcPr>
          <w:p w14:paraId="5B9860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7.3368</w:t>
            </w:r>
          </w:p>
        </w:tc>
        <w:tc>
          <w:tcPr>
            <w:tcW w:w="1304" w:type="dxa"/>
            <w:tcBorders>
              <w:tl2br w:val="nil"/>
              <w:tr2bl w:val="nil"/>
            </w:tcBorders>
            <w:shd w:val="clear" w:color="auto" w:fill="auto"/>
            <w:vAlign w:val="center"/>
          </w:tcPr>
          <w:p w14:paraId="0327F0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100%</w:t>
            </w:r>
          </w:p>
        </w:tc>
        <w:tc>
          <w:tcPr>
            <w:tcW w:w="1304" w:type="dxa"/>
            <w:tcBorders>
              <w:tl2br w:val="nil"/>
              <w:tr2bl w:val="nil"/>
            </w:tcBorders>
            <w:shd w:val="clear" w:color="auto" w:fill="auto"/>
            <w:vAlign w:val="center"/>
          </w:tcPr>
          <w:p w14:paraId="6F38A51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5D43A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3527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FF502DE">
            <w:pPr>
              <w:ind w:left="-105" w:right="-105"/>
              <w:jc w:val="center"/>
              <w:textAlignment w:val="center"/>
              <w:rPr>
                <w:color w:val="auto"/>
                <w:sz w:val="21"/>
                <w:szCs w:val="21"/>
                <w:highlight w:val="none"/>
              </w:rPr>
            </w:pPr>
            <w:r>
              <w:rPr>
                <w:rFonts w:hint="eastAsia"/>
                <w:color w:val="auto"/>
                <w:sz w:val="21"/>
                <w:szCs w:val="21"/>
                <w:highlight w:val="none"/>
                <w:lang w:bidi="ar"/>
              </w:rPr>
              <w:t>六价铬</w:t>
            </w:r>
          </w:p>
        </w:tc>
        <w:tc>
          <w:tcPr>
            <w:tcW w:w="1155" w:type="dxa"/>
            <w:tcBorders>
              <w:tl2br w:val="nil"/>
              <w:tr2bl w:val="nil"/>
            </w:tcBorders>
            <w:shd w:val="clear" w:color="auto" w:fill="auto"/>
            <w:vAlign w:val="center"/>
          </w:tcPr>
          <w:p w14:paraId="4D0723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27846B1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6886C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6779A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AE7E25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42F9F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B1F95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41156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139A1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9BECB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1B1DA16">
            <w:pPr>
              <w:ind w:left="-105" w:right="-105"/>
              <w:jc w:val="center"/>
              <w:textAlignment w:val="center"/>
              <w:rPr>
                <w:color w:val="auto"/>
                <w:sz w:val="21"/>
                <w:szCs w:val="21"/>
                <w:highlight w:val="none"/>
              </w:rPr>
            </w:pPr>
            <w:r>
              <w:rPr>
                <w:rFonts w:hint="eastAsia"/>
                <w:color w:val="auto"/>
                <w:sz w:val="21"/>
                <w:szCs w:val="21"/>
                <w:highlight w:val="none"/>
                <w:lang w:bidi="ar"/>
              </w:rPr>
              <w:t>氯甲烷</w:t>
            </w:r>
          </w:p>
        </w:tc>
        <w:tc>
          <w:tcPr>
            <w:tcW w:w="1155" w:type="dxa"/>
            <w:tcBorders>
              <w:tl2br w:val="nil"/>
              <w:tr2bl w:val="nil"/>
            </w:tcBorders>
            <w:shd w:val="clear" w:color="auto" w:fill="auto"/>
            <w:vAlign w:val="center"/>
          </w:tcPr>
          <w:p w14:paraId="1F455D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4DBA9B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65A28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9.8</w:t>
            </w:r>
          </w:p>
        </w:tc>
        <w:tc>
          <w:tcPr>
            <w:tcW w:w="1304" w:type="dxa"/>
            <w:tcBorders>
              <w:tl2br w:val="nil"/>
              <w:tr2bl w:val="nil"/>
            </w:tcBorders>
            <w:shd w:val="clear" w:color="auto" w:fill="auto"/>
            <w:vAlign w:val="center"/>
          </w:tcPr>
          <w:p w14:paraId="41BAC3A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EA07E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1.13</w:t>
            </w:r>
          </w:p>
        </w:tc>
        <w:tc>
          <w:tcPr>
            <w:tcW w:w="1611" w:type="dxa"/>
            <w:tcBorders>
              <w:tl2br w:val="nil"/>
              <w:tr2bl w:val="nil"/>
            </w:tcBorders>
            <w:shd w:val="clear" w:color="auto" w:fill="auto"/>
            <w:vAlign w:val="center"/>
          </w:tcPr>
          <w:p w14:paraId="57B069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2.7309</w:t>
            </w:r>
          </w:p>
        </w:tc>
        <w:tc>
          <w:tcPr>
            <w:tcW w:w="1304" w:type="dxa"/>
            <w:tcBorders>
              <w:tl2br w:val="nil"/>
              <w:tr2bl w:val="nil"/>
            </w:tcBorders>
            <w:shd w:val="clear" w:color="auto" w:fill="auto"/>
            <w:vAlign w:val="center"/>
          </w:tcPr>
          <w:p w14:paraId="719784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w:t>
            </w:r>
          </w:p>
        </w:tc>
        <w:tc>
          <w:tcPr>
            <w:tcW w:w="1304" w:type="dxa"/>
            <w:tcBorders>
              <w:tl2br w:val="nil"/>
              <w:tr2bl w:val="nil"/>
            </w:tcBorders>
            <w:shd w:val="clear" w:color="auto" w:fill="auto"/>
            <w:vAlign w:val="center"/>
          </w:tcPr>
          <w:p w14:paraId="7EE88B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7991F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9977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36620FF">
            <w:pPr>
              <w:ind w:left="-105" w:right="-105"/>
              <w:jc w:val="center"/>
              <w:textAlignment w:val="center"/>
              <w:rPr>
                <w:color w:val="auto"/>
                <w:sz w:val="21"/>
                <w:szCs w:val="21"/>
                <w:highlight w:val="none"/>
              </w:rPr>
            </w:pPr>
            <w:r>
              <w:rPr>
                <w:rFonts w:hint="eastAsia"/>
                <w:color w:val="auto"/>
                <w:sz w:val="21"/>
                <w:szCs w:val="21"/>
                <w:highlight w:val="none"/>
                <w:lang w:bidi="ar"/>
              </w:rPr>
              <w:t>氯乙烯</w:t>
            </w:r>
          </w:p>
        </w:tc>
        <w:tc>
          <w:tcPr>
            <w:tcW w:w="1155" w:type="dxa"/>
            <w:tcBorders>
              <w:tl2br w:val="nil"/>
              <w:tr2bl w:val="nil"/>
            </w:tcBorders>
            <w:shd w:val="clear" w:color="auto" w:fill="auto"/>
            <w:vAlign w:val="center"/>
          </w:tcPr>
          <w:p w14:paraId="5CC171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35BAA3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83A9DA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A07BE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5DDF8D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F2360F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F6EF9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7A600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99C2D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457C9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ADDE6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二氯乙烯</w:t>
            </w:r>
          </w:p>
        </w:tc>
        <w:tc>
          <w:tcPr>
            <w:tcW w:w="1155" w:type="dxa"/>
            <w:tcBorders>
              <w:tl2br w:val="nil"/>
              <w:tr2bl w:val="nil"/>
            </w:tcBorders>
            <w:shd w:val="clear" w:color="auto" w:fill="auto"/>
            <w:vAlign w:val="center"/>
          </w:tcPr>
          <w:p w14:paraId="7973E6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7773D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52EDCE3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B43596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9019B9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C01F9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3BA43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A4D32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D372D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76C6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76F6627">
            <w:pPr>
              <w:ind w:left="-105" w:right="-105"/>
              <w:jc w:val="center"/>
              <w:textAlignment w:val="center"/>
              <w:rPr>
                <w:color w:val="auto"/>
                <w:sz w:val="21"/>
                <w:szCs w:val="21"/>
                <w:highlight w:val="none"/>
              </w:rPr>
            </w:pPr>
            <w:r>
              <w:rPr>
                <w:rFonts w:hint="eastAsia"/>
                <w:color w:val="auto"/>
                <w:sz w:val="21"/>
                <w:szCs w:val="21"/>
                <w:highlight w:val="none"/>
                <w:lang w:bidi="ar"/>
              </w:rPr>
              <w:t>二氯甲烷</w:t>
            </w:r>
          </w:p>
        </w:tc>
        <w:tc>
          <w:tcPr>
            <w:tcW w:w="1155" w:type="dxa"/>
            <w:tcBorders>
              <w:tl2br w:val="nil"/>
              <w:tr2bl w:val="nil"/>
            </w:tcBorders>
            <w:shd w:val="clear" w:color="auto" w:fill="auto"/>
            <w:vAlign w:val="center"/>
          </w:tcPr>
          <w:p w14:paraId="579354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C6C31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B26499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64C431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C8D676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48D0CF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9E6722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7017E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6ECCA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6F73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46432C6B">
            <w:pPr>
              <w:ind w:left="-105" w:right="-105"/>
              <w:jc w:val="center"/>
              <w:textAlignment w:val="center"/>
              <w:rPr>
                <w:color w:val="auto"/>
                <w:sz w:val="21"/>
                <w:szCs w:val="21"/>
                <w:highlight w:val="none"/>
              </w:rPr>
            </w:pPr>
            <w:r>
              <w:rPr>
                <w:rFonts w:hint="eastAsia"/>
                <w:color w:val="auto"/>
                <w:sz w:val="21"/>
                <w:szCs w:val="21"/>
                <w:highlight w:val="none"/>
                <w:lang w:bidi="ar"/>
              </w:rPr>
              <w:t>反式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1155" w:type="dxa"/>
            <w:tcBorders>
              <w:tl2br w:val="nil"/>
              <w:tr2bl w:val="nil"/>
            </w:tcBorders>
            <w:shd w:val="clear" w:color="auto" w:fill="auto"/>
            <w:vAlign w:val="center"/>
          </w:tcPr>
          <w:p w14:paraId="67254C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6F684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FF85A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6CDCB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EA8900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8804C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7DE10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275F1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68BB7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03EC4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32F660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w:t>
            </w:r>
            <w:r>
              <w:rPr>
                <w:rFonts w:hint="eastAsia"/>
                <w:color w:val="auto"/>
                <w:sz w:val="21"/>
                <w:szCs w:val="21"/>
                <w:highlight w:val="none"/>
                <w:lang w:bidi="ar"/>
              </w:rPr>
              <w:t>二氯乙烷</w:t>
            </w:r>
          </w:p>
        </w:tc>
        <w:tc>
          <w:tcPr>
            <w:tcW w:w="1155" w:type="dxa"/>
            <w:tcBorders>
              <w:tl2br w:val="nil"/>
              <w:tr2bl w:val="nil"/>
            </w:tcBorders>
            <w:shd w:val="clear" w:color="auto" w:fill="auto"/>
            <w:vAlign w:val="center"/>
          </w:tcPr>
          <w:p w14:paraId="649F590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0A64159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5871E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51D08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4EFCB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52CEA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01C39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D43A9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6D2FD1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3D64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75C0A7B">
            <w:pPr>
              <w:ind w:left="-105" w:right="-105"/>
              <w:jc w:val="center"/>
              <w:textAlignment w:val="center"/>
              <w:rPr>
                <w:color w:val="auto"/>
                <w:sz w:val="21"/>
                <w:szCs w:val="21"/>
                <w:highlight w:val="none"/>
              </w:rPr>
            </w:pPr>
            <w:r>
              <w:rPr>
                <w:rFonts w:hint="eastAsia"/>
                <w:color w:val="auto"/>
                <w:sz w:val="21"/>
                <w:szCs w:val="21"/>
                <w:highlight w:val="none"/>
                <w:lang w:bidi="ar"/>
              </w:rPr>
              <w:t>顺式</w:t>
            </w: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二氯乙烯</w:t>
            </w:r>
          </w:p>
        </w:tc>
        <w:tc>
          <w:tcPr>
            <w:tcW w:w="1155" w:type="dxa"/>
            <w:tcBorders>
              <w:tl2br w:val="nil"/>
              <w:tr2bl w:val="nil"/>
            </w:tcBorders>
            <w:shd w:val="clear" w:color="auto" w:fill="auto"/>
            <w:vAlign w:val="center"/>
          </w:tcPr>
          <w:p w14:paraId="0FB9F27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27ECCA7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B832C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7EF96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C506C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FF55A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80A644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402A60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7A8D0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332A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43CC2EF">
            <w:pPr>
              <w:ind w:left="-105" w:right="-105"/>
              <w:jc w:val="center"/>
              <w:textAlignment w:val="center"/>
              <w:rPr>
                <w:color w:val="auto"/>
                <w:sz w:val="21"/>
                <w:szCs w:val="21"/>
                <w:highlight w:val="none"/>
              </w:rPr>
            </w:pPr>
            <w:r>
              <w:rPr>
                <w:rFonts w:hint="eastAsia"/>
                <w:color w:val="auto"/>
                <w:sz w:val="21"/>
                <w:szCs w:val="21"/>
                <w:highlight w:val="none"/>
                <w:lang w:bidi="ar"/>
              </w:rPr>
              <w:t>氯仿</w:t>
            </w:r>
          </w:p>
        </w:tc>
        <w:tc>
          <w:tcPr>
            <w:tcW w:w="1155" w:type="dxa"/>
            <w:tcBorders>
              <w:tl2br w:val="nil"/>
              <w:tr2bl w:val="nil"/>
            </w:tcBorders>
            <w:shd w:val="clear" w:color="auto" w:fill="auto"/>
            <w:vAlign w:val="center"/>
          </w:tcPr>
          <w:p w14:paraId="363D21E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0F01A4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AA9A6E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E9F30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1E9C3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56E4DE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008C4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4727B4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50B03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011B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30C4D6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w:t>
            </w:r>
            <w:r>
              <w:rPr>
                <w:rFonts w:hint="eastAsia"/>
                <w:color w:val="auto"/>
                <w:sz w:val="21"/>
                <w:szCs w:val="21"/>
                <w:highlight w:val="none"/>
                <w:lang w:bidi="ar"/>
              </w:rPr>
              <w:t>三氯乙烷</w:t>
            </w:r>
          </w:p>
        </w:tc>
        <w:tc>
          <w:tcPr>
            <w:tcW w:w="1155" w:type="dxa"/>
            <w:tcBorders>
              <w:tl2br w:val="nil"/>
              <w:tr2bl w:val="nil"/>
            </w:tcBorders>
            <w:shd w:val="clear" w:color="auto" w:fill="auto"/>
            <w:vAlign w:val="center"/>
          </w:tcPr>
          <w:p w14:paraId="378485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09A5D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A8DF05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AE48C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CC7914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E57594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684A4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E35B7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3EB06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BCDE7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19BC22A4">
            <w:pPr>
              <w:ind w:left="-105" w:right="-105"/>
              <w:jc w:val="center"/>
              <w:textAlignment w:val="center"/>
              <w:rPr>
                <w:color w:val="auto"/>
                <w:sz w:val="21"/>
                <w:szCs w:val="21"/>
                <w:highlight w:val="none"/>
              </w:rPr>
            </w:pPr>
            <w:r>
              <w:rPr>
                <w:rFonts w:hint="eastAsia"/>
                <w:color w:val="auto"/>
                <w:sz w:val="21"/>
                <w:szCs w:val="21"/>
                <w:highlight w:val="none"/>
                <w:lang w:bidi="ar"/>
              </w:rPr>
              <w:t>四氯化碳</w:t>
            </w:r>
          </w:p>
        </w:tc>
        <w:tc>
          <w:tcPr>
            <w:tcW w:w="1155" w:type="dxa"/>
            <w:tcBorders>
              <w:tl2br w:val="nil"/>
              <w:tr2bl w:val="nil"/>
            </w:tcBorders>
            <w:shd w:val="clear" w:color="auto" w:fill="auto"/>
            <w:vAlign w:val="center"/>
          </w:tcPr>
          <w:p w14:paraId="30DAD8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CBA18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CC6FC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420B7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BD376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8D4DB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E8DEE6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8AE8E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E3F89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A5882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2F8F26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二氯乙烷</w:t>
            </w:r>
          </w:p>
        </w:tc>
        <w:tc>
          <w:tcPr>
            <w:tcW w:w="1155" w:type="dxa"/>
            <w:tcBorders>
              <w:tl2br w:val="nil"/>
              <w:tr2bl w:val="nil"/>
            </w:tcBorders>
            <w:shd w:val="clear" w:color="auto" w:fill="auto"/>
            <w:vAlign w:val="center"/>
          </w:tcPr>
          <w:p w14:paraId="29DA22B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0F5E998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112D6F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74EFD9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B1C006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982B6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F86EE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2E0BB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ED88C2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4934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F26D8FB">
            <w:pPr>
              <w:ind w:left="-105" w:right="-105"/>
              <w:jc w:val="center"/>
              <w:textAlignment w:val="center"/>
              <w:rPr>
                <w:color w:val="auto"/>
                <w:sz w:val="21"/>
                <w:szCs w:val="21"/>
                <w:highlight w:val="none"/>
              </w:rPr>
            </w:pPr>
            <w:r>
              <w:rPr>
                <w:rFonts w:hint="eastAsia"/>
                <w:color w:val="auto"/>
                <w:sz w:val="21"/>
                <w:szCs w:val="21"/>
                <w:highlight w:val="none"/>
                <w:lang w:bidi="ar"/>
              </w:rPr>
              <w:t>苯</w:t>
            </w:r>
          </w:p>
        </w:tc>
        <w:tc>
          <w:tcPr>
            <w:tcW w:w="1155" w:type="dxa"/>
            <w:tcBorders>
              <w:tl2br w:val="nil"/>
              <w:tr2bl w:val="nil"/>
            </w:tcBorders>
            <w:shd w:val="clear" w:color="auto" w:fill="auto"/>
            <w:vAlign w:val="center"/>
          </w:tcPr>
          <w:p w14:paraId="788290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28E1822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15E2F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2D0E8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F894C9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1F8362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5A0C3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4E67F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6A1EE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53E7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7F1B5BD">
            <w:pPr>
              <w:ind w:left="-105" w:right="-105"/>
              <w:jc w:val="center"/>
              <w:textAlignment w:val="center"/>
              <w:rPr>
                <w:color w:val="auto"/>
                <w:sz w:val="21"/>
                <w:szCs w:val="21"/>
                <w:highlight w:val="none"/>
              </w:rPr>
            </w:pPr>
            <w:r>
              <w:rPr>
                <w:rFonts w:hint="eastAsia"/>
                <w:color w:val="auto"/>
                <w:sz w:val="21"/>
                <w:szCs w:val="21"/>
                <w:highlight w:val="none"/>
                <w:lang w:bidi="ar"/>
              </w:rPr>
              <w:t>三氯乙烯</w:t>
            </w:r>
          </w:p>
        </w:tc>
        <w:tc>
          <w:tcPr>
            <w:tcW w:w="1155" w:type="dxa"/>
            <w:tcBorders>
              <w:tl2br w:val="nil"/>
              <w:tr2bl w:val="nil"/>
            </w:tcBorders>
            <w:shd w:val="clear" w:color="auto" w:fill="auto"/>
            <w:vAlign w:val="center"/>
          </w:tcPr>
          <w:p w14:paraId="240514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A31CB6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437C2C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8DADC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1A908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025969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307C5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A4308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CD7D0E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C708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AAB5D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二氯丙烷</w:t>
            </w:r>
          </w:p>
        </w:tc>
        <w:tc>
          <w:tcPr>
            <w:tcW w:w="1155" w:type="dxa"/>
            <w:tcBorders>
              <w:tl2br w:val="nil"/>
              <w:tr2bl w:val="nil"/>
            </w:tcBorders>
            <w:shd w:val="clear" w:color="auto" w:fill="auto"/>
            <w:vAlign w:val="center"/>
          </w:tcPr>
          <w:p w14:paraId="041C8FC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21A46A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690048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E047AA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A125F4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CAB49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E3176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A78EF7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948ED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CD2D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62FEF6F">
            <w:pPr>
              <w:ind w:left="-105" w:right="-105"/>
              <w:jc w:val="center"/>
              <w:textAlignment w:val="center"/>
              <w:rPr>
                <w:color w:val="auto"/>
                <w:sz w:val="21"/>
                <w:szCs w:val="21"/>
                <w:highlight w:val="none"/>
              </w:rPr>
            </w:pPr>
            <w:r>
              <w:rPr>
                <w:rFonts w:hint="eastAsia"/>
                <w:color w:val="auto"/>
                <w:sz w:val="21"/>
                <w:szCs w:val="21"/>
                <w:highlight w:val="none"/>
                <w:lang w:bidi="ar"/>
              </w:rPr>
              <w:t>甲苯</w:t>
            </w:r>
          </w:p>
        </w:tc>
        <w:tc>
          <w:tcPr>
            <w:tcW w:w="1155" w:type="dxa"/>
            <w:tcBorders>
              <w:tl2br w:val="nil"/>
              <w:tr2bl w:val="nil"/>
            </w:tcBorders>
            <w:shd w:val="clear" w:color="auto" w:fill="auto"/>
            <w:vAlign w:val="center"/>
          </w:tcPr>
          <w:p w14:paraId="4B559B9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BB6D8D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1F514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96F12B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9D1F2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C13A3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CE9623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6EFA50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C23CC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ADC7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044A31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w:t>
            </w:r>
            <w:r>
              <w:rPr>
                <w:rFonts w:hint="eastAsia"/>
                <w:color w:val="auto"/>
                <w:sz w:val="21"/>
                <w:szCs w:val="21"/>
                <w:highlight w:val="none"/>
                <w:lang w:bidi="ar"/>
              </w:rPr>
              <w:t>三氯乙烷</w:t>
            </w:r>
          </w:p>
        </w:tc>
        <w:tc>
          <w:tcPr>
            <w:tcW w:w="1155" w:type="dxa"/>
            <w:tcBorders>
              <w:tl2br w:val="nil"/>
              <w:tr2bl w:val="nil"/>
            </w:tcBorders>
            <w:shd w:val="clear" w:color="auto" w:fill="auto"/>
            <w:vAlign w:val="center"/>
          </w:tcPr>
          <w:p w14:paraId="696140B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BCBF2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5023AD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80A7F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594A64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B767B0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EBF22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83CB2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5285DB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C8DC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337A14CA">
            <w:pPr>
              <w:ind w:left="-105" w:right="-105"/>
              <w:jc w:val="center"/>
              <w:textAlignment w:val="center"/>
              <w:rPr>
                <w:color w:val="auto"/>
                <w:sz w:val="21"/>
                <w:szCs w:val="21"/>
                <w:highlight w:val="none"/>
              </w:rPr>
            </w:pPr>
            <w:r>
              <w:rPr>
                <w:rFonts w:hint="eastAsia"/>
                <w:color w:val="auto"/>
                <w:sz w:val="21"/>
                <w:szCs w:val="21"/>
                <w:highlight w:val="none"/>
                <w:lang w:bidi="ar"/>
              </w:rPr>
              <w:t>四氯乙烯</w:t>
            </w:r>
          </w:p>
        </w:tc>
        <w:tc>
          <w:tcPr>
            <w:tcW w:w="1155" w:type="dxa"/>
            <w:tcBorders>
              <w:tl2br w:val="nil"/>
              <w:tr2bl w:val="nil"/>
            </w:tcBorders>
            <w:shd w:val="clear" w:color="auto" w:fill="auto"/>
            <w:vAlign w:val="center"/>
          </w:tcPr>
          <w:p w14:paraId="3060057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78C9A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F346F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9867CD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5892AD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F56A6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21B1B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85023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53238D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A9A6B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78E3455">
            <w:pPr>
              <w:ind w:left="-105" w:right="-105"/>
              <w:jc w:val="center"/>
              <w:textAlignment w:val="center"/>
              <w:rPr>
                <w:color w:val="auto"/>
                <w:sz w:val="21"/>
                <w:szCs w:val="21"/>
                <w:highlight w:val="none"/>
              </w:rPr>
            </w:pPr>
            <w:r>
              <w:rPr>
                <w:rFonts w:hint="eastAsia"/>
                <w:color w:val="auto"/>
                <w:sz w:val="21"/>
                <w:szCs w:val="21"/>
                <w:highlight w:val="none"/>
                <w:lang w:bidi="ar"/>
              </w:rPr>
              <w:t>氯苯</w:t>
            </w:r>
          </w:p>
        </w:tc>
        <w:tc>
          <w:tcPr>
            <w:tcW w:w="1155" w:type="dxa"/>
            <w:tcBorders>
              <w:tl2br w:val="nil"/>
              <w:tr2bl w:val="nil"/>
            </w:tcBorders>
            <w:shd w:val="clear" w:color="auto" w:fill="auto"/>
            <w:vAlign w:val="center"/>
          </w:tcPr>
          <w:p w14:paraId="50A120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AE963C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E9CAFC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1B068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2602A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FD1343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8FF730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2D1A2D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7EC05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796B59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07685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1,1,1,2-</w:t>
            </w:r>
            <w:r>
              <w:rPr>
                <w:rFonts w:hint="eastAsia"/>
                <w:color w:val="auto"/>
                <w:sz w:val="21"/>
                <w:szCs w:val="21"/>
                <w:highlight w:val="none"/>
                <w:lang w:bidi="ar"/>
              </w:rPr>
              <w:t>四氯乙烷</w:t>
            </w:r>
          </w:p>
        </w:tc>
        <w:tc>
          <w:tcPr>
            <w:tcW w:w="1155" w:type="dxa"/>
            <w:tcBorders>
              <w:tl2br w:val="nil"/>
              <w:tr2bl w:val="nil"/>
            </w:tcBorders>
            <w:shd w:val="clear" w:color="auto" w:fill="auto"/>
            <w:vAlign w:val="center"/>
          </w:tcPr>
          <w:p w14:paraId="7FF4125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0A74B63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5FA0E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EE11F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C7E2A8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0216B2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AE8A76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98761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CBE4D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CBEB6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012AE71F">
            <w:pPr>
              <w:ind w:left="-105" w:right="-105"/>
              <w:jc w:val="center"/>
              <w:textAlignment w:val="center"/>
              <w:rPr>
                <w:color w:val="auto"/>
                <w:sz w:val="21"/>
                <w:szCs w:val="21"/>
                <w:highlight w:val="none"/>
              </w:rPr>
            </w:pPr>
            <w:r>
              <w:rPr>
                <w:rFonts w:hint="eastAsia"/>
                <w:color w:val="auto"/>
                <w:sz w:val="21"/>
                <w:szCs w:val="21"/>
                <w:highlight w:val="none"/>
                <w:lang w:bidi="ar"/>
              </w:rPr>
              <w:t>乙苯</w:t>
            </w:r>
          </w:p>
        </w:tc>
        <w:tc>
          <w:tcPr>
            <w:tcW w:w="1155" w:type="dxa"/>
            <w:tcBorders>
              <w:tl2br w:val="nil"/>
              <w:tr2bl w:val="nil"/>
            </w:tcBorders>
            <w:shd w:val="clear" w:color="auto" w:fill="auto"/>
            <w:vAlign w:val="center"/>
          </w:tcPr>
          <w:p w14:paraId="40E3D13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398B58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48B7B6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3371E5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BE717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A3610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B6C532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619F56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4515E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3DA3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7F0A874">
            <w:pPr>
              <w:ind w:left="-105" w:right="-105"/>
              <w:jc w:val="center"/>
              <w:textAlignment w:val="center"/>
              <w:rPr>
                <w:color w:val="auto"/>
                <w:sz w:val="21"/>
                <w:szCs w:val="21"/>
                <w:highlight w:val="none"/>
              </w:rPr>
            </w:pPr>
            <w:r>
              <w:rPr>
                <w:rFonts w:hint="eastAsia"/>
                <w:color w:val="auto"/>
                <w:sz w:val="21"/>
                <w:szCs w:val="21"/>
                <w:highlight w:val="none"/>
                <w:lang w:bidi="ar"/>
              </w:rPr>
              <w:t>间</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对</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1155" w:type="dxa"/>
            <w:tcBorders>
              <w:tl2br w:val="nil"/>
              <w:tr2bl w:val="nil"/>
            </w:tcBorders>
            <w:shd w:val="clear" w:color="auto" w:fill="auto"/>
            <w:vAlign w:val="center"/>
          </w:tcPr>
          <w:p w14:paraId="3E384E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063367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68AB35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2.5</w:t>
            </w:r>
          </w:p>
        </w:tc>
        <w:tc>
          <w:tcPr>
            <w:tcW w:w="1304" w:type="dxa"/>
            <w:tcBorders>
              <w:tl2br w:val="nil"/>
              <w:tr2bl w:val="nil"/>
            </w:tcBorders>
            <w:shd w:val="clear" w:color="auto" w:fill="auto"/>
            <w:vAlign w:val="center"/>
          </w:tcPr>
          <w:p w14:paraId="19C2EA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75A28F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0.17</w:t>
            </w:r>
          </w:p>
        </w:tc>
        <w:tc>
          <w:tcPr>
            <w:tcW w:w="1611" w:type="dxa"/>
            <w:tcBorders>
              <w:tl2br w:val="nil"/>
              <w:tr2bl w:val="nil"/>
            </w:tcBorders>
            <w:shd w:val="clear" w:color="auto" w:fill="auto"/>
            <w:vAlign w:val="center"/>
          </w:tcPr>
          <w:p w14:paraId="640CAE2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0.6455</w:t>
            </w:r>
          </w:p>
        </w:tc>
        <w:tc>
          <w:tcPr>
            <w:tcW w:w="1304" w:type="dxa"/>
            <w:tcBorders>
              <w:tl2br w:val="nil"/>
              <w:tr2bl w:val="nil"/>
            </w:tcBorders>
            <w:shd w:val="clear" w:color="auto" w:fill="auto"/>
            <w:vAlign w:val="center"/>
          </w:tcPr>
          <w:p w14:paraId="6230E89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w:t>
            </w:r>
          </w:p>
        </w:tc>
        <w:tc>
          <w:tcPr>
            <w:tcW w:w="1304" w:type="dxa"/>
            <w:tcBorders>
              <w:tl2br w:val="nil"/>
              <w:tr2bl w:val="nil"/>
            </w:tcBorders>
            <w:shd w:val="clear" w:color="auto" w:fill="auto"/>
            <w:vAlign w:val="center"/>
          </w:tcPr>
          <w:p w14:paraId="31D27A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48AB7E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6E06A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3AB1D014">
            <w:pPr>
              <w:ind w:left="-105" w:right="-105"/>
              <w:jc w:val="center"/>
              <w:textAlignment w:val="center"/>
              <w:rPr>
                <w:color w:val="auto"/>
                <w:sz w:val="21"/>
                <w:szCs w:val="21"/>
                <w:highlight w:val="none"/>
              </w:rPr>
            </w:pPr>
            <w:r>
              <w:rPr>
                <w:rFonts w:hint="eastAsia"/>
                <w:color w:val="auto"/>
                <w:sz w:val="21"/>
                <w:szCs w:val="21"/>
                <w:highlight w:val="none"/>
                <w:lang w:bidi="ar"/>
              </w:rPr>
              <w:t>邻</w:t>
            </w:r>
            <w:r>
              <w:rPr>
                <w:rFonts w:ascii="Times New Roman" w:hAnsi="Times New Roman" w:cs="Times New Roman"/>
                <w:color w:val="auto"/>
                <w:sz w:val="21"/>
                <w:szCs w:val="21"/>
                <w:highlight w:val="none"/>
                <w:lang w:bidi="ar"/>
              </w:rPr>
              <w:t>-</w:t>
            </w:r>
            <w:r>
              <w:rPr>
                <w:rFonts w:hint="eastAsia"/>
                <w:color w:val="auto"/>
                <w:sz w:val="21"/>
                <w:szCs w:val="21"/>
                <w:highlight w:val="none"/>
                <w:lang w:bidi="ar"/>
              </w:rPr>
              <w:t>二甲苯</w:t>
            </w:r>
          </w:p>
        </w:tc>
        <w:tc>
          <w:tcPr>
            <w:tcW w:w="1155" w:type="dxa"/>
            <w:tcBorders>
              <w:tl2br w:val="nil"/>
              <w:tr2bl w:val="nil"/>
            </w:tcBorders>
            <w:shd w:val="clear" w:color="auto" w:fill="auto"/>
            <w:vAlign w:val="center"/>
          </w:tcPr>
          <w:p w14:paraId="5C9503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73E8B98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3A86A8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1.3</w:t>
            </w:r>
          </w:p>
        </w:tc>
        <w:tc>
          <w:tcPr>
            <w:tcW w:w="1304" w:type="dxa"/>
            <w:tcBorders>
              <w:tl2br w:val="nil"/>
              <w:tr2bl w:val="nil"/>
            </w:tcBorders>
            <w:shd w:val="clear" w:color="auto" w:fill="auto"/>
            <w:vAlign w:val="center"/>
          </w:tcPr>
          <w:p w14:paraId="78F2E5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56458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0.09</w:t>
            </w:r>
          </w:p>
        </w:tc>
        <w:tc>
          <w:tcPr>
            <w:tcW w:w="1611" w:type="dxa"/>
            <w:tcBorders>
              <w:tl2br w:val="nil"/>
              <w:tr2bl w:val="nil"/>
            </w:tcBorders>
            <w:shd w:val="clear" w:color="auto" w:fill="auto"/>
            <w:vAlign w:val="center"/>
          </w:tcPr>
          <w:p w14:paraId="487A64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0.3357</w:t>
            </w:r>
          </w:p>
        </w:tc>
        <w:tc>
          <w:tcPr>
            <w:tcW w:w="1304" w:type="dxa"/>
            <w:tcBorders>
              <w:tl2br w:val="nil"/>
              <w:tr2bl w:val="nil"/>
            </w:tcBorders>
            <w:shd w:val="clear" w:color="auto" w:fill="auto"/>
            <w:vAlign w:val="center"/>
          </w:tcPr>
          <w:p w14:paraId="65A5A9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7%</w:t>
            </w:r>
          </w:p>
        </w:tc>
        <w:tc>
          <w:tcPr>
            <w:tcW w:w="1304" w:type="dxa"/>
            <w:tcBorders>
              <w:tl2br w:val="nil"/>
              <w:tr2bl w:val="nil"/>
            </w:tcBorders>
            <w:shd w:val="clear" w:color="auto" w:fill="auto"/>
            <w:vAlign w:val="center"/>
          </w:tcPr>
          <w:p w14:paraId="7C22A53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E7B42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9C01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4AEA057">
            <w:pPr>
              <w:ind w:left="-105" w:right="-105"/>
              <w:jc w:val="center"/>
              <w:textAlignment w:val="center"/>
              <w:rPr>
                <w:color w:val="auto"/>
                <w:sz w:val="21"/>
                <w:szCs w:val="21"/>
                <w:highlight w:val="none"/>
              </w:rPr>
            </w:pPr>
            <w:r>
              <w:rPr>
                <w:rFonts w:hint="eastAsia"/>
                <w:color w:val="auto"/>
                <w:sz w:val="21"/>
                <w:szCs w:val="21"/>
                <w:highlight w:val="none"/>
                <w:lang w:bidi="ar"/>
              </w:rPr>
              <w:t>苯乙烯</w:t>
            </w:r>
          </w:p>
        </w:tc>
        <w:tc>
          <w:tcPr>
            <w:tcW w:w="1155" w:type="dxa"/>
            <w:tcBorders>
              <w:tl2br w:val="nil"/>
              <w:tr2bl w:val="nil"/>
            </w:tcBorders>
            <w:shd w:val="clear" w:color="auto" w:fill="auto"/>
            <w:vAlign w:val="center"/>
          </w:tcPr>
          <w:p w14:paraId="217449C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77EB80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602D12A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997C40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5EF746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975F6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7ABF0C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400EC0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E4E87A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B19A4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1A6EBF1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1,1,2,2-</w:t>
            </w:r>
            <w:r>
              <w:rPr>
                <w:rFonts w:hint="eastAsia"/>
                <w:color w:val="auto"/>
                <w:sz w:val="21"/>
                <w:szCs w:val="21"/>
                <w:highlight w:val="none"/>
                <w:lang w:bidi="ar"/>
              </w:rPr>
              <w:t>四氯乙烷</w:t>
            </w:r>
          </w:p>
        </w:tc>
        <w:tc>
          <w:tcPr>
            <w:tcW w:w="1155" w:type="dxa"/>
            <w:tcBorders>
              <w:tl2br w:val="nil"/>
              <w:tr2bl w:val="nil"/>
            </w:tcBorders>
            <w:shd w:val="clear" w:color="auto" w:fill="auto"/>
            <w:vAlign w:val="center"/>
          </w:tcPr>
          <w:p w14:paraId="7F2695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37836A3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7988E8F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1B416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16139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6C263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93E441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81A41A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575FAC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A7F1A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E7E8E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1,2,3-</w:t>
            </w:r>
            <w:r>
              <w:rPr>
                <w:rFonts w:hint="eastAsia"/>
                <w:color w:val="auto"/>
                <w:sz w:val="21"/>
                <w:szCs w:val="21"/>
                <w:highlight w:val="none"/>
                <w:lang w:bidi="ar"/>
              </w:rPr>
              <w:t>三氯丙烷</w:t>
            </w:r>
          </w:p>
        </w:tc>
        <w:tc>
          <w:tcPr>
            <w:tcW w:w="1155" w:type="dxa"/>
            <w:tcBorders>
              <w:tl2br w:val="nil"/>
              <w:tr2bl w:val="nil"/>
            </w:tcBorders>
            <w:shd w:val="clear" w:color="auto" w:fill="auto"/>
            <w:vAlign w:val="center"/>
          </w:tcPr>
          <w:p w14:paraId="3F6CA6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2186FA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5326EB0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67F3E6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DB0E25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34311D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04212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42149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394B6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29BD7D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17D754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1,4-</w:t>
            </w:r>
            <w:r>
              <w:rPr>
                <w:rFonts w:hint="eastAsia"/>
                <w:color w:val="auto"/>
                <w:sz w:val="21"/>
                <w:szCs w:val="21"/>
                <w:highlight w:val="none"/>
                <w:lang w:bidi="ar"/>
              </w:rPr>
              <w:t>二氯苯</w:t>
            </w:r>
          </w:p>
        </w:tc>
        <w:tc>
          <w:tcPr>
            <w:tcW w:w="1155" w:type="dxa"/>
            <w:tcBorders>
              <w:tl2br w:val="nil"/>
              <w:tr2bl w:val="nil"/>
            </w:tcBorders>
            <w:shd w:val="clear" w:color="auto" w:fill="auto"/>
            <w:vAlign w:val="center"/>
          </w:tcPr>
          <w:p w14:paraId="197985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BA3DBB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070A1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0265A8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83CC85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5AEBF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C80299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9762E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5A626E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4C63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4E45F4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1,2-</w:t>
            </w:r>
            <w:r>
              <w:rPr>
                <w:rFonts w:hint="eastAsia"/>
                <w:color w:val="auto"/>
                <w:sz w:val="21"/>
                <w:szCs w:val="21"/>
                <w:highlight w:val="none"/>
                <w:lang w:bidi="ar"/>
              </w:rPr>
              <w:t>二氯苯</w:t>
            </w:r>
          </w:p>
        </w:tc>
        <w:tc>
          <w:tcPr>
            <w:tcW w:w="1155" w:type="dxa"/>
            <w:tcBorders>
              <w:tl2br w:val="nil"/>
              <w:tr2bl w:val="nil"/>
            </w:tcBorders>
            <w:shd w:val="clear" w:color="auto" w:fill="auto"/>
            <w:vAlign w:val="center"/>
          </w:tcPr>
          <w:p w14:paraId="0EC39A3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3EF2E6F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3B8996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1CB4C6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D90433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C0B057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3616B6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1C1E6E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5BAB377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6BE83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02E7D1E">
            <w:pPr>
              <w:ind w:left="-105" w:right="-105"/>
              <w:jc w:val="center"/>
              <w:textAlignment w:val="center"/>
              <w:rPr>
                <w:color w:val="auto"/>
                <w:sz w:val="21"/>
                <w:szCs w:val="21"/>
                <w:highlight w:val="none"/>
              </w:rPr>
            </w:pPr>
            <w:r>
              <w:rPr>
                <w:rFonts w:hint="eastAsia"/>
                <w:color w:val="auto"/>
                <w:sz w:val="21"/>
                <w:szCs w:val="21"/>
                <w:highlight w:val="none"/>
                <w:lang w:bidi="ar"/>
              </w:rPr>
              <w:t>苯胺</w:t>
            </w:r>
          </w:p>
        </w:tc>
        <w:tc>
          <w:tcPr>
            <w:tcW w:w="1155" w:type="dxa"/>
            <w:tcBorders>
              <w:tl2br w:val="nil"/>
              <w:tr2bl w:val="nil"/>
            </w:tcBorders>
            <w:shd w:val="clear" w:color="auto" w:fill="auto"/>
            <w:vAlign w:val="center"/>
          </w:tcPr>
          <w:p w14:paraId="4B0F882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4402B9C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079046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7B2F66A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0E7E9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7FDA56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02C5473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6E4D48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F569B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D6A5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C90989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w:t>
            </w:r>
            <w:r>
              <w:rPr>
                <w:rFonts w:hint="eastAsia"/>
                <w:color w:val="auto"/>
                <w:sz w:val="21"/>
                <w:szCs w:val="21"/>
                <w:highlight w:val="none"/>
                <w:lang w:bidi="ar"/>
              </w:rPr>
              <w:t>氯酚</w:t>
            </w:r>
          </w:p>
        </w:tc>
        <w:tc>
          <w:tcPr>
            <w:tcW w:w="1155" w:type="dxa"/>
            <w:tcBorders>
              <w:tl2br w:val="nil"/>
              <w:tr2bl w:val="nil"/>
            </w:tcBorders>
            <w:shd w:val="clear" w:color="auto" w:fill="auto"/>
            <w:vAlign w:val="center"/>
          </w:tcPr>
          <w:p w14:paraId="3E7E3D0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780D07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58ADE6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661C02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1CE172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318C8D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4C8AE39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30DB30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058E90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8DA7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76907AEE">
            <w:pPr>
              <w:ind w:left="-105" w:right="-105"/>
              <w:jc w:val="center"/>
              <w:textAlignment w:val="center"/>
              <w:rPr>
                <w:color w:val="auto"/>
                <w:sz w:val="21"/>
                <w:szCs w:val="21"/>
                <w:highlight w:val="none"/>
              </w:rPr>
            </w:pPr>
            <w:r>
              <w:rPr>
                <w:rFonts w:hint="eastAsia"/>
                <w:color w:val="auto"/>
                <w:sz w:val="21"/>
                <w:szCs w:val="21"/>
                <w:highlight w:val="none"/>
                <w:lang w:bidi="ar"/>
              </w:rPr>
              <w:t>硝基苯</w:t>
            </w:r>
          </w:p>
        </w:tc>
        <w:tc>
          <w:tcPr>
            <w:tcW w:w="1155" w:type="dxa"/>
            <w:tcBorders>
              <w:tl2br w:val="nil"/>
              <w:tr2bl w:val="nil"/>
            </w:tcBorders>
            <w:shd w:val="clear" w:color="auto" w:fill="auto"/>
            <w:vAlign w:val="center"/>
          </w:tcPr>
          <w:p w14:paraId="444D7EE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4A2525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59D8B1B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F816AA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06C74E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33C74D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14C948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B3AD0C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7DAE91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C926A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2FA42D3D">
            <w:pPr>
              <w:ind w:left="-105" w:right="-105"/>
              <w:jc w:val="center"/>
              <w:textAlignment w:val="center"/>
              <w:rPr>
                <w:color w:val="auto"/>
                <w:sz w:val="21"/>
                <w:szCs w:val="21"/>
                <w:highlight w:val="none"/>
              </w:rPr>
            </w:pPr>
            <w:r>
              <w:rPr>
                <w:rFonts w:hint="eastAsia"/>
                <w:color w:val="auto"/>
                <w:sz w:val="21"/>
                <w:szCs w:val="21"/>
                <w:highlight w:val="none"/>
                <w:lang w:bidi="ar"/>
              </w:rPr>
              <w:t>萘</w:t>
            </w:r>
          </w:p>
        </w:tc>
        <w:tc>
          <w:tcPr>
            <w:tcW w:w="1155" w:type="dxa"/>
            <w:tcBorders>
              <w:tl2br w:val="nil"/>
              <w:tr2bl w:val="nil"/>
            </w:tcBorders>
            <w:shd w:val="clear" w:color="auto" w:fill="auto"/>
            <w:vAlign w:val="center"/>
          </w:tcPr>
          <w:p w14:paraId="7194A37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18D16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F6BD4A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1C8B7DD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6B881AF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CD8F0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4AA39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8F1AA9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556996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1DBEC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0D86BC58">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蒽</w:t>
            </w:r>
          </w:p>
        </w:tc>
        <w:tc>
          <w:tcPr>
            <w:tcW w:w="1155" w:type="dxa"/>
            <w:tcBorders>
              <w:tl2br w:val="nil"/>
              <w:tr2bl w:val="nil"/>
            </w:tcBorders>
            <w:shd w:val="clear" w:color="auto" w:fill="auto"/>
            <w:vAlign w:val="center"/>
          </w:tcPr>
          <w:p w14:paraId="56365C3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8174FF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68BD0D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0.6</w:t>
            </w:r>
          </w:p>
        </w:tc>
        <w:tc>
          <w:tcPr>
            <w:tcW w:w="1304" w:type="dxa"/>
            <w:tcBorders>
              <w:tl2br w:val="nil"/>
              <w:tr2bl w:val="nil"/>
            </w:tcBorders>
            <w:shd w:val="clear" w:color="auto" w:fill="auto"/>
            <w:vAlign w:val="center"/>
          </w:tcPr>
          <w:p w14:paraId="115E69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16A19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0.11</w:t>
            </w:r>
          </w:p>
        </w:tc>
        <w:tc>
          <w:tcPr>
            <w:tcW w:w="1611" w:type="dxa"/>
            <w:tcBorders>
              <w:tl2br w:val="nil"/>
              <w:tr2bl w:val="nil"/>
            </w:tcBorders>
            <w:shd w:val="clear" w:color="auto" w:fill="auto"/>
            <w:vAlign w:val="center"/>
          </w:tcPr>
          <w:p w14:paraId="1A865E1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0.1870</w:t>
            </w:r>
          </w:p>
        </w:tc>
        <w:tc>
          <w:tcPr>
            <w:tcW w:w="1304" w:type="dxa"/>
            <w:tcBorders>
              <w:tl2br w:val="nil"/>
              <w:tr2bl w:val="nil"/>
            </w:tcBorders>
            <w:shd w:val="clear" w:color="auto" w:fill="auto"/>
            <w:vAlign w:val="center"/>
          </w:tcPr>
          <w:p w14:paraId="31BF77F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33%</w:t>
            </w:r>
          </w:p>
        </w:tc>
        <w:tc>
          <w:tcPr>
            <w:tcW w:w="1304" w:type="dxa"/>
            <w:tcBorders>
              <w:tl2br w:val="nil"/>
              <w:tr2bl w:val="nil"/>
            </w:tcBorders>
            <w:shd w:val="clear" w:color="auto" w:fill="auto"/>
            <w:vAlign w:val="center"/>
          </w:tcPr>
          <w:p w14:paraId="3F07B9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875AA0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3CE1CC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AC3777F">
            <w:pPr>
              <w:ind w:left="-105" w:right="-105"/>
              <w:jc w:val="center"/>
              <w:textAlignment w:val="center"/>
              <w:rPr>
                <w:color w:val="auto"/>
                <w:sz w:val="21"/>
                <w:szCs w:val="21"/>
                <w:highlight w:val="none"/>
              </w:rPr>
            </w:pPr>
            <w:r>
              <w:rPr>
                <w:rFonts w:hint="eastAsia"/>
                <w:color w:val="auto"/>
                <w:sz w:val="21"/>
                <w:szCs w:val="21"/>
                <w:highlight w:val="none"/>
                <w:lang w:bidi="ar"/>
              </w:rPr>
              <w:t>䓛</w:t>
            </w:r>
          </w:p>
        </w:tc>
        <w:tc>
          <w:tcPr>
            <w:tcW w:w="1155" w:type="dxa"/>
            <w:tcBorders>
              <w:tl2br w:val="nil"/>
              <w:tr2bl w:val="nil"/>
            </w:tcBorders>
            <w:shd w:val="clear" w:color="auto" w:fill="auto"/>
            <w:vAlign w:val="center"/>
          </w:tcPr>
          <w:p w14:paraId="723F9B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A6A69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6CD083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0.6</w:t>
            </w:r>
          </w:p>
        </w:tc>
        <w:tc>
          <w:tcPr>
            <w:tcW w:w="1304" w:type="dxa"/>
            <w:tcBorders>
              <w:tl2br w:val="nil"/>
              <w:tr2bl w:val="nil"/>
            </w:tcBorders>
            <w:shd w:val="clear" w:color="auto" w:fill="auto"/>
            <w:vAlign w:val="center"/>
          </w:tcPr>
          <w:p w14:paraId="5AD2B6D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8EF86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0.11</w:t>
            </w:r>
          </w:p>
        </w:tc>
        <w:tc>
          <w:tcPr>
            <w:tcW w:w="1611" w:type="dxa"/>
            <w:tcBorders>
              <w:tl2br w:val="nil"/>
              <w:tr2bl w:val="nil"/>
            </w:tcBorders>
            <w:shd w:val="clear" w:color="auto" w:fill="auto"/>
            <w:vAlign w:val="center"/>
          </w:tcPr>
          <w:p w14:paraId="42B4247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0.1995</w:t>
            </w:r>
          </w:p>
        </w:tc>
        <w:tc>
          <w:tcPr>
            <w:tcW w:w="1304" w:type="dxa"/>
            <w:tcBorders>
              <w:tl2br w:val="nil"/>
              <w:tr2bl w:val="nil"/>
            </w:tcBorders>
            <w:shd w:val="clear" w:color="auto" w:fill="auto"/>
            <w:vAlign w:val="center"/>
          </w:tcPr>
          <w:p w14:paraId="1BF4BB5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33%</w:t>
            </w:r>
          </w:p>
        </w:tc>
        <w:tc>
          <w:tcPr>
            <w:tcW w:w="1304" w:type="dxa"/>
            <w:tcBorders>
              <w:tl2br w:val="nil"/>
              <w:tr2bl w:val="nil"/>
            </w:tcBorders>
            <w:shd w:val="clear" w:color="auto" w:fill="auto"/>
            <w:vAlign w:val="center"/>
          </w:tcPr>
          <w:p w14:paraId="3F5D37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2179564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CFDAF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4085D072">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[b]</w:t>
            </w:r>
            <w:r>
              <w:rPr>
                <w:rFonts w:hint="eastAsia"/>
                <w:color w:val="auto"/>
                <w:sz w:val="21"/>
                <w:szCs w:val="21"/>
                <w:highlight w:val="none"/>
                <w:lang w:bidi="ar"/>
              </w:rPr>
              <w:t>荧蒽</w:t>
            </w:r>
          </w:p>
        </w:tc>
        <w:tc>
          <w:tcPr>
            <w:tcW w:w="1155" w:type="dxa"/>
            <w:tcBorders>
              <w:tl2br w:val="nil"/>
              <w:tr2bl w:val="nil"/>
            </w:tcBorders>
            <w:shd w:val="clear" w:color="auto" w:fill="auto"/>
            <w:vAlign w:val="center"/>
          </w:tcPr>
          <w:p w14:paraId="5D0FB02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5AEEEC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1B6302C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0.5</w:t>
            </w:r>
          </w:p>
        </w:tc>
        <w:tc>
          <w:tcPr>
            <w:tcW w:w="1304" w:type="dxa"/>
            <w:tcBorders>
              <w:tl2br w:val="nil"/>
              <w:tr2bl w:val="nil"/>
            </w:tcBorders>
            <w:shd w:val="clear" w:color="auto" w:fill="auto"/>
            <w:vAlign w:val="center"/>
          </w:tcPr>
          <w:p w14:paraId="35130B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50BCE61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0.10</w:t>
            </w:r>
          </w:p>
        </w:tc>
        <w:tc>
          <w:tcPr>
            <w:tcW w:w="1611" w:type="dxa"/>
            <w:tcBorders>
              <w:tl2br w:val="nil"/>
              <w:tr2bl w:val="nil"/>
            </w:tcBorders>
            <w:shd w:val="clear" w:color="auto" w:fill="auto"/>
            <w:vAlign w:val="center"/>
          </w:tcPr>
          <w:p w14:paraId="3B77AE7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0.1813</w:t>
            </w:r>
          </w:p>
        </w:tc>
        <w:tc>
          <w:tcPr>
            <w:tcW w:w="1304" w:type="dxa"/>
            <w:tcBorders>
              <w:tl2br w:val="nil"/>
              <w:tr2bl w:val="nil"/>
            </w:tcBorders>
            <w:shd w:val="clear" w:color="auto" w:fill="auto"/>
            <w:vAlign w:val="center"/>
          </w:tcPr>
          <w:p w14:paraId="486BACB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304" w:type="dxa"/>
            <w:tcBorders>
              <w:tl2br w:val="nil"/>
              <w:tr2bl w:val="nil"/>
            </w:tcBorders>
            <w:shd w:val="clear" w:color="auto" w:fill="auto"/>
            <w:vAlign w:val="center"/>
          </w:tcPr>
          <w:p w14:paraId="7E6399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4FC672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BCC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62CF12FC">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[k]</w:t>
            </w:r>
            <w:r>
              <w:rPr>
                <w:rFonts w:hint="eastAsia"/>
                <w:color w:val="auto"/>
                <w:sz w:val="21"/>
                <w:szCs w:val="21"/>
                <w:highlight w:val="none"/>
                <w:lang w:bidi="ar"/>
              </w:rPr>
              <w:t>荧蒽</w:t>
            </w:r>
          </w:p>
        </w:tc>
        <w:tc>
          <w:tcPr>
            <w:tcW w:w="1155" w:type="dxa"/>
            <w:tcBorders>
              <w:tl2br w:val="nil"/>
              <w:tr2bl w:val="nil"/>
            </w:tcBorders>
            <w:shd w:val="clear" w:color="auto" w:fill="auto"/>
            <w:vAlign w:val="center"/>
          </w:tcPr>
          <w:p w14:paraId="148C8CB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6D50ED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4FE0182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304" w:type="dxa"/>
            <w:tcBorders>
              <w:tl2br w:val="nil"/>
              <w:tr2bl w:val="nil"/>
            </w:tcBorders>
            <w:shd w:val="clear" w:color="auto" w:fill="auto"/>
            <w:vAlign w:val="center"/>
          </w:tcPr>
          <w:p w14:paraId="516D9A29">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7CB5A80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0.08</w:t>
            </w:r>
          </w:p>
        </w:tc>
        <w:tc>
          <w:tcPr>
            <w:tcW w:w="1611" w:type="dxa"/>
            <w:tcBorders>
              <w:tl2br w:val="nil"/>
              <w:tr2bl w:val="nil"/>
            </w:tcBorders>
            <w:shd w:val="clear" w:color="auto" w:fill="auto"/>
            <w:vAlign w:val="center"/>
          </w:tcPr>
          <w:p w14:paraId="4088A90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0.1424</w:t>
            </w:r>
          </w:p>
        </w:tc>
        <w:tc>
          <w:tcPr>
            <w:tcW w:w="1304" w:type="dxa"/>
            <w:tcBorders>
              <w:tl2br w:val="nil"/>
              <w:tr2bl w:val="nil"/>
            </w:tcBorders>
            <w:shd w:val="clear" w:color="auto" w:fill="auto"/>
            <w:vAlign w:val="center"/>
          </w:tcPr>
          <w:p w14:paraId="63284F4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304" w:type="dxa"/>
            <w:tcBorders>
              <w:tl2br w:val="nil"/>
              <w:tr2bl w:val="nil"/>
            </w:tcBorders>
            <w:shd w:val="clear" w:color="auto" w:fill="auto"/>
            <w:vAlign w:val="center"/>
          </w:tcPr>
          <w:p w14:paraId="3F926BE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0D0779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4436C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0D6E34A1">
            <w:pPr>
              <w:ind w:left="-105" w:right="-105"/>
              <w:jc w:val="center"/>
              <w:textAlignment w:val="center"/>
              <w:rPr>
                <w:color w:val="auto"/>
                <w:sz w:val="21"/>
                <w:szCs w:val="21"/>
                <w:highlight w:val="none"/>
              </w:rPr>
            </w:pPr>
            <w:r>
              <w:rPr>
                <w:rFonts w:hint="eastAsia"/>
                <w:color w:val="auto"/>
                <w:sz w:val="21"/>
                <w:szCs w:val="21"/>
                <w:highlight w:val="none"/>
                <w:lang w:bidi="ar"/>
              </w:rPr>
              <w:t>苯并</w:t>
            </w:r>
            <w:r>
              <w:rPr>
                <w:rFonts w:ascii="Times New Roman" w:hAnsi="Times New Roman" w:cs="Times New Roman"/>
                <w:color w:val="auto"/>
                <w:sz w:val="21"/>
                <w:szCs w:val="21"/>
                <w:highlight w:val="none"/>
                <w:lang w:bidi="ar"/>
              </w:rPr>
              <w:t>[a]</w:t>
            </w:r>
            <w:r>
              <w:rPr>
                <w:rFonts w:hint="eastAsia"/>
                <w:color w:val="auto"/>
                <w:sz w:val="21"/>
                <w:szCs w:val="21"/>
                <w:highlight w:val="none"/>
                <w:lang w:bidi="ar"/>
              </w:rPr>
              <w:t>芘</w:t>
            </w:r>
          </w:p>
        </w:tc>
        <w:tc>
          <w:tcPr>
            <w:tcW w:w="1155" w:type="dxa"/>
            <w:tcBorders>
              <w:tl2br w:val="nil"/>
              <w:tr2bl w:val="nil"/>
            </w:tcBorders>
            <w:shd w:val="clear" w:color="auto" w:fill="auto"/>
            <w:vAlign w:val="center"/>
          </w:tcPr>
          <w:p w14:paraId="5EF1C44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849647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0B293BA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0.4</w:t>
            </w:r>
          </w:p>
        </w:tc>
        <w:tc>
          <w:tcPr>
            <w:tcW w:w="1304" w:type="dxa"/>
            <w:tcBorders>
              <w:tl2br w:val="nil"/>
              <w:tr2bl w:val="nil"/>
            </w:tcBorders>
            <w:shd w:val="clear" w:color="auto" w:fill="auto"/>
            <w:vAlign w:val="center"/>
          </w:tcPr>
          <w:p w14:paraId="217B897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1057147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0.07</w:t>
            </w:r>
          </w:p>
        </w:tc>
        <w:tc>
          <w:tcPr>
            <w:tcW w:w="1611" w:type="dxa"/>
            <w:tcBorders>
              <w:tl2br w:val="nil"/>
              <w:tr2bl w:val="nil"/>
            </w:tcBorders>
            <w:shd w:val="clear" w:color="auto" w:fill="auto"/>
            <w:vAlign w:val="center"/>
          </w:tcPr>
          <w:p w14:paraId="0BA936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0.1291</w:t>
            </w:r>
          </w:p>
        </w:tc>
        <w:tc>
          <w:tcPr>
            <w:tcW w:w="1304" w:type="dxa"/>
            <w:tcBorders>
              <w:tl2br w:val="nil"/>
              <w:tr2bl w:val="nil"/>
            </w:tcBorders>
            <w:shd w:val="clear" w:color="auto" w:fill="auto"/>
            <w:vAlign w:val="center"/>
          </w:tcPr>
          <w:p w14:paraId="0510820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304" w:type="dxa"/>
            <w:tcBorders>
              <w:tl2br w:val="nil"/>
              <w:tr2bl w:val="nil"/>
            </w:tcBorders>
            <w:shd w:val="clear" w:color="auto" w:fill="auto"/>
            <w:vAlign w:val="center"/>
          </w:tcPr>
          <w:p w14:paraId="00F93C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3D60268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03EBC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4880AB12">
            <w:pPr>
              <w:ind w:left="-105" w:right="-105"/>
              <w:jc w:val="center"/>
              <w:textAlignment w:val="center"/>
              <w:rPr>
                <w:color w:val="auto"/>
                <w:sz w:val="21"/>
                <w:szCs w:val="21"/>
                <w:highlight w:val="none"/>
              </w:rPr>
            </w:pPr>
            <w:r>
              <w:rPr>
                <w:rFonts w:hint="eastAsia"/>
                <w:color w:val="auto"/>
                <w:sz w:val="21"/>
                <w:szCs w:val="21"/>
                <w:highlight w:val="none"/>
                <w:lang w:bidi="ar"/>
              </w:rPr>
              <w:t>茚并</w:t>
            </w:r>
            <w:r>
              <w:rPr>
                <w:rFonts w:ascii="Times New Roman" w:hAnsi="Times New Roman" w:cs="Times New Roman"/>
                <w:color w:val="auto"/>
                <w:sz w:val="21"/>
                <w:szCs w:val="21"/>
                <w:highlight w:val="none"/>
                <w:lang w:bidi="ar"/>
              </w:rPr>
              <w:t>[1,2,3-cd]</w:t>
            </w:r>
            <w:r>
              <w:rPr>
                <w:rFonts w:hint="eastAsia"/>
                <w:color w:val="auto"/>
                <w:sz w:val="21"/>
                <w:szCs w:val="21"/>
                <w:highlight w:val="none"/>
                <w:lang w:bidi="ar"/>
              </w:rPr>
              <w:t>芘</w:t>
            </w:r>
          </w:p>
        </w:tc>
        <w:tc>
          <w:tcPr>
            <w:tcW w:w="1155" w:type="dxa"/>
            <w:tcBorders>
              <w:tl2br w:val="nil"/>
              <w:tr2bl w:val="nil"/>
            </w:tcBorders>
            <w:shd w:val="clear" w:color="auto" w:fill="auto"/>
            <w:vAlign w:val="center"/>
          </w:tcPr>
          <w:p w14:paraId="0FD748B2">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14C39E9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20C4C1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0.3</w:t>
            </w:r>
          </w:p>
        </w:tc>
        <w:tc>
          <w:tcPr>
            <w:tcW w:w="1304" w:type="dxa"/>
            <w:tcBorders>
              <w:tl2br w:val="nil"/>
              <w:tr2bl w:val="nil"/>
            </w:tcBorders>
            <w:shd w:val="clear" w:color="auto" w:fill="auto"/>
            <w:vAlign w:val="center"/>
          </w:tcPr>
          <w:p w14:paraId="6E7E3087">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472C37C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0.07</w:t>
            </w:r>
          </w:p>
        </w:tc>
        <w:tc>
          <w:tcPr>
            <w:tcW w:w="1611" w:type="dxa"/>
            <w:tcBorders>
              <w:tl2br w:val="nil"/>
              <w:tr2bl w:val="nil"/>
            </w:tcBorders>
            <w:shd w:val="clear" w:color="auto" w:fill="auto"/>
            <w:vAlign w:val="center"/>
          </w:tcPr>
          <w:p w14:paraId="1777FBF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0.1175</w:t>
            </w:r>
          </w:p>
        </w:tc>
        <w:tc>
          <w:tcPr>
            <w:tcW w:w="1304" w:type="dxa"/>
            <w:tcBorders>
              <w:tl2br w:val="nil"/>
              <w:tr2bl w:val="nil"/>
            </w:tcBorders>
            <w:shd w:val="clear" w:color="auto" w:fill="auto"/>
            <w:vAlign w:val="center"/>
          </w:tcPr>
          <w:p w14:paraId="7B2ED0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27%</w:t>
            </w:r>
          </w:p>
        </w:tc>
        <w:tc>
          <w:tcPr>
            <w:tcW w:w="1304" w:type="dxa"/>
            <w:tcBorders>
              <w:tl2br w:val="nil"/>
              <w:tr2bl w:val="nil"/>
            </w:tcBorders>
            <w:shd w:val="clear" w:color="auto" w:fill="auto"/>
            <w:vAlign w:val="center"/>
          </w:tcPr>
          <w:p w14:paraId="03C4BC9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AA74AE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r w14:paraId="5EAC2E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40" w:type="dxa"/>
            <w:tcBorders>
              <w:tl2br w:val="nil"/>
              <w:tr2bl w:val="nil"/>
            </w:tcBorders>
            <w:shd w:val="clear" w:color="auto" w:fill="auto"/>
            <w:vAlign w:val="center"/>
          </w:tcPr>
          <w:p w14:paraId="5E0EBA77">
            <w:pPr>
              <w:ind w:left="-105" w:right="-105"/>
              <w:jc w:val="center"/>
              <w:textAlignment w:val="center"/>
              <w:rPr>
                <w:color w:val="auto"/>
                <w:sz w:val="21"/>
                <w:szCs w:val="21"/>
                <w:highlight w:val="none"/>
              </w:rPr>
            </w:pPr>
            <w:r>
              <w:rPr>
                <w:rFonts w:hint="eastAsia"/>
                <w:color w:val="auto"/>
                <w:sz w:val="21"/>
                <w:szCs w:val="21"/>
                <w:highlight w:val="none"/>
                <w:lang w:bidi="ar"/>
              </w:rPr>
              <w:t>二苯并</w:t>
            </w:r>
            <w:r>
              <w:rPr>
                <w:rFonts w:ascii="Times New Roman" w:hAnsi="Times New Roman" w:cs="Times New Roman"/>
                <w:color w:val="auto"/>
                <w:sz w:val="21"/>
                <w:szCs w:val="21"/>
                <w:highlight w:val="none"/>
                <w:lang w:bidi="ar"/>
              </w:rPr>
              <w:t>[a,h]</w:t>
            </w:r>
            <w:r>
              <w:rPr>
                <w:rFonts w:hint="eastAsia"/>
                <w:color w:val="auto"/>
                <w:sz w:val="21"/>
                <w:szCs w:val="21"/>
                <w:highlight w:val="none"/>
                <w:lang w:bidi="ar"/>
              </w:rPr>
              <w:t>蒽</w:t>
            </w:r>
          </w:p>
        </w:tc>
        <w:tc>
          <w:tcPr>
            <w:tcW w:w="1155" w:type="dxa"/>
            <w:tcBorders>
              <w:tl2br w:val="nil"/>
              <w:tr2bl w:val="nil"/>
            </w:tcBorders>
            <w:shd w:val="clear" w:color="auto" w:fill="auto"/>
            <w:vAlign w:val="center"/>
          </w:tcPr>
          <w:p w14:paraId="6B7954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w:t>
            </w:r>
          </w:p>
        </w:tc>
        <w:tc>
          <w:tcPr>
            <w:tcW w:w="1015" w:type="dxa"/>
            <w:tcBorders>
              <w:tl2br w:val="nil"/>
              <w:tr2bl w:val="nil"/>
            </w:tcBorders>
            <w:shd w:val="clear" w:color="auto" w:fill="auto"/>
            <w:vAlign w:val="center"/>
          </w:tcPr>
          <w:p w14:paraId="6066D36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mg/kg</w:t>
            </w:r>
          </w:p>
        </w:tc>
        <w:tc>
          <w:tcPr>
            <w:tcW w:w="1304" w:type="dxa"/>
            <w:tcBorders>
              <w:tl2br w:val="nil"/>
              <w:tr2bl w:val="nil"/>
            </w:tcBorders>
            <w:shd w:val="clear" w:color="auto" w:fill="auto"/>
            <w:vAlign w:val="center"/>
          </w:tcPr>
          <w:p w14:paraId="24372D2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24D8BB2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0250ACB5">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611" w:type="dxa"/>
            <w:tcBorders>
              <w:tl2br w:val="nil"/>
              <w:tr2bl w:val="nil"/>
            </w:tcBorders>
            <w:shd w:val="clear" w:color="auto" w:fill="auto"/>
            <w:vAlign w:val="center"/>
          </w:tcPr>
          <w:p w14:paraId="2CA55DD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ND</w:t>
            </w:r>
          </w:p>
        </w:tc>
        <w:tc>
          <w:tcPr>
            <w:tcW w:w="1304" w:type="dxa"/>
            <w:tcBorders>
              <w:tl2br w:val="nil"/>
              <w:tr2bl w:val="nil"/>
            </w:tcBorders>
            <w:shd w:val="clear" w:color="auto" w:fill="auto"/>
            <w:vAlign w:val="center"/>
          </w:tcPr>
          <w:p w14:paraId="5C54EF88">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1C4A165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0</w:t>
            </w:r>
          </w:p>
        </w:tc>
        <w:tc>
          <w:tcPr>
            <w:tcW w:w="1304" w:type="dxa"/>
            <w:tcBorders>
              <w:tl2br w:val="nil"/>
              <w:tr2bl w:val="nil"/>
            </w:tcBorders>
            <w:shd w:val="clear" w:color="auto" w:fill="auto"/>
            <w:vAlign w:val="center"/>
          </w:tcPr>
          <w:p w14:paraId="6EE2238D">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w:t>
            </w:r>
          </w:p>
        </w:tc>
      </w:tr>
    </w:tbl>
    <w:p w14:paraId="71EB748E">
      <w:pPr>
        <w:spacing w:line="360" w:lineRule="auto"/>
        <w:ind w:left="-105" w:right="-105" w:firstLine="480" w:firstLineChars="200"/>
        <w:rPr>
          <w:rFonts w:ascii="Times New Roman" w:hAnsi="Times New Roman"/>
          <w:color w:val="auto"/>
          <w:highlight w:val="none"/>
        </w:rPr>
      </w:pPr>
    </w:p>
    <w:p w14:paraId="21ACF9F3">
      <w:pPr>
        <w:spacing w:line="360" w:lineRule="auto"/>
        <w:ind w:left="-105" w:right="-105" w:firstLine="480" w:firstLineChars="200"/>
        <w:rPr>
          <w:rFonts w:ascii="Times New Roman" w:hAnsi="Times New Roman"/>
          <w:color w:val="auto"/>
          <w:highlight w:val="none"/>
        </w:rPr>
      </w:pPr>
    </w:p>
    <w:p w14:paraId="6FDD5C9E">
      <w:pPr>
        <w:spacing w:line="360" w:lineRule="auto"/>
        <w:ind w:left="-105" w:right="-105"/>
        <w:rPr>
          <w:rFonts w:ascii="Times New Roman" w:hAnsi="Times New Roman"/>
          <w:color w:val="auto"/>
          <w:highlight w:val="none"/>
        </w:rPr>
        <w:sectPr>
          <w:pgSz w:w="16838" w:h="11906" w:orient="landscape"/>
          <w:pgMar w:top="1797" w:right="1701" w:bottom="1514" w:left="1701" w:header="851" w:footer="851" w:gutter="0"/>
          <w:pgBorders>
            <w:top w:val="none" w:sz="0" w:space="0"/>
            <w:left w:val="none" w:sz="0" w:space="0"/>
            <w:bottom w:val="none" w:sz="0" w:space="0"/>
            <w:right w:val="none" w:sz="0" w:space="0"/>
          </w:pgBorders>
          <w:cols w:space="720" w:num="1"/>
          <w:docGrid w:linePitch="498" w:charSpace="0"/>
        </w:sectPr>
      </w:pPr>
    </w:p>
    <w:p w14:paraId="66405D19">
      <w:pPr>
        <w:keepNext w:val="0"/>
        <w:keepLines w:val="0"/>
        <w:pageBreakBefore w:val="0"/>
        <w:widowControl/>
        <w:kinsoku/>
        <w:wordWrap/>
        <w:overflowPunct/>
        <w:topLinePunct w:val="0"/>
        <w:autoSpaceDE/>
        <w:autoSpaceDN/>
        <w:bidi w:val="0"/>
        <w:adjustRightInd/>
        <w:snapToGrid/>
        <w:spacing w:line="360" w:lineRule="auto"/>
        <w:ind w:left="0" w:right="0" w:firstLine="482"/>
        <w:jc w:val="both"/>
        <w:textAlignment w:val="auto"/>
        <w:rPr>
          <w:rFonts w:ascii="Times New Roman" w:hAnsi="Times New Roman"/>
          <w:color w:val="auto"/>
          <w:highlight w:val="none"/>
        </w:rPr>
      </w:pPr>
      <w:r>
        <w:rPr>
          <w:rFonts w:ascii="Times New Roman" w:hAnsi="Times New Roman" w:cs="Times New Roman"/>
          <w:color w:val="auto"/>
          <w:highlight w:val="none"/>
        </w:rPr>
        <w:t>监测结果显示，</w:t>
      </w:r>
      <w:r>
        <w:rPr>
          <w:rFonts w:hint="eastAsia" w:ascii="Times New Roman" w:hAnsi="Times New Roman" w:cs="Times New Roman"/>
          <w:color w:val="auto"/>
          <w:highlight w:val="none"/>
          <w:lang w:val="en-US" w:eastAsia="zh-CN"/>
        </w:rPr>
        <w:t>厂内</w:t>
      </w:r>
      <w:r>
        <w:rPr>
          <w:rFonts w:ascii="Times New Roman" w:hAnsi="Times New Roman" w:cs="Times New Roman"/>
          <w:color w:val="auto"/>
          <w:highlight w:val="none"/>
        </w:rPr>
        <w:t>各监测点位土壤中各因子均能够达到《土壤环境质量建设用地土壤污染风险管控标准（试行）》（GB36600-2018）中表1筛选值中</w:t>
      </w:r>
      <w:r>
        <w:rPr>
          <w:rFonts w:hint="eastAsia" w:ascii="Times New Roman" w:hAnsi="Times New Roman" w:cs="Times New Roman"/>
          <w:color w:val="auto"/>
          <w:highlight w:val="none"/>
        </w:rPr>
        <w:t>“</w:t>
      </w:r>
      <w:r>
        <w:rPr>
          <w:rFonts w:ascii="Times New Roman" w:hAnsi="Times New Roman" w:cs="Times New Roman"/>
          <w:color w:val="auto"/>
          <w:highlight w:val="none"/>
        </w:rPr>
        <w:t>第二类用地</w:t>
      </w:r>
      <w:r>
        <w:rPr>
          <w:rFonts w:hint="eastAsia" w:ascii="Times New Roman" w:hAnsi="Times New Roman" w:cs="Times New Roman"/>
          <w:color w:val="auto"/>
          <w:highlight w:val="none"/>
        </w:rPr>
        <w:t>”</w:t>
      </w:r>
      <w:r>
        <w:rPr>
          <w:rFonts w:ascii="Times New Roman" w:hAnsi="Times New Roman" w:cs="Times New Roman"/>
          <w:color w:val="auto"/>
          <w:highlight w:val="none"/>
        </w:rPr>
        <w:t>标准，</w:t>
      </w:r>
      <w:r>
        <w:rPr>
          <w:rFonts w:hint="eastAsia"/>
          <w:color w:val="auto"/>
          <w:highlight w:val="none"/>
        </w:rPr>
        <w:t>敏感点</w:t>
      </w:r>
      <w:r>
        <w:rPr>
          <w:rFonts w:hint="default" w:ascii="Times New Roman" w:hAnsi="Times New Roman" w:cs="Times New Roman"/>
          <w:color w:val="auto"/>
          <w:highlight w:val="none"/>
        </w:rPr>
        <w:t>处满足《土壤环境质量建设用地土壤污染风险管控标准（试行）》（GB36600-2018）中第一类</w:t>
      </w:r>
      <w:r>
        <w:rPr>
          <w:rFonts w:hint="eastAsia"/>
          <w:color w:val="auto"/>
          <w:highlight w:val="none"/>
        </w:rPr>
        <w:t>用地要求筛选值要求</w:t>
      </w:r>
      <w:r>
        <w:rPr>
          <w:rFonts w:hint="eastAsia"/>
          <w:color w:val="auto"/>
          <w:highlight w:val="none"/>
          <w:lang w:eastAsia="zh-CN"/>
        </w:rPr>
        <w:t>，</w:t>
      </w:r>
      <w:r>
        <w:rPr>
          <w:rFonts w:ascii="Times New Roman" w:hAnsi="Times New Roman" w:cs="Times New Roman"/>
          <w:color w:val="auto"/>
          <w:highlight w:val="none"/>
        </w:rPr>
        <w:t>pH达到《环境影响评价技术导则 土壤环境（试行）》（HJ964-2018）表D.2中标准，土壤无酸化或碱化情况</w:t>
      </w:r>
      <w:r>
        <w:rPr>
          <w:rFonts w:ascii="Times New Roman" w:hAnsi="Times New Roman"/>
          <w:color w:val="auto"/>
          <w:highlight w:val="none"/>
        </w:rPr>
        <w:t>。</w:t>
      </w:r>
    </w:p>
    <w:p w14:paraId="46784EB8">
      <w:pPr>
        <w:spacing w:line="360" w:lineRule="auto"/>
        <w:ind w:left="-105" w:right="-105" w:firstLine="480"/>
        <w:rPr>
          <w:rFonts w:ascii="Times New Roman" w:hAnsi="Times New Roman"/>
          <w:color w:val="auto"/>
          <w:highlight w:val="none"/>
        </w:rPr>
      </w:pPr>
    </w:p>
    <w:p w14:paraId="7A8D4558">
      <w:pPr>
        <w:spacing w:line="360" w:lineRule="auto"/>
        <w:ind w:left="-105" w:right="-105" w:firstLine="400"/>
        <w:rPr>
          <w:rFonts w:ascii="Times New Roman" w:hAnsi="Times New Roman"/>
          <w:color w:val="auto"/>
          <w:sz w:val="20"/>
          <w:szCs w:val="20"/>
          <w:highlight w:val="none"/>
        </w:rPr>
        <w:sectPr>
          <w:headerReference r:id="rId21" w:type="default"/>
          <w:headerReference r:id="rId22"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4A75C6BB">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356" w:name="_Toc21074"/>
      <w:bookmarkStart w:id="357" w:name="_Toc15160"/>
      <w:bookmarkStart w:id="358" w:name="_Toc60653544"/>
      <w:r>
        <w:rPr>
          <w:rFonts w:ascii="Times New Roman" w:eastAsia="宋体"/>
          <w:color w:val="auto"/>
          <w:sz w:val="32"/>
          <w:szCs w:val="32"/>
          <w:highlight w:val="none"/>
        </w:rPr>
        <w:t>环境影响预测与评价</w:t>
      </w:r>
      <w:bookmarkEnd w:id="356"/>
      <w:bookmarkEnd w:id="357"/>
      <w:bookmarkEnd w:id="358"/>
    </w:p>
    <w:p w14:paraId="4D2AF0AD">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59" w:name="_Toc60653545"/>
      <w:bookmarkStart w:id="360" w:name="_Toc1026"/>
      <w:bookmarkStart w:id="361" w:name="_Toc1955"/>
      <w:r>
        <w:rPr>
          <w:rFonts w:ascii="Times New Roman" w:eastAsia="宋体"/>
          <w:color w:val="auto"/>
          <w:sz w:val="28"/>
          <w:szCs w:val="28"/>
          <w:highlight w:val="none"/>
        </w:rPr>
        <w:t>大气环境影响分析</w:t>
      </w:r>
      <w:bookmarkEnd w:id="359"/>
      <w:bookmarkEnd w:id="360"/>
    </w:p>
    <w:p w14:paraId="172ECCDC">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62" w:name="_Toc60653546"/>
      <w:r>
        <w:rPr>
          <w:rFonts w:hint="eastAsia" w:eastAsia="宋体"/>
          <w:color w:val="auto"/>
          <w:sz w:val="28"/>
          <w:szCs w:val="28"/>
          <w:highlight w:val="none"/>
        </w:rPr>
        <w:t>6.1.1</w:t>
      </w:r>
      <w:r>
        <w:rPr>
          <w:rFonts w:eastAsia="宋体"/>
          <w:color w:val="auto"/>
          <w:sz w:val="28"/>
          <w:szCs w:val="28"/>
          <w:highlight w:val="none"/>
        </w:rPr>
        <w:t>基本气象参数</w:t>
      </w:r>
      <w:bookmarkEnd w:id="362"/>
    </w:p>
    <w:p w14:paraId="6966CE7B">
      <w:pPr>
        <w:spacing w:line="360" w:lineRule="auto"/>
        <w:ind w:left="-105" w:right="-105" w:firstLine="480" w:firstLineChars="200"/>
        <w:jc w:val="both"/>
        <w:rPr>
          <w:rFonts w:ascii="Times New Roman" w:hAnsi="Times New Roman"/>
          <w:color w:val="auto"/>
          <w:szCs w:val="18"/>
          <w:highlight w:val="none"/>
        </w:rPr>
      </w:pPr>
      <w:r>
        <w:rPr>
          <w:rFonts w:ascii="Times New Roman" w:hAnsi="Times New Roman" w:cs="Times New Roman"/>
          <w:color w:val="auto"/>
          <w:highlight w:val="none"/>
        </w:rPr>
        <w:t>本项目位于无锡市锡山区。评价区域近20年风向、风速、风频统计见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_Ref38869888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w:instrText>
      </w:r>
      <w:r>
        <w:rPr>
          <w:rFonts w:ascii="Times New Roman" w:hAnsi="Times New Roman" w:cs="Times New Roman"/>
          <w:color w:val="auto"/>
          <w:highlight w:val="none"/>
        </w:rPr>
        <w:instrText xml:space="preserve">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_Ref38869901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18"/>
          <w:highlight w:val="none"/>
        </w:rPr>
        <w:instrText xml:space="preserve"> STYLEREF 2</w:instrText>
      </w:r>
      <w:r>
        <w:rPr>
          <w:rFonts w:ascii="Times New Roman" w:hAnsi="Times New Roman" w:cs="Times New Roman"/>
          <w:color w:val="auto"/>
          <w:highlight w:val="none"/>
        </w:rPr>
        <w:instrText xml:space="preserve">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t>。由统计资料可见，年盛行风为ESE，达10.4%。各风向平均风速在2.36-2.82m/s之间。各季节盛行风向不尽相同，冬季以WNW为主，春夏季以ESE为主；秋季则以NE为主。常年静风频率12.8%，全年平均风速2.63m/s，各季风速变化不大。全年各风向上污染风频和风向频率基本一致，以SE、ESE方向为最大，达10.87%和10.60%，以WSW方向为最小，仅2.61%。</w:t>
      </w:r>
    </w:p>
    <w:p w14:paraId="46E9B6A8">
      <w:pPr>
        <w:pStyle w:val="15"/>
        <w:spacing w:line="360" w:lineRule="auto"/>
        <w:ind w:left="-105" w:right="-105" w:firstLine="482"/>
        <w:rPr>
          <w:rFonts w:eastAsia="宋体" w:cs="Times New Roman"/>
          <w:color w:val="auto"/>
          <w:kern w:val="0"/>
          <w:sz w:val="24"/>
          <w:szCs w:val="24"/>
          <w:highlight w:val="none"/>
        </w:rPr>
      </w:pPr>
      <w:bookmarkStart w:id="363" w:name="_Ref38869888"/>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363"/>
      <w:r>
        <w:rPr>
          <w:rFonts w:eastAsia="宋体" w:cs="Times New Roman"/>
          <w:color w:val="auto"/>
          <w:kern w:val="0"/>
          <w:sz w:val="24"/>
          <w:szCs w:val="24"/>
          <w:highlight w:val="none"/>
        </w:rPr>
        <w:t>无锡近20年各风向平均风速、风向频率（%）和污染风频</w:t>
      </w:r>
    </w:p>
    <w:tbl>
      <w:tblPr>
        <w:tblStyle w:val="45"/>
        <w:tblW w:w="87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830"/>
        <w:gridCol w:w="830"/>
        <w:gridCol w:w="830"/>
        <w:gridCol w:w="830"/>
        <w:gridCol w:w="830"/>
        <w:gridCol w:w="830"/>
        <w:gridCol w:w="830"/>
        <w:gridCol w:w="830"/>
        <w:gridCol w:w="831"/>
      </w:tblGrid>
      <w:tr w14:paraId="1E217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1FC8373B">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风向</w:t>
            </w:r>
          </w:p>
        </w:tc>
        <w:tc>
          <w:tcPr>
            <w:tcW w:w="830" w:type="dxa"/>
            <w:vAlign w:val="center"/>
          </w:tcPr>
          <w:p w14:paraId="2967636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w:t>
            </w:r>
          </w:p>
        </w:tc>
        <w:tc>
          <w:tcPr>
            <w:tcW w:w="830" w:type="dxa"/>
            <w:vAlign w:val="center"/>
          </w:tcPr>
          <w:p w14:paraId="5EBCDFA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NNE</w:t>
            </w:r>
          </w:p>
        </w:tc>
        <w:tc>
          <w:tcPr>
            <w:tcW w:w="830" w:type="dxa"/>
            <w:vAlign w:val="center"/>
          </w:tcPr>
          <w:p w14:paraId="53FC327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NE</w:t>
            </w:r>
          </w:p>
        </w:tc>
        <w:tc>
          <w:tcPr>
            <w:tcW w:w="830" w:type="dxa"/>
            <w:vAlign w:val="center"/>
          </w:tcPr>
          <w:p w14:paraId="68B2173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ENE</w:t>
            </w:r>
          </w:p>
        </w:tc>
        <w:tc>
          <w:tcPr>
            <w:tcW w:w="830" w:type="dxa"/>
            <w:vAlign w:val="center"/>
          </w:tcPr>
          <w:p w14:paraId="3FDCBB6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E</w:t>
            </w:r>
          </w:p>
        </w:tc>
        <w:tc>
          <w:tcPr>
            <w:tcW w:w="830" w:type="dxa"/>
            <w:vAlign w:val="center"/>
          </w:tcPr>
          <w:p w14:paraId="08AE06C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ESE</w:t>
            </w:r>
          </w:p>
        </w:tc>
        <w:tc>
          <w:tcPr>
            <w:tcW w:w="830" w:type="dxa"/>
            <w:vAlign w:val="center"/>
          </w:tcPr>
          <w:p w14:paraId="796E0F3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SE</w:t>
            </w:r>
          </w:p>
        </w:tc>
        <w:tc>
          <w:tcPr>
            <w:tcW w:w="830" w:type="dxa"/>
            <w:vAlign w:val="center"/>
          </w:tcPr>
          <w:p w14:paraId="787B285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SSE</w:t>
            </w:r>
          </w:p>
        </w:tc>
        <w:tc>
          <w:tcPr>
            <w:tcW w:w="831" w:type="dxa"/>
            <w:vAlign w:val="center"/>
          </w:tcPr>
          <w:p w14:paraId="548414D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w:t>
            </w:r>
          </w:p>
        </w:tc>
      </w:tr>
      <w:tr w14:paraId="00EFF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57" w:type="dxa"/>
            <w:vAlign w:val="center"/>
          </w:tcPr>
          <w:p w14:paraId="38B4D891">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风速（m/s）</w:t>
            </w:r>
          </w:p>
        </w:tc>
        <w:tc>
          <w:tcPr>
            <w:tcW w:w="830" w:type="dxa"/>
            <w:vAlign w:val="center"/>
          </w:tcPr>
          <w:p w14:paraId="394FB30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2.5</w:t>
            </w:r>
          </w:p>
        </w:tc>
        <w:tc>
          <w:tcPr>
            <w:tcW w:w="830" w:type="dxa"/>
            <w:vAlign w:val="center"/>
          </w:tcPr>
          <w:p w14:paraId="47B3EF5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2.8</w:t>
            </w:r>
          </w:p>
        </w:tc>
        <w:tc>
          <w:tcPr>
            <w:tcW w:w="830" w:type="dxa"/>
            <w:vAlign w:val="center"/>
          </w:tcPr>
          <w:p w14:paraId="0C51703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2.8</w:t>
            </w:r>
          </w:p>
        </w:tc>
        <w:tc>
          <w:tcPr>
            <w:tcW w:w="830" w:type="dxa"/>
            <w:vAlign w:val="center"/>
          </w:tcPr>
          <w:p w14:paraId="64BFDDD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2.9</w:t>
            </w:r>
          </w:p>
        </w:tc>
        <w:tc>
          <w:tcPr>
            <w:tcW w:w="830" w:type="dxa"/>
            <w:vAlign w:val="center"/>
          </w:tcPr>
          <w:p w14:paraId="16231C5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2.7</w:t>
            </w:r>
          </w:p>
        </w:tc>
        <w:tc>
          <w:tcPr>
            <w:tcW w:w="830" w:type="dxa"/>
            <w:vAlign w:val="center"/>
          </w:tcPr>
          <w:p w14:paraId="077E751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3.0</w:t>
            </w:r>
          </w:p>
        </w:tc>
        <w:tc>
          <w:tcPr>
            <w:tcW w:w="830" w:type="dxa"/>
            <w:vAlign w:val="center"/>
          </w:tcPr>
          <w:p w14:paraId="13AB7F9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2.7</w:t>
            </w:r>
          </w:p>
        </w:tc>
        <w:tc>
          <w:tcPr>
            <w:tcW w:w="830" w:type="dxa"/>
            <w:vAlign w:val="center"/>
          </w:tcPr>
          <w:p w14:paraId="2F4F433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2.3</w:t>
            </w:r>
          </w:p>
        </w:tc>
        <w:tc>
          <w:tcPr>
            <w:tcW w:w="831" w:type="dxa"/>
            <w:vAlign w:val="center"/>
          </w:tcPr>
          <w:p w14:paraId="3F4C8BC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2.5</w:t>
            </w:r>
          </w:p>
        </w:tc>
      </w:tr>
      <w:tr w14:paraId="3B719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4ED59D24">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风频（%）</w:t>
            </w:r>
          </w:p>
        </w:tc>
        <w:tc>
          <w:tcPr>
            <w:tcW w:w="830" w:type="dxa"/>
            <w:vAlign w:val="center"/>
          </w:tcPr>
          <w:p w14:paraId="356EEC9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6.9</w:t>
            </w:r>
          </w:p>
        </w:tc>
        <w:tc>
          <w:tcPr>
            <w:tcW w:w="830" w:type="dxa"/>
            <w:vAlign w:val="center"/>
          </w:tcPr>
          <w:p w14:paraId="1E368BC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4.7</w:t>
            </w:r>
          </w:p>
        </w:tc>
        <w:tc>
          <w:tcPr>
            <w:tcW w:w="830" w:type="dxa"/>
            <w:vAlign w:val="center"/>
          </w:tcPr>
          <w:p w14:paraId="7D98A33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7.0</w:t>
            </w:r>
          </w:p>
        </w:tc>
        <w:tc>
          <w:tcPr>
            <w:tcW w:w="830" w:type="dxa"/>
            <w:vAlign w:val="center"/>
          </w:tcPr>
          <w:p w14:paraId="7A35E48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5.7</w:t>
            </w:r>
          </w:p>
        </w:tc>
        <w:tc>
          <w:tcPr>
            <w:tcW w:w="830" w:type="dxa"/>
            <w:vAlign w:val="center"/>
          </w:tcPr>
          <w:p w14:paraId="5D623C5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6.9</w:t>
            </w:r>
          </w:p>
        </w:tc>
        <w:tc>
          <w:tcPr>
            <w:tcW w:w="830" w:type="dxa"/>
            <w:vAlign w:val="center"/>
          </w:tcPr>
          <w:p w14:paraId="77A9583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10.4</w:t>
            </w:r>
          </w:p>
        </w:tc>
        <w:tc>
          <w:tcPr>
            <w:tcW w:w="830" w:type="dxa"/>
            <w:vAlign w:val="center"/>
          </w:tcPr>
          <w:p w14:paraId="169DB63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9.6</w:t>
            </w:r>
          </w:p>
        </w:tc>
        <w:tc>
          <w:tcPr>
            <w:tcW w:w="830" w:type="dxa"/>
            <w:vAlign w:val="center"/>
          </w:tcPr>
          <w:p w14:paraId="73FB052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5.2</w:t>
            </w:r>
          </w:p>
        </w:tc>
        <w:tc>
          <w:tcPr>
            <w:tcW w:w="831" w:type="dxa"/>
            <w:vAlign w:val="center"/>
          </w:tcPr>
          <w:p w14:paraId="2672992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3.4</w:t>
            </w:r>
          </w:p>
        </w:tc>
      </w:tr>
      <w:tr w14:paraId="68AD2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59DB9AD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污染风频（%）</w:t>
            </w:r>
          </w:p>
        </w:tc>
        <w:tc>
          <w:tcPr>
            <w:tcW w:w="830" w:type="dxa"/>
            <w:vAlign w:val="center"/>
          </w:tcPr>
          <w:p w14:paraId="3A45C6A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8.44</w:t>
            </w:r>
          </w:p>
        </w:tc>
        <w:tc>
          <w:tcPr>
            <w:tcW w:w="830" w:type="dxa"/>
            <w:vAlign w:val="center"/>
          </w:tcPr>
          <w:p w14:paraId="165C0FD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5.11</w:t>
            </w:r>
          </w:p>
        </w:tc>
        <w:tc>
          <w:tcPr>
            <w:tcW w:w="830" w:type="dxa"/>
            <w:vAlign w:val="center"/>
          </w:tcPr>
          <w:p w14:paraId="4457275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7.64</w:t>
            </w:r>
          </w:p>
        </w:tc>
        <w:tc>
          <w:tcPr>
            <w:tcW w:w="830" w:type="dxa"/>
            <w:vAlign w:val="center"/>
          </w:tcPr>
          <w:p w14:paraId="1EB9063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5.99</w:t>
            </w:r>
          </w:p>
        </w:tc>
        <w:tc>
          <w:tcPr>
            <w:tcW w:w="830" w:type="dxa"/>
            <w:vAlign w:val="center"/>
          </w:tcPr>
          <w:p w14:paraId="6B87F63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7.80</w:t>
            </w:r>
          </w:p>
        </w:tc>
        <w:tc>
          <w:tcPr>
            <w:tcW w:w="830" w:type="dxa"/>
            <w:vAlign w:val="center"/>
          </w:tcPr>
          <w:p w14:paraId="5F195E7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10.60</w:t>
            </w:r>
          </w:p>
        </w:tc>
        <w:tc>
          <w:tcPr>
            <w:tcW w:w="830" w:type="dxa"/>
            <w:vAlign w:val="center"/>
          </w:tcPr>
          <w:p w14:paraId="6FE84B2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10.87</w:t>
            </w:r>
          </w:p>
        </w:tc>
        <w:tc>
          <w:tcPr>
            <w:tcW w:w="830" w:type="dxa"/>
            <w:vAlign w:val="center"/>
          </w:tcPr>
          <w:p w14:paraId="206BEDE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6.90</w:t>
            </w:r>
          </w:p>
        </w:tc>
        <w:tc>
          <w:tcPr>
            <w:tcW w:w="831" w:type="dxa"/>
            <w:vAlign w:val="center"/>
          </w:tcPr>
          <w:p w14:paraId="2DC95AE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4.15</w:t>
            </w:r>
          </w:p>
        </w:tc>
      </w:tr>
      <w:tr w14:paraId="7D900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13534F9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风向</w:t>
            </w:r>
          </w:p>
        </w:tc>
        <w:tc>
          <w:tcPr>
            <w:tcW w:w="830" w:type="dxa"/>
            <w:vAlign w:val="center"/>
          </w:tcPr>
          <w:p w14:paraId="266F20C1">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SSW</w:t>
            </w:r>
          </w:p>
        </w:tc>
        <w:tc>
          <w:tcPr>
            <w:tcW w:w="830" w:type="dxa"/>
            <w:vAlign w:val="center"/>
          </w:tcPr>
          <w:p w14:paraId="5A04BCA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SW</w:t>
            </w:r>
          </w:p>
        </w:tc>
        <w:tc>
          <w:tcPr>
            <w:tcW w:w="830" w:type="dxa"/>
            <w:vAlign w:val="center"/>
          </w:tcPr>
          <w:p w14:paraId="24959F7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WSW</w:t>
            </w:r>
          </w:p>
        </w:tc>
        <w:tc>
          <w:tcPr>
            <w:tcW w:w="830" w:type="dxa"/>
            <w:vAlign w:val="center"/>
          </w:tcPr>
          <w:p w14:paraId="3E44975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w:t>
            </w:r>
          </w:p>
        </w:tc>
        <w:tc>
          <w:tcPr>
            <w:tcW w:w="830" w:type="dxa"/>
            <w:vAlign w:val="center"/>
          </w:tcPr>
          <w:p w14:paraId="0BAFA65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WNW</w:t>
            </w:r>
          </w:p>
        </w:tc>
        <w:tc>
          <w:tcPr>
            <w:tcW w:w="830" w:type="dxa"/>
            <w:vAlign w:val="center"/>
          </w:tcPr>
          <w:p w14:paraId="70EC775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NW</w:t>
            </w:r>
          </w:p>
        </w:tc>
        <w:tc>
          <w:tcPr>
            <w:tcW w:w="830" w:type="dxa"/>
            <w:vAlign w:val="center"/>
          </w:tcPr>
          <w:p w14:paraId="54E598E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NNW</w:t>
            </w:r>
          </w:p>
        </w:tc>
        <w:tc>
          <w:tcPr>
            <w:tcW w:w="830" w:type="dxa"/>
            <w:vAlign w:val="center"/>
          </w:tcPr>
          <w:p w14:paraId="6490DB3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C</w:t>
            </w:r>
          </w:p>
        </w:tc>
        <w:tc>
          <w:tcPr>
            <w:tcW w:w="831" w:type="dxa"/>
            <w:vAlign w:val="center"/>
          </w:tcPr>
          <w:p w14:paraId="4A9A4251">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r w14:paraId="1D8F3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14938302">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风速（m/s）</w:t>
            </w:r>
          </w:p>
        </w:tc>
        <w:tc>
          <w:tcPr>
            <w:tcW w:w="830" w:type="dxa"/>
            <w:vAlign w:val="center"/>
          </w:tcPr>
          <w:p w14:paraId="407CFCB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2.2</w:t>
            </w:r>
          </w:p>
        </w:tc>
        <w:tc>
          <w:tcPr>
            <w:tcW w:w="830" w:type="dxa"/>
            <w:vAlign w:val="center"/>
          </w:tcPr>
          <w:p w14:paraId="180F47E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1.8</w:t>
            </w:r>
          </w:p>
        </w:tc>
        <w:tc>
          <w:tcPr>
            <w:tcW w:w="830" w:type="dxa"/>
            <w:vAlign w:val="center"/>
          </w:tcPr>
          <w:p w14:paraId="55B9880F">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2.7</w:t>
            </w:r>
          </w:p>
        </w:tc>
        <w:tc>
          <w:tcPr>
            <w:tcW w:w="830" w:type="dxa"/>
            <w:vAlign w:val="center"/>
          </w:tcPr>
          <w:p w14:paraId="0038E04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3.5</w:t>
            </w:r>
          </w:p>
        </w:tc>
        <w:tc>
          <w:tcPr>
            <w:tcW w:w="830" w:type="dxa"/>
            <w:vAlign w:val="center"/>
          </w:tcPr>
          <w:p w14:paraId="32E973D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3.7</w:t>
            </w:r>
          </w:p>
        </w:tc>
        <w:tc>
          <w:tcPr>
            <w:tcW w:w="830" w:type="dxa"/>
            <w:vAlign w:val="center"/>
          </w:tcPr>
          <w:p w14:paraId="54BA876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2.8</w:t>
            </w:r>
          </w:p>
        </w:tc>
        <w:tc>
          <w:tcPr>
            <w:tcW w:w="830" w:type="dxa"/>
            <w:vAlign w:val="center"/>
          </w:tcPr>
          <w:p w14:paraId="56B8C76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2.5</w:t>
            </w:r>
          </w:p>
        </w:tc>
        <w:tc>
          <w:tcPr>
            <w:tcW w:w="830" w:type="dxa"/>
            <w:vAlign w:val="center"/>
          </w:tcPr>
          <w:p w14:paraId="0D6E943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0</w:t>
            </w:r>
          </w:p>
        </w:tc>
        <w:tc>
          <w:tcPr>
            <w:tcW w:w="831" w:type="dxa"/>
            <w:vAlign w:val="center"/>
          </w:tcPr>
          <w:p w14:paraId="3CCA6C2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r w14:paraId="42575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3202D51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风频（%）</w:t>
            </w:r>
          </w:p>
        </w:tc>
        <w:tc>
          <w:tcPr>
            <w:tcW w:w="830" w:type="dxa"/>
            <w:vAlign w:val="center"/>
          </w:tcPr>
          <w:p w14:paraId="1992527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2.5</w:t>
            </w:r>
          </w:p>
        </w:tc>
        <w:tc>
          <w:tcPr>
            <w:tcW w:w="830" w:type="dxa"/>
            <w:vAlign w:val="center"/>
          </w:tcPr>
          <w:p w14:paraId="23DF05E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2.0</w:t>
            </w:r>
          </w:p>
        </w:tc>
        <w:tc>
          <w:tcPr>
            <w:tcW w:w="830" w:type="dxa"/>
            <w:vAlign w:val="center"/>
          </w:tcPr>
          <w:p w14:paraId="2FF9B7D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2.3</w:t>
            </w:r>
          </w:p>
        </w:tc>
        <w:tc>
          <w:tcPr>
            <w:tcW w:w="830" w:type="dxa"/>
            <w:vAlign w:val="center"/>
          </w:tcPr>
          <w:p w14:paraId="06C5D31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3.8</w:t>
            </w:r>
          </w:p>
        </w:tc>
        <w:tc>
          <w:tcPr>
            <w:tcW w:w="830" w:type="dxa"/>
            <w:vAlign w:val="center"/>
          </w:tcPr>
          <w:p w14:paraId="353ED52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6.8</w:t>
            </w:r>
          </w:p>
        </w:tc>
        <w:tc>
          <w:tcPr>
            <w:tcW w:w="830" w:type="dxa"/>
            <w:vAlign w:val="center"/>
          </w:tcPr>
          <w:p w14:paraId="55E699A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5.3</w:t>
            </w:r>
          </w:p>
        </w:tc>
        <w:tc>
          <w:tcPr>
            <w:tcW w:w="830" w:type="dxa"/>
            <w:vAlign w:val="center"/>
          </w:tcPr>
          <w:p w14:paraId="686FA6E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5.4</w:t>
            </w:r>
          </w:p>
        </w:tc>
        <w:tc>
          <w:tcPr>
            <w:tcW w:w="830" w:type="dxa"/>
            <w:vAlign w:val="center"/>
          </w:tcPr>
          <w:p w14:paraId="635ECA2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12.8</w:t>
            </w:r>
          </w:p>
        </w:tc>
        <w:tc>
          <w:tcPr>
            <w:tcW w:w="831" w:type="dxa"/>
            <w:vAlign w:val="center"/>
          </w:tcPr>
          <w:p w14:paraId="258A07A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r w14:paraId="13454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7" w:type="dxa"/>
            <w:vAlign w:val="center"/>
          </w:tcPr>
          <w:p w14:paraId="7CCBC1F3">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污染风频（%）</w:t>
            </w:r>
          </w:p>
        </w:tc>
        <w:tc>
          <w:tcPr>
            <w:tcW w:w="830" w:type="dxa"/>
            <w:vAlign w:val="center"/>
          </w:tcPr>
          <w:p w14:paraId="1FE5270D">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3.46</w:t>
            </w:r>
          </w:p>
        </w:tc>
        <w:tc>
          <w:tcPr>
            <w:tcW w:w="830" w:type="dxa"/>
            <w:vAlign w:val="center"/>
          </w:tcPr>
          <w:p w14:paraId="52439FC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5.09</w:t>
            </w:r>
          </w:p>
        </w:tc>
        <w:tc>
          <w:tcPr>
            <w:tcW w:w="830" w:type="dxa"/>
            <w:vAlign w:val="center"/>
          </w:tcPr>
          <w:p w14:paraId="6F33CCB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2.61</w:t>
            </w:r>
          </w:p>
        </w:tc>
        <w:tc>
          <w:tcPr>
            <w:tcW w:w="830" w:type="dxa"/>
            <w:vAlign w:val="center"/>
          </w:tcPr>
          <w:p w14:paraId="4B5B80B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3.33</w:t>
            </w:r>
          </w:p>
        </w:tc>
        <w:tc>
          <w:tcPr>
            <w:tcW w:w="830" w:type="dxa"/>
            <w:vAlign w:val="center"/>
          </w:tcPr>
          <w:p w14:paraId="36B3FA02">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5.62</w:t>
            </w:r>
          </w:p>
        </w:tc>
        <w:tc>
          <w:tcPr>
            <w:tcW w:w="830" w:type="dxa"/>
            <w:vAlign w:val="center"/>
          </w:tcPr>
          <w:p w14:paraId="6C778D9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5.78</w:t>
            </w:r>
          </w:p>
        </w:tc>
        <w:tc>
          <w:tcPr>
            <w:tcW w:w="830" w:type="dxa"/>
            <w:vAlign w:val="center"/>
          </w:tcPr>
          <w:p w14:paraId="3949F16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6.60</w:t>
            </w:r>
          </w:p>
        </w:tc>
        <w:tc>
          <w:tcPr>
            <w:tcW w:w="830" w:type="dxa"/>
            <w:vAlign w:val="center"/>
          </w:tcPr>
          <w:p w14:paraId="0C3101B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831" w:type="dxa"/>
            <w:vAlign w:val="center"/>
          </w:tcPr>
          <w:p w14:paraId="1D96D8A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bl>
    <w:p w14:paraId="4620E838">
      <w:pPr>
        <w:spacing w:line="360" w:lineRule="auto"/>
        <w:ind w:left="-105" w:right="-105" w:firstLine="402"/>
        <w:rPr>
          <w:rFonts w:ascii="Times New Roman" w:hAnsi="Times New Roman"/>
          <w:b/>
          <w:bCs/>
          <w:color w:val="auto"/>
          <w:sz w:val="20"/>
          <w:szCs w:val="20"/>
          <w:highlight w:val="none"/>
        </w:rPr>
      </w:pPr>
      <w:r>
        <w:rPr>
          <w:rFonts w:ascii="Times New Roman" w:hAnsi="Times New Roman"/>
          <w:b/>
          <w:bCs/>
          <w:color w:val="auto"/>
          <w:sz w:val="20"/>
          <w:szCs w:val="20"/>
          <w:highlight w:val="none"/>
        </w:rPr>
        <w:t>注：静风频率已按小风频率分配。</w:t>
      </w:r>
    </w:p>
    <w:p w14:paraId="158F6268">
      <w:pPr>
        <w:pStyle w:val="15"/>
        <w:spacing w:line="360" w:lineRule="auto"/>
        <w:ind w:left="-105" w:right="-105" w:firstLine="482"/>
        <w:rPr>
          <w:rFonts w:eastAsia="宋体" w:cs="Times New Roman"/>
          <w:color w:val="auto"/>
          <w:sz w:val="24"/>
          <w:szCs w:val="18"/>
          <w:highlight w:val="none"/>
        </w:rPr>
      </w:pPr>
      <w:bookmarkStart w:id="364" w:name="_Ref38869901"/>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bookmarkEnd w:id="364"/>
      <w:r>
        <w:rPr>
          <w:rFonts w:eastAsia="宋体" w:cs="Times New Roman"/>
          <w:color w:val="auto"/>
          <w:sz w:val="24"/>
          <w:szCs w:val="18"/>
          <w:highlight w:val="none"/>
        </w:rPr>
        <w:t>各月风速、最多风向及其频率</w:t>
      </w:r>
    </w:p>
    <w:tbl>
      <w:tblPr>
        <w:tblStyle w:val="45"/>
        <w:tblW w:w="942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147"/>
        <w:gridCol w:w="636"/>
        <w:gridCol w:w="636"/>
        <w:gridCol w:w="637"/>
        <w:gridCol w:w="636"/>
        <w:gridCol w:w="636"/>
        <w:gridCol w:w="636"/>
        <w:gridCol w:w="636"/>
        <w:gridCol w:w="636"/>
        <w:gridCol w:w="636"/>
        <w:gridCol w:w="636"/>
        <w:gridCol w:w="637"/>
        <w:gridCol w:w="636"/>
        <w:gridCol w:w="643"/>
      </w:tblGrid>
      <w:tr w14:paraId="0BE5CE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1147" w:type="dxa"/>
            <w:tcBorders>
              <w:left w:val="nil"/>
              <w:bottom w:val="single" w:color="000000" w:sz="4" w:space="0"/>
              <w:right w:val="single" w:color="000000" w:sz="4" w:space="0"/>
            </w:tcBorders>
            <w:vAlign w:val="center"/>
          </w:tcPr>
          <w:p w14:paraId="02721399">
            <w:pPr>
              <w:pStyle w:val="98"/>
              <w:ind w:left="-105" w:right="-105"/>
              <w:rPr>
                <w:rFonts w:eastAsia="宋体"/>
                <w:b/>
                <w:bCs/>
                <w:color w:val="auto"/>
                <w:sz w:val="21"/>
                <w:szCs w:val="21"/>
                <w:highlight w:val="none"/>
              </w:rPr>
            </w:pPr>
            <w:r>
              <w:rPr>
                <w:rFonts w:eastAsia="宋体"/>
                <w:b/>
                <w:bCs/>
                <w:color w:val="auto"/>
                <w:sz w:val="21"/>
                <w:szCs w:val="21"/>
                <w:highlight w:val="none"/>
              </w:rPr>
              <w:t>月份</w:t>
            </w:r>
          </w:p>
        </w:tc>
        <w:tc>
          <w:tcPr>
            <w:tcW w:w="636" w:type="dxa"/>
            <w:tcBorders>
              <w:left w:val="single" w:color="000000" w:sz="4" w:space="0"/>
              <w:bottom w:val="single" w:color="000000" w:sz="4" w:space="0"/>
              <w:right w:val="single" w:color="000000" w:sz="4" w:space="0"/>
            </w:tcBorders>
            <w:vAlign w:val="center"/>
          </w:tcPr>
          <w:p w14:paraId="220A6F3A">
            <w:pPr>
              <w:pStyle w:val="98"/>
              <w:ind w:left="-105" w:right="-105"/>
              <w:rPr>
                <w:rFonts w:eastAsia="宋体"/>
                <w:color w:val="auto"/>
                <w:sz w:val="21"/>
                <w:szCs w:val="21"/>
                <w:highlight w:val="none"/>
              </w:rPr>
            </w:pPr>
            <w:r>
              <w:rPr>
                <w:rFonts w:eastAsia="宋体"/>
                <w:color w:val="auto"/>
                <w:sz w:val="21"/>
                <w:szCs w:val="21"/>
                <w:highlight w:val="none"/>
              </w:rPr>
              <w:t>1</w:t>
            </w:r>
          </w:p>
        </w:tc>
        <w:tc>
          <w:tcPr>
            <w:tcW w:w="636" w:type="dxa"/>
            <w:tcBorders>
              <w:left w:val="single" w:color="000000" w:sz="4" w:space="0"/>
              <w:bottom w:val="single" w:color="000000" w:sz="4" w:space="0"/>
              <w:right w:val="single" w:color="000000" w:sz="4" w:space="0"/>
            </w:tcBorders>
            <w:vAlign w:val="center"/>
          </w:tcPr>
          <w:p w14:paraId="3C8B37CC">
            <w:pPr>
              <w:pStyle w:val="98"/>
              <w:ind w:left="-105" w:right="-105"/>
              <w:rPr>
                <w:rFonts w:eastAsia="宋体"/>
                <w:color w:val="auto"/>
                <w:sz w:val="21"/>
                <w:szCs w:val="21"/>
                <w:highlight w:val="none"/>
              </w:rPr>
            </w:pPr>
            <w:r>
              <w:rPr>
                <w:rFonts w:eastAsia="宋体"/>
                <w:color w:val="auto"/>
                <w:sz w:val="21"/>
                <w:szCs w:val="21"/>
                <w:highlight w:val="none"/>
              </w:rPr>
              <w:t>2</w:t>
            </w:r>
          </w:p>
        </w:tc>
        <w:tc>
          <w:tcPr>
            <w:tcW w:w="637" w:type="dxa"/>
            <w:tcBorders>
              <w:left w:val="single" w:color="000000" w:sz="4" w:space="0"/>
              <w:bottom w:val="single" w:color="000000" w:sz="4" w:space="0"/>
              <w:right w:val="single" w:color="000000" w:sz="4" w:space="0"/>
            </w:tcBorders>
            <w:vAlign w:val="center"/>
          </w:tcPr>
          <w:p w14:paraId="0533B57D">
            <w:pPr>
              <w:pStyle w:val="98"/>
              <w:ind w:left="-105" w:right="-105"/>
              <w:rPr>
                <w:rFonts w:eastAsia="宋体"/>
                <w:color w:val="auto"/>
                <w:sz w:val="21"/>
                <w:szCs w:val="21"/>
                <w:highlight w:val="none"/>
              </w:rPr>
            </w:pPr>
            <w:r>
              <w:rPr>
                <w:rFonts w:eastAsia="宋体"/>
                <w:color w:val="auto"/>
                <w:sz w:val="21"/>
                <w:szCs w:val="21"/>
                <w:highlight w:val="none"/>
              </w:rPr>
              <w:t>3</w:t>
            </w:r>
          </w:p>
        </w:tc>
        <w:tc>
          <w:tcPr>
            <w:tcW w:w="636" w:type="dxa"/>
            <w:tcBorders>
              <w:left w:val="single" w:color="000000" w:sz="4" w:space="0"/>
              <w:bottom w:val="single" w:color="000000" w:sz="4" w:space="0"/>
              <w:right w:val="single" w:color="000000" w:sz="4" w:space="0"/>
            </w:tcBorders>
            <w:vAlign w:val="center"/>
          </w:tcPr>
          <w:p w14:paraId="193E5080">
            <w:pPr>
              <w:pStyle w:val="98"/>
              <w:ind w:left="-105" w:right="-105"/>
              <w:rPr>
                <w:rFonts w:eastAsia="宋体"/>
                <w:color w:val="auto"/>
                <w:sz w:val="21"/>
                <w:szCs w:val="21"/>
                <w:highlight w:val="none"/>
              </w:rPr>
            </w:pPr>
            <w:r>
              <w:rPr>
                <w:rFonts w:eastAsia="宋体"/>
                <w:color w:val="auto"/>
                <w:sz w:val="21"/>
                <w:szCs w:val="21"/>
                <w:highlight w:val="none"/>
              </w:rPr>
              <w:t>4</w:t>
            </w:r>
          </w:p>
        </w:tc>
        <w:tc>
          <w:tcPr>
            <w:tcW w:w="636" w:type="dxa"/>
            <w:tcBorders>
              <w:left w:val="single" w:color="000000" w:sz="4" w:space="0"/>
              <w:bottom w:val="single" w:color="000000" w:sz="4" w:space="0"/>
              <w:right w:val="single" w:color="000000" w:sz="4" w:space="0"/>
            </w:tcBorders>
            <w:vAlign w:val="center"/>
          </w:tcPr>
          <w:p w14:paraId="6349ADBA">
            <w:pPr>
              <w:pStyle w:val="98"/>
              <w:ind w:left="-105" w:right="-105"/>
              <w:rPr>
                <w:rFonts w:eastAsia="宋体"/>
                <w:color w:val="auto"/>
                <w:sz w:val="21"/>
                <w:szCs w:val="21"/>
                <w:highlight w:val="none"/>
              </w:rPr>
            </w:pPr>
            <w:r>
              <w:rPr>
                <w:rFonts w:eastAsia="宋体"/>
                <w:color w:val="auto"/>
                <w:sz w:val="21"/>
                <w:szCs w:val="21"/>
                <w:highlight w:val="none"/>
              </w:rPr>
              <w:t>5</w:t>
            </w:r>
          </w:p>
        </w:tc>
        <w:tc>
          <w:tcPr>
            <w:tcW w:w="636" w:type="dxa"/>
            <w:tcBorders>
              <w:left w:val="single" w:color="000000" w:sz="4" w:space="0"/>
              <w:bottom w:val="single" w:color="000000" w:sz="4" w:space="0"/>
              <w:right w:val="single" w:color="000000" w:sz="4" w:space="0"/>
            </w:tcBorders>
            <w:vAlign w:val="center"/>
          </w:tcPr>
          <w:p w14:paraId="52AF502A">
            <w:pPr>
              <w:pStyle w:val="98"/>
              <w:ind w:left="-105" w:right="-105"/>
              <w:rPr>
                <w:rFonts w:eastAsia="宋体"/>
                <w:color w:val="auto"/>
                <w:sz w:val="21"/>
                <w:szCs w:val="21"/>
                <w:highlight w:val="none"/>
              </w:rPr>
            </w:pPr>
            <w:r>
              <w:rPr>
                <w:rFonts w:eastAsia="宋体"/>
                <w:color w:val="auto"/>
                <w:sz w:val="21"/>
                <w:szCs w:val="21"/>
                <w:highlight w:val="none"/>
              </w:rPr>
              <w:t>6</w:t>
            </w:r>
          </w:p>
        </w:tc>
        <w:tc>
          <w:tcPr>
            <w:tcW w:w="636" w:type="dxa"/>
            <w:tcBorders>
              <w:left w:val="single" w:color="000000" w:sz="4" w:space="0"/>
              <w:bottom w:val="single" w:color="000000" w:sz="4" w:space="0"/>
              <w:right w:val="single" w:color="000000" w:sz="4" w:space="0"/>
            </w:tcBorders>
            <w:vAlign w:val="center"/>
          </w:tcPr>
          <w:p w14:paraId="17F13247">
            <w:pPr>
              <w:pStyle w:val="98"/>
              <w:ind w:left="-105" w:right="-105"/>
              <w:rPr>
                <w:rFonts w:eastAsia="宋体"/>
                <w:color w:val="auto"/>
                <w:sz w:val="21"/>
                <w:szCs w:val="21"/>
                <w:highlight w:val="none"/>
              </w:rPr>
            </w:pPr>
            <w:r>
              <w:rPr>
                <w:rFonts w:eastAsia="宋体"/>
                <w:color w:val="auto"/>
                <w:sz w:val="21"/>
                <w:szCs w:val="21"/>
                <w:highlight w:val="none"/>
              </w:rPr>
              <w:t>7</w:t>
            </w:r>
          </w:p>
        </w:tc>
        <w:tc>
          <w:tcPr>
            <w:tcW w:w="636" w:type="dxa"/>
            <w:tcBorders>
              <w:left w:val="single" w:color="000000" w:sz="4" w:space="0"/>
              <w:bottom w:val="single" w:color="000000" w:sz="4" w:space="0"/>
              <w:right w:val="single" w:color="000000" w:sz="4" w:space="0"/>
            </w:tcBorders>
            <w:vAlign w:val="center"/>
          </w:tcPr>
          <w:p w14:paraId="22D54AEA">
            <w:pPr>
              <w:pStyle w:val="98"/>
              <w:ind w:left="-105" w:right="-105"/>
              <w:rPr>
                <w:rFonts w:eastAsia="宋体"/>
                <w:color w:val="auto"/>
                <w:sz w:val="21"/>
                <w:szCs w:val="21"/>
                <w:highlight w:val="none"/>
              </w:rPr>
            </w:pPr>
            <w:r>
              <w:rPr>
                <w:rFonts w:eastAsia="宋体"/>
                <w:color w:val="auto"/>
                <w:sz w:val="21"/>
                <w:szCs w:val="21"/>
                <w:highlight w:val="none"/>
              </w:rPr>
              <w:t>8</w:t>
            </w:r>
          </w:p>
        </w:tc>
        <w:tc>
          <w:tcPr>
            <w:tcW w:w="636" w:type="dxa"/>
            <w:tcBorders>
              <w:left w:val="single" w:color="000000" w:sz="4" w:space="0"/>
              <w:bottom w:val="single" w:color="000000" w:sz="4" w:space="0"/>
              <w:right w:val="single" w:color="000000" w:sz="4" w:space="0"/>
            </w:tcBorders>
            <w:vAlign w:val="center"/>
          </w:tcPr>
          <w:p w14:paraId="75DD6BC6">
            <w:pPr>
              <w:pStyle w:val="98"/>
              <w:ind w:left="-105" w:right="-105"/>
              <w:rPr>
                <w:rFonts w:eastAsia="宋体"/>
                <w:color w:val="auto"/>
                <w:sz w:val="21"/>
                <w:szCs w:val="21"/>
                <w:highlight w:val="none"/>
              </w:rPr>
            </w:pPr>
            <w:r>
              <w:rPr>
                <w:rFonts w:eastAsia="宋体"/>
                <w:color w:val="auto"/>
                <w:sz w:val="21"/>
                <w:szCs w:val="21"/>
                <w:highlight w:val="none"/>
              </w:rPr>
              <w:t>9</w:t>
            </w:r>
          </w:p>
        </w:tc>
        <w:tc>
          <w:tcPr>
            <w:tcW w:w="636" w:type="dxa"/>
            <w:tcBorders>
              <w:left w:val="single" w:color="000000" w:sz="4" w:space="0"/>
              <w:bottom w:val="single" w:color="000000" w:sz="4" w:space="0"/>
              <w:right w:val="single" w:color="000000" w:sz="4" w:space="0"/>
            </w:tcBorders>
            <w:vAlign w:val="center"/>
          </w:tcPr>
          <w:p w14:paraId="715FF73C">
            <w:pPr>
              <w:pStyle w:val="98"/>
              <w:ind w:left="-105" w:right="-105"/>
              <w:rPr>
                <w:rFonts w:eastAsia="宋体"/>
                <w:color w:val="auto"/>
                <w:sz w:val="21"/>
                <w:szCs w:val="21"/>
                <w:highlight w:val="none"/>
              </w:rPr>
            </w:pPr>
            <w:r>
              <w:rPr>
                <w:rFonts w:eastAsia="宋体"/>
                <w:color w:val="auto"/>
                <w:sz w:val="21"/>
                <w:szCs w:val="21"/>
                <w:highlight w:val="none"/>
              </w:rPr>
              <w:t>10</w:t>
            </w:r>
          </w:p>
        </w:tc>
        <w:tc>
          <w:tcPr>
            <w:tcW w:w="637" w:type="dxa"/>
            <w:tcBorders>
              <w:left w:val="single" w:color="000000" w:sz="4" w:space="0"/>
              <w:bottom w:val="single" w:color="000000" w:sz="4" w:space="0"/>
              <w:right w:val="single" w:color="000000" w:sz="4" w:space="0"/>
            </w:tcBorders>
            <w:vAlign w:val="center"/>
          </w:tcPr>
          <w:p w14:paraId="2B4418D8">
            <w:pPr>
              <w:pStyle w:val="98"/>
              <w:ind w:left="-105" w:right="-105"/>
              <w:rPr>
                <w:rFonts w:eastAsia="宋体"/>
                <w:color w:val="auto"/>
                <w:sz w:val="21"/>
                <w:szCs w:val="21"/>
                <w:highlight w:val="none"/>
              </w:rPr>
            </w:pPr>
            <w:r>
              <w:rPr>
                <w:rFonts w:eastAsia="宋体"/>
                <w:color w:val="auto"/>
                <w:sz w:val="21"/>
                <w:szCs w:val="21"/>
                <w:highlight w:val="none"/>
              </w:rPr>
              <w:t>11</w:t>
            </w:r>
          </w:p>
        </w:tc>
        <w:tc>
          <w:tcPr>
            <w:tcW w:w="636" w:type="dxa"/>
            <w:tcBorders>
              <w:left w:val="single" w:color="000000" w:sz="4" w:space="0"/>
              <w:bottom w:val="single" w:color="000000" w:sz="4" w:space="0"/>
              <w:right w:val="single" w:color="000000" w:sz="4" w:space="0"/>
            </w:tcBorders>
            <w:vAlign w:val="center"/>
          </w:tcPr>
          <w:p w14:paraId="6B8FBAAD">
            <w:pPr>
              <w:pStyle w:val="98"/>
              <w:ind w:left="-105" w:right="-105"/>
              <w:rPr>
                <w:rFonts w:eastAsia="宋体"/>
                <w:color w:val="auto"/>
                <w:sz w:val="21"/>
                <w:szCs w:val="21"/>
                <w:highlight w:val="none"/>
              </w:rPr>
            </w:pPr>
            <w:r>
              <w:rPr>
                <w:rFonts w:eastAsia="宋体"/>
                <w:color w:val="auto"/>
                <w:sz w:val="21"/>
                <w:szCs w:val="21"/>
                <w:highlight w:val="none"/>
              </w:rPr>
              <w:t>12</w:t>
            </w:r>
          </w:p>
        </w:tc>
        <w:tc>
          <w:tcPr>
            <w:tcW w:w="643" w:type="dxa"/>
            <w:tcBorders>
              <w:left w:val="single" w:color="000000" w:sz="4" w:space="0"/>
              <w:bottom w:val="single" w:color="000000" w:sz="4" w:space="0"/>
              <w:right w:val="nil"/>
            </w:tcBorders>
            <w:vAlign w:val="center"/>
          </w:tcPr>
          <w:p w14:paraId="59C1E762">
            <w:pPr>
              <w:pStyle w:val="98"/>
              <w:ind w:left="-105" w:right="-105"/>
              <w:rPr>
                <w:rFonts w:eastAsia="宋体"/>
                <w:color w:val="auto"/>
                <w:sz w:val="21"/>
                <w:szCs w:val="21"/>
                <w:highlight w:val="none"/>
              </w:rPr>
            </w:pPr>
            <w:r>
              <w:rPr>
                <w:rFonts w:eastAsia="宋体"/>
                <w:color w:val="auto"/>
                <w:sz w:val="21"/>
                <w:szCs w:val="21"/>
                <w:highlight w:val="none"/>
              </w:rPr>
              <w:t>全年</w:t>
            </w:r>
          </w:p>
        </w:tc>
      </w:tr>
      <w:tr w14:paraId="67F4EA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1147" w:type="dxa"/>
            <w:tcBorders>
              <w:top w:val="single" w:color="000000" w:sz="4" w:space="0"/>
              <w:left w:val="nil"/>
              <w:bottom w:val="single" w:color="000000" w:sz="4" w:space="0"/>
              <w:right w:val="single" w:color="000000" w:sz="4" w:space="0"/>
            </w:tcBorders>
            <w:vAlign w:val="center"/>
          </w:tcPr>
          <w:p w14:paraId="1DB60B42">
            <w:pPr>
              <w:pStyle w:val="98"/>
              <w:ind w:left="-105" w:right="-105"/>
              <w:rPr>
                <w:rFonts w:eastAsia="宋体"/>
                <w:b/>
                <w:bCs/>
                <w:color w:val="auto"/>
                <w:sz w:val="21"/>
                <w:szCs w:val="21"/>
                <w:highlight w:val="none"/>
              </w:rPr>
            </w:pPr>
            <w:r>
              <w:rPr>
                <w:rFonts w:eastAsia="宋体"/>
                <w:b/>
                <w:bCs/>
                <w:color w:val="auto"/>
                <w:sz w:val="21"/>
                <w:szCs w:val="21"/>
                <w:highlight w:val="none"/>
              </w:rPr>
              <w:t>风速（m/s）</w:t>
            </w:r>
          </w:p>
        </w:tc>
        <w:tc>
          <w:tcPr>
            <w:tcW w:w="636" w:type="dxa"/>
            <w:tcBorders>
              <w:top w:val="single" w:color="000000" w:sz="4" w:space="0"/>
              <w:left w:val="single" w:color="000000" w:sz="4" w:space="0"/>
              <w:bottom w:val="single" w:color="000000" w:sz="4" w:space="0"/>
              <w:right w:val="single" w:color="000000" w:sz="4" w:space="0"/>
            </w:tcBorders>
            <w:vAlign w:val="center"/>
          </w:tcPr>
          <w:p w14:paraId="4B0954CE">
            <w:pPr>
              <w:pStyle w:val="98"/>
              <w:ind w:left="-105" w:right="-105"/>
              <w:rPr>
                <w:rFonts w:eastAsia="宋体"/>
                <w:color w:val="auto"/>
                <w:sz w:val="21"/>
                <w:szCs w:val="21"/>
                <w:highlight w:val="none"/>
              </w:rPr>
            </w:pPr>
            <w:r>
              <w:rPr>
                <w:rFonts w:eastAsia="宋体"/>
                <w:color w:val="auto"/>
                <w:sz w:val="21"/>
                <w:szCs w:val="21"/>
                <w:highlight w:val="none"/>
              </w:rPr>
              <w:t>2.36</w:t>
            </w:r>
          </w:p>
        </w:tc>
        <w:tc>
          <w:tcPr>
            <w:tcW w:w="636" w:type="dxa"/>
            <w:tcBorders>
              <w:top w:val="single" w:color="000000" w:sz="4" w:space="0"/>
              <w:left w:val="single" w:color="000000" w:sz="4" w:space="0"/>
              <w:bottom w:val="single" w:color="000000" w:sz="4" w:space="0"/>
              <w:right w:val="single" w:color="000000" w:sz="4" w:space="0"/>
            </w:tcBorders>
            <w:vAlign w:val="center"/>
          </w:tcPr>
          <w:p w14:paraId="6C121D09">
            <w:pPr>
              <w:pStyle w:val="98"/>
              <w:ind w:left="-105" w:right="-105"/>
              <w:rPr>
                <w:rFonts w:eastAsia="宋体"/>
                <w:color w:val="auto"/>
                <w:sz w:val="21"/>
                <w:szCs w:val="21"/>
                <w:highlight w:val="none"/>
              </w:rPr>
            </w:pPr>
            <w:r>
              <w:rPr>
                <w:rFonts w:eastAsia="宋体"/>
                <w:color w:val="auto"/>
                <w:sz w:val="21"/>
                <w:szCs w:val="21"/>
                <w:highlight w:val="none"/>
              </w:rPr>
              <w:t>2.76</w:t>
            </w:r>
          </w:p>
        </w:tc>
        <w:tc>
          <w:tcPr>
            <w:tcW w:w="637" w:type="dxa"/>
            <w:tcBorders>
              <w:top w:val="single" w:color="000000" w:sz="4" w:space="0"/>
              <w:left w:val="single" w:color="000000" w:sz="4" w:space="0"/>
              <w:bottom w:val="single" w:color="000000" w:sz="4" w:space="0"/>
              <w:right w:val="single" w:color="000000" w:sz="4" w:space="0"/>
            </w:tcBorders>
            <w:vAlign w:val="center"/>
          </w:tcPr>
          <w:p w14:paraId="44BFBDDC">
            <w:pPr>
              <w:pStyle w:val="98"/>
              <w:ind w:left="-105" w:right="-105"/>
              <w:rPr>
                <w:rFonts w:eastAsia="宋体"/>
                <w:color w:val="auto"/>
                <w:sz w:val="21"/>
                <w:szCs w:val="21"/>
                <w:highlight w:val="none"/>
              </w:rPr>
            </w:pPr>
            <w:r>
              <w:rPr>
                <w:rFonts w:eastAsia="宋体"/>
                <w:color w:val="auto"/>
                <w:sz w:val="21"/>
                <w:szCs w:val="21"/>
                <w:highlight w:val="none"/>
              </w:rPr>
              <w:t>2.82</w:t>
            </w:r>
          </w:p>
        </w:tc>
        <w:tc>
          <w:tcPr>
            <w:tcW w:w="636" w:type="dxa"/>
            <w:tcBorders>
              <w:top w:val="single" w:color="000000" w:sz="4" w:space="0"/>
              <w:left w:val="single" w:color="000000" w:sz="4" w:space="0"/>
              <w:bottom w:val="single" w:color="000000" w:sz="4" w:space="0"/>
              <w:right w:val="single" w:color="000000" w:sz="4" w:space="0"/>
            </w:tcBorders>
            <w:vAlign w:val="center"/>
          </w:tcPr>
          <w:p w14:paraId="7EB0B1E2">
            <w:pPr>
              <w:pStyle w:val="98"/>
              <w:ind w:left="-105" w:right="-105"/>
              <w:rPr>
                <w:rFonts w:eastAsia="宋体"/>
                <w:color w:val="auto"/>
                <w:sz w:val="21"/>
                <w:szCs w:val="21"/>
                <w:highlight w:val="none"/>
              </w:rPr>
            </w:pPr>
            <w:r>
              <w:rPr>
                <w:rFonts w:eastAsia="宋体"/>
                <w:color w:val="auto"/>
                <w:sz w:val="21"/>
                <w:szCs w:val="21"/>
                <w:highlight w:val="none"/>
              </w:rPr>
              <w:t>2.71</w:t>
            </w:r>
          </w:p>
        </w:tc>
        <w:tc>
          <w:tcPr>
            <w:tcW w:w="636" w:type="dxa"/>
            <w:tcBorders>
              <w:top w:val="single" w:color="000000" w:sz="4" w:space="0"/>
              <w:left w:val="single" w:color="000000" w:sz="4" w:space="0"/>
              <w:bottom w:val="single" w:color="000000" w:sz="4" w:space="0"/>
              <w:right w:val="single" w:color="000000" w:sz="4" w:space="0"/>
            </w:tcBorders>
            <w:vAlign w:val="center"/>
          </w:tcPr>
          <w:p w14:paraId="501872CB">
            <w:pPr>
              <w:pStyle w:val="98"/>
              <w:ind w:left="-105" w:right="-105"/>
              <w:rPr>
                <w:rFonts w:eastAsia="宋体"/>
                <w:color w:val="auto"/>
                <w:sz w:val="21"/>
                <w:szCs w:val="21"/>
                <w:highlight w:val="none"/>
              </w:rPr>
            </w:pPr>
            <w:r>
              <w:rPr>
                <w:rFonts w:eastAsia="宋体"/>
                <w:color w:val="auto"/>
                <w:sz w:val="21"/>
                <w:szCs w:val="21"/>
                <w:highlight w:val="none"/>
              </w:rPr>
              <w:t>2.68</w:t>
            </w:r>
          </w:p>
        </w:tc>
        <w:tc>
          <w:tcPr>
            <w:tcW w:w="636" w:type="dxa"/>
            <w:tcBorders>
              <w:top w:val="single" w:color="000000" w:sz="4" w:space="0"/>
              <w:left w:val="single" w:color="000000" w:sz="4" w:space="0"/>
              <w:bottom w:val="single" w:color="000000" w:sz="4" w:space="0"/>
              <w:right w:val="single" w:color="000000" w:sz="4" w:space="0"/>
            </w:tcBorders>
            <w:vAlign w:val="center"/>
          </w:tcPr>
          <w:p w14:paraId="31E1BADC">
            <w:pPr>
              <w:pStyle w:val="98"/>
              <w:ind w:left="-105" w:right="-105"/>
              <w:rPr>
                <w:rFonts w:eastAsia="宋体"/>
                <w:color w:val="auto"/>
                <w:sz w:val="21"/>
                <w:szCs w:val="21"/>
                <w:highlight w:val="none"/>
              </w:rPr>
            </w:pPr>
            <w:r>
              <w:rPr>
                <w:rFonts w:eastAsia="宋体"/>
                <w:color w:val="auto"/>
                <w:sz w:val="21"/>
                <w:szCs w:val="21"/>
                <w:highlight w:val="none"/>
              </w:rPr>
              <w:t>2.55</w:t>
            </w:r>
          </w:p>
        </w:tc>
        <w:tc>
          <w:tcPr>
            <w:tcW w:w="636" w:type="dxa"/>
            <w:tcBorders>
              <w:top w:val="single" w:color="000000" w:sz="4" w:space="0"/>
              <w:left w:val="single" w:color="000000" w:sz="4" w:space="0"/>
              <w:bottom w:val="single" w:color="000000" w:sz="4" w:space="0"/>
              <w:right w:val="single" w:color="000000" w:sz="4" w:space="0"/>
            </w:tcBorders>
            <w:vAlign w:val="center"/>
          </w:tcPr>
          <w:p w14:paraId="42670A72">
            <w:pPr>
              <w:pStyle w:val="98"/>
              <w:ind w:left="-105" w:right="-105"/>
              <w:rPr>
                <w:rFonts w:eastAsia="宋体"/>
                <w:color w:val="auto"/>
                <w:sz w:val="21"/>
                <w:szCs w:val="21"/>
                <w:highlight w:val="none"/>
              </w:rPr>
            </w:pPr>
            <w:r>
              <w:rPr>
                <w:rFonts w:eastAsia="宋体"/>
                <w:color w:val="auto"/>
                <w:sz w:val="21"/>
                <w:szCs w:val="21"/>
                <w:highlight w:val="none"/>
              </w:rPr>
              <w:t>2.58</w:t>
            </w:r>
          </w:p>
        </w:tc>
        <w:tc>
          <w:tcPr>
            <w:tcW w:w="636" w:type="dxa"/>
            <w:tcBorders>
              <w:top w:val="single" w:color="000000" w:sz="4" w:space="0"/>
              <w:left w:val="single" w:color="000000" w:sz="4" w:space="0"/>
              <w:bottom w:val="single" w:color="000000" w:sz="4" w:space="0"/>
              <w:right w:val="single" w:color="000000" w:sz="4" w:space="0"/>
            </w:tcBorders>
            <w:vAlign w:val="center"/>
          </w:tcPr>
          <w:p w14:paraId="4CDB0EC5">
            <w:pPr>
              <w:pStyle w:val="98"/>
              <w:ind w:left="-105" w:right="-105"/>
              <w:rPr>
                <w:rFonts w:eastAsia="宋体"/>
                <w:color w:val="auto"/>
                <w:sz w:val="21"/>
                <w:szCs w:val="21"/>
                <w:highlight w:val="none"/>
              </w:rPr>
            </w:pPr>
            <w:r>
              <w:rPr>
                <w:rFonts w:eastAsia="宋体"/>
                <w:color w:val="auto"/>
                <w:sz w:val="21"/>
                <w:szCs w:val="21"/>
                <w:highlight w:val="none"/>
              </w:rPr>
              <w:t>2.68</w:t>
            </w:r>
          </w:p>
        </w:tc>
        <w:tc>
          <w:tcPr>
            <w:tcW w:w="636" w:type="dxa"/>
            <w:tcBorders>
              <w:top w:val="single" w:color="000000" w:sz="4" w:space="0"/>
              <w:left w:val="single" w:color="000000" w:sz="4" w:space="0"/>
              <w:bottom w:val="single" w:color="000000" w:sz="4" w:space="0"/>
              <w:right w:val="single" w:color="000000" w:sz="4" w:space="0"/>
            </w:tcBorders>
            <w:vAlign w:val="center"/>
          </w:tcPr>
          <w:p w14:paraId="03D0E4B1">
            <w:pPr>
              <w:pStyle w:val="98"/>
              <w:ind w:left="-105" w:right="-105"/>
              <w:rPr>
                <w:rFonts w:eastAsia="宋体"/>
                <w:color w:val="auto"/>
                <w:sz w:val="21"/>
                <w:szCs w:val="21"/>
                <w:highlight w:val="none"/>
              </w:rPr>
            </w:pPr>
            <w:r>
              <w:rPr>
                <w:rFonts w:eastAsia="宋体"/>
                <w:color w:val="auto"/>
                <w:sz w:val="21"/>
                <w:szCs w:val="21"/>
                <w:highlight w:val="none"/>
              </w:rPr>
              <w:t>2.39</w:t>
            </w:r>
          </w:p>
        </w:tc>
        <w:tc>
          <w:tcPr>
            <w:tcW w:w="636" w:type="dxa"/>
            <w:tcBorders>
              <w:top w:val="single" w:color="000000" w:sz="4" w:space="0"/>
              <w:left w:val="single" w:color="000000" w:sz="4" w:space="0"/>
              <w:bottom w:val="single" w:color="000000" w:sz="4" w:space="0"/>
              <w:right w:val="single" w:color="000000" w:sz="4" w:space="0"/>
            </w:tcBorders>
            <w:vAlign w:val="center"/>
          </w:tcPr>
          <w:p w14:paraId="47C903B6">
            <w:pPr>
              <w:pStyle w:val="98"/>
              <w:ind w:left="-105" w:right="-105"/>
              <w:rPr>
                <w:rFonts w:eastAsia="宋体"/>
                <w:color w:val="auto"/>
                <w:sz w:val="21"/>
                <w:szCs w:val="21"/>
                <w:highlight w:val="none"/>
              </w:rPr>
            </w:pPr>
            <w:r>
              <w:rPr>
                <w:rFonts w:eastAsia="宋体"/>
                <w:color w:val="auto"/>
                <w:sz w:val="21"/>
                <w:szCs w:val="21"/>
                <w:highlight w:val="none"/>
              </w:rPr>
              <w:t>2.51</w:t>
            </w:r>
          </w:p>
        </w:tc>
        <w:tc>
          <w:tcPr>
            <w:tcW w:w="637" w:type="dxa"/>
            <w:tcBorders>
              <w:top w:val="single" w:color="000000" w:sz="4" w:space="0"/>
              <w:left w:val="single" w:color="000000" w:sz="4" w:space="0"/>
              <w:bottom w:val="single" w:color="000000" w:sz="4" w:space="0"/>
              <w:right w:val="single" w:color="000000" w:sz="4" w:space="0"/>
            </w:tcBorders>
            <w:vAlign w:val="center"/>
          </w:tcPr>
          <w:p w14:paraId="03B96B12">
            <w:pPr>
              <w:pStyle w:val="98"/>
              <w:ind w:left="-105" w:right="-105"/>
              <w:rPr>
                <w:rFonts w:eastAsia="宋体"/>
                <w:color w:val="auto"/>
                <w:sz w:val="21"/>
                <w:szCs w:val="21"/>
                <w:highlight w:val="none"/>
              </w:rPr>
            </w:pPr>
            <w:r>
              <w:rPr>
                <w:rFonts w:eastAsia="宋体"/>
                <w:color w:val="auto"/>
                <w:sz w:val="21"/>
                <w:szCs w:val="21"/>
                <w:highlight w:val="none"/>
              </w:rPr>
              <w:t>2.68</w:t>
            </w:r>
          </w:p>
        </w:tc>
        <w:tc>
          <w:tcPr>
            <w:tcW w:w="636" w:type="dxa"/>
            <w:tcBorders>
              <w:top w:val="single" w:color="000000" w:sz="4" w:space="0"/>
              <w:left w:val="single" w:color="000000" w:sz="4" w:space="0"/>
              <w:bottom w:val="single" w:color="000000" w:sz="4" w:space="0"/>
              <w:right w:val="single" w:color="000000" w:sz="4" w:space="0"/>
            </w:tcBorders>
            <w:vAlign w:val="center"/>
          </w:tcPr>
          <w:p w14:paraId="167D4EDF">
            <w:pPr>
              <w:pStyle w:val="98"/>
              <w:ind w:left="-105" w:right="-105"/>
              <w:rPr>
                <w:rFonts w:eastAsia="宋体"/>
                <w:color w:val="auto"/>
                <w:sz w:val="21"/>
                <w:szCs w:val="21"/>
                <w:highlight w:val="none"/>
              </w:rPr>
            </w:pPr>
            <w:r>
              <w:rPr>
                <w:rFonts w:eastAsia="宋体"/>
                <w:color w:val="auto"/>
                <w:sz w:val="21"/>
                <w:szCs w:val="21"/>
                <w:highlight w:val="none"/>
              </w:rPr>
              <w:t>2.82</w:t>
            </w:r>
          </w:p>
        </w:tc>
        <w:tc>
          <w:tcPr>
            <w:tcW w:w="643" w:type="dxa"/>
            <w:tcBorders>
              <w:top w:val="single" w:color="000000" w:sz="4" w:space="0"/>
              <w:left w:val="single" w:color="000000" w:sz="4" w:space="0"/>
              <w:bottom w:val="single" w:color="000000" w:sz="4" w:space="0"/>
              <w:right w:val="nil"/>
            </w:tcBorders>
            <w:vAlign w:val="center"/>
          </w:tcPr>
          <w:p w14:paraId="6974201C">
            <w:pPr>
              <w:pStyle w:val="98"/>
              <w:ind w:left="-105" w:right="-105"/>
              <w:rPr>
                <w:rFonts w:eastAsia="宋体"/>
                <w:color w:val="auto"/>
                <w:sz w:val="21"/>
                <w:szCs w:val="21"/>
                <w:highlight w:val="none"/>
              </w:rPr>
            </w:pPr>
            <w:r>
              <w:rPr>
                <w:rFonts w:eastAsia="宋体"/>
                <w:color w:val="auto"/>
                <w:sz w:val="21"/>
                <w:szCs w:val="21"/>
                <w:highlight w:val="none"/>
              </w:rPr>
              <w:t>2.63</w:t>
            </w:r>
          </w:p>
        </w:tc>
      </w:tr>
      <w:tr w14:paraId="1E096E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1147" w:type="dxa"/>
            <w:tcBorders>
              <w:top w:val="single" w:color="000000" w:sz="4" w:space="0"/>
              <w:left w:val="nil"/>
              <w:bottom w:val="single" w:color="000000" w:sz="4" w:space="0"/>
              <w:right w:val="single" w:color="000000" w:sz="4" w:space="0"/>
            </w:tcBorders>
            <w:vAlign w:val="center"/>
          </w:tcPr>
          <w:p w14:paraId="0B9E8006">
            <w:pPr>
              <w:pStyle w:val="98"/>
              <w:ind w:left="-105" w:right="-105"/>
              <w:rPr>
                <w:rFonts w:eastAsia="宋体"/>
                <w:b/>
                <w:bCs/>
                <w:color w:val="auto"/>
                <w:sz w:val="21"/>
                <w:szCs w:val="21"/>
                <w:highlight w:val="none"/>
              </w:rPr>
            </w:pPr>
            <w:r>
              <w:rPr>
                <w:rFonts w:eastAsia="宋体"/>
                <w:b/>
                <w:bCs/>
                <w:color w:val="auto"/>
                <w:sz w:val="21"/>
                <w:szCs w:val="21"/>
                <w:highlight w:val="none"/>
              </w:rPr>
              <w:t>最多风向</w:t>
            </w:r>
          </w:p>
        </w:tc>
        <w:tc>
          <w:tcPr>
            <w:tcW w:w="636" w:type="dxa"/>
            <w:tcBorders>
              <w:top w:val="single" w:color="000000" w:sz="4" w:space="0"/>
              <w:left w:val="single" w:color="000000" w:sz="4" w:space="0"/>
              <w:bottom w:val="single" w:color="000000" w:sz="4" w:space="0"/>
              <w:right w:val="single" w:color="000000" w:sz="4" w:space="0"/>
            </w:tcBorders>
            <w:vAlign w:val="center"/>
          </w:tcPr>
          <w:p w14:paraId="257411FE">
            <w:pPr>
              <w:pStyle w:val="98"/>
              <w:ind w:left="-105" w:right="-105"/>
              <w:rPr>
                <w:rFonts w:eastAsia="宋体"/>
                <w:color w:val="auto"/>
                <w:sz w:val="21"/>
                <w:szCs w:val="21"/>
                <w:highlight w:val="none"/>
              </w:rPr>
            </w:pPr>
            <w:r>
              <w:rPr>
                <w:rFonts w:eastAsia="宋体"/>
                <w:color w:val="auto"/>
                <w:sz w:val="21"/>
                <w:szCs w:val="21"/>
                <w:highlight w:val="none"/>
              </w:rPr>
              <w:t>WNW</w:t>
            </w:r>
          </w:p>
        </w:tc>
        <w:tc>
          <w:tcPr>
            <w:tcW w:w="636" w:type="dxa"/>
            <w:tcBorders>
              <w:top w:val="single" w:color="000000" w:sz="4" w:space="0"/>
              <w:left w:val="single" w:color="000000" w:sz="4" w:space="0"/>
              <w:bottom w:val="single" w:color="000000" w:sz="4" w:space="0"/>
              <w:right w:val="single" w:color="000000" w:sz="4" w:space="0"/>
            </w:tcBorders>
            <w:vAlign w:val="center"/>
          </w:tcPr>
          <w:p w14:paraId="089DBEFD">
            <w:pPr>
              <w:pStyle w:val="98"/>
              <w:ind w:left="-105" w:right="-105"/>
              <w:rPr>
                <w:rFonts w:eastAsia="宋体"/>
                <w:color w:val="auto"/>
                <w:sz w:val="21"/>
                <w:szCs w:val="21"/>
                <w:highlight w:val="none"/>
              </w:rPr>
            </w:pPr>
            <w:r>
              <w:rPr>
                <w:rFonts w:eastAsia="宋体"/>
                <w:color w:val="auto"/>
                <w:sz w:val="21"/>
                <w:szCs w:val="21"/>
                <w:highlight w:val="none"/>
              </w:rPr>
              <w:t>ESE</w:t>
            </w:r>
          </w:p>
        </w:tc>
        <w:tc>
          <w:tcPr>
            <w:tcW w:w="637" w:type="dxa"/>
            <w:tcBorders>
              <w:top w:val="single" w:color="000000" w:sz="4" w:space="0"/>
              <w:left w:val="single" w:color="000000" w:sz="4" w:space="0"/>
              <w:bottom w:val="single" w:color="000000" w:sz="4" w:space="0"/>
              <w:right w:val="single" w:color="000000" w:sz="4" w:space="0"/>
            </w:tcBorders>
            <w:vAlign w:val="center"/>
          </w:tcPr>
          <w:p w14:paraId="6B5F27F5">
            <w:pPr>
              <w:pStyle w:val="98"/>
              <w:ind w:left="-105" w:right="-105"/>
              <w:rPr>
                <w:rFonts w:eastAsia="宋体"/>
                <w:color w:val="auto"/>
                <w:sz w:val="21"/>
                <w:szCs w:val="21"/>
                <w:highlight w:val="none"/>
              </w:rPr>
            </w:pPr>
            <w:r>
              <w:rPr>
                <w:rFonts w:eastAsia="宋体"/>
                <w:color w:val="auto"/>
                <w:sz w:val="21"/>
                <w:szCs w:val="21"/>
                <w:highlight w:val="none"/>
              </w:rPr>
              <w:t>ESE</w:t>
            </w:r>
          </w:p>
        </w:tc>
        <w:tc>
          <w:tcPr>
            <w:tcW w:w="636" w:type="dxa"/>
            <w:tcBorders>
              <w:top w:val="single" w:color="000000" w:sz="4" w:space="0"/>
              <w:left w:val="single" w:color="000000" w:sz="4" w:space="0"/>
              <w:bottom w:val="single" w:color="000000" w:sz="4" w:space="0"/>
              <w:right w:val="single" w:color="000000" w:sz="4" w:space="0"/>
            </w:tcBorders>
            <w:vAlign w:val="center"/>
          </w:tcPr>
          <w:p w14:paraId="626E52A2">
            <w:pPr>
              <w:pStyle w:val="98"/>
              <w:ind w:left="-105" w:right="-105"/>
              <w:rPr>
                <w:rFonts w:eastAsia="宋体"/>
                <w:color w:val="auto"/>
                <w:sz w:val="21"/>
                <w:szCs w:val="21"/>
                <w:highlight w:val="none"/>
              </w:rPr>
            </w:pPr>
            <w:r>
              <w:rPr>
                <w:rFonts w:eastAsia="宋体"/>
                <w:color w:val="auto"/>
                <w:sz w:val="21"/>
                <w:szCs w:val="21"/>
                <w:highlight w:val="none"/>
              </w:rPr>
              <w:t>ESE</w:t>
            </w:r>
          </w:p>
        </w:tc>
        <w:tc>
          <w:tcPr>
            <w:tcW w:w="636" w:type="dxa"/>
            <w:tcBorders>
              <w:top w:val="single" w:color="000000" w:sz="4" w:space="0"/>
              <w:left w:val="single" w:color="000000" w:sz="4" w:space="0"/>
              <w:bottom w:val="single" w:color="000000" w:sz="4" w:space="0"/>
              <w:right w:val="single" w:color="000000" w:sz="4" w:space="0"/>
            </w:tcBorders>
            <w:vAlign w:val="center"/>
          </w:tcPr>
          <w:p w14:paraId="75051863">
            <w:pPr>
              <w:pStyle w:val="98"/>
              <w:ind w:left="-105" w:right="-105"/>
              <w:rPr>
                <w:rFonts w:eastAsia="宋体"/>
                <w:color w:val="auto"/>
                <w:sz w:val="21"/>
                <w:szCs w:val="21"/>
                <w:highlight w:val="none"/>
              </w:rPr>
            </w:pPr>
            <w:r>
              <w:rPr>
                <w:rFonts w:eastAsia="宋体"/>
                <w:color w:val="auto"/>
                <w:sz w:val="21"/>
                <w:szCs w:val="21"/>
                <w:highlight w:val="none"/>
              </w:rPr>
              <w:t>ESE</w:t>
            </w:r>
          </w:p>
        </w:tc>
        <w:tc>
          <w:tcPr>
            <w:tcW w:w="636" w:type="dxa"/>
            <w:tcBorders>
              <w:top w:val="single" w:color="000000" w:sz="4" w:space="0"/>
              <w:left w:val="single" w:color="000000" w:sz="4" w:space="0"/>
              <w:bottom w:val="single" w:color="000000" w:sz="4" w:space="0"/>
              <w:right w:val="single" w:color="000000" w:sz="4" w:space="0"/>
            </w:tcBorders>
            <w:vAlign w:val="center"/>
          </w:tcPr>
          <w:p w14:paraId="621DBEB9">
            <w:pPr>
              <w:pStyle w:val="98"/>
              <w:ind w:left="-105" w:right="-105"/>
              <w:rPr>
                <w:rFonts w:eastAsia="宋体"/>
                <w:color w:val="auto"/>
                <w:sz w:val="21"/>
                <w:szCs w:val="21"/>
                <w:highlight w:val="none"/>
              </w:rPr>
            </w:pPr>
            <w:r>
              <w:rPr>
                <w:rFonts w:eastAsia="宋体"/>
                <w:color w:val="auto"/>
                <w:sz w:val="21"/>
                <w:szCs w:val="21"/>
                <w:highlight w:val="none"/>
              </w:rPr>
              <w:t>ESE</w:t>
            </w:r>
          </w:p>
        </w:tc>
        <w:tc>
          <w:tcPr>
            <w:tcW w:w="636" w:type="dxa"/>
            <w:tcBorders>
              <w:top w:val="single" w:color="000000" w:sz="4" w:space="0"/>
              <w:left w:val="single" w:color="000000" w:sz="4" w:space="0"/>
              <w:bottom w:val="single" w:color="000000" w:sz="4" w:space="0"/>
              <w:right w:val="single" w:color="000000" w:sz="4" w:space="0"/>
            </w:tcBorders>
            <w:vAlign w:val="center"/>
          </w:tcPr>
          <w:p w14:paraId="27FF7336">
            <w:pPr>
              <w:pStyle w:val="98"/>
              <w:ind w:left="-105" w:right="-105"/>
              <w:rPr>
                <w:rFonts w:eastAsia="宋体"/>
                <w:color w:val="auto"/>
                <w:sz w:val="21"/>
                <w:szCs w:val="21"/>
                <w:highlight w:val="none"/>
              </w:rPr>
            </w:pPr>
            <w:r>
              <w:rPr>
                <w:rFonts w:eastAsia="宋体"/>
                <w:color w:val="auto"/>
                <w:sz w:val="21"/>
                <w:szCs w:val="21"/>
                <w:highlight w:val="none"/>
              </w:rPr>
              <w:t>ESE</w:t>
            </w:r>
          </w:p>
        </w:tc>
        <w:tc>
          <w:tcPr>
            <w:tcW w:w="636" w:type="dxa"/>
            <w:tcBorders>
              <w:top w:val="single" w:color="000000" w:sz="4" w:space="0"/>
              <w:left w:val="single" w:color="000000" w:sz="4" w:space="0"/>
              <w:bottom w:val="single" w:color="000000" w:sz="4" w:space="0"/>
              <w:right w:val="single" w:color="000000" w:sz="4" w:space="0"/>
            </w:tcBorders>
            <w:vAlign w:val="center"/>
          </w:tcPr>
          <w:p w14:paraId="72969CBF">
            <w:pPr>
              <w:pStyle w:val="98"/>
              <w:ind w:left="-105" w:right="-105"/>
              <w:rPr>
                <w:rFonts w:eastAsia="宋体"/>
                <w:color w:val="auto"/>
                <w:sz w:val="21"/>
                <w:szCs w:val="21"/>
                <w:highlight w:val="none"/>
              </w:rPr>
            </w:pPr>
            <w:r>
              <w:rPr>
                <w:rFonts w:eastAsia="宋体"/>
                <w:color w:val="auto"/>
                <w:sz w:val="21"/>
                <w:szCs w:val="21"/>
                <w:highlight w:val="none"/>
              </w:rPr>
              <w:t>NNW</w:t>
            </w:r>
          </w:p>
        </w:tc>
        <w:tc>
          <w:tcPr>
            <w:tcW w:w="636" w:type="dxa"/>
            <w:tcBorders>
              <w:top w:val="single" w:color="000000" w:sz="4" w:space="0"/>
              <w:left w:val="single" w:color="000000" w:sz="4" w:space="0"/>
              <w:bottom w:val="single" w:color="000000" w:sz="4" w:space="0"/>
              <w:right w:val="single" w:color="000000" w:sz="4" w:space="0"/>
            </w:tcBorders>
            <w:vAlign w:val="center"/>
          </w:tcPr>
          <w:p w14:paraId="388F3D55">
            <w:pPr>
              <w:pStyle w:val="98"/>
              <w:ind w:left="-105" w:right="-105"/>
              <w:rPr>
                <w:rFonts w:eastAsia="宋体"/>
                <w:color w:val="auto"/>
                <w:sz w:val="21"/>
                <w:szCs w:val="21"/>
                <w:highlight w:val="none"/>
              </w:rPr>
            </w:pPr>
            <w:r>
              <w:rPr>
                <w:rFonts w:eastAsia="宋体"/>
                <w:color w:val="auto"/>
                <w:sz w:val="21"/>
                <w:szCs w:val="21"/>
                <w:highlight w:val="none"/>
              </w:rPr>
              <w:t>NE</w:t>
            </w:r>
          </w:p>
        </w:tc>
        <w:tc>
          <w:tcPr>
            <w:tcW w:w="636" w:type="dxa"/>
            <w:tcBorders>
              <w:top w:val="single" w:color="000000" w:sz="4" w:space="0"/>
              <w:left w:val="single" w:color="000000" w:sz="4" w:space="0"/>
              <w:bottom w:val="single" w:color="000000" w:sz="4" w:space="0"/>
              <w:right w:val="single" w:color="000000" w:sz="4" w:space="0"/>
            </w:tcBorders>
            <w:vAlign w:val="center"/>
          </w:tcPr>
          <w:p w14:paraId="65D846C8">
            <w:pPr>
              <w:pStyle w:val="98"/>
              <w:ind w:left="-105" w:right="-105"/>
              <w:rPr>
                <w:rFonts w:eastAsia="宋体"/>
                <w:color w:val="auto"/>
                <w:sz w:val="21"/>
                <w:szCs w:val="21"/>
                <w:highlight w:val="none"/>
              </w:rPr>
            </w:pPr>
            <w:r>
              <w:rPr>
                <w:rFonts w:eastAsia="宋体"/>
                <w:color w:val="auto"/>
                <w:sz w:val="21"/>
                <w:szCs w:val="21"/>
                <w:highlight w:val="none"/>
              </w:rPr>
              <w:t>NE</w:t>
            </w:r>
          </w:p>
        </w:tc>
        <w:tc>
          <w:tcPr>
            <w:tcW w:w="637" w:type="dxa"/>
            <w:tcBorders>
              <w:top w:val="single" w:color="000000" w:sz="4" w:space="0"/>
              <w:left w:val="single" w:color="000000" w:sz="4" w:space="0"/>
              <w:bottom w:val="single" w:color="000000" w:sz="4" w:space="0"/>
              <w:right w:val="single" w:color="000000" w:sz="4" w:space="0"/>
            </w:tcBorders>
            <w:vAlign w:val="center"/>
          </w:tcPr>
          <w:p w14:paraId="76D03BE3">
            <w:pPr>
              <w:pStyle w:val="98"/>
              <w:ind w:left="-105" w:right="-105"/>
              <w:rPr>
                <w:rFonts w:eastAsia="宋体"/>
                <w:color w:val="auto"/>
                <w:sz w:val="21"/>
                <w:szCs w:val="21"/>
                <w:highlight w:val="none"/>
              </w:rPr>
            </w:pPr>
            <w:r>
              <w:rPr>
                <w:rFonts w:eastAsia="宋体"/>
                <w:color w:val="auto"/>
                <w:sz w:val="21"/>
                <w:szCs w:val="21"/>
                <w:highlight w:val="none"/>
              </w:rPr>
              <w:t>WNW</w:t>
            </w:r>
          </w:p>
        </w:tc>
        <w:tc>
          <w:tcPr>
            <w:tcW w:w="636" w:type="dxa"/>
            <w:tcBorders>
              <w:top w:val="single" w:color="000000" w:sz="4" w:space="0"/>
              <w:left w:val="single" w:color="000000" w:sz="4" w:space="0"/>
              <w:bottom w:val="single" w:color="000000" w:sz="4" w:space="0"/>
              <w:right w:val="single" w:color="000000" w:sz="4" w:space="0"/>
            </w:tcBorders>
            <w:vAlign w:val="center"/>
          </w:tcPr>
          <w:p w14:paraId="130D944E">
            <w:pPr>
              <w:pStyle w:val="98"/>
              <w:ind w:left="-105" w:right="-105"/>
              <w:rPr>
                <w:rFonts w:eastAsia="宋体"/>
                <w:color w:val="auto"/>
                <w:sz w:val="21"/>
                <w:szCs w:val="21"/>
                <w:highlight w:val="none"/>
              </w:rPr>
            </w:pPr>
            <w:r>
              <w:rPr>
                <w:rFonts w:eastAsia="宋体"/>
                <w:color w:val="auto"/>
                <w:sz w:val="21"/>
                <w:szCs w:val="21"/>
                <w:highlight w:val="none"/>
              </w:rPr>
              <w:t>N</w:t>
            </w:r>
          </w:p>
        </w:tc>
        <w:tc>
          <w:tcPr>
            <w:tcW w:w="643" w:type="dxa"/>
            <w:tcBorders>
              <w:top w:val="single" w:color="000000" w:sz="4" w:space="0"/>
              <w:left w:val="single" w:color="000000" w:sz="4" w:space="0"/>
              <w:bottom w:val="single" w:color="000000" w:sz="4" w:space="0"/>
              <w:right w:val="nil"/>
            </w:tcBorders>
            <w:vAlign w:val="center"/>
          </w:tcPr>
          <w:p w14:paraId="0A3DB43B">
            <w:pPr>
              <w:pStyle w:val="98"/>
              <w:ind w:left="-105" w:right="-105"/>
              <w:rPr>
                <w:rFonts w:eastAsia="宋体"/>
                <w:color w:val="auto"/>
                <w:sz w:val="21"/>
                <w:szCs w:val="21"/>
                <w:highlight w:val="none"/>
              </w:rPr>
            </w:pPr>
            <w:r>
              <w:rPr>
                <w:rFonts w:eastAsia="宋体"/>
                <w:color w:val="auto"/>
                <w:sz w:val="21"/>
                <w:szCs w:val="21"/>
                <w:highlight w:val="none"/>
              </w:rPr>
              <w:t>ESE</w:t>
            </w:r>
          </w:p>
        </w:tc>
      </w:tr>
      <w:tr w14:paraId="73C69A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1147" w:type="dxa"/>
            <w:tcBorders>
              <w:top w:val="single" w:color="000000" w:sz="4" w:space="0"/>
              <w:left w:val="nil"/>
              <w:bottom w:val="single" w:color="000000" w:sz="4" w:space="0"/>
              <w:right w:val="single" w:color="000000" w:sz="4" w:space="0"/>
            </w:tcBorders>
            <w:vAlign w:val="center"/>
          </w:tcPr>
          <w:p w14:paraId="5C2D527F">
            <w:pPr>
              <w:pStyle w:val="98"/>
              <w:ind w:left="-105" w:right="-105"/>
              <w:rPr>
                <w:rFonts w:eastAsia="宋体"/>
                <w:b/>
                <w:bCs/>
                <w:color w:val="auto"/>
                <w:sz w:val="21"/>
                <w:szCs w:val="21"/>
                <w:highlight w:val="none"/>
              </w:rPr>
            </w:pPr>
            <w:r>
              <w:rPr>
                <w:rFonts w:eastAsia="宋体"/>
                <w:b/>
                <w:bCs/>
                <w:color w:val="auto"/>
                <w:sz w:val="21"/>
                <w:szCs w:val="21"/>
                <w:highlight w:val="none"/>
              </w:rPr>
              <w:t>风频（%）</w:t>
            </w:r>
          </w:p>
        </w:tc>
        <w:tc>
          <w:tcPr>
            <w:tcW w:w="636" w:type="dxa"/>
            <w:tcBorders>
              <w:top w:val="single" w:color="000000" w:sz="4" w:space="0"/>
              <w:left w:val="single" w:color="000000" w:sz="4" w:space="0"/>
              <w:bottom w:val="single" w:color="000000" w:sz="4" w:space="0"/>
              <w:right w:val="single" w:color="000000" w:sz="4" w:space="0"/>
            </w:tcBorders>
            <w:vAlign w:val="center"/>
          </w:tcPr>
          <w:p w14:paraId="503AF1C1">
            <w:pPr>
              <w:pStyle w:val="98"/>
              <w:ind w:left="-105" w:right="-105"/>
              <w:rPr>
                <w:rFonts w:eastAsia="宋体"/>
                <w:color w:val="auto"/>
                <w:sz w:val="21"/>
                <w:szCs w:val="21"/>
                <w:highlight w:val="none"/>
              </w:rPr>
            </w:pPr>
            <w:r>
              <w:rPr>
                <w:rFonts w:eastAsia="宋体"/>
                <w:color w:val="auto"/>
                <w:sz w:val="21"/>
                <w:szCs w:val="21"/>
                <w:highlight w:val="none"/>
              </w:rPr>
              <w:t>12.8</w:t>
            </w:r>
          </w:p>
        </w:tc>
        <w:tc>
          <w:tcPr>
            <w:tcW w:w="636" w:type="dxa"/>
            <w:tcBorders>
              <w:top w:val="single" w:color="000000" w:sz="4" w:space="0"/>
              <w:left w:val="single" w:color="000000" w:sz="4" w:space="0"/>
              <w:bottom w:val="single" w:color="000000" w:sz="4" w:space="0"/>
              <w:right w:val="single" w:color="000000" w:sz="4" w:space="0"/>
            </w:tcBorders>
            <w:vAlign w:val="center"/>
          </w:tcPr>
          <w:p w14:paraId="6E302B48">
            <w:pPr>
              <w:pStyle w:val="98"/>
              <w:ind w:left="-105" w:right="-105"/>
              <w:rPr>
                <w:rFonts w:eastAsia="宋体"/>
                <w:color w:val="auto"/>
                <w:sz w:val="21"/>
                <w:szCs w:val="21"/>
                <w:highlight w:val="none"/>
              </w:rPr>
            </w:pPr>
            <w:r>
              <w:rPr>
                <w:rFonts w:eastAsia="宋体"/>
                <w:color w:val="auto"/>
                <w:sz w:val="21"/>
                <w:szCs w:val="21"/>
                <w:highlight w:val="none"/>
              </w:rPr>
              <w:t>9.0</w:t>
            </w:r>
          </w:p>
        </w:tc>
        <w:tc>
          <w:tcPr>
            <w:tcW w:w="637" w:type="dxa"/>
            <w:tcBorders>
              <w:top w:val="single" w:color="000000" w:sz="4" w:space="0"/>
              <w:left w:val="single" w:color="000000" w:sz="4" w:space="0"/>
              <w:bottom w:val="single" w:color="000000" w:sz="4" w:space="0"/>
              <w:right w:val="single" w:color="000000" w:sz="4" w:space="0"/>
            </w:tcBorders>
            <w:vAlign w:val="center"/>
          </w:tcPr>
          <w:p w14:paraId="6163C462">
            <w:pPr>
              <w:pStyle w:val="98"/>
              <w:ind w:left="-105" w:right="-105"/>
              <w:rPr>
                <w:rFonts w:eastAsia="宋体"/>
                <w:color w:val="auto"/>
                <w:sz w:val="21"/>
                <w:szCs w:val="21"/>
                <w:highlight w:val="none"/>
              </w:rPr>
            </w:pPr>
            <w:r>
              <w:rPr>
                <w:rFonts w:eastAsia="宋体"/>
                <w:color w:val="auto"/>
                <w:sz w:val="21"/>
                <w:szCs w:val="21"/>
                <w:highlight w:val="none"/>
              </w:rPr>
              <w:t>13.8</w:t>
            </w:r>
          </w:p>
        </w:tc>
        <w:tc>
          <w:tcPr>
            <w:tcW w:w="636" w:type="dxa"/>
            <w:tcBorders>
              <w:top w:val="single" w:color="000000" w:sz="4" w:space="0"/>
              <w:left w:val="single" w:color="000000" w:sz="4" w:space="0"/>
              <w:bottom w:val="single" w:color="000000" w:sz="4" w:space="0"/>
              <w:right w:val="single" w:color="000000" w:sz="4" w:space="0"/>
            </w:tcBorders>
            <w:vAlign w:val="center"/>
          </w:tcPr>
          <w:p w14:paraId="42654AF9">
            <w:pPr>
              <w:pStyle w:val="98"/>
              <w:ind w:left="-105" w:right="-105"/>
              <w:rPr>
                <w:rFonts w:eastAsia="宋体"/>
                <w:color w:val="auto"/>
                <w:sz w:val="21"/>
                <w:szCs w:val="21"/>
                <w:highlight w:val="none"/>
              </w:rPr>
            </w:pPr>
            <w:r>
              <w:rPr>
                <w:rFonts w:eastAsia="宋体"/>
                <w:color w:val="auto"/>
                <w:sz w:val="21"/>
                <w:szCs w:val="21"/>
                <w:highlight w:val="none"/>
              </w:rPr>
              <w:t>15.6</w:t>
            </w:r>
          </w:p>
        </w:tc>
        <w:tc>
          <w:tcPr>
            <w:tcW w:w="636" w:type="dxa"/>
            <w:tcBorders>
              <w:top w:val="single" w:color="000000" w:sz="4" w:space="0"/>
              <w:left w:val="single" w:color="000000" w:sz="4" w:space="0"/>
              <w:bottom w:val="single" w:color="000000" w:sz="4" w:space="0"/>
              <w:right w:val="single" w:color="000000" w:sz="4" w:space="0"/>
            </w:tcBorders>
            <w:vAlign w:val="center"/>
          </w:tcPr>
          <w:p w14:paraId="02DD9911">
            <w:pPr>
              <w:pStyle w:val="98"/>
              <w:ind w:left="-105" w:right="-105"/>
              <w:rPr>
                <w:rFonts w:eastAsia="宋体"/>
                <w:color w:val="auto"/>
                <w:sz w:val="21"/>
                <w:szCs w:val="21"/>
                <w:highlight w:val="none"/>
              </w:rPr>
            </w:pPr>
            <w:r>
              <w:rPr>
                <w:rFonts w:eastAsia="宋体"/>
                <w:color w:val="auto"/>
                <w:sz w:val="21"/>
                <w:szCs w:val="21"/>
                <w:highlight w:val="none"/>
              </w:rPr>
              <w:t>12.6</w:t>
            </w:r>
          </w:p>
        </w:tc>
        <w:tc>
          <w:tcPr>
            <w:tcW w:w="636" w:type="dxa"/>
            <w:tcBorders>
              <w:top w:val="single" w:color="000000" w:sz="4" w:space="0"/>
              <w:left w:val="single" w:color="000000" w:sz="4" w:space="0"/>
              <w:bottom w:val="single" w:color="000000" w:sz="4" w:space="0"/>
              <w:right w:val="single" w:color="000000" w:sz="4" w:space="0"/>
            </w:tcBorders>
            <w:vAlign w:val="center"/>
          </w:tcPr>
          <w:p w14:paraId="00F3E644">
            <w:pPr>
              <w:pStyle w:val="98"/>
              <w:ind w:left="-105" w:right="-105"/>
              <w:rPr>
                <w:rFonts w:eastAsia="宋体"/>
                <w:color w:val="auto"/>
                <w:sz w:val="21"/>
                <w:szCs w:val="21"/>
                <w:highlight w:val="none"/>
              </w:rPr>
            </w:pPr>
            <w:r>
              <w:rPr>
                <w:rFonts w:eastAsia="宋体"/>
                <w:color w:val="auto"/>
                <w:sz w:val="21"/>
                <w:szCs w:val="21"/>
                <w:highlight w:val="none"/>
              </w:rPr>
              <w:t>19.6</w:t>
            </w:r>
          </w:p>
        </w:tc>
        <w:tc>
          <w:tcPr>
            <w:tcW w:w="636" w:type="dxa"/>
            <w:tcBorders>
              <w:top w:val="single" w:color="000000" w:sz="4" w:space="0"/>
              <w:left w:val="single" w:color="000000" w:sz="4" w:space="0"/>
              <w:bottom w:val="single" w:color="000000" w:sz="4" w:space="0"/>
              <w:right w:val="single" w:color="000000" w:sz="4" w:space="0"/>
            </w:tcBorders>
            <w:vAlign w:val="center"/>
          </w:tcPr>
          <w:p w14:paraId="3EFC0332">
            <w:pPr>
              <w:pStyle w:val="98"/>
              <w:ind w:left="-105" w:right="-105"/>
              <w:rPr>
                <w:rFonts w:eastAsia="宋体"/>
                <w:color w:val="auto"/>
                <w:sz w:val="21"/>
                <w:szCs w:val="21"/>
                <w:highlight w:val="none"/>
              </w:rPr>
            </w:pPr>
            <w:r>
              <w:rPr>
                <w:rFonts w:eastAsia="宋体"/>
                <w:color w:val="auto"/>
                <w:sz w:val="21"/>
                <w:szCs w:val="21"/>
                <w:highlight w:val="none"/>
              </w:rPr>
              <w:t>14.8</w:t>
            </w:r>
          </w:p>
        </w:tc>
        <w:tc>
          <w:tcPr>
            <w:tcW w:w="636" w:type="dxa"/>
            <w:tcBorders>
              <w:top w:val="single" w:color="000000" w:sz="4" w:space="0"/>
              <w:left w:val="single" w:color="000000" w:sz="4" w:space="0"/>
              <w:bottom w:val="single" w:color="000000" w:sz="4" w:space="0"/>
              <w:right w:val="single" w:color="000000" w:sz="4" w:space="0"/>
            </w:tcBorders>
            <w:vAlign w:val="center"/>
          </w:tcPr>
          <w:p w14:paraId="47BF7A64">
            <w:pPr>
              <w:pStyle w:val="98"/>
              <w:ind w:left="-105" w:right="-105"/>
              <w:rPr>
                <w:rFonts w:eastAsia="宋体"/>
                <w:color w:val="auto"/>
                <w:sz w:val="21"/>
                <w:szCs w:val="21"/>
                <w:highlight w:val="none"/>
              </w:rPr>
            </w:pPr>
            <w:r>
              <w:rPr>
                <w:rFonts w:eastAsia="宋体"/>
                <w:color w:val="auto"/>
                <w:sz w:val="21"/>
                <w:szCs w:val="21"/>
                <w:highlight w:val="none"/>
              </w:rPr>
              <w:t>11.8</w:t>
            </w:r>
          </w:p>
        </w:tc>
        <w:tc>
          <w:tcPr>
            <w:tcW w:w="636" w:type="dxa"/>
            <w:tcBorders>
              <w:top w:val="single" w:color="000000" w:sz="4" w:space="0"/>
              <w:left w:val="single" w:color="000000" w:sz="4" w:space="0"/>
              <w:bottom w:val="single" w:color="000000" w:sz="4" w:space="0"/>
              <w:right w:val="single" w:color="000000" w:sz="4" w:space="0"/>
            </w:tcBorders>
            <w:vAlign w:val="center"/>
          </w:tcPr>
          <w:p w14:paraId="30A65223">
            <w:pPr>
              <w:pStyle w:val="98"/>
              <w:ind w:left="-105" w:right="-105"/>
              <w:rPr>
                <w:rFonts w:eastAsia="宋体"/>
                <w:color w:val="auto"/>
                <w:sz w:val="21"/>
                <w:szCs w:val="21"/>
                <w:highlight w:val="none"/>
              </w:rPr>
            </w:pPr>
            <w:r>
              <w:rPr>
                <w:rFonts w:eastAsia="宋体"/>
                <w:color w:val="auto"/>
                <w:sz w:val="21"/>
                <w:szCs w:val="21"/>
                <w:highlight w:val="none"/>
              </w:rPr>
              <w:t>12.6</w:t>
            </w:r>
          </w:p>
        </w:tc>
        <w:tc>
          <w:tcPr>
            <w:tcW w:w="636" w:type="dxa"/>
            <w:tcBorders>
              <w:top w:val="single" w:color="000000" w:sz="4" w:space="0"/>
              <w:left w:val="single" w:color="000000" w:sz="4" w:space="0"/>
              <w:bottom w:val="single" w:color="000000" w:sz="4" w:space="0"/>
              <w:right w:val="single" w:color="000000" w:sz="4" w:space="0"/>
            </w:tcBorders>
            <w:vAlign w:val="center"/>
          </w:tcPr>
          <w:p w14:paraId="4EEF037E">
            <w:pPr>
              <w:pStyle w:val="98"/>
              <w:ind w:left="-105" w:right="-105"/>
              <w:rPr>
                <w:rFonts w:eastAsia="宋体"/>
                <w:color w:val="auto"/>
                <w:sz w:val="21"/>
                <w:szCs w:val="21"/>
                <w:highlight w:val="none"/>
              </w:rPr>
            </w:pPr>
            <w:r>
              <w:rPr>
                <w:rFonts w:eastAsia="宋体"/>
                <w:color w:val="auto"/>
                <w:sz w:val="21"/>
                <w:szCs w:val="21"/>
                <w:highlight w:val="none"/>
              </w:rPr>
              <w:t>12.4</w:t>
            </w:r>
          </w:p>
        </w:tc>
        <w:tc>
          <w:tcPr>
            <w:tcW w:w="637" w:type="dxa"/>
            <w:tcBorders>
              <w:top w:val="single" w:color="000000" w:sz="4" w:space="0"/>
              <w:left w:val="single" w:color="000000" w:sz="4" w:space="0"/>
              <w:bottom w:val="single" w:color="000000" w:sz="4" w:space="0"/>
              <w:right w:val="single" w:color="000000" w:sz="4" w:space="0"/>
            </w:tcBorders>
            <w:vAlign w:val="center"/>
          </w:tcPr>
          <w:p w14:paraId="11AEE597">
            <w:pPr>
              <w:pStyle w:val="98"/>
              <w:ind w:left="-105" w:right="-105"/>
              <w:rPr>
                <w:rFonts w:eastAsia="宋体"/>
                <w:color w:val="auto"/>
                <w:sz w:val="21"/>
                <w:szCs w:val="21"/>
                <w:highlight w:val="none"/>
              </w:rPr>
            </w:pPr>
            <w:r>
              <w:rPr>
                <w:rFonts w:eastAsia="宋体"/>
                <w:color w:val="auto"/>
                <w:sz w:val="21"/>
                <w:szCs w:val="21"/>
                <w:highlight w:val="none"/>
              </w:rPr>
              <w:t>10.2</w:t>
            </w:r>
          </w:p>
        </w:tc>
        <w:tc>
          <w:tcPr>
            <w:tcW w:w="636" w:type="dxa"/>
            <w:tcBorders>
              <w:top w:val="single" w:color="000000" w:sz="4" w:space="0"/>
              <w:left w:val="single" w:color="000000" w:sz="4" w:space="0"/>
              <w:bottom w:val="single" w:color="000000" w:sz="4" w:space="0"/>
              <w:right w:val="single" w:color="000000" w:sz="4" w:space="0"/>
            </w:tcBorders>
            <w:vAlign w:val="center"/>
          </w:tcPr>
          <w:p w14:paraId="1E3BEF63">
            <w:pPr>
              <w:pStyle w:val="98"/>
              <w:ind w:left="-105" w:right="-105"/>
              <w:rPr>
                <w:rFonts w:eastAsia="宋体"/>
                <w:color w:val="auto"/>
                <w:sz w:val="21"/>
                <w:szCs w:val="21"/>
                <w:highlight w:val="none"/>
              </w:rPr>
            </w:pPr>
            <w:r>
              <w:rPr>
                <w:rFonts w:eastAsia="宋体"/>
                <w:color w:val="auto"/>
                <w:sz w:val="21"/>
                <w:szCs w:val="21"/>
                <w:highlight w:val="none"/>
              </w:rPr>
              <w:t>12.4</w:t>
            </w:r>
          </w:p>
        </w:tc>
        <w:tc>
          <w:tcPr>
            <w:tcW w:w="643" w:type="dxa"/>
            <w:tcBorders>
              <w:top w:val="single" w:color="000000" w:sz="4" w:space="0"/>
              <w:left w:val="single" w:color="000000" w:sz="4" w:space="0"/>
              <w:bottom w:val="single" w:color="000000" w:sz="4" w:space="0"/>
              <w:right w:val="nil"/>
            </w:tcBorders>
            <w:vAlign w:val="center"/>
          </w:tcPr>
          <w:p w14:paraId="120C5161">
            <w:pPr>
              <w:pStyle w:val="98"/>
              <w:ind w:left="-105" w:right="-105"/>
              <w:rPr>
                <w:rFonts w:eastAsia="宋体"/>
                <w:color w:val="auto"/>
                <w:sz w:val="21"/>
                <w:szCs w:val="21"/>
                <w:highlight w:val="none"/>
              </w:rPr>
            </w:pPr>
            <w:r>
              <w:rPr>
                <w:rFonts w:eastAsia="宋体"/>
                <w:color w:val="auto"/>
                <w:sz w:val="21"/>
                <w:szCs w:val="21"/>
                <w:highlight w:val="none"/>
              </w:rPr>
              <w:t>10.4</w:t>
            </w:r>
          </w:p>
        </w:tc>
      </w:tr>
      <w:tr w14:paraId="0FDFEC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71" w:hRule="atLeast"/>
          <w:jc w:val="center"/>
        </w:trPr>
        <w:tc>
          <w:tcPr>
            <w:tcW w:w="1147" w:type="dxa"/>
            <w:tcBorders>
              <w:top w:val="single" w:color="000000" w:sz="4" w:space="0"/>
              <w:left w:val="nil"/>
              <w:right w:val="single" w:color="000000" w:sz="4" w:space="0"/>
            </w:tcBorders>
            <w:vAlign w:val="center"/>
          </w:tcPr>
          <w:p w14:paraId="7439616C">
            <w:pPr>
              <w:pStyle w:val="98"/>
              <w:ind w:left="-105" w:right="-105"/>
              <w:rPr>
                <w:rFonts w:eastAsia="宋体"/>
                <w:b/>
                <w:bCs/>
                <w:color w:val="auto"/>
                <w:sz w:val="21"/>
                <w:szCs w:val="21"/>
                <w:highlight w:val="none"/>
              </w:rPr>
            </w:pPr>
            <w:r>
              <w:rPr>
                <w:rFonts w:eastAsia="宋体"/>
                <w:b/>
                <w:bCs/>
                <w:color w:val="auto"/>
                <w:sz w:val="21"/>
                <w:szCs w:val="21"/>
                <w:highlight w:val="none"/>
              </w:rPr>
              <w:t>静风频率</w:t>
            </w:r>
          </w:p>
          <w:p w14:paraId="14F4B2C7">
            <w:pPr>
              <w:pStyle w:val="98"/>
              <w:ind w:left="-105" w:right="-105"/>
              <w:rPr>
                <w:rFonts w:eastAsia="宋体"/>
                <w:b/>
                <w:bCs/>
                <w:color w:val="auto"/>
                <w:sz w:val="21"/>
                <w:szCs w:val="21"/>
                <w:highlight w:val="none"/>
              </w:rPr>
            </w:pPr>
            <w:r>
              <w:rPr>
                <w:rFonts w:eastAsia="宋体"/>
                <w:b/>
                <w:bCs/>
                <w:color w:val="auto"/>
                <w:sz w:val="21"/>
                <w:szCs w:val="21"/>
                <w:highlight w:val="none"/>
              </w:rPr>
              <w:t>（%）</w:t>
            </w:r>
          </w:p>
        </w:tc>
        <w:tc>
          <w:tcPr>
            <w:tcW w:w="636" w:type="dxa"/>
            <w:tcBorders>
              <w:top w:val="single" w:color="000000" w:sz="4" w:space="0"/>
              <w:left w:val="single" w:color="000000" w:sz="4" w:space="0"/>
              <w:right w:val="single" w:color="000000" w:sz="4" w:space="0"/>
            </w:tcBorders>
            <w:vAlign w:val="center"/>
          </w:tcPr>
          <w:p w14:paraId="4C5E13F5">
            <w:pPr>
              <w:pStyle w:val="98"/>
              <w:ind w:left="-105" w:right="-105"/>
              <w:rPr>
                <w:rFonts w:eastAsia="宋体"/>
                <w:color w:val="auto"/>
                <w:sz w:val="21"/>
                <w:szCs w:val="21"/>
                <w:highlight w:val="none"/>
              </w:rPr>
            </w:pPr>
            <w:r>
              <w:rPr>
                <w:rFonts w:eastAsia="宋体"/>
                <w:color w:val="auto"/>
                <w:sz w:val="21"/>
                <w:szCs w:val="21"/>
                <w:highlight w:val="none"/>
              </w:rPr>
              <w:t>17.6</w:t>
            </w:r>
          </w:p>
        </w:tc>
        <w:tc>
          <w:tcPr>
            <w:tcW w:w="636" w:type="dxa"/>
            <w:tcBorders>
              <w:top w:val="single" w:color="000000" w:sz="4" w:space="0"/>
              <w:left w:val="single" w:color="000000" w:sz="4" w:space="0"/>
              <w:right w:val="single" w:color="000000" w:sz="4" w:space="0"/>
            </w:tcBorders>
            <w:vAlign w:val="center"/>
          </w:tcPr>
          <w:p w14:paraId="5536B480">
            <w:pPr>
              <w:pStyle w:val="98"/>
              <w:ind w:left="-105" w:right="-105"/>
              <w:rPr>
                <w:rFonts w:eastAsia="宋体"/>
                <w:color w:val="auto"/>
                <w:sz w:val="21"/>
                <w:szCs w:val="21"/>
                <w:highlight w:val="none"/>
              </w:rPr>
            </w:pPr>
            <w:r>
              <w:rPr>
                <w:rFonts w:eastAsia="宋体"/>
                <w:color w:val="auto"/>
                <w:sz w:val="21"/>
                <w:szCs w:val="21"/>
                <w:highlight w:val="none"/>
              </w:rPr>
              <w:t>16.0</w:t>
            </w:r>
          </w:p>
        </w:tc>
        <w:tc>
          <w:tcPr>
            <w:tcW w:w="637" w:type="dxa"/>
            <w:tcBorders>
              <w:top w:val="single" w:color="000000" w:sz="4" w:space="0"/>
              <w:left w:val="single" w:color="000000" w:sz="4" w:space="0"/>
              <w:right w:val="single" w:color="000000" w:sz="4" w:space="0"/>
            </w:tcBorders>
            <w:vAlign w:val="center"/>
          </w:tcPr>
          <w:p w14:paraId="42649B14">
            <w:pPr>
              <w:pStyle w:val="98"/>
              <w:ind w:left="-105" w:right="-105"/>
              <w:rPr>
                <w:rFonts w:eastAsia="宋体"/>
                <w:color w:val="auto"/>
                <w:sz w:val="21"/>
                <w:szCs w:val="21"/>
                <w:highlight w:val="none"/>
              </w:rPr>
            </w:pPr>
            <w:r>
              <w:rPr>
                <w:rFonts w:eastAsia="宋体"/>
                <w:color w:val="auto"/>
                <w:sz w:val="21"/>
                <w:szCs w:val="21"/>
                <w:highlight w:val="none"/>
              </w:rPr>
              <w:t>10.8</w:t>
            </w:r>
          </w:p>
        </w:tc>
        <w:tc>
          <w:tcPr>
            <w:tcW w:w="636" w:type="dxa"/>
            <w:tcBorders>
              <w:top w:val="single" w:color="000000" w:sz="4" w:space="0"/>
              <w:left w:val="single" w:color="000000" w:sz="4" w:space="0"/>
              <w:right w:val="single" w:color="000000" w:sz="4" w:space="0"/>
            </w:tcBorders>
            <w:vAlign w:val="center"/>
          </w:tcPr>
          <w:p w14:paraId="4FAB7C3A">
            <w:pPr>
              <w:pStyle w:val="98"/>
              <w:ind w:left="-105" w:right="-105"/>
              <w:rPr>
                <w:rFonts w:eastAsia="宋体"/>
                <w:color w:val="auto"/>
                <w:sz w:val="21"/>
                <w:szCs w:val="21"/>
                <w:highlight w:val="none"/>
              </w:rPr>
            </w:pPr>
            <w:r>
              <w:rPr>
                <w:rFonts w:eastAsia="宋体"/>
                <w:color w:val="auto"/>
                <w:sz w:val="21"/>
                <w:szCs w:val="21"/>
                <w:highlight w:val="none"/>
              </w:rPr>
              <w:t>12.4</w:t>
            </w:r>
          </w:p>
        </w:tc>
        <w:tc>
          <w:tcPr>
            <w:tcW w:w="636" w:type="dxa"/>
            <w:tcBorders>
              <w:top w:val="single" w:color="000000" w:sz="4" w:space="0"/>
              <w:left w:val="single" w:color="000000" w:sz="4" w:space="0"/>
              <w:right w:val="single" w:color="000000" w:sz="4" w:space="0"/>
            </w:tcBorders>
            <w:vAlign w:val="center"/>
          </w:tcPr>
          <w:p w14:paraId="43EB2AFD">
            <w:pPr>
              <w:pStyle w:val="98"/>
              <w:ind w:left="-105" w:right="-105"/>
              <w:rPr>
                <w:rFonts w:eastAsia="宋体"/>
                <w:color w:val="auto"/>
                <w:sz w:val="21"/>
                <w:szCs w:val="21"/>
                <w:highlight w:val="none"/>
              </w:rPr>
            </w:pPr>
            <w:r>
              <w:rPr>
                <w:rFonts w:eastAsia="宋体"/>
                <w:color w:val="auto"/>
                <w:sz w:val="21"/>
                <w:szCs w:val="21"/>
                <w:highlight w:val="none"/>
              </w:rPr>
              <w:t>9.8</w:t>
            </w:r>
          </w:p>
        </w:tc>
        <w:tc>
          <w:tcPr>
            <w:tcW w:w="636" w:type="dxa"/>
            <w:tcBorders>
              <w:top w:val="single" w:color="000000" w:sz="4" w:space="0"/>
              <w:left w:val="single" w:color="000000" w:sz="4" w:space="0"/>
              <w:right w:val="single" w:color="000000" w:sz="4" w:space="0"/>
            </w:tcBorders>
            <w:vAlign w:val="center"/>
          </w:tcPr>
          <w:p w14:paraId="78CB66E3">
            <w:pPr>
              <w:pStyle w:val="98"/>
              <w:ind w:left="-105" w:right="-105"/>
              <w:rPr>
                <w:rFonts w:eastAsia="宋体"/>
                <w:color w:val="auto"/>
                <w:sz w:val="21"/>
                <w:szCs w:val="21"/>
                <w:highlight w:val="none"/>
              </w:rPr>
            </w:pPr>
            <w:r>
              <w:rPr>
                <w:rFonts w:eastAsia="宋体"/>
                <w:color w:val="auto"/>
                <w:sz w:val="21"/>
                <w:szCs w:val="21"/>
                <w:highlight w:val="none"/>
              </w:rPr>
              <w:t>11.0</w:t>
            </w:r>
          </w:p>
        </w:tc>
        <w:tc>
          <w:tcPr>
            <w:tcW w:w="636" w:type="dxa"/>
            <w:tcBorders>
              <w:top w:val="single" w:color="000000" w:sz="4" w:space="0"/>
              <w:left w:val="single" w:color="000000" w:sz="4" w:space="0"/>
              <w:right w:val="single" w:color="000000" w:sz="4" w:space="0"/>
            </w:tcBorders>
            <w:vAlign w:val="center"/>
          </w:tcPr>
          <w:p w14:paraId="1903037B">
            <w:pPr>
              <w:pStyle w:val="98"/>
              <w:ind w:left="-105" w:right="-105"/>
              <w:rPr>
                <w:rFonts w:eastAsia="宋体"/>
                <w:color w:val="auto"/>
                <w:sz w:val="21"/>
                <w:szCs w:val="21"/>
                <w:highlight w:val="none"/>
              </w:rPr>
            </w:pPr>
            <w:r>
              <w:rPr>
                <w:rFonts w:eastAsia="宋体"/>
                <w:color w:val="auto"/>
                <w:sz w:val="21"/>
                <w:szCs w:val="21"/>
                <w:highlight w:val="none"/>
              </w:rPr>
              <w:t>11.4</w:t>
            </w:r>
          </w:p>
        </w:tc>
        <w:tc>
          <w:tcPr>
            <w:tcW w:w="636" w:type="dxa"/>
            <w:tcBorders>
              <w:top w:val="single" w:color="000000" w:sz="4" w:space="0"/>
              <w:left w:val="single" w:color="000000" w:sz="4" w:space="0"/>
              <w:right w:val="single" w:color="000000" w:sz="4" w:space="0"/>
            </w:tcBorders>
            <w:vAlign w:val="center"/>
          </w:tcPr>
          <w:p w14:paraId="691D0969">
            <w:pPr>
              <w:pStyle w:val="98"/>
              <w:ind w:left="-105" w:right="-105"/>
              <w:rPr>
                <w:rFonts w:eastAsia="宋体"/>
                <w:color w:val="auto"/>
                <w:sz w:val="21"/>
                <w:szCs w:val="21"/>
                <w:highlight w:val="none"/>
              </w:rPr>
            </w:pPr>
            <w:r>
              <w:rPr>
                <w:rFonts w:eastAsia="宋体"/>
                <w:color w:val="auto"/>
                <w:sz w:val="21"/>
                <w:szCs w:val="21"/>
                <w:highlight w:val="none"/>
              </w:rPr>
              <w:t>8.0</w:t>
            </w:r>
          </w:p>
        </w:tc>
        <w:tc>
          <w:tcPr>
            <w:tcW w:w="636" w:type="dxa"/>
            <w:tcBorders>
              <w:top w:val="single" w:color="000000" w:sz="4" w:space="0"/>
              <w:left w:val="single" w:color="000000" w:sz="4" w:space="0"/>
              <w:right w:val="single" w:color="000000" w:sz="4" w:space="0"/>
            </w:tcBorders>
            <w:vAlign w:val="center"/>
          </w:tcPr>
          <w:p w14:paraId="37E15CB5">
            <w:pPr>
              <w:pStyle w:val="98"/>
              <w:ind w:left="-105" w:right="-105"/>
              <w:rPr>
                <w:rFonts w:eastAsia="宋体"/>
                <w:color w:val="auto"/>
                <w:sz w:val="21"/>
                <w:szCs w:val="21"/>
                <w:highlight w:val="none"/>
              </w:rPr>
            </w:pPr>
            <w:r>
              <w:rPr>
                <w:rFonts w:eastAsia="宋体"/>
                <w:color w:val="auto"/>
                <w:sz w:val="21"/>
                <w:szCs w:val="21"/>
                <w:highlight w:val="none"/>
              </w:rPr>
              <w:t>12.0</w:t>
            </w:r>
          </w:p>
        </w:tc>
        <w:tc>
          <w:tcPr>
            <w:tcW w:w="636" w:type="dxa"/>
            <w:tcBorders>
              <w:top w:val="single" w:color="000000" w:sz="4" w:space="0"/>
              <w:left w:val="single" w:color="000000" w:sz="4" w:space="0"/>
              <w:right w:val="single" w:color="000000" w:sz="4" w:space="0"/>
            </w:tcBorders>
            <w:vAlign w:val="center"/>
          </w:tcPr>
          <w:p w14:paraId="3AE2C1AD">
            <w:pPr>
              <w:pStyle w:val="98"/>
              <w:ind w:left="-105" w:right="-105"/>
              <w:rPr>
                <w:rFonts w:eastAsia="宋体"/>
                <w:color w:val="auto"/>
                <w:sz w:val="21"/>
                <w:szCs w:val="21"/>
                <w:highlight w:val="none"/>
              </w:rPr>
            </w:pPr>
            <w:r>
              <w:rPr>
                <w:rFonts w:eastAsia="宋体"/>
                <w:color w:val="auto"/>
                <w:sz w:val="21"/>
                <w:szCs w:val="21"/>
                <w:highlight w:val="none"/>
              </w:rPr>
              <w:t>12.6</w:t>
            </w:r>
          </w:p>
        </w:tc>
        <w:tc>
          <w:tcPr>
            <w:tcW w:w="637" w:type="dxa"/>
            <w:tcBorders>
              <w:top w:val="single" w:color="000000" w:sz="4" w:space="0"/>
              <w:left w:val="single" w:color="000000" w:sz="4" w:space="0"/>
              <w:right w:val="single" w:color="000000" w:sz="4" w:space="0"/>
            </w:tcBorders>
            <w:vAlign w:val="center"/>
          </w:tcPr>
          <w:p w14:paraId="178C5336">
            <w:pPr>
              <w:pStyle w:val="98"/>
              <w:ind w:left="-105" w:right="-105"/>
              <w:rPr>
                <w:rFonts w:eastAsia="宋体"/>
                <w:color w:val="auto"/>
                <w:sz w:val="21"/>
                <w:szCs w:val="21"/>
                <w:highlight w:val="none"/>
              </w:rPr>
            </w:pPr>
            <w:r>
              <w:rPr>
                <w:rFonts w:eastAsia="宋体"/>
                <w:color w:val="auto"/>
                <w:sz w:val="21"/>
                <w:szCs w:val="21"/>
                <w:highlight w:val="none"/>
              </w:rPr>
              <w:t>17.4</w:t>
            </w:r>
          </w:p>
        </w:tc>
        <w:tc>
          <w:tcPr>
            <w:tcW w:w="636" w:type="dxa"/>
            <w:tcBorders>
              <w:top w:val="single" w:color="000000" w:sz="4" w:space="0"/>
              <w:left w:val="single" w:color="000000" w:sz="4" w:space="0"/>
              <w:right w:val="single" w:color="000000" w:sz="4" w:space="0"/>
            </w:tcBorders>
            <w:vAlign w:val="center"/>
          </w:tcPr>
          <w:p w14:paraId="57E9D3B4">
            <w:pPr>
              <w:pStyle w:val="98"/>
              <w:ind w:left="-105" w:right="-105"/>
              <w:rPr>
                <w:rFonts w:eastAsia="宋体"/>
                <w:color w:val="auto"/>
                <w:sz w:val="21"/>
                <w:szCs w:val="21"/>
                <w:highlight w:val="none"/>
              </w:rPr>
            </w:pPr>
            <w:r>
              <w:rPr>
                <w:rFonts w:eastAsia="宋体"/>
                <w:color w:val="auto"/>
                <w:sz w:val="21"/>
                <w:szCs w:val="21"/>
                <w:highlight w:val="none"/>
              </w:rPr>
              <w:t>15.0</w:t>
            </w:r>
          </w:p>
        </w:tc>
        <w:tc>
          <w:tcPr>
            <w:tcW w:w="643" w:type="dxa"/>
            <w:tcBorders>
              <w:top w:val="single" w:color="000000" w:sz="4" w:space="0"/>
              <w:left w:val="single" w:color="000000" w:sz="4" w:space="0"/>
              <w:right w:val="nil"/>
            </w:tcBorders>
            <w:vAlign w:val="center"/>
          </w:tcPr>
          <w:p w14:paraId="49E8FB02">
            <w:pPr>
              <w:pStyle w:val="98"/>
              <w:ind w:left="-105" w:right="-105"/>
              <w:rPr>
                <w:rFonts w:eastAsia="宋体"/>
                <w:color w:val="auto"/>
                <w:sz w:val="21"/>
                <w:szCs w:val="21"/>
                <w:highlight w:val="none"/>
              </w:rPr>
            </w:pPr>
            <w:r>
              <w:rPr>
                <w:rFonts w:eastAsia="宋体"/>
                <w:color w:val="auto"/>
                <w:sz w:val="21"/>
                <w:szCs w:val="21"/>
                <w:highlight w:val="none"/>
              </w:rPr>
              <w:t>12.8</w:t>
            </w:r>
          </w:p>
        </w:tc>
      </w:tr>
    </w:tbl>
    <w:p w14:paraId="19B15BA9">
      <w:pPr>
        <w:spacing w:line="360" w:lineRule="auto"/>
        <w:ind w:left="-105" w:right="-105" w:firstLine="480"/>
        <w:rPr>
          <w:rFonts w:ascii="Times New Roman" w:hAnsi="Times New Roman"/>
          <w:color w:val="auto"/>
          <w:highlight w:val="none"/>
        </w:rPr>
        <w:sectPr>
          <w:headerReference r:id="rId23" w:type="default"/>
          <w:headerReference r:id="rId24"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olor w:val="auto"/>
          <w:highlight w:val="none"/>
        </w:rPr>
        <w:t>评价区域近年大气稳定度、风速、风向联合频率见</w:t>
      </w:r>
      <w:r>
        <w:rPr>
          <w:rFonts w:ascii="Times New Roman" w:hAnsi="Times New Roman"/>
          <w:color w:val="auto"/>
          <w:highlight w:val="none"/>
        </w:rPr>
        <w:fldChar w:fldCharType="begin"/>
      </w:r>
      <w:r>
        <w:rPr>
          <w:rFonts w:ascii="Times New Roman" w:hAnsi="Times New Roman"/>
          <w:color w:val="auto"/>
          <w:highlight w:val="none"/>
        </w:rPr>
        <w:instrText xml:space="preserve"> REF _Ref38871352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表6.1</w:t>
      </w:r>
      <w:r>
        <w:rPr>
          <w:rFonts w:ascii="Times New Roman" w:hAnsi="Times New Roman"/>
          <w:color w:val="auto"/>
          <w:szCs w:val="22"/>
          <w:highlight w:val="none"/>
        </w:rPr>
        <w:noBreakHyphen/>
      </w:r>
      <w:r>
        <w:rPr>
          <w:rFonts w:ascii="Times New Roman" w:hAnsi="Times New Roman"/>
          <w:color w:val="auto"/>
          <w:szCs w:val="22"/>
          <w:highlight w:val="none"/>
        </w:rPr>
        <w:t>3</w:t>
      </w:r>
      <w:r>
        <w:rPr>
          <w:rFonts w:ascii="Times New Roman" w:hAnsi="Times New Roman"/>
          <w:color w:val="auto"/>
          <w:highlight w:val="none"/>
        </w:rPr>
        <w:fldChar w:fldCharType="end"/>
      </w:r>
      <w:r>
        <w:rPr>
          <w:rFonts w:ascii="Times New Roman" w:hAnsi="Times New Roman"/>
          <w:color w:val="auto"/>
          <w:highlight w:val="none"/>
        </w:rPr>
        <w:t>。无锡地区近年各风向频率，平均风速情况见</w:t>
      </w:r>
      <w:r>
        <w:rPr>
          <w:rFonts w:ascii="Times New Roman" w:hAnsi="Times New Roman"/>
          <w:color w:val="auto"/>
          <w:highlight w:val="none"/>
        </w:rPr>
        <w:fldChar w:fldCharType="begin"/>
      </w:r>
      <w:r>
        <w:rPr>
          <w:rFonts w:ascii="Times New Roman" w:hAnsi="Times New Roman"/>
          <w:color w:val="auto"/>
          <w:highlight w:val="none"/>
        </w:rPr>
        <w:instrText xml:space="preserve"> REF _Ref38871358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表6.1</w:t>
      </w:r>
      <w:r>
        <w:rPr>
          <w:rFonts w:ascii="Times New Roman" w:hAnsi="Times New Roman"/>
          <w:color w:val="auto"/>
          <w:szCs w:val="22"/>
          <w:highlight w:val="none"/>
        </w:rPr>
        <w:noBreakHyphen/>
      </w:r>
      <w:r>
        <w:rPr>
          <w:rFonts w:ascii="Times New Roman" w:hAnsi="Times New Roman"/>
          <w:color w:val="auto"/>
          <w:szCs w:val="22"/>
          <w:highlight w:val="none"/>
        </w:rPr>
        <w:t>4</w:t>
      </w:r>
      <w:r>
        <w:rPr>
          <w:rFonts w:ascii="Times New Roman" w:hAnsi="Times New Roman"/>
          <w:color w:val="auto"/>
          <w:highlight w:val="none"/>
        </w:rPr>
        <w:fldChar w:fldCharType="end"/>
      </w:r>
      <w:r>
        <w:rPr>
          <w:rFonts w:ascii="Times New Roman" w:hAnsi="Times New Roman"/>
          <w:color w:val="auto"/>
          <w:highlight w:val="none"/>
        </w:rPr>
        <w:t>。风玫瑰图见</w:t>
      </w:r>
      <w:r>
        <w:rPr>
          <w:rFonts w:ascii="Times New Roman" w:hAnsi="Times New Roman"/>
          <w:color w:val="auto"/>
          <w:highlight w:val="none"/>
        </w:rPr>
        <w:fldChar w:fldCharType="begin"/>
      </w:r>
      <w:r>
        <w:rPr>
          <w:rFonts w:ascii="Times New Roman" w:hAnsi="Times New Roman"/>
          <w:color w:val="auto"/>
          <w:highlight w:val="none"/>
        </w:rPr>
        <w:instrText xml:space="preserve"> REF _Ref38871502 \h  \* MERGEFORMAT </w:instrText>
      </w:r>
      <w:r>
        <w:rPr>
          <w:rFonts w:ascii="Times New Roman" w:hAnsi="Times New Roman"/>
          <w:color w:val="auto"/>
          <w:highlight w:val="none"/>
        </w:rPr>
        <w:fldChar w:fldCharType="separate"/>
      </w:r>
      <w:r>
        <w:rPr>
          <w:rFonts w:ascii="Times New Roman" w:hAnsi="Times New Roman"/>
          <w:color w:val="auto"/>
          <w:szCs w:val="22"/>
          <w:highlight w:val="none"/>
        </w:rPr>
        <w:t>图6.1</w:t>
      </w:r>
      <w:r>
        <w:rPr>
          <w:rFonts w:ascii="Times New Roman" w:hAnsi="Times New Roman"/>
          <w:color w:val="auto"/>
          <w:szCs w:val="22"/>
          <w:highlight w:val="none"/>
        </w:rPr>
        <w:noBreakHyphen/>
      </w:r>
      <w:r>
        <w:rPr>
          <w:rFonts w:ascii="Times New Roman" w:hAnsi="Times New Roman"/>
          <w:color w:val="auto"/>
          <w:szCs w:val="22"/>
          <w:highlight w:val="none"/>
        </w:rPr>
        <w:t>1无锡市年风玫瑰图</w:t>
      </w:r>
      <w:r>
        <w:rPr>
          <w:rFonts w:ascii="Times New Roman" w:hAnsi="Times New Roman"/>
          <w:color w:val="auto"/>
          <w:highlight w:val="none"/>
        </w:rPr>
        <w:fldChar w:fldCharType="end"/>
      </w:r>
      <w:r>
        <w:rPr>
          <w:rFonts w:ascii="Times New Roman" w:hAnsi="Times New Roman"/>
          <w:color w:val="auto"/>
          <w:highlight w:val="none"/>
        </w:rPr>
        <w:t>。</w:t>
      </w:r>
    </w:p>
    <w:p w14:paraId="3A8B8AAE">
      <w:pPr>
        <w:pStyle w:val="15"/>
        <w:spacing w:line="360" w:lineRule="auto"/>
        <w:ind w:left="-105" w:right="-105" w:firstLine="482"/>
        <w:rPr>
          <w:rFonts w:eastAsia="宋体" w:cs="Times New Roman"/>
          <w:color w:val="auto"/>
          <w:sz w:val="24"/>
          <w:szCs w:val="18"/>
          <w:highlight w:val="none"/>
        </w:rPr>
      </w:pPr>
      <w:bookmarkStart w:id="365" w:name="_Ref38871352"/>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3</w:t>
      </w:r>
      <w:r>
        <w:rPr>
          <w:rFonts w:eastAsia="宋体" w:cs="Times New Roman"/>
          <w:color w:val="auto"/>
          <w:sz w:val="24"/>
          <w:szCs w:val="18"/>
          <w:highlight w:val="none"/>
        </w:rPr>
        <w:fldChar w:fldCharType="end"/>
      </w:r>
      <w:bookmarkEnd w:id="365"/>
      <w:r>
        <w:rPr>
          <w:rFonts w:eastAsia="宋体" w:cs="Times New Roman"/>
          <w:color w:val="auto"/>
          <w:sz w:val="24"/>
          <w:szCs w:val="18"/>
          <w:highlight w:val="none"/>
        </w:rPr>
        <w:t>风向、风速、稳定度联合频率表</w:t>
      </w:r>
    </w:p>
    <w:tbl>
      <w:tblPr>
        <w:tblStyle w:val="45"/>
        <w:tblW w:w="1389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116"/>
        <w:gridCol w:w="742"/>
        <w:gridCol w:w="683"/>
        <w:gridCol w:w="683"/>
        <w:gridCol w:w="686"/>
        <w:gridCol w:w="683"/>
        <w:gridCol w:w="683"/>
        <w:gridCol w:w="683"/>
        <w:gridCol w:w="685"/>
        <w:gridCol w:w="683"/>
        <w:gridCol w:w="683"/>
        <w:gridCol w:w="683"/>
        <w:gridCol w:w="683"/>
        <w:gridCol w:w="683"/>
        <w:gridCol w:w="684"/>
        <w:gridCol w:w="686"/>
        <w:gridCol w:w="684"/>
        <w:gridCol w:w="645"/>
        <w:gridCol w:w="1134"/>
      </w:tblGrid>
      <w:tr w14:paraId="1FE890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15" w:hRule="atLeast"/>
          <w:jc w:val="center"/>
        </w:trPr>
        <w:tc>
          <w:tcPr>
            <w:tcW w:w="1116" w:type="dxa"/>
            <w:vMerge w:val="restart"/>
            <w:tcBorders>
              <w:left w:val="nil"/>
              <w:right w:val="single" w:color="000000" w:sz="4" w:space="0"/>
            </w:tcBorders>
            <w:vAlign w:val="center"/>
          </w:tcPr>
          <w:p w14:paraId="45FE1F89">
            <w:pPr>
              <w:pStyle w:val="98"/>
              <w:ind w:left="-105" w:right="-105"/>
              <w:rPr>
                <w:rFonts w:eastAsia="宋体"/>
                <w:b/>
                <w:color w:val="auto"/>
                <w:sz w:val="21"/>
                <w:szCs w:val="21"/>
                <w:highlight w:val="none"/>
              </w:rPr>
            </w:pPr>
            <w:r>
              <w:rPr>
                <w:rFonts w:eastAsia="宋体"/>
                <w:b/>
                <w:color w:val="auto"/>
                <w:w w:val="90"/>
                <w:sz w:val="21"/>
                <w:szCs w:val="21"/>
                <w:highlight w:val="none"/>
              </w:rPr>
              <w:t>风速（m/s）</w:t>
            </w:r>
          </w:p>
        </w:tc>
        <w:tc>
          <w:tcPr>
            <w:tcW w:w="742" w:type="dxa"/>
            <w:vMerge w:val="restart"/>
            <w:tcBorders>
              <w:left w:val="single" w:color="000000" w:sz="4" w:space="0"/>
              <w:right w:val="single" w:color="000000" w:sz="4" w:space="0"/>
            </w:tcBorders>
            <w:vAlign w:val="center"/>
          </w:tcPr>
          <w:p w14:paraId="0EDE6FC3">
            <w:pPr>
              <w:pStyle w:val="98"/>
              <w:ind w:left="-105" w:right="-105"/>
              <w:rPr>
                <w:rFonts w:eastAsia="宋体"/>
                <w:b/>
                <w:color w:val="auto"/>
                <w:sz w:val="21"/>
                <w:szCs w:val="21"/>
                <w:highlight w:val="none"/>
              </w:rPr>
            </w:pPr>
            <w:r>
              <w:rPr>
                <w:rFonts w:eastAsia="宋体"/>
                <w:b/>
                <w:color w:val="auto"/>
                <w:sz w:val="21"/>
                <w:szCs w:val="21"/>
                <w:highlight w:val="none"/>
              </w:rPr>
              <w:t>稳定</w:t>
            </w:r>
          </w:p>
          <w:p w14:paraId="347F94D7">
            <w:pPr>
              <w:pStyle w:val="98"/>
              <w:ind w:left="-105" w:right="-105"/>
              <w:rPr>
                <w:rFonts w:eastAsia="宋体"/>
                <w:b/>
                <w:color w:val="auto"/>
                <w:sz w:val="21"/>
                <w:szCs w:val="21"/>
                <w:highlight w:val="none"/>
              </w:rPr>
            </w:pPr>
            <w:r>
              <w:rPr>
                <w:rFonts w:eastAsia="宋体"/>
                <w:b/>
                <w:color w:val="auto"/>
                <w:sz w:val="21"/>
                <w:szCs w:val="21"/>
                <w:highlight w:val="none"/>
              </w:rPr>
              <w:t>度</w:t>
            </w:r>
          </w:p>
        </w:tc>
        <w:tc>
          <w:tcPr>
            <w:tcW w:w="10900" w:type="dxa"/>
            <w:gridSpan w:val="16"/>
            <w:tcBorders>
              <w:left w:val="single" w:color="000000" w:sz="4" w:space="0"/>
              <w:bottom w:val="single" w:color="000000" w:sz="4" w:space="0"/>
              <w:right w:val="single" w:color="000000" w:sz="4" w:space="0"/>
            </w:tcBorders>
            <w:vAlign w:val="center"/>
          </w:tcPr>
          <w:p w14:paraId="081295DC">
            <w:pPr>
              <w:pStyle w:val="98"/>
              <w:ind w:left="-105" w:right="-105"/>
              <w:rPr>
                <w:rFonts w:eastAsia="宋体"/>
                <w:b/>
                <w:color w:val="auto"/>
                <w:sz w:val="21"/>
                <w:szCs w:val="21"/>
                <w:highlight w:val="none"/>
              </w:rPr>
            </w:pPr>
            <w:r>
              <w:rPr>
                <w:rFonts w:eastAsia="宋体"/>
                <w:b/>
                <w:color w:val="auto"/>
                <w:sz w:val="21"/>
                <w:szCs w:val="21"/>
                <w:highlight w:val="none"/>
              </w:rPr>
              <w:t>风向</w:t>
            </w:r>
          </w:p>
        </w:tc>
        <w:tc>
          <w:tcPr>
            <w:tcW w:w="1134" w:type="dxa"/>
            <w:vMerge w:val="restart"/>
            <w:tcBorders>
              <w:left w:val="single" w:color="000000" w:sz="4" w:space="0"/>
              <w:right w:val="nil"/>
            </w:tcBorders>
            <w:vAlign w:val="center"/>
          </w:tcPr>
          <w:p w14:paraId="08BED7FF">
            <w:pPr>
              <w:pStyle w:val="98"/>
              <w:ind w:left="-105" w:right="-105"/>
              <w:rPr>
                <w:rFonts w:eastAsia="宋体"/>
                <w:b/>
                <w:color w:val="auto"/>
                <w:sz w:val="21"/>
                <w:szCs w:val="21"/>
                <w:highlight w:val="none"/>
              </w:rPr>
            </w:pPr>
            <w:r>
              <w:rPr>
                <w:rFonts w:eastAsia="宋体"/>
                <w:b/>
                <w:color w:val="auto"/>
                <w:sz w:val="21"/>
                <w:szCs w:val="21"/>
                <w:highlight w:val="none"/>
              </w:rPr>
              <w:t>各方位共计</w:t>
            </w:r>
          </w:p>
        </w:tc>
      </w:tr>
      <w:tr w14:paraId="326275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8" w:hRule="atLeast"/>
          <w:jc w:val="center"/>
        </w:trPr>
        <w:tc>
          <w:tcPr>
            <w:tcW w:w="1116" w:type="dxa"/>
            <w:vMerge w:val="continue"/>
            <w:tcBorders>
              <w:left w:val="nil"/>
              <w:bottom w:val="single" w:color="000000" w:sz="4" w:space="0"/>
              <w:right w:val="single" w:color="000000" w:sz="4" w:space="0"/>
            </w:tcBorders>
            <w:vAlign w:val="center"/>
          </w:tcPr>
          <w:p w14:paraId="3AB36CB0">
            <w:pPr>
              <w:pStyle w:val="98"/>
              <w:ind w:left="-105" w:right="-105"/>
              <w:rPr>
                <w:rFonts w:eastAsia="宋体"/>
                <w:color w:val="auto"/>
                <w:sz w:val="21"/>
                <w:szCs w:val="21"/>
                <w:highlight w:val="none"/>
              </w:rPr>
            </w:pPr>
          </w:p>
        </w:tc>
        <w:tc>
          <w:tcPr>
            <w:tcW w:w="742" w:type="dxa"/>
            <w:vMerge w:val="continue"/>
            <w:tcBorders>
              <w:left w:val="single" w:color="000000" w:sz="4" w:space="0"/>
              <w:bottom w:val="single" w:color="000000" w:sz="4" w:space="0"/>
              <w:right w:val="single" w:color="000000" w:sz="4" w:space="0"/>
            </w:tcBorders>
            <w:vAlign w:val="center"/>
          </w:tcPr>
          <w:p w14:paraId="1675B34D">
            <w:pPr>
              <w:pStyle w:val="98"/>
              <w:ind w:left="-105" w:right="-105"/>
              <w:rPr>
                <w:rFonts w:eastAsia="宋体"/>
                <w:color w:val="auto"/>
                <w:sz w:val="21"/>
                <w:szCs w:val="21"/>
                <w:highlight w:val="none"/>
              </w:rPr>
            </w:pPr>
          </w:p>
        </w:tc>
        <w:tc>
          <w:tcPr>
            <w:tcW w:w="683" w:type="dxa"/>
            <w:tcBorders>
              <w:top w:val="single" w:color="000000" w:sz="4" w:space="0"/>
              <w:left w:val="single" w:color="000000" w:sz="4" w:space="0"/>
              <w:bottom w:val="single" w:color="000000" w:sz="4" w:space="0"/>
              <w:right w:val="single" w:color="000000" w:sz="4" w:space="0"/>
            </w:tcBorders>
            <w:vAlign w:val="center"/>
          </w:tcPr>
          <w:p w14:paraId="6C9A7830">
            <w:pPr>
              <w:pStyle w:val="98"/>
              <w:ind w:left="-105" w:right="-105"/>
              <w:rPr>
                <w:rFonts w:eastAsia="宋体"/>
                <w:b/>
                <w:color w:val="auto"/>
                <w:sz w:val="21"/>
                <w:szCs w:val="21"/>
                <w:highlight w:val="none"/>
              </w:rPr>
            </w:pPr>
            <w:r>
              <w:rPr>
                <w:rFonts w:hint="eastAsia" w:eastAsia="宋体"/>
                <w:b/>
                <w:color w:val="auto"/>
                <w:sz w:val="21"/>
                <w:szCs w:val="21"/>
                <w:highlight w:val="none"/>
                <w:lang w:val="en-US"/>
              </w:rPr>
              <w:t>N</w:t>
            </w:r>
          </w:p>
        </w:tc>
        <w:tc>
          <w:tcPr>
            <w:tcW w:w="683" w:type="dxa"/>
            <w:tcBorders>
              <w:top w:val="single" w:color="000000" w:sz="4" w:space="0"/>
              <w:left w:val="single" w:color="000000" w:sz="4" w:space="0"/>
              <w:bottom w:val="single" w:color="000000" w:sz="4" w:space="0"/>
              <w:right w:val="single" w:color="000000" w:sz="4" w:space="0"/>
            </w:tcBorders>
            <w:vAlign w:val="center"/>
          </w:tcPr>
          <w:p w14:paraId="606BC784">
            <w:pPr>
              <w:pStyle w:val="98"/>
              <w:ind w:left="-105" w:right="-105"/>
              <w:rPr>
                <w:rFonts w:eastAsia="宋体"/>
                <w:b/>
                <w:color w:val="auto"/>
                <w:sz w:val="21"/>
                <w:szCs w:val="21"/>
                <w:highlight w:val="none"/>
              </w:rPr>
            </w:pPr>
            <w:r>
              <w:rPr>
                <w:rFonts w:eastAsia="宋体"/>
                <w:b/>
                <w:color w:val="auto"/>
                <w:sz w:val="21"/>
                <w:szCs w:val="21"/>
                <w:highlight w:val="none"/>
              </w:rPr>
              <w:t>NNE</w:t>
            </w:r>
          </w:p>
        </w:tc>
        <w:tc>
          <w:tcPr>
            <w:tcW w:w="686" w:type="dxa"/>
            <w:tcBorders>
              <w:top w:val="single" w:color="000000" w:sz="4" w:space="0"/>
              <w:left w:val="single" w:color="000000" w:sz="4" w:space="0"/>
              <w:bottom w:val="single" w:color="000000" w:sz="4" w:space="0"/>
              <w:right w:val="single" w:color="000000" w:sz="4" w:space="0"/>
            </w:tcBorders>
            <w:vAlign w:val="center"/>
          </w:tcPr>
          <w:p w14:paraId="74615EE5">
            <w:pPr>
              <w:pStyle w:val="98"/>
              <w:ind w:left="-105" w:right="-105"/>
              <w:rPr>
                <w:rFonts w:eastAsia="宋体"/>
                <w:b/>
                <w:color w:val="auto"/>
                <w:sz w:val="21"/>
                <w:szCs w:val="21"/>
                <w:highlight w:val="none"/>
              </w:rPr>
            </w:pPr>
            <w:r>
              <w:rPr>
                <w:rFonts w:eastAsia="宋体"/>
                <w:b/>
                <w:color w:val="auto"/>
                <w:sz w:val="21"/>
                <w:szCs w:val="21"/>
                <w:highlight w:val="none"/>
              </w:rPr>
              <w:t>NE</w:t>
            </w:r>
          </w:p>
        </w:tc>
        <w:tc>
          <w:tcPr>
            <w:tcW w:w="683" w:type="dxa"/>
            <w:tcBorders>
              <w:top w:val="single" w:color="000000" w:sz="4" w:space="0"/>
              <w:left w:val="single" w:color="000000" w:sz="4" w:space="0"/>
              <w:bottom w:val="single" w:color="000000" w:sz="4" w:space="0"/>
              <w:right w:val="single" w:color="000000" w:sz="4" w:space="0"/>
            </w:tcBorders>
            <w:vAlign w:val="center"/>
          </w:tcPr>
          <w:p w14:paraId="7F6E386D">
            <w:pPr>
              <w:pStyle w:val="98"/>
              <w:ind w:left="-105" w:right="-105"/>
              <w:rPr>
                <w:rFonts w:eastAsia="宋体"/>
                <w:b/>
                <w:color w:val="auto"/>
                <w:sz w:val="21"/>
                <w:szCs w:val="21"/>
                <w:highlight w:val="none"/>
              </w:rPr>
            </w:pPr>
            <w:r>
              <w:rPr>
                <w:rFonts w:eastAsia="宋体"/>
                <w:b/>
                <w:color w:val="auto"/>
                <w:sz w:val="21"/>
                <w:szCs w:val="21"/>
                <w:highlight w:val="none"/>
              </w:rPr>
              <w:t>ENE</w:t>
            </w:r>
          </w:p>
        </w:tc>
        <w:tc>
          <w:tcPr>
            <w:tcW w:w="683" w:type="dxa"/>
            <w:tcBorders>
              <w:top w:val="single" w:color="000000" w:sz="4" w:space="0"/>
              <w:left w:val="single" w:color="000000" w:sz="4" w:space="0"/>
              <w:bottom w:val="single" w:color="000000" w:sz="4" w:space="0"/>
              <w:right w:val="single" w:color="000000" w:sz="4" w:space="0"/>
            </w:tcBorders>
            <w:vAlign w:val="center"/>
          </w:tcPr>
          <w:p w14:paraId="53539764">
            <w:pPr>
              <w:pStyle w:val="98"/>
              <w:ind w:left="-105" w:right="-105"/>
              <w:rPr>
                <w:rFonts w:eastAsia="宋体"/>
                <w:b/>
                <w:color w:val="auto"/>
                <w:sz w:val="21"/>
                <w:szCs w:val="21"/>
                <w:highlight w:val="none"/>
              </w:rPr>
            </w:pPr>
            <w:r>
              <w:rPr>
                <w:rFonts w:eastAsia="宋体"/>
                <w:b/>
                <w:color w:val="auto"/>
                <w:sz w:val="21"/>
                <w:szCs w:val="21"/>
                <w:highlight w:val="none"/>
              </w:rPr>
              <w:t>E</w:t>
            </w:r>
          </w:p>
        </w:tc>
        <w:tc>
          <w:tcPr>
            <w:tcW w:w="683" w:type="dxa"/>
            <w:tcBorders>
              <w:top w:val="single" w:color="000000" w:sz="4" w:space="0"/>
              <w:left w:val="single" w:color="000000" w:sz="4" w:space="0"/>
              <w:bottom w:val="single" w:color="000000" w:sz="4" w:space="0"/>
              <w:right w:val="single" w:color="000000" w:sz="4" w:space="0"/>
            </w:tcBorders>
            <w:vAlign w:val="center"/>
          </w:tcPr>
          <w:p w14:paraId="09F69896">
            <w:pPr>
              <w:pStyle w:val="98"/>
              <w:ind w:left="-105" w:right="-105"/>
              <w:rPr>
                <w:rFonts w:eastAsia="宋体"/>
                <w:b/>
                <w:color w:val="auto"/>
                <w:sz w:val="21"/>
                <w:szCs w:val="21"/>
                <w:highlight w:val="none"/>
              </w:rPr>
            </w:pPr>
            <w:r>
              <w:rPr>
                <w:rFonts w:eastAsia="宋体"/>
                <w:b/>
                <w:color w:val="auto"/>
                <w:sz w:val="21"/>
                <w:szCs w:val="21"/>
                <w:highlight w:val="none"/>
              </w:rPr>
              <w:t>ESE</w:t>
            </w:r>
          </w:p>
        </w:tc>
        <w:tc>
          <w:tcPr>
            <w:tcW w:w="685" w:type="dxa"/>
            <w:tcBorders>
              <w:top w:val="single" w:color="000000" w:sz="4" w:space="0"/>
              <w:left w:val="single" w:color="000000" w:sz="4" w:space="0"/>
              <w:bottom w:val="single" w:color="000000" w:sz="4" w:space="0"/>
              <w:right w:val="single" w:color="000000" w:sz="4" w:space="0"/>
            </w:tcBorders>
            <w:vAlign w:val="center"/>
          </w:tcPr>
          <w:p w14:paraId="293DC4EF">
            <w:pPr>
              <w:pStyle w:val="98"/>
              <w:ind w:left="-105" w:right="-105"/>
              <w:rPr>
                <w:rFonts w:eastAsia="宋体"/>
                <w:b/>
                <w:color w:val="auto"/>
                <w:sz w:val="21"/>
                <w:szCs w:val="21"/>
                <w:highlight w:val="none"/>
              </w:rPr>
            </w:pPr>
            <w:r>
              <w:rPr>
                <w:rFonts w:eastAsia="宋体"/>
                <w:b/>
                <w:color w:val="auto"/>
                <w:sz w:val="21"/>
                <w:szCs w:val="21"/>
                <w:highlight w:val="none"/>
              </w:rPr>
              <w:t>SE</w:t>
            </w:r>
          </w:p>
        </w:tc>
        <w:tc>
          <w:tcPr>
            <w:tcW w:w="683" w:type="dxa"/>
            <w:tcBorders>
              <w:top w:val="single" w:color="000000" w:sz="4" w:space="0"/>
              <w:left w:val="single" w:color="000000" w:sz="4" w:space="0"/>
              <w:bottom w:val="single" w:color="000000" w:sz="4" w:space="0"/>
              <w:right w:val="single" w:color="000000" w:sz="4" w:space="0"/>
            </w:tcBorders>
            <w:vAlign w:val="center"/>
          </w:tcPr>
          <w:p w14:paraId="31D7179F">
            <w:pPr>
              <w:pStyle w:val="98"/>
              <w:ind w:left="-105" w:right="-105"/>
              <w:rPr>
                <w:rFonts w:eastAsia="宋体"/>
                <w:b/>
                <w:color w:val="auto"/>
                <w:sz w:val="21"/>
                <w:szCs w:val="21"/>
                <w:highlight w:val="none"/>
              </w:rPr>
            </w:pPr>
            <w:r>
              <w:rPr>
                <w:rFonts w:eastAsia="宋体"/>
                <w:b/>
                <w:color w:val="auto"/>
                <w:sz w:val="21"/>
                <w:szCs w:val="21"/>
                <w:highlight w:val="none"/>
              </w:rPr>
              <w:t>SSE</w:t>
            </w:r>
          </w:p>
        </w:tc>
        <w:tc>
          <w:tcPr>
            <w:tcW w:w="683" w:type="dxa"/>
            <w:tcBorders>
              <w:top w:val="single" w:color="000000" w:sz="4" w:space="0"/>
              <w:left w:val="single" w:color="000000" w:sz="4" w:space="0"/>
              <w:bottom w:val="single" w:color="000000" w:sz="4" w:space="0"/>
              <w:right w:val="single" w:color="000000" w:sz="4" w:space="0"/>
            </w:tcBorders>
            <w:vAlign w:val="center"/>
          </w:tcPr>
          <w:p w14:paraId="257F8FB9">
            <w:pPr>
              <w:pStyle w:val="98"/>
              <w:ind w:left="-105" w:right="-105"/>
              <w:rPr>
                <w:rFonts w:eastAsia="宋体"/>
                <w:b/>
                <w:color w:val="auto"/>
                <w:sz w:val="21"/>
                <w:szCs w:val="21"/>
                <w:highlight w:val="none"/>
              </w:rPr>
            </w:pPr>
            <w:r>
              <w:rPr>
                <w:rFonts w:eastAsia="宋体"/>
                <w:b/>
                <w:color w:val="auto"/>
                <w:sz w:val="21"/>
                <w:szCs w:val="21"/>
                <w:highlight w:val="none"/>
              </w:rPr>
              <w:t>S</w:t>
            </w:r>
          </w:p>
        </w:tc>
        <w:tc>
          <w:tcPr>
            <w:tcW w:w="683" w:type="dxa"/>
            <w:tcBorders>
              <w:top w:val="single" w:color="000000" w:sz="4" w:space="0"/>
              <w:left w:val="single" w:color="000000" w:sz="4" w:space="0"/>
              <w:bottom w:val="single" w:color="000000" w:sz="4" w:space="0"/>
              <w:right w:val="single" w:color="000000" w:sz="4" w:space="0"/>
            </w:tcBorders>
            <w:vAlign w:val="center"/>
          </w:tcPr>
          <w:p w14:paraId="7431789C">
            <w:pPr>
              <w:pStyle w:val="98"/>
              <w:ind w:left="-105" w:right="-105"/>
              <w:rPr>
                <w:rFonts w:eastAsia="宋体"/>
                <w:b/>
                <w:color w:val="auto"/>
                <w:sz w:val="21"/>
                <w:szCs w:val="21"/>
                <w:highlight w:val="none"/>
              </w:rPr>
            </w:pPr>
            <w:r>
              <w:rPr>
                <w:rFonts w:eastAsia="宋体"/>
                <w:b/>
                <w:color w:val="auto"/>
                <w:sz w:val="21"/>
                <w:szCs w:val="21"/>
                <w:highlight w:val="none"/>
              </w:rPr>
              <w:t>SSW</w:t>
            </w:r>
          </w:p>
        </w:tc>
        <w:tc>
          <w:tcPr>
            <w:tcW w:w="683" w:type="dxa"/>
            <w:tcBorders>
              <w:top w:val="single" w:color="000000" w:sz="4" w:space="0"/>
              <w:left w:val="single" w:color="000000" w:sz="4" w:space="0"/>
              <w:bottom w:val="single" w:color="000000" w:sz="4" w:space="0"/>
              <w:right w:val="single" w:color="000000" w:sz="4" w:space="0"/>
            </w:tcBorders>
            <w:vAlign w:val="center"/>
          </w:tcPr>
          <w:p w14:paraId="2E7D8679">
            <w:pPr>
              <w:pStyle w:val="98"/>
              <w:ind w:left="-105" w:right="-105"/>
              <w:rPr>
                <w:rFonts w:eastAsia="宋体"/>
                <w:b/>
                <w:color w:val="auto"/>
                <w:sz w:val="21"/>
                <w:szCs w:val="21"/>
                <w:highlight w:val="none"/>
              </w:rPr>
            </w:pPr>
            <w:r>
              <w:rPr>
                <w:rFonts w:eastAsia="宋体"/>
                <w:b/>
                <w:color w:val="auto"/>
                <w:sz w:val="21"/>
                <w:szCs w:val="21"/>
                <w:highlight w:val="none"/>
              </w:rPr>
              <w:t>SW</w:t>
            </w:r>
          </w:p>
        </w:tc>
        <w:tc>
          <w:tcPr>
            <w:tcW w:w="683" w:type="dxa"/>
            <w:tcBorders>
              <w:top w:val="single" w:color="000000" w:sz="4" w:space="0"/>
              <w:left w:val="single" w:color="000000" w:sz="4" w:space="0"/>
              <w:bottom w:val="single" w:color="000000" w:sz="4" w:space="0"/>
              <w:right w:val="single" w:color="000000" w:sz="4" w:space="0"/>
            </w:tcBorders>
            <w:vAlign w:val="center"/>
          </w:tcPr>
          <w:p w14:paraId="1FB374B9">
            <w:pPr>
              <w:pStyle w:val="98"/>
              <w:ind w:left="-105" w:right="-105"/>
              <w:rPr>
                <w:rFonts w:eastAsia="宋体"/>
                <w:b/>
                <w:color w:val="auto"/>
                <w:sz w:val="21"/>
                <w:szCs w:val="21"/>
                <w:highlight w:val="none"/>
              </w:rPr>
            </w:pPr>
            <w:r>
              <w:rPr>
                <w:rFonts w:eastAsia="宋体"/>
                <w:b/>
                <w:color w:val="auto"/>
                <w:sz w:val="21"/>
                <w:szCs w:val="21"/>
                <w:highlight w:val="none"/>
              </w:rPr>
              <w:t>WSW</w:t>
            </w:r>
          </w:p>
        </w:tc>
        <w:tc>
          <w:tcPr>
            <w:tcW w:w="684" w:type="dxa"/>
            <w:tcBorders>
              <w:top w:val="single" w:color="000000" w:sz="4" w:space="0"/>
              <w:left w:val="single" w:color="000000" w:sz="4" w:space="0"/>
              <w:bottom w:val="single" w:color="000000" w:sz="4" w:space="0"/>
              <w:right w:val="single" w:color="000000" w:sz="4" w:space="0"/>
            </w:tcBorders>
            <w:vAlign w:val="center"/>
          </w:tcPr>
          <w:p w14:paraId="0C8686CA">
            <w:pPr>
              <w:pStyle w:val="98"/>
              <w:ind w:left="-105" w:right="-105"/>
              <w:rPr>
                <w:rFonts w:eastAsia="宋体"/>
                <w:b/>
                <w:color w:val="auto"/>
                <w:sz w:val="21"/>
                <w:szCs w:val="21"/>
                <w:highlight w:val="none"/>
              </w:rPr>
            </w:pPr>
            <w:r>
              <w:rPr>
                <w:rFonts w:eastAsia="宋体"/>
                <w:b/>
                <w:color w:val="auto"/>
                <w:sz w:val="21"/>
                <w:szCs w:val="21"/>
                <w:highlight w:val="none"/>
              </w:rPr>
              <w:t>W</w:t>
            </w:r>
          </w:p>
        </w:tc>
        <w:tc>
          <w:tcPr>
            <w:tcW w:w="686" w:type="dxa"/>
            <w:tcBorders>
              <w:top w:val="single" w:color="000000" w:sz="4" w:space="0"/>
              <w:left w:val="single" w:color="000000" w:sz="4" w:space="0"/>
              <w:bottom w:val="single" w:color="000000" w:sz="4" w:space="0"/>
              <w:right w:val="single" w:color="000000" w:sz="4" w:space="0"/>
            </w:tcBorders>
            <w:vAlign w:val="center"/>
          </w:tcPr>
          <w:p w14:paraId="4DCA99DD">
            <w:pPr>
              <w:pStyle w:val="98"/>
              <w:ind w:left="-105" w:right="-105"/>
              <w:rPr>
                <w:rFonts w:eastAsia="宋体"/>
                <w:b/>
                <w:color w:val="auto"/>
                <w:sz w:val="21"/>
                <w:szCs w:val="21"/>
                <w:highlight w:val="none"/>
              </w:rPr>
            </w:pPr>
            <w:r>
              <w:rPr>
                <w:rFonts w:eastAsia="宋体"/>
                <w:b/>
                <w:color w:val="auto"/>
                <w:sz w:val="21"/>
                <w:szCs w:val="21"/>
                <w:highlight w:val="none"/>
              </w:rPr>
              <w:t>WNW</w:t>
            </w:r>
          </w:p>
        </w:tc>
        <w:tc>
          <w:tcPr>
            <w:tcW w:w="684" w:type="dxa"/>
            <w:tcBorders>
              <w:top w:val="single" w:color="000000" w:sz="4" w:space="0"/>
              <w:left w:val="single" w:color="000000" w:sz="4" w:space="0"/>
              <w:bottom w:val="single" w:color="000000" w:sz="4" w:space="0"/>
              <w:right w:val="single" w:color="000000" w:sz="4" w:space="0"/>
            </w:tcBorders>
            <w:vAlign w:val="center"/>
          </w:tcPr>
          <w:p w14:paraId="079B5E41">
            <w:pPr>
              <w:pStyle w:val="98"/>
              <w:ind w:left="-105" w:right="-105"/>
              <w:rPr>
                <w:rFonts w:eastAsia="宋体"/>
                <w:b/>
                <w:color w:val="auto"/>
                <w:sz w:val="21"/>
                <w:szCs w:val="21"/>
                <w:highlight w:val="none"/>
              </w:rPr>
            </w:pPr>
            <w:r>
              <w:rPr>
                <w:rFonts w:eastAsia="宋体"/>
                <w:b/>
                <w:color w:val="auto"/>
                <w:sz w:val="21"/>
                <w:szCs w:val="21"/>
                <w:highlight w:val="none"/>
              </w:rPr>
              <w:t>NW</w:t>
            </w:r>
          </w:p>
        </w:tc>
        <w:tc>
          <w:tcPr>
            <w:tcW w:w="645" w:type="dxa"/>
            <w:tcBorders>
              <w:top w:val="single" w:color="000000" w:sz="4" w:space="0"/>
              <w:left w:val="single" w:color="000000" w:sz="4" w:space="0"/>
              <w:bottom w:val="single" w:color="000000" w:sz="4" w:space="0"/>
              <w:right w:val="single" w:color="000000" w:sz="4" w:space="0"/>
            </w:tcBorders>
            <w:vAlign w:val="center"/>
          </w:tcPr>
          <w:p w14:paraId="59E9AD23">
            <w:pPr>
              <w:pStyle w:val="98"/>
              <w:ind w:left="-105" w:right="-105"/>
              <w:rPr>
                <w:rFonts w:eastAsia="宋体"/>
                <w:b/>
                <w:color w:val="auto"/>
                <w:sz w:val="21"/>
                <w:szCs w:val="21"/>
                <w:highlight w:val="none"/>
              </w:rPr>
            </w:pPr>
            <w:r>
              <w:rPr>
                <w:rFonts w:eastAsia="宋体"/>
                <w:b/>
                <w:color w:val="auto"/>
                <w:sz w:val="21"/>
                <w:szCs w:val="21"/>
                <w:highlight w:val="none"/>
              </w:rPr>
              <w:t>NNW</w:t>
            </w:r>
          </w:p>
        </w:tc>
        <w:tc>
          <w:tcPr>
            <w:tcW w:w="1134" w:type="dxa"/>
            <w:vMerge w:val="continue"/>
            <w:tcBorders>
              <w:left w:val="single" w:color="000000" w:sz="4" w:space="0"/>
              <w:bottom w:val="single" w:color="000000" w:sz="4" w:space="0"/>
              <w:right w:val="nil"/>
            </w:tcBorders>
            <w:vAlign w:val="center"/>
          </w:tcPr>
          <w:p w14:paraId="4F1A00C8">
            <w:pPr>
              <w:pStyle w:val="98"/>
              <w:ind w:left="-105" w:right="-105"/>
              <w:rPr>
                <w:rFonts w:eastAsia="宋体"/>
                <w:color w:val="auto"/>
                <w:sz w:val="21"/>
                <w:szCs w:val="21"/>
                <w:highlight w:val="none"/>
              </w:rPr>
            </w:pPr>
          </w:p>
        </w:tc>
      </w:tr>
      <w:tr w14:paraId="447461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restart"/>
            <w:tcBorders>
              <w:top w:val="single" w:color="000000" w:sz="4" w:space="0"/>
              <w:left w:val="nil"/>
              <w:bottom w:val="single" w:color="000000" w:sz="4" w:space="0"/>
              <w:right w:val="single" w:color="000000" w:sz="4" w:space="0"/>
            </w:tcBorders>
            <w:vAlign w:val="center"/>
          </w:tcPr>
          <w:p w14:paraId="7045170A">
            <w:pPr>
              <w:pStyle w:val="98"/>
              <w:ind w:left="-105" w:right="-105"/>
              <w:rPr>
                <w:rFonts w:eastAsia="宋体"/>
                <w:color w:val="auto"/>
                <w:sz w:val="21"/>
                <w:szCs w:val="21"/>
                <w:highlight w:val="none"/>
              </w:rPr>
            </w:pPr>
            <w:r>
              <w:rPr>
                <w:rFonts w:eastAsia="宋体"/>
                <w:color w:val="auto"/>
                <w:sz w:val="21"/>
                <w:szCs w:val="21"/>
                <w:highlight w:val="none"/>
              </w:rPr>
              <w:t>≤2.0</w:t>
            </w:r>
          </w:p>
        </w:tc>
        <w:tc>
          <w:tcPr>
            <w:tcW w:w="742" w:type="dxa"/>
            <w:tcBorders>
              <w:top w:val="single" w:color="000000" w:sz="4" w:space="0"/>
              <w:left w:val="single" w:color="000000" w:sz="4" w:space="0"/>
              <w:bottom w:val="single" w:color="000000" w:sz="4" w:space="0"/>
              <w:right w:val="single" w:color="000000" w:sz="4" w:space="0"/>
            </w:tcBorders>
            <w:vAlign w:val="center"/>
          </w:tcPr>
          <w:p w14:paraId="4E7B8D2F">
            <w:pPr>
              <w:pStyle w:val="98"/>
              <w:ind w:left="-105" w:right="-105"/>
              <w:rPr>
                <w:rFonts w:eastAsia="宋体"/>
                <w:color w:val="auto"/>
                <w:sz w:val="21"/>
                <w:szCs w:val="21"/>
                <w:highlight w:val="none"/>
              </w:rPr>
            </w:pPr>
            <w:r>
              <w:rPr>
                <w:rFonts w:eastAsia="宋体"/>
                <w:color w:val="auto"/>
                <w:sz w:val="21"/>
                <w:szCs w:val="21"/>
                <w:highlight w:val="none"/>
              </w:rPr>
              <w:t>A</w:t>
            </w:r>
          </w:p>
        </w:tc>
        <w:tc>
          <w:tcPr>
            <w:tcW w:w="683" w:type="dxa"/>
            <w:tcBorders>
              <w:top w:val="single" w:color="000000" w:sz="4" w:space="0"/>
              <w:left w:val="single" w:color="000000" w:sz="4" w:space="0"/>
              <w:bottom w:val="single" w:color="000000" w:sz="4" w:space="0"/>
              <w:right w:val="single" w:color="000000" w:sz="4" w:space="0"/>
            </w:tcBorders>
            <w:vAlign w:val="center"/>
          </w:tcPr>
          <w:p w14:paraId="6B3EB22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72406921">
            <w:pPr>
              <w:pStyle w:val="98"/>
              <w:ind w:left="-105" w:right="-105"/>
              <w:rPr>
                <w:rFonts w:eastAsia="宋体"/>
                <w:color w:val="auto"/>
                <w:sz w:val="21"/>
                <w:szCs w:val="21"/>
                <w:highlight w:val="none"/>
              </w:rPr>
            </w:pPr>
            <w:r>
              <w:rPr>
                <w:rFonts w:eastAsia="宋体"/>
                <w:color w:val="auto"/>
                <w:sz w:val="21"/>
                <w:szCs w:val="21"/>
                <w:highlight w:val="none"/>
              </w:rPr>
              <w:t>0.1</w:t>
            </w:r>
          </w:p>
        </w:tc>
        <w:tc>
          <w:tcPr>
            <w:tcW w:w="686" w:type="dxa"/>
            <w:tcBorders>
              <w:top w:val="single" w:color="000000" w:sz="4" w:space="0"/>
              <w:left w:val="single" w:color="000000" w:sz="4" w:space="0"/>
              <w:bottom w:val="single" w:color="000000" w:sz="4" w:space="0"/>
              <w:right w:val="single" w:color="000000" w:sz="4" w:space="0"/>
            </w:tcBorders>
            <w:vAlign w:val="center"/>
          </w:tcPr>
          <w:p w14:paraId="57ACFA12">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34A97706">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14420394">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09C021D6">
            <w:pPr>
              <w:pStyle w:val="98"/>
              <w:ind w:left="-105" w:right="-105"/>
              <w:rPr>
                <w:rFonts w:eastAsia="宋体"/>
                <w:color w:val="auto"/>
                <w:sz w:val="21"/>
                <w:szCs w:val="21"/>
                <w:highlight w:val="none"/>
              </w:rPr>
            </w:pPr>
            <w:r>
              <w:rPr>
                <w:rFonts w:eastAsia="宋体"/>
                <w:color w:val="auto"/>
                <w:sz w:val="21"/>
                <w:szCs w:val="21"/>
                <w:highlight w:val="none"/>
              </w:rPr>
              <w:t>0.1</w:t>
            </w:r>
          </w:p>
        </w:tc>
        <w:tc>
          <w:tcPr>
            <w:tcW w:w="685" w:type="dxa"/>
            <w:tcBorders>
              <w:top w:val="single" w:color="000000" w:sz="4" w:space="0"/>
              <w:left w:val="single" w:color="000000" w:sz="4" w:space="0"/>
              <w:bottom w:val="single" w:color="000000" w:sz="4" w:space="0"/>
              <w:right w:val="single" w:color="000000" w:sz="4" w:space="0"/>
            </w:tcBorders>
            <w:vAlign w:val="center"/>
          </w:tcPr>
          <w:p w14:paraId="6AD67E61">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0AB62B1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14C3AC66">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412E5F72">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6FDB98D9">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1B8ED751">
            <w:pPr>
              <w:pStyle w:val="98"/>
              <w:ind w:left="-105" w:right="-105"/>
              <w:rPr>
                <w:rFonts w:eastAsia="宋体"/>
                <w:color w:val="auto"/>
                <w:sz w:val="21"/>
                <w:szCs w:val="21"/>
                <w:highlight w:val="none"/>
              </w:rPr>
            </w:pPr>
            <w:r>
              <w:rPr>
                <w:rFonts w:eastAsia="宋体"/>
                <w:color w:val="auto"/>
                <w:sz w:val="21"/>
                <w:szCs w:val="21"/>
                <w:highlight w:val="none"/>
              </w:rPr>
              <w:t>0.1</w:t>
            </w:r>
          </w:p>
        </w:tc>
        <w:tc>
          <w:tcPr>
            <w:tcW w:w="684" w:type="dxa"/>
            <w:tcBorders>
              <w:top w:val="single" w:color="000000" w:sz="4" w:space="0"/>
              <w:left w:val="single" w:color="000000" w:sz="4" w:space="0"/>
              <w:bottom w:val="single" w:color="000000" w:sz="4" w:space="0"/>
              <w:right w:val="single" w:color="000000" w:sz="4" w:space="0"/>
            </w:tcBorders>
          </w:tcPr>
          <w:p w14:paraId="2DF352E6">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48DE9770">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37535CD9">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7BD6F5B4">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vAlign w:val="center"/>
          </w:tcPr>
          <w:p w14:paraId="2F674E4C">
            <w:pPr>
              <w:pStyle w:val="98"/>
              <w:ind w:left="-105" w:right="-105"/>
              <w:rPr>
                <w:rFonts w:eastAsia="宋体"/>
                <w:color w:val="auto"/>
                <w:sz w:val="21"/>
                <w:szCs w:val="21"/>
                <w:highlight w:val="none"/>
              </w:rPr>
            </w:pPr>
            <w:r>
              <w:rPr>
                <w:rFonts w:eastAsia="宋体"/>
                <w:color w:val="auto"/>
                <w:sz w:val="21"/>
                <w:szCs w:val="21"/>
                <w:highlight w:val="none"/>
              </w:rPr>
              <w:t>1.00</w:t>
            </w:r>
          </w:p>
        </w:tc>
      </w:tr>
      <w:tr w14:paraId="7F5F4B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1EDC289D">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12B2A2EA">
            <w:pPr>
              <w:pStyle w:val="98"/>
              <w:ind w:left="-105" w:right="-105"/>
              <w:rPr>
                <w:rFonts w:eastAsia="宋体"/>
                <w:color w:val="auto"/>
                <w:sz w:val="21"/>
                <w:szCs w:val="21"/>
                <w:highlight w:val="none"/>
              </w:rPr>
            </w:pPr>
            <w:r>
              <w:rPr>
                <w:rFonts w:eastAsia="宋体"/>
                <w:color w:val="auto"/>
                <w:sz w:val="21"/>
                <w:szCs w:val="21"/>
                <w:highlight w:val="none"/>
              </w:rPr>
              <w:t>B</w:t>
            </w:r>
          </w:p>
        </w:tc>
        <w:tc>
          <w:tcPr>
            <w:tcW w:w="683" w:type="dxa"/>
            <w:tcBorders>
              <w:top w:val="single" w:color="000000" w:sz="4" w:space="0"/>
              <w:left w:val="single" w:color="000000" w:sz="4" w:space="0"/>
              <w:bottom w:val="single" w:color="000000" w:sz="4" w:space="0"/>
              <w:right w:val="single" w:color="000000" w:sz="4" w:space="0"/>
            </w:tcBorders>
            <w:vAlign w:val="center"/>
          </w:tcPr>
          <w:p w14:paraId="1DC3E2FC">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458885B3">
            <w:pPr>
              <w:pStyle w:val="98"/>
              <w:ind w:left="-105" w:right="-105"/>
              <w:rPr>
                <w:rFonts w:eastAsia="宋体"/>
                <w:color w:val="auto"/>
                <w:sz w:val="21"/>
                <w:szCs w:val="21"/>
                <w:highlight w:val="none"/>
              </w:rPr>
            </w:pPr>
            <w:r>
              <w:rPr>
                <w:rFonts w:eastAsia="宋体"/>
                <w:color w:val="auto"/>
                <w:sz w:val="21"/>
                <w:szCs w:val="21"/>
                <w:highlight w:val="none"/>
              </w:rPr>
              <w:t>0.8</w:t>
            </w:r>
          </w:p>
        </w:tc>
        <w:tc>
          <w:tcPr>
            <w:tcW w:w="686" w:type="dxa"/>
            <w:tcBorders>
              <w:top w:val="single" w:color="000000" w:sz="4" w:space="0"/>
              <w:left w:val="single" w:color="000000" w:sz="4" w:space="0"/>
              <w:bottom w:val="single" w:color="000000" w:sz="4" w:space="0"/>
              <w:right w:val="single" w:color="000000" w:sz="4" w:space="0"/>
            </w:tcBorders>
            <w:vAlign w:val="center"/>
          </w:tcPr>
          <w:p w14:paraId="186BAA05">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6D43AEDD">
            <w:pPr>
              <w:pStyle w:val="98"/>
              <w:ind w:left="-105" w:right="-105"/>
              <w:rPr>
                <w:rFonts w:eastAsia="宋体"/>
                <w:color w:val="auto"/>
                <w:sz w:val="21"/>
                <w:szCs w:val="21"/>
                <w:highlight w:val="none"/>
              </w:rPr>
            </w:pPr>
            <w:r>
              <w:rPr>
                <w:rFonts w:eastAsia="宋体"/>
                <w:color w:val="auto"/>
                <w:sz w:val="21"/>
                <w:szCs w:val="21"/>
                <w:highlight w:val="none"/>
              </w:rPr>
              <w:t>0.1</w:t>
            </w:r>
          </w:p>
        </w:tc>
        <w:tc>
          <w:tcPr>
            <w:tcW w:w="683" w:type="dxa"/>
            <w:tcBorders>
              <w:top w:val="single" w:color="000000" w:sz="4" w:space="0"/>
              <w:left w:val="single" w:color="000000" w:sz="4" w:space="0"/>
              <w:bottom w:val="single" w:color="000000" w:sz="4" w:space="0"/>
              <w:right w:val="single" w:color="000000" w:sz="4" w:space="0"/>
            </w:tcBorders>
            <w:vAlign w:val="center"/>
          </w:tcPr>
          <w:p w14:paraId="68C507EA">
            <w:pPr>
              <w:pStyle w:val="98"/>
              <w:ind w:left="-105" w:right="-105"/>
              <w:rPr>
                <w:rFonts w:eastAsia="宋体"/>
                <w:color w:val="auto"/>
                <w:sz w:val="21"/>
                <w:szCs w:val="21"/>
                <w:highlight w:val="none"/>
              </w:rPr>
            </w:pPr>
            <w:r>
              <w:rPr>
                <w:rFonts w:eastAsia="宋体"/>
                <w:color w:val="auto"/>
                <w:sz w:val="21"/>
                <w:szCs w:val="21"/>
                <w:highlight w:val="none"/>
              </w:rPr>
              <w:t>0.2</w:t>
            </w:r>
          </w:p>
        </w:tc>
        <w:tc>
          <w:tcPr>
            <w:tcW w:w="683" w:type="dxa"/>
            <w:tcBorders>
              <w:top w:val="single" w:color="000000" w:sz="4" w:space="0"/>
              <w:left w:val="single" w:color="000000" w:sz="4" w:space="0"/>
              <w:bottom w:val="single" w:color="000000" w:sz="4" w:space="0"/>
              <w:right w:val="single" w:color="000000" w:sz="4" w:space="0"/>
            </w:tcBorders>
            <w:vAlign w:val="center"/>
          </w:tcPr>
          <w:p w14:paraId="57A3E113">
            <w:pPr>
              <w:pStyle w:val="98"/>
              <w:ind w:left="-105" w:right="-105"/>
              <w:rPr>
                <w:rFonts w:eastAsia="宋体"/>
                <w:color w:val="auto"/>
                <w:sz w:val="21"/>
                <w:szCs w:val="21"/>
                <w:highlight w:val="none"/>
              </w:rPr>
            </w:pPr>
            <w:r>
              <w:rPr>
                <w:rFonts w:eastAsia="宋体"/>
                <w:color w:val="auto"/>
                <w:sz w:val="21"/>
                <w:szCs w:val="21"/>
                <w:highlight w:val="none"/>
              </w:rPr>
              <w:t>0.8</w:t>
            </w:r>
          </w:p>
        </w:tc>
        <w:tc>
          <w:tcPr>
            <w:tcW w:w="685" w:type="dxa"/>
            <w:tcBorders>
              <w:top w:val="single" w:color="000000" w:sz="4" w:space="0"/>
              <w:left w:val="single" w:color="000000" w:sz="4" w:space="0"/>
              <w:bottom w:val="single" w:color="000000" w:sz="4" w:space="0"/>
              <w:right w:val="single" w:color="000000" w:sz="4" w:space="0"/>
            </w:tcBorders>
            <w:vAlign w:val="center"/>
          </w:tcPr>
          <w:p w14:paraId="154C4565">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644CCDC9">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3D51FE0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0FEE9B3">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7A0895B6">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4917C46E">
            <w:pPr>
              <w:pStyle w:val="98"/>
              <w:ind w:left="-105" w:right="-105"/>
              <w:rPr>
                <w:rFonts w:eastAsia="宋体"/>
                <w:color w:val="auto"/>
                <w:sz w:val="21"/>
                <w:szCs w:val="21"/>
                <w:highlight w:val="none"/>
              </w:rPr>
            </w:pPr>
            <w:r>
              <w:rPr>
                <w:rFonts w:eastAsia="宋体"/>
                <w:color w:val="auto"/>
                <w:sz w:val="21"/>
                <w:szCs w:val="21"/>
                <w:highlight w:val="none"/>
              </w:rPr>
              <w:t>0.1</w:t>
            </w:r>
          </w:p>
        </w:tc>
        <w:tc>
          <w:tcPr>
            <w:tcW w:w="684" w:type="dxa"/>
            <w:tcBorders>
              <w:top w:val="single" w:color="000000" w:sz="4" w:space="0"/>
              <w:left w:val="single" w:color="000000" w:sz="4" w:space="0"/>
              <w:bottom w:val="single" w:color="000000" w:sz="4" w:space="0"/>
              <w:right w:val="single" w:color="000000" w:sz="4" w:space="0"/>
            </w:tcBorders>
            <w:vAlign w:val="center"/>
          </w:tcPr>
          <w:p w14:paraId="69A4F272">
            <w:pPr>
              <w:pStyle w:val="98"/>
              <w:ind w:left="-105" w:right="-105"/>
              <w:rPr>
                <w:rFonts w:eastAsia="宋体"/>
                <w:color w:val="auto"/>
                <w:sz w:val="21"/>
                <w:szCs w:val="21"/>
                <w:highlight w:val="none"/>
              </w:rPr>
            </w:pPr>
            <w:r>
              <w:rPr>
                <w:rFonts w:eastAsia="宋体"/>
                <w:color w:val="auto"/>
                <w:sz w:val="21"/>
                <w:szCs w:val="21"/>
                <w:highlight w:val="none"/>
              </w:rPr>
              <w:t>0.1</w:t>
            </w:r>
          </w:p>
        </w:tc>
        <w:tc>
          <w:tcPr>
            <w:tcW w:w="686" w:type="dxa"/>
            <w:tcBorders>
              <w:top w:val="single" w:color="000000" w:sz="4" w:space="0"/>
              <w:left w:val="single" w:color="000000" w:sz="4" w:space="0"/>
              <w:bottom w:val="single" w:color="000000" w:sz="4" w:space="0"/>
              <w:right w:val="single" w:color="000000" w:sz="4" w:space="0"/>
            </w:tcBorders>
          </w:tcPr>
          <w:p w14:paraId="68FDAB5A">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4616EEFE">
            <w:pPr>
              <w:pStyle w:val="98"/>
              <w:ind w:left="-105" w:right="-105"/>
              <w:rPr>
                <w:rFonts w:eastAsia="宋体"/>
                <w:color w:val="auto"/>
                <w:sz w:val="21"/>
                <w:szCs w:val="21"/>
                <w:highlight w:val="none"/>
              </w:rPr>
            </w:pPr>
            <w:r>
              <w:rPr>
                <w:rFonts w:eastAsia="宋体"/>
                <w:color w:val="auto"/>
                <w:sz w:val="21"/>
                <w:szCs w:val="21"/>
                <w:highlight w:val="none"/>
              </w:rPr>
              <w:t>0.3</w:t>
            </w:r>
          </w:p>
        </w:tc>
        <w:tc>
          <w:tcPr>
            <w:tcW w:w="645" w:type="dxa"/>
            <w:tcBorders>
              <w:top w:val="single" w:color="000000" w:sz="4" w:space="0"/>
              <w:left w:val="single" w:color="000000" w:sz="4" w:space="0"/>
              <w:bottom w:val="single" w:color="000000" w:sz="4" w:space="0"/>
              <w:right w:val="single" w:color="000000" w:sz="4" w:space="0"/>
            </w:tcBorders>
            <w:vAlign w:val="center"/>
          </w:tcPr>
          <w:p w14:paraId="78E9E173">
            <w:pPr>
              <w:pStyle w:val="98"/>
              <w:ind w:left="-105" w:right="-105"/>
              <w:rPr>
                <w:rFonts w:eastAsia="宋体"/>
                <w:color w:val="auto"/>
                <w:sz w:val="21"/>
                <w:szCs w:val="21"/>
                <w:highlight w:val="none"/>
              </w:rPr>
            </w:pPr>
            <w:r>
              <w:rPr>
                <w:rFonts w:eastAsia="宋体"/>
                <w:color w:val="auto"/>
                <w:sz w:val="21"/>
                <w:szCs w:val="21"/>
                <w:highlight w:val="none"/>
              </w:rPr>
              <w:t>0.3</w:t>
            </w:r>
          </w:p>
        </w:tc>
        <w:tc>
          <w:tcPr>
            <w:tcW w:w="1134" w:type="dxa"/>
            <w:tcBorders>
              <w:top w:val="single" w:color="000000" w:sz="4" w:space="0"/>
              <w:left w:val="single" w:color="000000" w:sz="4" w:space="0"/>
              <w:bottom w:val="single" w:color="000000" w:sz="4" w:space="0"/>
              <w:right w:val="nil"/>
            </w:tcBorders>
            <w:vAlign w:val="center"/>
          </w:tcPr>
          <w:p w14:paraId="51504BF7">
            <w:pPr>
              <w:pStyle w:val="98"/>
              <w:ind w:left="-105" w:right="-105"/>
              <w:rPr>
                <w:rFonts w:eastAsia="宋体"/>
                <w:color w:val="auto"/>
                <w:sz w:val="21"/>
                <w:szCs w:val="21"/>
                <w:highlight w:val="none"/>
              </w:rPr>
            </w:pPr>
            <w:r>
              <w:rPr>
                <w:rFonts w:eastAsia="宋体"/>
                <w:color w:val="auto"/>
                <w:sz w:val="21"/>
                <w:szCs w:val="21"/>
                <w:highlight w:val="none"/>
              </w:rPr>
              <w:t>6.9</w:t>
            </w:r>
          </w:p>
        </w:tc>
      </w:tr>
      <w:tr w14:paraId="4A6168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1201C8AF">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09037BC">
            <w:pPr>
              <w:pStyle w:val="98"/>
              <w:ind w:left="-105" w:right="-105"/>
              <w:rPr>
                <w:rFonts w:eastAsia="宋体"/>
                <w:color w:val="auto"/>
                <w:sz w:val="21"/>
                <w:szCs w:val="21"/>
                <w:highlight w:val="none"/>
              </w:rPr>
            </w:pPr>
            <w:r>
              <w:rPr>
                <w:rFonts w:eastAsia="宋体"/>
                <w:color w:val="auto"/>
                <w:sz w:val="21"/>
                <w:szCs w:val="21"/>
                <w:highlight w:val="none"/>
              </w:rPr>
              <w:t>C</w:t>
            </w:r>
          </w:p>
        </w:tc>
        <w:tc>
          <w:tcPr>
            <w:tcW w:w="683" w:type="dxa"/>
            <w:tcBorders>
              <w:top w:val="single" w:color="000000" w:sz="4" w:space="0"/>
              <w:left w:val="single" w:color="000000" w:sz="4" w:space="0"/>
              <w:bottom w:val="single" w:color="000000" w:sz="4" w:space="0"/>
              <w:right w:val="single" w:color="000000" w:sz="4" w:space="0"/>
            </w:tcBorders>
            <w:vAlign w:val="center"/>
          </w:tcPr>
          <w:p w14:paraId="66C1D08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70C768E">
            <w:pPr>
              <w:pStyle w:val="98"/>
              <w:ind w:left="-105" w:right="-105"/>
              <w:rPr>
                <w:rFonts w:eastAsia="宋体"/>
                <w:color w:val="auto"/>
                <w:sz w:val="21"/>
                <w:szCs w:val="21"/>
                <w:highlight w:val="none"/>
              </w:rPr>
            </w:pPr>
            <w:r>
              <w:rPr>
                <w:rFonts w:eastAsia="宋体"/>
                <w:color w:val="auto"/>
                <w:sz w:val="21"/>
                <w:szCs w:val="21"/>
                <w:highlight w:val="none"/>
              </w:rPr>
              <w:t>1.3</w:t>
            </w:r>
          </w:p>
        </w:tc>
        <w:tc>
          <w:tcPr>
            <w:tcW w:w="686" w:type="dxa"/>
            <w:tcBorders>
              <w:top w:val="single" w:color="000000" w:sz="4" w:space="0"/>
              <w:left w:val="single" w:color="000000" w:sz="4" w:space="0"/>
              <w:bottom w:val="single" w:color="000000" w:sz="4" w:space="0"/>
              <w:right w:val="single" w:color="000000" w:sz="4" w:space="0"/>
            </w:tcBorders>
            <w:vAlign w:val="center"/>
          </w:tcPr>
          <w:p w14:paraId="4ECD8D32">
            <w:pPr>
              <w:pStyle w:val="98"/>
              <w:ind w:left="-105" w:right="-105"/>
              <w:rPr>
                <w:rFonts w:eastAsia="宋体"/>
                <w:color w:val="auto"/>
                <w:sz w:val="21"/>
                <w:szCs w:val="21"/>
                <w:highlight w:val="none"/>
              </w:rPr>
            </w:pPr>
            <w:r>
              <w:rPr>
                <w:rFonts w:eastAsia="宋体"/>
                <w:color w:val="auto"/>
                <w:sz w:val="21"/>
                <w:szCs w:val="21"/>
                <w:highlight w:val="none"/>
              </w:rPr>
              <w:t>2.6</w:t>
            </w:r>
          </w:p>
        </w:tc>
        <w:tc>
          <w:tcPr>
            <w:tcW w:w="683" w:type="dxa"/>
            <w:tcBorders>
              <w:top w:val="single" w:color="000000" w:sz="4" w:space="0"/>
              <w:left w:val="single" w:color="000000" w:sz="4" w:space="0"/>
              <w:bottom w:val="single" w:color="000000" w:sz="4" w:space="0"/>
              <w:right w:val="single" w:color="000000" w:sz="4" w:space="0"/>
            </w:tcBorders>
            <w:vAlign w:val="center"/>
          </w:tcPr>
          <w:p w14:paraId="11566DB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0B2CF36">
            <w:pPr>
              <w:pStyle w:val="98"/>
              <w:ind w:left="-105" w:right="-105"/>
              <w:rPr>
                <w:rFonts w:eastAsia="宋体"/>
                <w:color w:val="auto"/>
                <w:sz w:val="21"/>
                <w:szCs w:val="21"/>
                <w:highlight w:val="none"/>
              </w:rPr>
            </w:pPr>
            <w:r>
              <w:rPr>
                <w:rFonts w:eastAsia="宋体"/>
                <w:color w:val="auto"/>
                <w:sz w:val="21"/>
                <w:szCs w:val="21"/>
                <w:highlight w:val="none"/>
              </w:rPr>
              <w:t>1.7</w:t>
            </w:r>
          </w:p>
        </w:tc>
        <w:tc>
          <w:tcPr>
            <w:tcW w:w="683" w:type="dxa"/>
            <w:tcBorders>
              <w:top w:val="single" w:color="000000" w:sz="4" w:space="0"/>
              <w:left w:val="single" w:color="000000" w:sz="4" w:space="0"/>
              <w:bottom w:val="single" w:color="000000" w:sz="4" w:space="0"/>
              <w:right w:val="single" w:color="000000" w:sz="4" w:space="0"/>
            </w:tcBorders>
            <w:vAlign w:val="center"/>
          </w:tcPr>
          <w:p w14:paraId="6A434851">
            <w:pPr>
              <w:pStyle w:val="98"/>
              <w:ind w:left="-105" w:right="-105"/>
              <w:rPr>
                <w:rFonts w:eastAsia="宋体"/>
                <w:color w:val="auto"/>
                <w:sz w:val="21"/>
                <w:szCs w:val="21"/>
                <w:highlight w:val="none"/>
              </w:rPr>
            </w:pPr>
            <w:r>
              <w:rPr>
                <w:rFonts w:eastAsia="宋体"/>
                <w:color w:val="auto"/>
                <w:sz w:val="21"/>
                <w:szCs w:val="21"/>
                <w:highlight w:val="none"/>
              </w:rPr>
              <w:t>2.6</w:t>
            </w:r>
          </w:p>
        </w:tc>
        <w:tc>
          <w:tcPr>
            <w:tcW w:w="685" w:type="dxa"/>
            <w:tcBorders>
              <w:top w:val="single" w:color="000000" w:sz="4" w:space="0"/>
              <w:left w:val="single" w:color="000000" w:sz="4" w:space="0"/>
              <w:bottom w:val="single" w:color="000000" w:sz="4" w:space="0"/>
              <w:right w:val="single" w:color="000000" w:sz="4" w:space="0"/>
            </w:tcBorders>
            <w:vAlign w:val="center"/>
          </w:tcPr>
          <w:p w14:paraId="3FDD295E">
            <w:pPr>
              <w:pStyle w:val="98"/>
              <w:ind w:left="-105" w:right="-105"/>
              <w:rPr>
                <w:rFonts w:eastAsia="宋体"/>
                <w:color w:val="auto"/>
                <w:sz w:val="21"/>
                <w:szCs w:val="21"/>
                <w:highlight w:val="none"/>
              </w:rPr>
            </w:pPr>
            <w:r>
              <w:rPr>
                <w:rFonts w:eastAsia="宋体"/>
                <w:color w:val="auto"/>
                <w:sz w:val="21"/>
                <w:szCs w:val="21"/>
                <w:highlight w:val="none"/>
              </w:rPr>
              <w:t>1.3</w:t>
            </w:r>
          </w:p>
        </w:tc>
        <w:tc>
          <w:tcPr>
            <w:tcW w:w="683" w:type="dxa"/>
            <w:tcBorders>
              <w:top w:val="single" w:color="000000" w:sz="4" w:space="0"/>
              <w:left w:val="single" w:color="000000" w:sz="4" w:space="0"/>
              <w:bottom w:val="single" w:color="000000" w:sz="4" w:space="0"/>
              <w:right w:val="single" w:color="000000" w:sz="4" w:space="0"/>
            </w:tcBorders>
            <w:vAlign w:val="center"/>
          </w:tcPr>
          <w:p w14:paraId="14B1FE38">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27B844AA">
            <w:pPr>
              <w:pStyle w:val="98"/>
              <w:ind w:left="-105" w:right="-105"/>
              <w:rPr>
                <w:rFonts w:eastAsia="宋体"/>
                <w:color w:val="auto"/>
                <w:sz w:val="21"/>
                <w:szCs w:val="21"/>
                <w:highlight w:val="none"/>
              </w:rPr>
            </w:pPr>
            <w:r>
              <w:rPr>
                <w:rFonts w:eastAsia="宋体"/>
                <w:color w:val="auto"/>
                <w:sz w:val="21"/>
                <w:szCs w:val="21"/>
                <w:highlight w:val="none"/>
              </w:rPr>
              <w:t>1.3</w:t>
            </w:r>
          </w:p>
        </w:tc>
        <w:tc>
          <w:tcPr>
            <w:tcW w:w="683" w:type="dxa"/>
            <w:tcBorders>
              <w:top w:val="single" w:color="000000" w:sz="4" w:space="0"/>
              <w:left w:val="single" w:color="000000" w:sz="4" w:space="0"/>
              <w:bottom w:val="single" w:color="000000" w:sz="4" w:space="0"/>
              <w:right w:val="single" w:color="000000" w:sz="4" w:space="0"/>
            </w:tcBorders>
            <w:vAlign w:val="center"/>
          </w:tcPr>
          <w:p w14:paraId="6781C2F1">
            <w:pPr>
              <w:pStyle w:val="98"/>
              <w:ind w:left="-105" w:right="-105"/>
              <w:rPr>
                <w:rFonts w:eastAsia="宋体"/>
                <w:color w:val="auto"/>
                <w:sz w:val="21"/>
                <w:szCs w:val="21"/>
                <w:highlight w:val="none"/>
              </w:rPr>
            </w:pPr>
            <w:r>
              <w:rPr>
                <w:rFonts w:eastAsia="宋体"/>
                <w:color w:val="auto"/>
                <w:sz w:val="21"/>
                <w:szCs w:val="21"/>
                <w:highlight w:val="none"/>
              </w:rPr>
              <w:t>1.3</w:t>
            </w:r>
          </w:p>
        </w:tc>
        <w:tc>
          <w:tcPr>
            <w:tcW w:w="683" w:type="dxa"/>
            <w:tcBorders>
              <w:top w:val="single" w:color="000000" w:sz="4" w:space="0"/>
              <w:left w:val="single" w:color="000000" w:sz="4" w:space="0"/>
              <w:bottom w:val="single" w:color="000000" w:sz="4" w:space="0"/>
              <w:right w:val="single" w:color="000000" w:sz="4" w:space="0"/>
            </w:tcBorders>
          </w:tcPr>
          <w:p w14:paraId="7FC6CA3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723DF85">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433D01DB">
            <w:pPr>
              <w:pStyle w:val="98"/>
              <w:ind w:left="-105" w:right="-105"/>
              <w:rPr>
                <w:rFonts w:eastAsia="宋体"/>
                <w:color w:val="auto"/>
                <w:sz w:val="21"/>
                <w:szCs w:val="21"/>
                <w:highlight w:val="none"/>
              </w:rPr>
            </w:pPr>
            <w:r>
              <w:rPr>
                <w:rFonts w:eastAsia="宋体"/>
                <w:color w:val="auto"/>
                <w:sz w:val="21"/>
                <w:szCs w:val="21"/>
                <w:highlight w:val="none"/>
              </w:rPr>
              <w:t>1.3</w:t>
            </w:r>
          </w:p>
        </w:tc>
        <w:tc>
          <w:tcPr>
            <w:tcW w:w="686" w:type="dxa"/>
            <w:tcBorders>
              <w:top w:val="single" w:color="000000" w:sz="4" w:space="0"/>
              <w:left w:val="single" w:color="000000" w:sz="4" w:space="0"/>
              <w:bottom w:val="single" w:color="000000" w:sz="4" w:space="0"/>
              <w:right w:val="single" w:color="000000" w:sz="4" w:space="0"/>
            </w:tcBorders>
          </w:tcPr>
          <w:p w14:paraId="4F5E5F74">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43AC0F28">
            <w:pPr>
              <w:pStyle w:val="98"/>
              <w:ind w:left="-105" w:right="-105"/>
              <w:rPr>
                <w:rFonts w:eastAsia="宋体"/>
                <w:color w:val="auto"/>
                <w:sz w:val="21"/>
                <w:szCs w:val="21"/>
                <w:highlight w:val="none"/>
              </w:rPr>
            </w:pPr>
            <w:r>
              <w:rPr>
                <w:rFonts w:eastAsia="宋体"/>
                <w:color w:val="auto"/>
                <w:sz w:val="21"/>
                <w:szCs w:val="21"/>
                <w:highlight w:val="none"/>
              </w:rPr>
              <w:t>1.3</w:t>
            </w:r>
          </w:p>
        </w:tc>
        <w:tc>
          <w:tcPr>
            <w:tcW w:w="645" w:type="dxa"/>
            <w:tcBorders>
              <w:top w:val="single" w:color="000000" w:sz="4" w:space="0"/>
              <w:left w:val="single" w:color="000000" w:sz="4" w:space="0"/>
              <w:bottom w:val="single" w:color="000000" w:sz="4" w:space="0"/>
              <w:right w:val="single" w:color="000000" w:sz="4" w:space="0"/>
            </w:tcBorders>
            <w:vAlign w:val="center"/>
          </w:tcPr>
          <w:p w14:paraId="6B24EBAD">
            <w:pPr>
              <w:pStyle w:val="98"/>
              <w:ind w:left="-105" w:right="-105"/>
              <w:rPr>
                <w:rFonts w:eastAsia="宋体"/>
                <w:color w:val="auto"/>
                <w:sz w:val="21"/>
                <w:szCs w:val="21"/>
                <w:highlight w:val="none"/>
              </w:rPr>
            </w:pPr>
            <w:r>
              <w:rPr>
                <w:rFonts w:eastAsia="宋体"/>
                <w:color w:val="auto"/>
                <w:sz w:val="21"/>
                <w:szCs w:val="21"/>
                <w:highlight w:val="none"/>
              </w:rPr>
              <w:t>0.4</w:t>
            </w:r>
          </w:p>
        </w:tc>
        <w:tc>
          <w:tcPr>
            <w:tcW w:w="1134" w:type="dxa"/>
            <w:tcBorders>
              <w:top w:val="single" w:color="000000" w:sz="4" w:space="0"/>
              <w:left w:val="single" w:color="000000" w:sz="4" w:space="0"/>
              <w:bottom w:val="single" w:color="000000" w:sz="4" w:space="0"/>
              <w:right w:val="nil"/>
            </w:tcBorders>
            <w:vAlign w:val="center"/>
          </w:tcPr>
          <w:p w14:paraId="197EA55A">
            <w:pPr>
              <w:pStyle w:val="98"/>
              <w:ind w:left="-105" w:right="-105"/>
              <w:rPr>
                <w:rFonts w:eastAsia="宋体"/>
                <w:color w:val="auto"/>
                <w:sz w:val="21"/>
                <w:szCs w:val="21"/>
                <w:highlight w:val="none"/>
              </w:rPr>
            </w:pPr>
            <w:r>
              <w:rPr>
                <w:rFonts w:eastAsia="宋体"/>
                <w:color w:val="auto"/>
                <w:sz w:val="21"/>
                <w:szCs w:val="21"/>
                <w:highlight w:val="none"/>
              </w:rPr>
              <w:t>15.7</w:t>
            </w:r>
          </w:p>
        </w:tc>
      </w:tr>
      <w:tr w14:paraId="6843C7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1" w:hRule="atLeast"/>
          <w:jc w:val="center"/>
        </w:trPr>
        <w:tc>
          <w:tcPr>
            <w:tcW w:w="1116" w:type="dxa"/>
            <w:vMerge w:val="continue"/>
            <w:tcBorders>
              <w:top w:val="nil"/>
              <w:left w:val="nil"/>
              <w:bottom w:val="single" w:color="000000" w:sz="4" w:space="0"/>
              <w:right w:val="single" w:color="000000" w:sz="4" w:space="0"/>
            </w:tcBorders>
            <w:vAlign w:val="center"/>
          </w:tcPr>
          <w:p w14:paraId="4C667A0F">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3766D0E">
            <w:pPr>
              <w:pStyle w:val="98"/>
              <w:ind w:left="-105" w:right="-105"/>
              <w:rPr>
                <w:rFonts w:eastAsia="宋体"/>
                <w:color w:val="auto"/>
                <w:sz w:val="21"/>
                <w:szCs w:val="21"/>
                <w:highlight w:val="none"/>
              </w:rPr>
            </w:pPr>
            <w:r>
              <w:rPr>
                <w:rFonts w:eastAsia="宋体"/>
                <w:color w:val="auto"/>
                <w:sz w:val="21"/>
                <w:szCs w:val="21"/>
                <w:highlight w:val="none"/>
              </w:rPr>
              <w:t>D</w:t>
            </w:r>
          </w:p>
        </w:tc>
        <w:tc>
          <w:tcPr>
            <w:tcW w:w="683" w:type="dxa"/>
            <w:tcBorders>
              <w:top w:val="single" w:color="000000" w:sz="4" w:space="0"/>
              <w:left w:val="single" w:color="000000" w:sz="4" w:space="0"/>
              <w:bottom w:val="single" w:color="000000" w:sz="4" w:space="0"/>
              <w:right w:val="single" w:color="000000" w:sz="4" w:space="0"/>
            </w:tcBorders>
            <w:vAlign w:val="center"/>
          </w:tcPr>
          <w:p w14:paraId="61F7D7F1">
            <w:pPr>
              <w:pStyle w:val="98"/>
              <w:ind w:left="-105" w:right="-105"/>
              <w:rPr>
                <w:rFonts w:eastAsia="宋体"/>
                <w:color w:val="auto"/>
                <w:sz w:val="21"/>
                <w:szCs w:val="21"/>
                <w:highlight w:val="none"/>
              </w:rPr>
            </w:pPr>
            <w:r>
              <w:rPr>
                <w:rFonts w:eastAsia="宋体"/>
                <w:color w:val="auto"/>
                <w:sz w:val="21"/>
                <w:szCs w:val="21"/>
                <w:highlight w:val="none"/>
              </w:rPr>
              <w:t>4.0</w:t>
            </w:r>
          </w:p>
        </w:tc>
        <w:tc>
          <w:tcPr>
            <w:tcW w:w="683" w:type="dxa"/>
            <w:tcBorders>
              <w:top w:val="single" w:color="000000" w:sz="4" w:space="0"/>
              <w:left w:val="single" w:color="000000" w:sz="4" w:space="0"/>
              <w:bottom w:val="single" w:color="000000" w:sz="4" w:space="0"/>
              <w:right w:val="single" w:color="000000" w:sz="4" w:space="0"/>
            </w:tcBorders>
            <w:vAlign w:val="center"/>
          </w:tcPr>
          <w:p w14:paraId="5BB01571">
            <w:pPr>
              <w:pStyle w:val="98"/>
              <w:ind w:left="-105" w:right="-105"/>
              <w:rPr>
                <w:rFonts w:eastAsia="宋体"/>
                <w:color w:val="auto"/>
                <w:sz w:val="21"/>
                <w:szCs w:val="21"/>
                <w:highlight w:val="none"/>
              </w:rPr>
            </w:pPr>
            <w:r>
              <w:rPr>
                <w:rFonts w:eastAsia="宋体"/>
                <w:color w:val="auto"/>
                <w:sz w:val="21"/>
                <w:szCs w:val="21"/>
                <w:highlight w:val="none"/>
              </w:rPr>
              <w:t>3.0</w:t>
            </w:r>
          </w:p>
        </w:tc>
        <w:tc>
          <w:tcPr>
            <w:tcW w:w="686" w:type="dxa"/>
            <w:tcBorders>
              <w:top w:val="single" w:color="000000" w:sz="4" w:space="0"/>
              <w:left w:val="single" w:color="000000" w:sz="4" w:space="0"/>
              <w:bottom w:val="single" w:color="000000" w:sz="4" w:space="0"/>
              <w:right w:val="single" w:color="000000" w:sz="4" w:space="0"/>
            </w:tcBorders>
            <w:vAlign w:val="center"/>
          </w:tcPr>
          <w:p w14:paraId="008CE7C8">
            <w:pPr>
              <w:pStyle w:val="98"/>
              <w:ind w:left="-105" w:right="-105"/>
              <w:rPr>
                <w:rFonts w:eastAsia="宋体"/>
                <w:color w:val="auto"/>
                <w:sz w:val="21"/>
                <w:szCs w:val="21"/>
                <w:highlight w:val="none"/>
              </w:rPr>
            </w:pPr>
            <w:r>
              <w:rPr>
                <w:rFonts w:eastAsia="宋体"/>
                <w:color w:val="auto"/>
                <w:sz w:val="21"/>
                <w:szCs w:val="21"/>
                <w:highlight w:val="none"/>
              </w:rPr>
              <w:t>6.1</w:t>
            </w:r>
          </w:p>
        </w:tc>
        <w:tc>
          <w:tcPr>
            <w:tcW w:w="683" w:type="dxa"/>
            <w:tcBorders>
              <w:top w:val="single" w:color="000000" w:sz="4" w:space="0"/>
              <w:left w:val="single" w:color="000000" w:sz="4" w:space="0"/>
              <w:bottom w:val="single" w:color="000000" w:sz="4" w:space="0"/>
              <w:right w:val="single" w:color="000000" w:sz="4" w:space="0"/>
            </w:tcBorders>
            <w:vAlign w:val="center"/>
          </w:tcPr>
          <w:p w14:paraId="3136D8D7">
            <w:pPr>
              <w:pStyle w:val="98"/>
              <w:ind w:left="-105" w:right="-105"/>
              <w:rPr>
                <w:rFonts w:eastAsia="宋体"/>
                <w:color w:val="auto"/>
                <w:sz w:val="21"/>
                <w:szCs w:val="21"/>
                <w:highlight w:val="none"/>
              </w:rPr>
            </w:pPr>
            <w:r>
              <w:rPr>
                <w:rFonts w:eastAsia="宋体"/>
                <w:color w:val="auto"/>
                <w:sz w:val="21"/>
                <w:szCs w:val="21"/>
                <w:highlight w:val="none"/>
              </w:rPr>
              <w:t>4.2</w:t>
            </w:r>
          </w:p>
        </w:tc>
        <w:tc>
          <w:tcPr>
            <w:tcW w:w="683" w:type="dxa"/>
            <w:tcBorders>
              <w:top w:val="single" w:color="000000" w:sz="4" w:space="0"/>
              <w:left w:val="single" w:color="000000" w:sz="4" w:space="0"/>
              <w:bottom w:val="single" w:color="000000" w:sz="4" w:space="0"/>
              <w:right w:val="single" w:color="000000" w:sz="4" w:space="0"/>
            </w:tcBorders>
            <w:vAlign w:val="center"/>
          </w:tcPr>
          <w:p w14:paraId="1A879479">
            <w:pPr>
              <w:pStyle w:val="98"/>
              <w:ind w:left="-105" w:right="-105"/>
              <w:rPr>
                <w:rFonts w:eastAsia="宋体"/>
                <w:color w:val="auto"/>
                <w:sz w:val="21"/>
                <w:szCs w:val="21"/>
                <w:highlight w:val="none"/>
              </w:rPr>
            </w:pPr>
            <w:r>
              <w:rPr>
                <w:rFonts w:eastAsia="宋体"/>
                <w:color w:val="auto"/>
                <w:sz w:val="21"/>
                <w:szCs w:val="21"/>
                <w:highlight w:val="none"/>
              </w:rPr>
              <w:t>4.3</w:t>
            </w:r>
          </w:p>
        </w:tc>
        <w:tc>
          <w:tcPr>
            <w:tcW w:w="683" w:type="dxa"/>
            <w:tcBorders>
              <w:top w:val="single" w:color="000000" w:sz="4" w:space="0"/>
              <w:left w:val="single" w:color="000000" w:sz="4" w:space="0"/>
              <w:bottom w:val="single" w:color="000000" w:sz="4" w:space="0"/>
              <w:right w:val="single" w:color="000000" w:sz="4" w:space="0"/>
            </w:tcBorders>
            <w:vAlign w:val="center"/>
          </w:tcPr>
          <w:p w14:paraId="72D9F6E2">
            <w:pPr>
              <w:pStyle w:val="98"/>
              <w:ind w:left="-105" w:right="-105"/>
              <w:rPr>
                <w:rFonts w:eastAsia="宋体"/>
                <w:color w:val="auto"/>
                <w:sz w:val="21"/>
                <w:szCs w:val="21"/>
                <w:highlight w:val="none"/>
              </w:rPr>
            </w:pPr>
            <w:r>
              <w:rPr>
                <w:rFonts w:eastAsia="宋体"/>
                <w:color w:val="auto"/>
                <w:sz w:val="21"/>
                <w:szCs w:val="21"/>
                <w:highlight w:val="none"/>
              </w:rPr>
              <w:t>2.8</w:t>
            </w:r>
          </w:p>
        </w:tc>
        <w:tc>
          <w:tcPr>
            <w:tcW w:w="685" w:type="dxa"/>
            <w:tcBorders>
              <w:top w:val="single" w:color="000000" w:sz="4" w:space="0"/>
              <w:left w:val="single" w:color="000000" w:sz="4" w:space="0"/>
              <w:bottom w:val="single" w:color="000000" w:sz="4" w:space="0"/>
              <w:right w:val="single" w:color="000000" w:sz="4" w:space="0"/>
            </w:tcBorders>
            <w:vAlign w:val="center"/>
          </w:tcPr>
          <w:p w14:paraId="16F4A863">
            <w:pPr>
              <w:pStyle w:val="98"/>
              <w:ind w:left="-105" w:right="-105"/>
              <w:rPr>
                <w:rFonts w:eastAsia="宋体"/>
                <w:color w:val="auto"/>
                <w:sz w:val="21"/>
                <w:szCs w:val="21"/>
                <w:highlight w:val="none"/>
              </w:rPr>
            </w:pPr>
            <w:r>
              <w:rPr>
                <w:rFonts w:eastAsia="宋体"/>
                <w:color w:val="auto"/>
                <w:sz w:val="21"/>
                <w:szCs w:val="21"/>
                <w:highlight w:val="none"/>
              </w:rPr>
              <w:t>2.4</w:t>
            </w:r>
          </w:p>
        </w:tc>
        <w:tc>
          <w:tcPr>
            <w:tcW w:w="683" w:type="dxa"/>
            <w:tcBorders>
              <w:top w:val="single" w:color="000000" w:sz="4" w:space="0"/>
              <w:left w:val="single" w:color="000000" w:sz="4" w:space="0"/>
              <w:bottom w:val="single" w:color="000000" w:sz="4" w:space="0"/>
              <w:right w:val="single" w:color="000000" w:sz="4" w:space="0"/>
            </w:tcBorders>
            <w:vAlign w:val="center"/>
          </w:tcPr>
          <w:p w14:paraId="2E470A03">
            <w:pPr>
              <w:pStyle w:val="98"/>
              <w:ind w:left="-105" w:right="-105"/>
              <w:rPr>
                <w:rFonts w:eastAsia="宋体"/>
                <w:color w:val="auto"/>
                <w:sz w:val="21"/>
                <w:szCs w:val="21"/>
                <w:highlight w:val="none"/>
              </w:rPr>
            </w:pPr>
            <w:r>
              <w:rPr>
                <w:rFonts w:eastAsia="宋体"/>
                <w:color w:val="auto"/>
                <w:sz w:val="21"/>
                <w:szCs w:val="21"/>
                <w:highlight w:val="none"/>
              </w:rPr>
              <w:t>2.1</w:t>
            </w:r>
          </w:p>
        </w:tc>
        <w:tc>
          <w:tcPr>
            <w:tcW w:w="683" w:type="dxa"/>
            <w:tcBorders>
              <w:top w:val="single" w:color="000000" w:sz="4" w:space="0"/>
              <w:left w:val="single" w:color="000000" w:sz="4" w:space="0"/>
              <w:bottom w:val="single" w:color="000000" w:sz="4" w:space="0"/>
              <w:right w:val="single" w:color="000000" w:sz="4" w:space="0"/>
            </w:tcBorders>
            <w:vAlign w:val="center"/>
          </w:tcPr>
          <w:p w14:paraId="52619341">
            <w:pPr>
              <w:pStyle w:val="98"/>
              <w:ind w:left="-105" w:right="-105"/>
              <w:rPr>
                <w:rFonts w:eastAsia="宋体"/>
                <w:color w:val="auto"/>
                <w:sz w:val="21"/>
                <w:szCs w:val="21"/>
                <w:highlight w:val="none"/>
              </w:rPr>
            </w:pPr>
            <w:r>
              <w:rPr>
                <w:rFonts w:eastAsia="宋体"/>
                <w:color w:val="auto"/>
                <w:sz w:val="21"/>
                <w:szCs w:val="21"/>
                <w:highlight w:val="none"/>
              </w:rPr>
              <w:t>2.2</w:t>
            </w:r>
          </w:p>
        </w:tc>
        <w:tc>
          <w:tcPr>
            <w:tcW w:w="683" w:type="dxa"/>
            <w:tcBorders>
              <w:top w:val="single" w:color="000000" w:sz="4" w:space="0"/>
              <w:left w:val="single" w:color="000000" w:sz="4" w:space="0"/>
              <w:bottom w:val="single" w:color="000000" w:sz="4" w:space="0"/>
              <w:right w:val="single" w:color="000000" w:sz="4" w:space="0"/>
            </w:tcBorders>
            <w:vAlign w:val="center"/>
          </w:tcPr>
          <w:p w14:paraId="72E90569">
            <w:pPr>
              <w:pStyle w:val="98"/>
              <w:ind w:left="-105" w:right="-105"/>
              <w:rPr>
                <w:rFonts w:eastAsia="宋体"/>
                <w:color w:val="auto"/>
                <w:sz w:val="21"/>
                <w:szCs w:val="21"/>
                <w:highlight w:val="none"/>
              </w:rPr>
            </w:pPr>
            <w:r>
              <w:rPr>
                <w:rFonts w:eastAsia="宋体"/>
                <w:color w:val="auto"/>
                <w:sz w:val="21"/>
                <w:szCs w:val="21"/>
                <w:highlight w:val="none"/>
              </w:rPr>
              <w:t>2.2</w:t>
            </w:r>
          </w:p>
        </w:tc>
        <w:tc>
          <w:tcPr>
            <w:tcW w:w="683" w:type="dxa"/>
            <w:tcBorders>
              <w:top w:val="single" w:color="000000" w:sz="4" w:space="0"/>
              <w:left w:val="single" w:color="000000" w:sz="4" w:space="0"/>
              <w:bottom w:val="single" w:color="000000" w:sz="4" w:space="0"/>
              <w:right w:val="single" w:color="000000" w:sz="4" w:space="0"/>
            </w:tcBorders>
            <w:vAlign w:val="center"/>
          </w:tcPr>
          <w:p w14:paraId="330240C1">
            <w:pPr>
              <w:pStyle w:val="98"/>
              <w:ind w:left="-105" w:right="-105"/>
              <w:rPr>
                <w:rFonts w:eastAsia="宋体"/>
                <w:color w:val="auto"/>
                <w:sz w:val="21"/>
                <w:szCs w:val="21"/>
                <w:highlight w:val="none"/>
              </w:rPr>
            </w:pPr>
            <w:r>
              <w:rPr>
                <w:rFonts w:eastAsia="宋体"/>
                <w:color w:val="auto"/>
                <w:sz w:val="21"/>
                <w:szCs w:val="21"/>
                <w:highlight w:val="none"/>
              </w:rPr>
              <w:t>1.2</w:t>
            </w:r>
          </w:p>
        </w:tc>
        <w:tc>
          <w:tcPr>
            <w:tcW w:w="683" w:type="dxa"/>
            <w:tcBorders>
              <w:top w:val="single" w:color="000000" w:sz="4" w:space="0"/>
              <w:left w:val="single" w:color="000000" w:sz="4" w:space="0"/>
              <w:bottom w:val="single" w:color="000000" w:sz="4" w:space="0"/>
              <w:right w:val="single" w:color="000000" w:sz="4" w:space="0"/>
            </w:tcBorders>
            <w:vAlign w:val="center"/>
          </w:tcPr>
          <w:p w14:paraId="0CDEBD27">
            <w:pPr>
              <w:pStyle w:val="98"/>
              <w:ind w:left="-105" w:right="-105"/>
              <w:rPr>
                <w:rFonts w:eastAsia="宋体"/>
                <w:color w:val="auto"/>
                <w:sz w:val="21"/>
                <w:szCs w:val="21"/>
                <w:highlight w:val="none"/>
              </w:rPr>
            </w:pPr>
            <w:r>
              <w:rPr>
                <w:rFonts w:eastAsia="宋体"/>
                <w:color w:val="auto"/>
                <w:sz w:val="21"/>
                <w:szCs w:val="21"/>
                <w:highlight w:val="none"/>
              </w:rPr>
              <w:t>0.7</w:t>
            </w:r>
          </w:p>
        </w:tc>
        <w:tc>
          <w:tcPr>
            <w:tcW w:w="684" w:type="dxa"/>
            <w:tcBorders>
              <w:top w:val="single" w:color="000000" w:sz="4" w:space="0"/>
              <w:left w:val="single" w:color="000000" w:sz="4" w:space="0"/>
              <w:bottom w:val="single" w:color="000000" w:sz="4" w:space="0"/>
              <w:right w:val="single" w:color="000000" w:sz="4" w:space="0"/>
            </w:tcBorders>
            <w:vAlign w:val="center"/>
          </w:tcPr>
          <w:p w14:paraId="5F79A0AE">
            <w:pPr>
              <w:pStyle w:val="98"/>
              <w:ind w:left="-105" w:right="-105"/>
              <w:rPr>
                <w:rFonts w:eastAsia="宋体"/>
                <w:color w:val="auto"/>
                <w:sz w:val="21"/>
                <w:szCs w:val="21"/>
                <w:highlight w:val="none"/>
              </w:rPr>
            </w:pPr>
            <w:r>
              <w:rPr>
                <w:rFonts w:eastAsia="宋体"/>
                <w:color w:val="auto"/>
                <w:sz w:val="21"/>
                <w:szCs w:val="21"/>
                <w:highlight w:val="none"/>
              </w:rPr>
              <w:t>1.0</w:t>
            </w:r>
          </w:p>
        </w:tc>
        <w:tc>
          <w:tcPr>
            <w:tcW w:w="686" w:type="dxa"/>
            <w:tcBorders>
              <w:top w:val="single" w:color="000000" w:sz="4" w:space="0"/>
              <w:left w:val="single" w:color="000000" w:sz="4" w:space="0"/>
              <w:bottom w:val="single" w:color="000000" w:sz="4" w:space="0"/>
              <w:right w:val="single" w:color="000000" w:sz="4" w:space="0"/>
            </w:tcBorders>
            <w:vAlign w:val="center"/>
          </w:tcPr>
          <w:p w14:paraId="5AB61ECC">
            <w:pPr>
              <w:pStyle w:val="98"/>
              <w:ind w:left="-105" w:right="-105"/>
              <w:rPr>
                <w:rFonts w:eastAsia="宋体"/>
                <w:color w:val="auto"/>
                <w:sz w:val="21"/>
                <w:szCs w:val="21"/>
                <w:highlight w:val="none"/>
              </w:rPr>
            </w:pPr>
            <w:r>
              <w:rPr>
                <w:rFonts w:eastAsia="宋体"/>
                <w:color w:val="auto"/>
                <w:sz w:val="21"/>
                <w:szCs w:val="21"/>
                <w:highlight w:val="none"/>
              </w:rPr>
              <w:t>3.8</w:t>
            </w:r>
          </w:p>
        </w:tc>
        <w:tc>
          <w:tcPr>
            <w:tcW w:w="684" w:type="dxa"/>
            <w:tcBorders>
              <w:top w:val="single" w:color="000000" w:sz="4" w:space="0"/>
              <w:left w:val="single" w:color="000000" w:sz="4" w:space="0"/>
              <w:bottom w:val="single" w:color="000000" w:sz="4" w:space="0"/>
              <w:right w:val="single" w:color="000000" w:sz="4" w:space="0"/>
            </w:tcBorders>
            <w:vAlign w:val="center"/>
          </w:tcPr>
          <w:p w14:paraId="63C320FD">
            <w:pPr>
              <w:pStyle w:val="98"/>
              <w:ind w:left="-105" w:right="-105"/>
              <w:rPr>
                <w:rFonts w:eastAsia="宋体"/>
                <w:color w:val="auto"/>
                <w:sz w:val="21"/>
                <w:szCs w:val="21"/>
                <w:highlight w:val="none"/>
              </w:rPr>
            </w:pPr>
            <w:r>
              <w:rPr>
                <w:rFonts w:eastAsia="宋体"/>
                <w:color w:val="auto"/>
                <w:sz w:val="21"/>
                <w:szCs w:val="21"/>
                <w:highlight w:val="none"/>
              </w:rPr>
              <w:t>4.9</w:t>
            </w:r>
          </w:p>
        </w:tc>
        <w:tc>
          <w:tcPr>
            <w:tcW w:w="645" w:type="dxa"/>
            <w:tcBorders>
              <w:top w:val="single" w:color="000000" w:sz="4" w:space="0"/>
              <w:left w:val="single" w:color="000000" w:sz="4" w:space="0"/>
              <w:bottom w:val="single" w:color="000000" w:sz="4" w:space="0"/>
              <w:right w:val="single" w:color="000000" w:sz="4" w:space="0"/>
            </w:tcBorders>
            <w:vAlign w:val="center"/>
          </w:tcPr>
          <w:p w14:paraId="5DFC5950">
            <w:pPr>
              <w:pStyle w:val="98"/>
              <w:ind w:left="-105" w:right="-105"/>
              <w:rPr>
                <w:rFonts w:eastAsia="宋体"/>
                <w:color w:val="auto"/>
                <w:sz w:val="21"/>
                <w:szCs w:val="21"/>
                <w:highlight w:val="none"/>
              </w:rPr>
            </w:pPr>
            <w:r>
              <w:rPr>
                <w:rFonts w:eastAsia="宋体"/>
                <w:color w:val="auto"/>
                <w:sz w:val="21"/>
                <w:szCs w:val="21"/>
                <w:highlight w:val="none"/>
              </w:rPr>
              <w:t>3.7</w:t>
            </w:r>
          </w:p>
        </w:tc>
        <w:tc>
          <w:tcPr>
            <w:tcW w:w="1134" w:type="dxa"/>
            <w:tcBorders>
              <w:top w:val="single" w:color="000000" w:sz="4" w:space="0"/>
              <w:left w:val="single" w:color="000000" w:sz="4" w:space="0"/>
              <w:bottom w:val="single" w:color="000000" w:sz="4" w:space="0"/>
              <w:right w:val="nil"/>
            </w:tcBorders>
            <w:vAlign w:val="center"/>
          </w:tcPr>
          <w:p w14:paraId="66C5F8FA">
            <w:pPr>
              <w:pStyle w:val="98"/>
              <w:ind w:left="-105" w:right="-105"/>
              <w:rPr>
                <w:rFonts w:eastAsia="宋体"/>
                <w:color w:val="auto"/>
                <w:sz w:val="21"/>
                <w:szCs w:val="21"/>
                <w:highlight w:val="none"/>
              </w:rPr>
            </w:pPr>
            <w:r>
              <w:rPr>
                <w:rFonts w:eastAsia="宋体"/>
                <w:color w:val="auto"/>
                <w:sz w:val="21"/>
                <w:szCs w:val="21"/>
                <w:highlight w:val="none"/>
              </w:rPr>
              <w:t>47.9</w:t>
            </w:r>
          </w:p>
        </w:tc>
      </w:tr>
      <w:tr w14:paraId="08F11C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1029812A">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6D7C693B">
            <w:pPr>
              <w:pStyle w:val="98"/>
              <w:ind w:left="-105" w:right="-105"/>
              <w:rPr>
                <w:rFonts w:eastAsia="宋体"/>
                <w:color w:val="auto"/>
                <w:sz w:val="21"/>
                <w:szCs w:val="21"/>
                <w:highlight w:val="none"/>
              </w:rPr>
            </w:pPr>
            <w:r>
              <w:rPr>
                <w:rFonts w:eastAsia="宋体"/>
                <w:color w:val="auto"/>
                <w:sz w:val="21"/>
                <w:szCs w:val="21"/>
                <w:highlight w:val="none"/>
              </w:rPr>
              <w:t>E</w:t>
            </w:r>
          </w:p>
        </w:tc>
        <w:tc>
          <w:tcPr>
            <w:tcW w:w="683" w:type="dxa"/>
            <w:tcBorders>
              <w:top w:val="single" w:color="000000" w:sz="4" w:space="0"/>
              <w:left w:val="single" w:color="000000" w:sz="4" w:space="0"/>
              <w:bottom w:val="single" w:color="000000" w:sz="4" w:space="0"/>
              <w:right w:val="single" w:color="000000" w:sz="4" w:space="0"/>
            </w:tcBorders>
            <w:vAlign w:val="center"/>
          </w:tcPr>
          <w:p w14:paraId="1B8D7845">
            <w:pPr>
              <w:pStyle w:val="98"/>
              <w:ind w:left="-105" w:right="-105"/>
              <w:rPr>
                <w:rFonts w:eastAsia="宋体"/>
                <w:color w:val="auto"/>
                <w:sz w:val="21"/>
                <w:szCs w:val="21"/>
                <w:highlight w:val="none"/>
              </w:rPr>
            </w:pPr>
            <w:r>
              <w:rPr>
                <w:rFonts w:eastAsia="宋体"/>
                <w:color w:val="auto"/>
                <w:sz w:val="21"/>
                <w:szCs w:val="21"/>
                <w:highlight w:val="none"/>
              </w:rPr>
              <w:t>1.9</w:t>
            </w:r>
          </w:p>
        </w:tc>
        <w:tc>
          <w:tcPr>
            <w:tcW w:w="683" w:type="dxa"/>
            <w:tcBorders>
              <w:top w:val="single" w:color="000000" w:sz="4" w:space="0"/>
              <w:left w:val="single" w:color="000000" w:sz="4" w:space="0"/>
              <w:bottom w:val="single" w:color="000000" w:sz="4" w:space="0"/>
              <w:right w:val="single" w:color="000000" w:sz="4" w:space="0"/>
            </w:tcBorders>
            <w:vAlign w:val="center"/>
          </w:tcPr>
          <w:p w14:paraId="1ABD8B24">
            <w:pPr>
              <w:pStyle w:val="98"/>
              <w:ind w:left="-105" w:right="-105"/>
              <w:rPr>
                <w:rFonts w:eastAsia="宋体"/>
                <w:color w:val="auto"/>
                <w:sz w:val="21"/>
                <w:szCs w:val="21"/>
                <w:highlight w:val="none"/>
              </w:rPr>
            </w:pPr>
            <w:r>
              <w:rPr>
                <w:rFonts w:eastAsia="宋体"/>
                <w:color w:val="auto"/>
                <w:sz w:val="21"/>
                <w:szCs w:val="21"/>
                <w:highlight w:val="none"/>
              </w:rPr>
              <w:t>1.0</w:t>
            </w:r>
          </w:p>
        </w:tc>
        <w:tc>
          <w:tcPr>
            <w:tcW w:w="686" w:type="dxa"/>
            <w:tcBorders>
              <w:top w:val="single" w:color="000000" w:sz="4" w:space="0"/>
              <w:left w:val="single" w:color="000000" w:sz="4" w:space="0"/>
              <w:bottom w:val="single" w:color="000000" w:sz="4" w:space="0"/>
              <w:right w:val="single" w:color="000000" w:sz="4" w:space="0"/>
            </w:tcBorders>
            <w:vAlign w:val="center"/>
          </w:tcPr>
          <w:p w14:paraId="59CA936C">
            <w:pPr>
              <w:pStyle w:val="98"/>
              <w:ind w:left="-105" w:right="-105"/>
              <w:rPr>
                <w:rFonts w:eastAsia="宋体"/>
                <w:color w:val="auto"/>
                <w:sz w:val="21"/>
                <w:szCs w:val="21"/>
                <w:highlight w:val="none"/>
              </w:rPr>
            </w:pPr>
            <w:r>
              <w:rPr>
                <w:rFonts w:eastAsia="宋体"/>
                <w:color w:val="auto"/>
                <w:sz w:val="21"/>
                <w:szCs w:val="21"/>
                <w:highlight w:val="none"/>
              </w:rPr>
              <w:t>2.0</w:t>
            </w:r>
          </w:p>
        </w:tc>
        <w:tc>
          <w:tcPr>
            <w:tcW w:w="683" w:type="dxa"/>
            <w:tcBorders>
              <w:top w:val="single" w:color="000000" w:sz="4" w:space="0"/>
              <w:left w:val="single" w:color="000000" w:sz="4" w:space="0"/>
              <w:bottom w:val="single" w:color="000000" w:sz="4" w:space="0"/>
              <w:right w:val="single" w:color="000000" w:sz="4" w:space="0"/>
            </w:tcBorders>
            <w:vAlign w:val="center"/>
          </w:tcPr>
          <w:p w14:paraId="64111E21">
            <w:pPr>
              <w:pStyle w:val="98"/>
              <w:ind w:left="-105" w:right="-105"/>
              <w:rPr>
                <w:rFonts w:eastAsia="宋体"/>
                <w:color w:val="auto"/>
                <w:sz w:val="21"/>
                <w:szCs w:val="21"/>
                <w:highlight w:val="none"/>
              </w:rPr>
            </w:pPr>
            <w:r>
              <w:rPr>
                <w:rFonts w:eastAsia="宋体"/>
                <w:color w:val="auto"/>
                <w:sz w:val="21"/>
                <w:szCs w:val="21"/>
                <w:highlight w:val="none"/>
              </w:rPr>
              <w:t>1.5</w:t>
            </w:r>
          </w:p>
        </w:tc>
        <w:tc>
          <w:tcPr>
            <w:tcW w:w="683" w:type="dxa"/>
            <w:tcBorders>
              <w:top w:val="single" w:color="000000" w:sz="4" w:space="0"/>
              <w:left w:val="single" w:color="000000" w:sz="4" w:space="0"/>
              <w:bottom w:val="single" w:color="000000" w:sz="4" w:space="0"/>
              <w:right w:val="single" w:color="000000" w:sz="4" w:space="0"/>
            </w:tcBorders>
            <w:vAlign w:val="center"/>
          </w:tcPr>
          <w:p w14:paraId="77C4ABF0">
            <w:pPr>
              <w:pStyle w:val="98"/>
              <w:ind w:left="-105" w:right="-105"/>
              <w:rPr>
                <w:rFonts w:eastAsia="宋体"/>
                <w:color w:val="auto"/>
                <w:sz w:val="21"/>
                <w:szCs w:val="21"/>
                <w:highlight w:val="none"/>
              </w:rPr>
            </w:pPr>
            <w:r>
              <w:rPr>
                <w:rFonts w:eastAsia="宋体"/>
                <w:color w:val="auto"/>
                <w:sz w:val="21"/>
                <w:szCs w:val="21"/>
                <w:highlight w:val="none"/>
              </w:rPr>
              <w:t>1.8</w:t>
            </w:r>
          </w:p>
        </w:tc>
        <w:tc>
          <w:tcPr>
            <w:tcW w:w="683" w:type="dxa"/>
            <w:tcBorders>
              <w:top w:val="single" w:color="000000" w:sz="4" w:space="0"/>
              <w:left w:val="single" w:color="000000" w:sz="4" w:space="0"/>
              <w:bottom w:val="single" w:color="000000" w:sz="4" w:space="0"/>
              <w:right w:val="single" w:color="000000" w:sz="4" w:space="0"/>
            </w:tcBorders>
            <w:vAlign w:val="center"/>
          </w:tcPr>
          <w:p w14:paraId="5FA7954A">
            <w:pPr>
              <w:pStyle w:val="98"/>
              <w:ind w:left="-105" w:right="-105"/>
              <w:rPr>
                <w:rFonts w:eastAsia="宋体"/>
                <w:color w:val="auto"/>
                <w:sz w:val="21"/>
                <w:szCs w:val="21"/>
                <w:highlight w:val="none"/>
              </w:rPr>
            </w:pPr>
            <w:r>
              <w:rPr>
                <w:rFonts w:eastAsia="宋体"/>
                <w:color w:val="auto"/>
                <w:sz w:val="21"/>
                <w:szCs w:val="21"/>
                <w:highlight w:val="none"/>
              </w:rPr>
              <w:t>1.6</w:t>
            </w:r>
          </w:p>
        </w:tc>
        <w:tc>
          <w:tcPr>
            <w:tcW w:w="685" w:type="dxa"/>
            <w:tcBorders>
              <w:top w:val="single" w:color="000000" w:sz="4" w:space="0"/>
              <w:left w:val="single" w:color="000000" w:sz="4" w:space="0"/>
              <w:bottom w:val="single" w:color="000000" w:sz="4" w:space="0"/>
              <w:right w:val="single" w:color="000000" w:sz="4" w:space="0"/>
            </w:tcBorders>
            <w:vAlign w:val="center"/>
          </w:tcPr>
          <w:p w14:paraId="48FD5DD5">
            <w:pPr>
              <w:pStyle w:val="98"/>
              <w:ind w:left="-105" w:right="-105"/>
              <w:rPr>
                <w:rFonts w:eastAsia="宋体"/>
                <w:color w:val="auto"/>
                <w:sz w:val="21"/>
                <w:szCs w:val="21"/>
                <w:highlight w:val="none"/>
              </w:rPr>
            </w:pPr>
            <w:r>
              <w:rPr>
                <w:rFonts w:eastAsia="宋体"/>
                <w:color w:val="auto"/>
                <w:sz w:val="21"/>
                <w:szCs w:val="21"/>
                <w:highlight w:val="none"/>
              </w:rPr>
              <w:t>2.4</w:t>
            </w:r>
          </w:p>
        </w:tc>
        <w:tc>
          <w:tcPr>
            <w:tcW w:w="683" w:type="dxa"/>
            <w:tcBorders>
              <w:top w:val="single" w:color="000000" w:sz="4" w:space="0"/>
              <w:left w:val="single" w:color="000000" w:sz="4" w:space="0"/>
              <w:bottom w:val="single" w:color="000000" w:sz="4" w:space="0"/>
              <w:right w:val="single" w:color="000000" w:sz="4" w:space="0"/>
            </w:tcBorders>
            <w:vAlign w:val="center"/>
          </w:tcPr>
          <w:p w14:paraId="3CC25383">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2231B48E">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359D6523">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4788406A">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46392AFD">
            <w:pPr>
              <w:pStyle w:val="98"/>
              <w:ind w:left="-105" w:right="-105"/>
              <w:rPr>
                <w:rFonts w:eastAsia="宋体"/>
                <w:color w:val="auto"/>
                <w:sz w:val="21"/>
                <w:szCs w:val="21"/>
                <w:highlight w:val="none"/>
              </w:rPr>
            </w:pPr>
            <w:r>
              <w:rPr>
                <w:rFonts w:eastAsia="宋体"/>
                <w:color w:val="auto"/>
                <w:sz w:val="21"/>
                <w:szCs w:val="21"/>
                <w:highlight w:val="none"/>
              </w:rPr>
              <w:t>0.4</w:t>
            </w:r>
          </w:p>
        </w:tc>
        <w:tc>
          <w:tcPr>
            <w:tcW w:w="684" w:type="dxa"/>
            <w:tcBorders>
              <w:top w:val="single" w:color="000000" w:sz="4" w:space="0"/>
              <w:left w:val="single" w:color="000000" w:sz="4" w:space="0"/>
              <w:bottom w:val="single" w:color="000000" w:sz="4" w:space="0"/>
              <w:right w:val="single" w:color="000000" w:sz="4" w:space="0"/>
            </w:tcBorders>
            <w:vAlign w:val="center"/>
          </w:tcPr>
          <w:p w14:paraId="031D354D">
            <w:pPr>
              <w:pStyle w:val="98"/>
              <w:ind w:left="-105" w:right="-105"/>
              <w:rPr>
                <w:rFonts w:eastAsia="宋体"/>
                <w:color w:val="auto"/>
                <w:sz w:val="21"/>
                <w:szCs w:val="21"/>
                <w:highlight w:val="none"/>
              </w:rPr>
            </w:pPr>
            <w:r>
              <w:rPr>
                <w:rFonts w:eastAsia="宋体"/>
                <w:color w:val="auto"/>
                <w:sz w:val="21"/>
                <w:szCs w:val="21"/>
                <w:highlight w:val="none"/>
              </w:rPr>
              <w:t>0.7</w:t>
            </w:r>
          </w:p>
        </w:tc>
        <w:tc>
          <w:tcPr>
            <w:tcW w:w="686" w:type="dxa"/>
            <w:tcBorders>
              <w:top w:val="single" w:color="000000" w:sz="4" w:space="0"/>
              <w:left w:val="single" w:color="000000" w:sz="4" w:space="0"/>
              <w:bottom w:val="single" w:color="000000" w:sz="4" w:space="0"/>
              <w:right w:val="single" w:color="000000" w:sz="4" w:space="0"/>
            </w:tcBorders>
            <w:vAlign w:val="center"/>
          </w:tcPr>
          <w:p w14:paraId="7987305B">
            <w:pPr>
              <w:pStyle w:val="98"/>
              <w:ind w:left="-105" w:right="-105"/>
              <w:rPr>
                <w:rFonts w:eastAsia="宋体"/>
                <w:color w:val="auto"/>
                <w:sz w:val="21"/>
                <w:szCs w:val="21"/>
                <w:highlight w:val="none"/>
              </w:rPr>
            </w:pPr>
            <w:r>
              <w:rPr>
                <w:rFonts w:eastAsia="宋体"/>
                <w:color w:val="auto"/>
                <w:sz w:val="21"/>
                <w:szCs w:val="21"/>
                <w:highlight w:val="none"/>
              </w:rPr>
              <w:t>0.4</w:t>
            </w:r>
          </w:p>
        </w:tc>
        <w:tc>
          <w:tcPr>
            <w:tcW w:w="684" w:type="dxa"/>
            <w:tcBorders>
              <w:top w:val="single" w:color="000000" w:sz="4" w:space="0"/>
              <w:left w:val="single" w:color="000000" w:sz="4" w:space="0"/>
              <w:bottom w:val="single" w:color="000000" w:sz="4" w:space="0"/>
              <w:right w:val="single" w:color="000000" w:sz="4" w:space="0"/>
            </w:tcBorders>
            <w:vAlign w:val="center"/>
          </w:tcPr>
          <w:p w14:paraId="33FA19D0">
            <w:pPr>
              <w:pStyle w:val="98"/>
              <w:ind w:left="-105" w:right="-105"/>
              <w:rPr>
                <w:rFonts w:eastAsia="宋体"/>
                <w:color w:val="auto"/>
                <w:sz w:val="21"/>
                <w:szCs w:val="21"/>
                <w:highlight w:val="none"/>
              </w:rPr>
            </w:pPr>
            <w:r>
              <w:rPr>
                <w:rFonts w:eastAsia="宋体"/>
                <w:color w:val="auto"/>
                <w:sz w:val="21"/>
                <w:szCs w:val="21"/>
                <w:highlight w:val="none"/>
              </w:rPr>
              <w:t>1.2</w:t>
            </w:r>
          </w:p>
        </w:tc>
        <w:tc>
          <w:tcPr>
            <w:tcW w:w="645" w:type="dxa"/>
            <w:tcBorders>
              <w:top w:val="single" w:color="000000" w:sz="4" w:space="0"/>
              <w:left w:val="single" w:color="000000" w:sz="4" w:space="0"/>
              <w:bottom w:val="single" w:color="000000" w:sz="4" w:space="0"/>
              <w:right w:val="single" w:color="000000" w:sz="4" w:space="0"/>
            </w:tcBorders>
            <w:vAlign w:val="center"/>
          </w:tcPr>
          <w:p w14:paraId="0BA5E9E4">
            <w:pPr>
              <w:pStyle w:val="98"/>
              <w:ind w:left="-105" w:right="-105"/>
              <w:rPr>
                <w:rFonts w:eastAsia="宋体"/>
                <w:color w:val="auto"/>
                <w:sz w:val="21"/>
                <w:szCs w:val="21"/>
                <w:highlight w:val="none"/>
              </w:rPr>
            </w:pPr>
            <w:r>
              <w:rPr>
                <w:rFonts w:eastAsia="宋体"/>
                <w:color w:val="auto"/>
                <w:sz w:val="21"/>
                <w:szCs w:val="21"/>
                <w:highlight w:val="none"/>
              </w:rPr>
              <w:t>0.9</w:t>
            </w:r>
          </w:p>
        </w:tc>
        <w:tc>
          <w:tcPr>
            <w:tcW w:w="1134" w:type="dxa"/>
            <w:tcBorders>
              <w:top w:val="single" w:color="000000" w:sz="4" w:space="0"/>
              <w:left w:val="single" w:color="000000" w:sz="4" w:space="0"/>
              <w:bottom w:val="single" w:color="000000" w:sz="4" w:space="0"/>
              <w:right w:val="nil"/>
            </w:tcBorders>
            <w:vAlign w:val="center"/>
          </w:tcPr>
          <w:p w14:paraId="461A72EF">
            <w:pPr>
              <w:pStyle w:val="98"/>
              <w:ind w:left="-105" w:right="-105"/>
              <w:rPr>
                <w:rFonts w:eastAsia="宋体"/>
                <w:color w:val="auto"/>
                <w:sz w:val="21"/>
                <w:szCs w:val="21"/>
                <w:highlight w:val="none"/>
              </w:rPr>
            </w:pPr>
            <w:r>
              <w:rPr>
                <w:rFonts w:eastAsia="宋体"/>
                <w:color w:val="auto"/>
                <w:sz w:val="21"/>
                <w:szCs w:val="21"/>
                <w:highlight w:val="none"/>
              </w:rPr>
              <w:t>18.5</w:t>
            </w:r>
          </w:p>
        </w:tc>
      </w:tr>
      <w:tr w14:paraId="3A0CFA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8" w:hRule="atLeast"/>
          <w:jc w:val="center"/>
        </w:trPr>
        <w:tc>
          <w:tcPr>
            <w:tcW w:w="1116" w:type="dxa"/>
            <w:vMerge w:val="continue"/>
            <w:tcBorders>
              <w:top w:val="nil"/>
              <w:left w:val="nil"/>
              <w:bottom w:val="single" w:color="000000" w:sz="4" w:space="0"/>
              <w:right w:val="single" w:color="000000" w:sz="4" w:space="0"/>
            </w:tcBorders>
            <w:vAlign w:val="center"/>
          </w:tcPr>
          <w:p w14:paraId="0FC9F9EB">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0EB4DB6">
            <w:pPr>
              <w:pStyle w:val="98"/>
              <w:ind w:left="-105" w:right="-105"/>
              <w:rPr>
                <w:rFonts w:eastAsia="宋体"/>
                <w:color w:val="auto"/>
                <w:sz w:val="21"/>
                <w:szCs w:val="21"/>
                <w:highlight w:val="none"/>
              </w:rPr>
            </w:pPr>
            <w:r>
              <w:rPr>
                <w:rFonts w:eastAsia="宋体"/>
                <w:color w:val="auto"/>
                <w:sz w:val="21"/>
                <w:szCs w:val="21"/>
                <w:highlight w:val="none"/>
              </w:rPr>
              <w:t>F</w:t>
            </w:r>
          </w:p>
        </w:tc>
        <w:tc>
          <w:tcPr>
            <w:tcW w:w="683" w:type="dxa"/>
            <w:tcBorders>
              <w:top w:val="single" w:color="000000" w:sz="4" w:space="0"/>
              <w:left w:val="single" w:color="000000" w:sz="4" w:space="0"/>
              <w:bottom w:val="single" w:color="000000" w:sz="4" w:space="0"/>
              <w:right w:val="single" w:color="000000" w:sz="4" w:space="0"/>
            </w:tcBorders>
            <w:vAlign w:val="center"/>
          </w:tcPr>
          <w:p w14:paraId="468C4B1A">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1743A9D2">
            <w:pPr>
              <w:pStyle w:val="98"/>
              <w:ind w:left="-105" w:right="-105"/>
              <w:rPr>
                <w:rFonts w:eastAsia="宋体"/>
                <w:color w:val="auto"/>
                <w:sz w:val="21"/>
                <w:szCs w:val="21"/>
                <w:highlight w:val="none"/>
              </w:rPr>
            </w:pPr>
            <w:r>
              <w:rPr>
                <w:rFonts w:eastAsia="宋体"/>
                <w:color w:val="auto"/>
                <w:sz w:val="21"/>
                <w:szCs w:val="21"/>
                <w:highlight w:val="none"/>
              </w:rPr>
              <w:t>0.7</w:t>
            </w:r>
          </w:p>
        </w:tc>
        <w:tc>
          <w:tcPr>
            <w:tcW w:w="686" w:type="dxa"/>
            <w:tcBorders>
              <w:top w:val="single" w:color="000000" w:sz="4" w:space="0"/>
              <w:left w:val="single" w:color="000000" w:sz="4" w:space="0"/>
              <w:bottom w:val="single" w:color="000000" w:sz="4" w:space="0"/>
              <w:right w:val="single" w:color="000000" w:sz="4" w:space="0"/>
            </w:tcBorders>
            <w:vAlign w:val="center"/>
          </w:tcPr>
          <w:p w14:paraId="3EBD6113">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5A3F4684">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1F773F56">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015FC2E6">
            <w:pPr>
              <w:pStyle w:val="98"/>
              <w:ind w:left="-105" w:right="-105"/>
              <w:rPr>
                <w:rFonts w:eastAsia="宋体"/>
                <w:color w:val="auto"/>
                <w:sz w:val="21"/>
                <w:szCs w:val="21"/>
                <w:highlight w:val="none"/>
              </w:rPr>
            </w:pPr>
            <w:r>
              <w:rPr>
                <w:rFonts w:eastAsia="宋体"/>
                <w:color w:val="auto"/>
                <w:sz w:val="21"/>
                <w:szCs w:val="21"/>
                <w:highlight w:val="none"/>
              </w:rPr>
              <w:t>0.8</w:t>
            </w:r>
          </w:p>
        </w:tc>
        <w:tc>
          <w:tcPr>
            <w:tcW w:w="685" w:type="dxa"/>
            <w:tcBorders>
              <w:top w:val="single" w:color="000000" w:sz="4" w:space="0"/>
              <w:left w:val="single" w:color="000000" w:sz="4" w:space="0"/>
              <w:bottom w:val="single" w:color="000000" w:sz="4" w:space="0"/>
              <w:right w:val="single" w:color="000000" w:sz="4" w:space="0"/>
            </w:tcBorders>
            <w:vAlign w:val="center"/>
          </w:tcPr>
          <w:p w14:paraId="4DB10B91">
            <w:pPr>
              <w:pStyle w:val="98"/>
              <w:ind w:left="-105" w:right="-105"/>
              <w:rPr>
                <w:rFonts w:eastAsia="宋体"/>
                <w:color w:val="auto"/>
                <w:sz w:val="21"/>
                <w:szCs w:val="21"/>
                <w:highlight w:val="none"/>
              </w:rPr>
            </w:pPr>
            <w:r>
              <w:rPr>
                <w:rFonts w:eastAsia="宋体"/>
                <w:color w:val="auto"/>
                <w:sz w:val="21"/>
                <w:szCs w:val="21"/>
                <w:highlight w:val="none"/>
              </w:rPr>
              <w:t>1.6</w:t>
            </w:r>
          </w:p>
        </w:tc>
        <w:tc>
          <w:tcPr>
            <w:tcW w:w="683" w:type="dxa"/>
            <w:tcBorders>
              <w:top w:val="single" w:color="000000" w:sz="4" w:space="0"/>
              <w:left w:val="single" w:color="000000" w:sz="4" w:space="0"/>
              <w:bottom w:val="single" w:color="000000" w:sz="4" w:space="0"/>
              <w:right w:val="single" w:color="000000" w:sz="4" w:space="0"/>
            </w:tcBorders>
            <w:vAlign w:val="center"/>
          </w:tcPr>
          <w:p w14:paraId="28BCC4DB">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2AE9F7A7">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08DEEEAA">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0965D73F">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064FA6E2">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vAlign w:val="center"/>
          </w:tcPr>
          <w:p w14:paraId="7C9E272C">
            <w:pPr>
              <w:pStyle w:val="98"/>
              <w:ind w:left="-105" w:right="-105"/>
              <w:rPr>
                <w:rFonts w:eastAsia="宋体"/>
                <w:color w:val="auto"/>
                <w:sz w:val="21"/>
                <w:szCs w:val="21"/>
                <w:highlight w:val="none"/>
              </w:rPr>
            </w:pPr>
            <w:r>
              <w:rPr>
                <w:rFonts w:eastAsia="宋体"/>
                <w:color w:val="auto"/>
                <w:sz w:val="21"/>
                <w:szCs w:val="21"/>
                <w:highlight w:val="none"/>
              </w:rPr>
              <w:t>0.4</w:t>
            </w:r>
          </w:p>
        </w:tc>
        <w:tc>
          <w:tcPr>
            <w:tcW w:w="686" w:type="dxa"/>
            <w:tcBorders>
              <w:top w:val="single" w:color="000000" w:sz="4" w:space="0"/>
              <w:left w:val="single" w:color="000000" w:sz="4" w:space="0"/>
              <w:bottom w:val="single" w:color="000000" w:sz="4" w:space="0"/>
              <w:right w:val="single" w:color="000000" w:sz="4" w:space="0"/>
            </w:tcBorders>
            <w:vAlign w:val="center"/>
          </w:tcPr>
          <w:p w14:paraId="33F869F6">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vAlign w:val="center"/>
          </w:tcPr>
          <w:p w14:paraId="2306CADF">
            <w:pPr>
              <w:pStyle w:val="98"/>
              <w:ind w:left="-105" w:right="-105"/>
              <w:rPr>
                <w:rFonts w:eastAsia="宋体"/>
                <w:color w:val="auto"/>
                <w:sz w:val="21"/>
                <w:szCs w:val="21"/>
                <w:highlight w:val="none"/>
              </w:rPr>
            </w:pPr>
            <w:r>
              <w:rPr>
                <w:rFonts w:eastAsia="宋体"/>
                <w:color w:val="auto"/>
                <w:sz w:val="21"/>
                <w:szCs w:val="21"/>
                <w:highlight w:val="none"/>
              </w:rPr>
              <w:t>0.5</w:t>
            </w:r>
          </w:p>
        </w:tc>
        <w:tc>
          <w:tcPr>
            <w:tcW w:w="645" w:type="dxa"/>
            <w:tcBorders>
              <w:top w:val="single" w:color="000000" w:sz="4" w:space="0"/>
              <w:left w:val="single" w:color="000000" w:sz="4" w:space="0"/>
              <w:bottom w:val="single" w:color="000000" w:sz="4" w:space="0"/>
              <w:right w:val="single" w:color="000000" w:sz="4" w:space="0"/>
            </w:tcBorders>
            <w:vAlign w:val="center"/>
          </w:tcPr>
          <w:p w14:paraId="177C3113">
            <w:pPr>
              <w:pStyle w:val="98"/>
              <w:ind w:left="-105" w:right="-105"/>
              <w:rPr>
                <w:rFonts w:eastAsia="宋体"/>
                <w:color w:val="auto"/>
                <w:sz w:val="21"/>
                <w:szCs w:val="21"/>
                <w:highlight w:val="none"/>
              </w:rPr>
            </w:pPr>
            <w:r>
              <w:rPr>
                <w:rFonts w:eastAsia="宋体"/>
                <w:color w:val="auto"/>
                <w:sz w:val="21"/>
                <w:szCs w:val="21"/>
                <w:highlight w:val="none"/>
              </w:rPr>
              <w:t>0.4</w:t>
            </w:r>
          </w:p>
        </w:tc>
        <w:tc>
          <w:tcPr>
            <w:tcW w:w="1134" w:type="dxa"/>
            <w:tcBorders>
              <w:top w:val="single" w:color="000000" w:sz="4" w:space="0"/>
              <w:left w:val="single" w:color="000000" w:sz="4" w:space="0"/>
              <w:bottom w:val="single" w:color="000000" w:sz="4" w:space="0"/>
              <w:right w:val="nil"/>
            </w:tcBorders>
            <w:vAlign w:val="center"/>
          </w:tcPr>
          <w:p w14:paraId="0A6AC6B5">
            <w:pPr>
              <w:pStyle w:val="98"/>
              <w:ind w:left="-105" w:right="-105"/>
              <w:rPr>
                <w:rFonts w:eastAsia="宋体"/>
                <w:color w:val="auto"/>
                <w:sz w:val="21"/>
                <w:szCs w:val="21"/>
                <w:highlight w:val="none"/>
              </w:rPr>
            </w:pPr>
            <w:r>
              <w:rPr>
                <w:rFonts w:eastAsia="宋体"/>
                <w:color w:val="auto"/>
                <w:sz w:val="21"/>
                <w:szCs w:val="21"/>
                <w:highlight w:val="none"/>
              </w:rPr>
              <w:t>10.0</w:t>
            </w:r>
          </w:p>
        </w:tc>
      </w:tr>
      <w:tr w14:paraId="11F96D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restart"/>
            <w:tcBorders>
              <w:top w:val="single" w:color="000000" w:sz="4" w:space="0"/>
              <w:left w:val="nil"/>
              <w:bottom w:val="single" w:color="000000" w:sz="4" w:space="0"/>
              <w:right w:val="single" w:color="000000" w:sz="4" w:space="0"/>
            </w:tcBorders>
            <w:vAlign w:val="center"/>
          </w:tcPr>
          <w:p w14:paraId="269CA427">
            <w:pPr>
              <w:pStyle w:val="98"/>
              <w:ind w:left="-105" w:right="-105"/>
              <w:rPr>
                <w:rFonts w:eastAsia="宋体"/>
                <w:color w:val="auto"/>
                <w:sz w:val="21"/>
                <w:szCs w:val="21"/>
                <w:highlight w:val="none"/>
              </w:rPr>
            </w:pPr>
            <w:r>
              <w:rPr>
                <w:rFonts w:eastAsia="宋体"/>
                <w:color w:val="auto"/>
                <w:sz w:val="21"/>
                <w:szCs w:val="21"/>
                <w:highlight w:val="none"/>
              </w:rPr>
              <w:t>2.1-3.0</w:t>
            </w:r>
          </w:p>
        </w:tc>
        <w:tc>
          <w:tcPr>
            <w:tcW w:w="742" w:type="dxa"/>
            <w:tcBorders>
              <w:top w:val="single" w:color="000000" w:sz="4" w:space="0"/>
              <w:left w:val="single" w:color="000000" w:sz="4" w:space="0"/>
              <w:bottom w:val="single" w:color="000000" w:sz="4" w:space="0"/>
              <w:right w:val="single" w:color="000000" w:sz="4" w:space="0"/>
            </w:tcBorders>
            <w:vAlign w:val="center"/>
          </w:tcPr>
          <w:p w14:paraId="3EDE349F">
            <w:pPr>
              <w:pStyle w:val="98"/>
              <w:ind w:left="-105" w:right="-105"/>
              <w:rPr>
                <w:rFonts w:eastAsia="宋体"/>
                <w:color w:val="auto"/>
                <w:sz w:val="21"/>
                <w:szCs w:val="21"/>
                <w:highlight w:val="none"/>
              </w:rPr>
            </w:pPr>
            <w:r>
              <w:rPr>
                <w:rFonts w:eastAsia="宋体"/>
                <w:color w:val="auto"/>
                <w:sz w:val="21"/>
                <w:szCs w:val="21"/>
                <w:highlight w:val="none"/>
              </w:rPr>
              <w:t>A</w:t>
            </w:r>
          </w:p>
        </w:tc>
        <w:tc>
          <w:tcPr>
            <w:tcW w:w="683" w:type="dxa"/>
            <w:tcBorders>
              <w:top w:val="single" w:color="000000" w:sz="4" w:space="0"/>
              <w:left w:val="single" w:color="000000" w:sz="4" w:space="0"/>
              <w:bottom w:val="single" w:color="000000" w:sz="4" w:space="0"/>
              <w:right w:val="single" w:color="000000" w:sz="4" w:space="0"/>
            </w:tcBorders>
            <w:vAlign w:val="center"/>
          </w:tcPr>
          <w:p w14:paraId="663F0C1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7E912C72">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4E5C4BD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152F888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1C9521B2">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146FEE27">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vAlign w:val="center"/>
          </w:tcPr>
          <w:p w14:paraId="44E24CB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5E51D0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9434CE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ABFD29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141ADF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9FA82C5">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2B66EE9C">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4FF5F990">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781409E1">
            <w:pPr>
              <w:pStyle w:val="98"/>
              <w:ind w:left="-105" w:right="-105"/>
              <w:rPr>
                <w:rFonts w:eastAsia="宋体"/>
                <w:color w:val="auto"/>
                <w:sz w:val="21"/>
                <w:szCs w:val="21"/>
                <w:highlight w:val="none"/>
              </w:rPr>
            </w:pPr>
            <w:r>
              <w:rPr>
                <w:rFonts w:eastAsia="宋体"/>
                <w:color w:val="auto"/>
                <w:sz w:val="21"/>
                <w:szCs w:val="21"/>
                <w:highlight w:val="none"/>
              </w:rPr>
              <w:t>1.20</w:t>
            </w:r>
          </w:p>
        </w:tc>
        <w:tc>
          <w:tcPr>
            <w:tcW w:w="645" w:type="dxa"/>
            <w:tcBorders>
              <w:top w:val="single" w:color="000000" w:sz="4" w:space="0"/>
              <w:left w:val="single" w:color="000000" w:sz="4" w:space="0"/>
              <w:bottom w:val="single" w:color="000000" w:sz="4" w:space="0"/>
              <w:right w:val="single" w:color="000000" w:sz="4" w:space="0"/>
            </w:tcBorders>
            <w:vAlign w:val="center"/>
          </w:tcPr>
          <w:p w14:paraId="5D5D321D">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vAlign w:val="center"/>
          </w:tcPr>
          <w:p w14:paraId="1A0F34C2">
            <w:pPr>
              <w:pStyle w:val="98"/>
              <w:ind w:left="-105" w:right="-105"/>
              <w:rPr>
                <w:rFonts w:eastAsia="宋体"/>
                <w:color w:val="auto"/>
                <w:sz w:val="21"/>
                <w:szCs w:val="21"/>
                <w:highlight w:val="none"/>
              </w:rPr>
            </w:pPr>
            <w:r>
              <w:rPr>
                <w:rFonts w:eastAsia="宋体"/>
                <w:color w:val="auto"/>
                <w:sz w:val="21"/>
                <w:szCs w:val="21"/>
                <w:highlight w:val="none"/>
              </w:rPr>
              <w:t>1.20</w:t>
            </w:r>
          </w:p>
        </w:tc>
      </w:tr>
      <w:tr w14:paraId="1FF987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33E84843">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5D52D97">
            <w:pPr>
              <w:pStyle w:val="98"/>
              <w:ind w:left="-105" w:right="-105"/>
              <w:rPr>
                <w:rFonts w:eastAsia="宋体"/>
                <w:color w:val="auto"/>
                <w:sz w:val="21"/>
                <w:szCs w:val="21"/>
                <w:highlight w:val="none"/>
              </w:rPr>
            </w:pPr>
            <w:r>
              <w:rPr>
                <w:rFonts w:eastAsia="宋体"/>
                <w:color w:val="auto"/>
                <w:sz w:val="21"/>
                <w:szCs w:val="21"/>
                <w:highlight w:val="none"/>
              </w:rPr>
              <w:t>B</w:t>
            </w:r>
          </w:p>
        </w:tc>
        <w:tc>
          <w:tcPr>
            <w:tcW w:w="683" w:type="dxa"/>
            <w:tcBorders>
              <w:top w:val="single" w:color="000000" w:sz="4" w:space="0"/>
              <w:left w:val="single" w:color="000000" w:sz="4" w:space="0"/>
              <w:bottom w:val="single" w:color="000000" w:sz="4" w:space="0"/>
              <w:right w:val="single" w:color="000000" w:sz="4" w:space="0"/>
            </w:tcBorders>
            <w:vAlign w:val="center"/>
          </w:tcPr>
          <w:p w14:paraId="4A521C02">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23D94143">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194943F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786CE0A8">
            <w:pPr>
              <w:pStyle w:val="98"/>
              <w:ind w:left="-105" w:right="-105"/>
              <w:rPr>
                <w:rFonts w:eastAsia="宋体"/>
                <w:color w:val="auto"/>
                <w:sz w:val="21"/>
                <w:szCs w:val="21"/>
                <w:highlight w:val="none"/>
              </w:rPr>
            </w:pPr>
            <w:r>
              <w:rPr>
                <w:rFonts w:eastAsia="宋体"/>
                <w:color w:val="auto"/>
                <w:sz w:val="21"/>
                <w:szCs w:val="21"/>
                <w:highlight w:val="none"/>
              </w:rPr>
              <w:t>0.2</w:t>
            </w:r>
          </w:p>
        </w:tc>
        <w:tc>
          <w:tcPr>
            <w:tcW w:w="683" w:type="dxa"/>
            <w:tcBorders>
              <w:top w:val="single" w:color="000000" w:sz="4" w:space="0"/>
              <w:left w:val="single" w:color="000000" w:sz="4" w:space="0"/>
              <w:bottom w:val="single" w:color="000000" w:sz="4" w:space="0"/>
              <w:right w:val="single" w:color="000000" w:sz="4" w:space="0"/>
            </w:tcBorders>
            <w:vAlign w:val="center"/>
          </w:tcPr>
          <w:p w14:paraId="357C738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7C570E07">
            <w:pPr>
              <w:pStyle w:val="98"/>
              <w:ind w:left="-105" w:right="-105"/>
              <w:rPr>
                <w:rFonts w:eastAsia="宋体"/>
                <w:color w:val="auto"/>
                <w:sz w:val="21"/>
                <w:szCs w:val="21"/>
                <w:highlight w:val="none"/>
              </w:rPr>
            </w:pPr>
            <w:r>
              <w:rPr>
                <w:rFonts w:eastAsia="宋体"/>
                <w:color w:val="auto"/>
                <w:sz w:val="21"/>
                <w:szCs w:val="21"/>
                <w:highlight w:val="none"/>
              </w:rPr>
              <w:t>0.7</w:t>
            </w:r>
          </w:p>
        </w:tc>
        <w:tc>
          <w:tcPr>
            <w:tcW w:w="685" w:type="dxa"/>
            <w:tcBorders>
              <w:top w:val="single" w:color="000000" w:sz="4" w:space="0"/>
              <w:left w:val="single" w:color="000000" w:sz="4" w:space="0"/>
              <w:bottom w:val="single" w:color="000000" w:sz="4" w:space="0"/>
              <w:right w:val="single" w:color="000000" w:sz="4" w:space="0"/>
            </w:tcBorders>
            <w:vAlign w:val="center"/>
          </w:tcPr>
          <w:p w14:paraId="10356252">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13A85F82">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24B37EBC">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1ECECBBD">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0709FDA7">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44CDF8F2">
            <w:pPr>
              <w:pStyle w:val="98"/>
              <w:ind w:left="-105" w:right="-105"/>
              <w:rPr>
                <w:rFonts w:eastAsia="宋体"/>
                <w:color w:val="auto"/>
                <w:sz w:val="21"/>
                <w:szCs w:val="21"/>
                <w:highlight w:val="none"/>
              </w:rPr>
            </w:pPr>
            <w:r>
              <w:rPr>
                <w:rFonts w:eastAsia="宋体"/>
                <w:color w:val="auto"/>
                <w:sz w:val="21"/>
                <w:szCs w:val="21"/>
                <w:highlight w:val="none"/>
              </w:rPr>
              <w:t>0.2</w:t>
            </w:r>
          </w:p>
        </w:tc>
        <w:tc>
          <w:tcPr>
            <w:tcW w:w="684" w:type="dxa"/>
            <w:tcBorders>
              <w:top w:val="single" w:color="000000" w:sz="4" w:space="0"/>
              <w:left w:val="single" w:color="000000" w:sz="4" w:space="0"/>
              <w:bottom w:val="single" w:color="000000" w:sz="4" w:space="0"/>
              <w:right w:val="single" w:color="000000" w:sz="4" w:space="0"/>
            </w:tcBorders>
          </w:tcPr>
          <w:p w14:paraId="2DB90087">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7BA5399B">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0C87202C">
            <w:pPr>
              <w:pStyle w:val="98"/>
              <w:ind w:left="-105" w:right="-105"/>
              <w:rPr>
                <w:rFonts w:eastAsia="宋体"/>
                <w:color w:val="auto"/>
                <w:sz w:val="21"/>
                <w:szCs w:val="21"/>
                <w:highlight w:val="none"/>
              </w:rPr>
            </w:pPr>
            <w:r>
              <w:rPr>
                <w:rFonts w:eastAsia="宋体"/>
                <w:color w:val="auto"/>
                <w:sz w:val="21"/>
                <w:szCs w:val="21"/>
                <w:highlight w:val="none"/>
              </w:rPr>
              <w:t>0.7</w:t>
            </w:r>
          </w:p>
        </w:tc>
        <w:tc>
          <w:tcPr>
            <w:tcW w:w="645" w:type="dxa"/>
            <w:tcBorders>
              <w:top w:val="single" w:color="000000" w:sz="4" w:space="0"/>
              <w:left w:val="single" w:color="000000" w:sz="4" w:space="0"/>
              <w:bottom w:val="single" w:color="000000" w:sz="4" w:space="0"/>
              <w:right w:val="single" w:color="000000" w:sz="4" w:space="0"/>
            </w:tcBorders>
            <w:vAlign w:val="center"/>
          </w:tcPr>
          <w:p w14:paraId="2DF64B82">
            <w:pPr>
              <w:pStyle w:val="98"/>
              <w:ind w:left="-105" w:right="-105"/>
              <w:rPr>
                <w:rFonts w:eastAsia="宋体"/>
                <w:color w:val="auto"/>
                <w:sz w:val="21"/>
                <w:szCs w:val="21"/>
                <w:highlight w:val="none"/>
              </w:rPr>
            </w:pPr>
            <w:r>
              <w:rPr>
                <w:rFonts w:eastAsia="宋体"/>
                <w:color w:val="auto"/>
                <w:sz w:val="21"/>
                <w:szCs w:val="21"/>
                <w:highlight w:val="none"/>
              </w:rPr>
              <w:t>0.9</w:t>
            </w:r>
          </w:p>
        </w:tc>
        <w:tc>
          <w:tcPr>
            <w:tcW w:w="1134" w:type="dxa"/>
            <w:tcBorders>
              <w:top w:val="single" w:color="000000" w:sz="4" w:space="0"/>
              <w:left w:val="single" w:color="000000" w:sz="4" w:space="0"/>
              <w:bottom w:val="single" w:color="000000" w:sz="4" w:space="0"/>
              <w:right w:val="nil"/>
            </w:tcBorders>
            <w:vAlign w:val="center"/>
          </w:tcPr>
          <w:p w14:paraId="491785C3">
            <w:pPr>
              <w:pStyle w:val="98"/>
              <w:ind w:left="-105" w:right="-105"/>
              <w:rPr>
                <w:rFonts w:eastAsia="宋体"/>
                <w:color w:val="auto"/>
                <w:sz w:val="21"/>
                <w:szCs w:val="21"/>
                <w:highlight w:val="none"/>
              </w:rPr>
            </w:pPr>
            <w:r>
              <w:rPr>
                <w:rFonts w:eastAsia="宋体"/>
                <w:color w:val="auto"/>
                <w:sz w:val="21"/>
                <w:szCs w:val="21"/>
                <w:highlight w:val="none"/>
              </w:rPr>
              <w:t>5.8</w:t>
            </w:r>
          </w:p>
        </w:tc>
      </w:tr>
      <w:tr w14:paraId="7EA197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6C36ECD3">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9AC9278">
            <w:pPr>
              <w:pStyle w:val="98"/>
              <w:ind w:left="-105" w:right="-105"/>
              <w:rPr>
                <w:rFonts w:eastAsia="宋体"/>
                <w:color w:val="auto"/>
                <w:sz w:val="21"/>
                <w:szCs w:val="21"/>
                <w:highlight w:val="none"/>
              </w:rPr>
            </w:pPr>
            <w:r>
              <w:rPr>
                <w:rFonts w:eastAsia="宋体"/>
                <w:color w:val="auto"/>
                <w:sz w:val="21"/>
                <w:szCs w:val="21"/>
                <w:highlight w:val="none"/>
              </w:rPr>
              <w:t>C</w:t>
            </w:r>
          </w:p>
        </w:tc>
        <w:tc>
          <w:tcPr>
            <w:tcW w:w="683" w:type="dxa"/>
            <w:tcBorders>
              <w:top w:val="single" w:color="000000" w:sz="4" w:space="0"/>
              <w:left w:val="single" w:color="000000" w:sz="4" w:space="0"/>
              <w:bottom w:val="single" w:color="000000" w:sz="4" w:space="0"/>
              <w:right w:val="single" w:color="000000" w:sz="4" w:space="0"/>
            </w:tcBorders>
            <w:vAlign w:val="center"/>
          </w:tcPr>
          <w:p w14:paraId="32831B16">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2F48C2EB">
            <w:pPr>
              <w:pStyle w:val="98"/>
              <w:ind w:left="-105" w:right="-105"/>
              <w:rPr>
                <w:rFonts w:eastAsia="宋体"/>
                <w:color w:val="auto"/>
                <w:sz w:val="21"/>
                <w:szCs w:val="21"/>
                <w:highlight w:val="none"/>
              </w:rPr>
            </w:pPr>
            <w:r>
              <w:rPr>
                <w:rFonts w:eastAsia="宋体"/>
                <w:color w:val="auto"/>
                <w:sz w:val="21"/>
                <w:szCs w:val="21"/>
                <w:highlight w:val="none"/>
              </w:rPr>
              <w:t>0.5</w:t>
            </w:r>
          </w:p>
        </w:tc>
        <w:tc>
          <w:tcPr>
            <w:tcW w:w="686" w:type="dxa"/>
            <w:tcBorders>
              <w:top w:val="single" w:color="000000" w:sz="4" w:space="0"/>
              <w:left w:val="single" w:color="000000" w:sz="4" w:space="0"/>
              <w:bottom w:val="single" w:color="000000" w:sz="4" w:space="0"/>
              <w:right w:val="single" w:color="000000" w:sz="4" w:space="0"/>
            </w:tcBorders>
            <w:vAlign w:val="center"/>
          </w:tcPr>
          <w:p w14:paraId="30E1DB9B">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1FD4575B">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320DCA53">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08AE0E94">
            <w:pPr>
              <w:pStyle w:val="98"/>
              <w:ind w:left="-105" w:right="-105"/>
              <w:rPr>
                <w:rFonts w:eastAsia="宋体"/>
                <w:color w:val="auto"/>
                <w:sz w:val="21"/>
                <w:szCs w:val="21"/>
                <w:highlight w:val="none"/>
              </w:rPr>
            </w:pPr>
            <w:r>
              <w:rPr>
                <w:rFonts w:eastAsia="宋体"/>
                <w:color w:val="auto"/>
                <w:sz w:val="21"/>
                <w:szCs w:val="21"/>
                <w:highlight w:val="none"/>
              </w:rPr>
              <w:t>0.9</w:t>
            </w:r>
          </w:p>
        </w:tc>
        <w:tc>
          <w:tcPr>
            <w:tcW w:w="685" w:type="dxa"/>
            <w:tcBorders>
              <w:top w:val="single" w:color="000000" w:sz="4" w:space="0"/>
              <w:left w:val="single" w:color="000000" w:sz="4" w:space="0"/>
              <w:bottom w:val="single" w:color="000000" w:sz="4" w:space="0"/>
              <w:right w:val="single" w:color="000000" w:sz="4" w:space="0"/>
            </w:tcBorders>
            <w:vAlign w:val="center"/>
          </w:tcPr>
          <w:p w14:paraId="616A7310">
            <w:pPr>
              <w:pStyle w:val="98"/>
              <w:ind w:left="-105" w:right="-105"/>
              <w:rPr>
                <w:rFonts w:eastAsia="宋体"/>
                <w:color w:val="auto"/>
                <w:sz w:val="21"/>
                <w:szCs w:val="21"/>
                <w:highlight w:val="none"/>
              </w:rPr>
            </w:pPr>
            <w:r>
              <w:rPr>
                <w:rFonts w:eastAsia="宋体"/>
                <w:color w:val="auto"/>
                <w:sz w:val="21"/>
                <w:szCs w:val="21"/>
                <w:highlight w:val="none"/>
              </w:rPr>
              <w:t>1.6</w:t>
            </w:r>
          </w:p>
        </w:tc>
        <w:tc>
          <w:tcPr>
            <w:tcW w:w="683" w:type="dxa"/>
            <w:tcBorders>
              <w:top w:val="single" w:color="000000" w:sz="4" w:space="0"/>
              <w:left w:val="single" w:color="000000" w:sz="4" w:space="0"/>
              <w:bottom w:val="single" w:color="000000" w:sz="4" w:space="0"/>
              <w:right w:val="single" w:color="000000" w:sz="4" w:space="0"/>
            </w:tcBorders>
            <w:vAlign w:val="center"/>
          </w:tcPr>
          <w:p w14:paraId="03FC0BE7">
            <w:pPr>
              <w:pStyle w:val="98"/>
              <w:ind w:left="-105" w:right="-105"/>
              <w:rPr>
                <w:rFonts w:eastAsia="宋体"/>
                <w:color w:val="auto"/>
                <w:sz w:val="21"/>
                <w:szCs w:val="21"/>
                <w:highlight w:val="none"/>
              </w:rPr>
            </w:pPr>
            <w:r>
              <w:rPr>
                <w:rFonts w:eastAsia="宋体"/>
                <w:color w:val="auto"/>
                <w:sz w:val="21"/>
                <w:szCs w:val="21"/>
                <w:highlight w:val="none"/>
              </w:rPr>
              <w:t>1.8</w:t>
            </w:r>
          </w:p>
        </w:tc>
        <w:tc>
          <w:tcPr>
            <w:tcW w:w="683" w:type="dxa"/>
            <w:tcBorders>
              <w:top w:val="single" w:color="000000" w:sz="4" w:space="0"/>
              <w:left w:val="single" w:color="000000" w:sz="4" w:space="0"/>
              <w:bottom w:val="single" w:color="000000" w:sz="4" w:space="0"/>
              <w:right w:val="single" w:color="000000" w:sz="4" w:space="0"/>
            </w:tcBorders>
            <w:vAlign w:val="center"/>
          </w:tcPr>
          <w:p w14:paraId="6BAE2C63">
            <w:pPr>
              <w:pStyle w:val="98"/>
              <w:ind w:left="-105" w:right="-105"/>
              <w:rPr>
                <w:rFonts w:eastAsia="宋体"/>
                <w:color w:val="auto"/>
                <w:sz w:val="21"/>
                <w:szCs w:val="21"/>
                <w:highlight w:val="none"/>
              </w:rPr>
            </w:pPr>
            <w:r>
              <w:rPr>
                <w:rFonts w:eastAsia="宋体"/>
                <w:color w:val="auto"/>
                <w:sz w:val="21"/>
                <w:szCs w:val="21"/>
                <w:highlight w:val="none"/>
              </w:rPr>
              <w:t>1.4</w:t>
            </w:r>
          </w:p>
        </w:tc>
        <w:tc>
          <w:tcPr>
            <w:tcW w:w="683" w:type="dxa"/>
            <w:tcBorders>
              <w:top w:val="single" w:color="000000" w:sz="4" w:space="0"/>
              <w:left w:val="single" w:color="000000" w:sz="4" w:space="0"/>
              <w:bottom w:val="single" w:color="000000" w:sz="4" w:space="0"/>
              <w:right w:val="single" w:color="000000" w:sz="4" w:space="0"/>
            </w:tcBorders>
            <w:vAlign w:val="center"/>
          </w:tcPr>
          <w:p w14:paraId="29BFD7B7">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vAlign w:val="center"/>
          </w:tcPr>
          <w:p w14:paraId="3DE65086">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499C25F6">
            <w:pPr>
              <w:pStyle w:val="98"/>
              <w:ind w:left="-105" w:right="-105"/>
              <w:rPr>
                <w:rFonts w:eastAsia="宋体"/>
                <w:color w:val="auto"/>
                <w:sz w:val="21"/>
                <w:szCs w:val="21"/>
                <w:highlight w:val="none"/>
              </w:rPr>
            </w:pPr>
            <w:r>
              <w:rPr>
                <w:rFonts w:eastAsia="宋体"/>
                <w:color w:val="auto"/>
                <w:sz w:val="21"/>
                <w:szCs w:val="21"/>
                <w:highlight w:val="none"/>
              </w:rPr>
              <w:t>0.2</w:t>
            </w:r>
          </w:p>
        </w:tc>
        <w:tc>
          <w:tcPr>
            <w:tcW w:w="684" w:type="dxa"/>
            <w:tcBorders>
              <w:top w:val="single" w:color="000000" w:sz="4" w:space="0"/>
              <w:left w:val="single" w:color="000000" w:sz="4" w:space="0"/>
              <w:bottom w:val="single" w:color="000000" w:sz="4" w:space="0"/>
              <w:right w:val="single" w:color="000000" w:sz="4" w:space="0"/>
            </w:tcBorders>
            <w:vAlign w:val="center"/>
          </w:tcPr>
          <w:p w14:paraId="01215D1D">
            <w:pPr>
              <w:pStyle w:val="98"/>
              <w:ind w:left="-105" w:right="-105"/>
              <w:rPr>
                <w:rFonts w:eastAsia="宋体"/>
                <w:color w:val="auto"/>
                <w:sz w:val="21"/>
                <w:szCs w:val="21"/>
                <w:highlight w:val="none"/>
              </w:rPr>
            </w:pPr>
            <w:r>
              <w:rPr>
                <w:rFonts w:eastAsia="宋体"/>
                <w:color w:val="auto"/>
                <w:sz w:val="21"/>
                <w:szCs w:val="21"/>
                <w:highlight w:val="none"/>
              </w:rPr>
              <w:t>0.9</w:t>
            </w:r>
          </w:p>
        </w:tc>
        <w:tc>
          <w:tcPr>
            <w:tcW w:w="686" w:type="dxa"/>
            <w:tcBorders>
              <w:top w:val="single" w:color="000000" w:sz="4" w:space="0"/>
              <w:left w:val="single" w:color="000000" w:sz="4" w:space="0"/>
              <w:bottom w:val="single" w:color="000000" w:sz="4" w:space="0"/>
              <w:right w:val="single" w:color="000000" w:sz="4" w:space="0"/>
            </w:tcBorders>
            <w:vAlign w:val="center"/>
          </w:tcPr>
          <w:p w14:paraId="2A62A426">
            <w:pPr>
              <w:pStyle w:val="98"/>
              <w:ind w:left="-105" w:right="-105"/>
              <w:rPr>
                <w:rFonts w:eastAsia="宋体"/>
                <w:color w:val="auto"/>
                <w:sz w:val="21"/>
                <w:szCs w:val="21"/>
                <w:highlight w:val="none"/>
              </w:rPr>
            </w:pPr>
            <w:r>
              <w:rPr>
                <w:rFonts w:eastAsia="宋体"/>
                <w:color w:val="auto"/>
                <w:sz w:val="21"/>
                <w:szCs w:val="21"/>
                <w:highlight w:val="none"/>
              </w:rPr>
              <w:t>0.5</w:t>
            </w:r>
          </w:p>
        </w:tc>
        <w:tc>
          <w:tcPr>
            <w:tcW w:w="684" w:type="dxa"/>
            <w:tcBorders>
              <w:top w:val="single" w:color="000000" w:sz="4" w:space="0"/>
              <w:left w:val="single" w:color="000000" w:sz="4" w:space="0"/>
              <w:bottom w:val="single" w:color="000000" w:sz="4" w:space="0"/>
              <w:right w:val="single" w:color="000000" w:sz="4" w:space="0"/>
            </w:tcBorders>
            <w:vAlign w:val="center"/>
          </w:tcPr>
          <w:p w14:paraId="3AD356A5">
            <w:pPr>
              <w:pStyle w:val="98"/>
              <w:ind w:left="-105" w:right="-105"/>
              <w:rPr>
                <w:rFonts w:eastAsia="宋体"/>
                <w:color w:val="auto"/>
                <w:sz w:val="21"/>
                <w:szCs w:val="21"/>
                <w:highlight w:val="none"/>
              </w:rPr>
            </w:pPr>
            <w:r>
              <w:rPr>
                <w:rFonts w:eastAsia="宋体"/>
                <w:color w:val="auto"/>
                <w:sz w:val="21"/>
                <w:szCs w:val="21"/>
                <w:highlight w:val="none"/>
              </w:rPr>
              <w:t>4.7</w:t>
            </w:r>
          </w:p>
        </w:tc>
        <w:tc>
          <w:tcPr>
            <w:tcW w:w="645" w:type="dxa"/>
            <w:tcBorders>
              <w:top w:val="single" w:color="000000" w:sz="4" w:space="0"/>
              <w:left w:val="single" w:color="000000" w:sz="4" w:space="0"/>
              <w:bottom w:val="single" w:color="000000" w:sz="4" w:space="0"/>
              <w:right w:val="single" w:color="000000" w:sz="4" w:space="0"/>
            </w:tcBorders>
            <w:vAlign w:val="center"/>
          </w:tcPr>
          <w:p w14:paraId="22883628">
            <w:pPr>
              <w:pStyle w:val="98"/>
              <w:ind w:left="-105" w:right="-105"/>
              <w:rPr>
                <w:rFonts w:eastAsia="宋体"/>
                <w:color w:val="auto"/>
                <w:sz w:val="21"/>
                <w:szCs w:val="21"/>
                <w:highlight w:val="none"/>
              </w:rPr>
            </w:pPr>
            <w:r>
              <w:rPr>
                <w:rFonts w:eastAsia="宋体"/>
                <w:color w:val="auto"/>
                <w:sz w:val="21"/>
                <w:szCs w:val="21"/>
                <w:highlight w:val="none"/>
              </w:rPr>
              <w:t>2.2</w:t>
            </w:r>
          </w:p>
        </w:tc>
        <w:tc>
          <w:tcPr>
            <w:tcW w:w="1134" w:type="dxa"/>
            <w:tcBorders>
              <w:top w:val="single" w:color="000000" w:sz="4" w:space="0"/>
              <w:left w:val="single" w:color="000000" w:sz="4" w:space="0"/>
              <w:bottom w:val="single" w:color="000000" w:sz="4" w:space="0"/>
              <w:right w:val="nil"/>
            </w:tcBorders>
            <w:vAlign w:val="center"/>
          </w:tcPr>
          <w:p w14:paraId="3338D207">
            <w:pPr>
              <w:pStyle w:val="98"/>
              <w:ind w:left="-105" w:right="-105"/>
              <w:rPr>
                <w:rFonts w:eastAsia="宋体"/>
                <w:color w:val="auto"/>
                <w:sz w:val="21"/>
                <w:szCs w:val="21"/>
                <w:highlight w:val="none"/>
              </w:rPr>
            </w:pPr>
            <w:r>
              <w:rPr>
                <w:rFonts w:eastAsia="宋体"/>
                <w:color w:val="auto"/>
                <w:sz w:val="21"/>
                <w:szCs w:val="21"/>
                <w:highlight w:val="none"/>
              </w:rPr>
              <w:t>18.3</w:t>
            </w:r>
          </w:p>
        </w:tc>
      </w:tr>
      <w:tr w14:paraId="2173E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4DAB8DB6">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DA44211">
            <w:pPr>
              <w:pStyle w:val="98"/>
              <w:ind w:left="-105" w:right="-105"/>
              <w:rPr>
                <w:rFonts w:eastAsia="宋体"/>
                <w:color w:val="auto"/>
                <w:sz w:val="21"/>
                <w:szCs w:val="21"/>
                <w:highlight w:val="none"/>
              </w:rPr>
            </w:pPr>
            <w:r>
              <w:rPr>
                <w:rFonts w:eastAsia="宋体"/>
                <w:color w:val="auto"/>
                <w:sz w:val="21"/>
                <w:szCs w:val="21"/>
                <w:highlight w:val="none"/>
              </w:rPr>
              <w:t>D</w:t>
            </w:r>
          </w:p>
        </w:tc>
        <w:tc>
          <w:tcPr>
            <w:tcW w:w="683" w:type="dxa"/>
            <w:tcBorders>
              <w:top w:val="single" w:color="000000" w:sz="4" w:space="0"/>
              <w:left w:val="single" w:color="000000" w:sz="4" w:space="0"/>
              <w:bottom w:val="single" w:color="000000" w:sz="4" w:space="0"/>
              <w:right w:val="single" w:color="000000" w:sz="4" w:space="0"/>
            </w:tcBorders>
            <w:vAlign w:val="center"/>
          </w:tcPr>
          <w:p w14:paraId="5D317E74">
            <w:pPr>
              <w:pStyle w:val="98"/>
              <w:ind w:left="-105" w:right="-105"/>
              <w:rPr>
                <w:rFonts w:eastAsia="宋体"/>
                <w:color w:val="auto"/>
                <w:sz w:val="21"/>
                <w:szCs w:val="21"/>
                <w:highlight w:val="none"/>
              </w:rPr>
            </w:pPr>
            <w:r>
              <w:rPr>
                <w:rFonts w:eastAsia="宋体"/>
                <w:color w:val="auto"/>
                <w:sz w:val="21"/>
                <w:szCs w:val="21"/>
                <w:highlight w:val="none"/>
              </w:rPr>
              <w:t>7.2</w:t>
            </w:r>
          </w:p>
        </w:tc>
        <w:tc>
          <w:tcPr>
            <w:tcW w:w="683" w:type="dxa"/>
            <w:tcBorders>
              <w:top w:val="single" w:color="000000" w:sz="4" w:space="0"/>
              <w:left w:val="single" w:color="000000" w:sz="4" w:space="0"/>
              <w:bottom w:val="single" w:color="000000" w:sz="4" w:space="0"/>
              <w:right w:val="single" w:color="000000" w:sz="4" w:space="0"/>
            </w:tcBorders>
            <w:vAlign w:val="center"/>
          </w:tcPr>
          <w:p w14:paraId="489494BC">
            <w:pPr>
              <w:pStyle w:val="98"/>
              <w:ind w:left="-105" w:right="-105"/>
              <w:rPr>
                <w:rFonts w:eastAsia="宋体"/>
                <w:color w:val="auto"/>
                <w:sz w:val="21"/>
                <w:szCs w:val="21"/>
                <w:highlight w:val="none"/>
              </w:rPr>
            </w:pPr>
            <w:r>
              <w:rPr>
                <w:rFonts w:eastAsia="宋体"/>
                <w:color w:val="auto"/>
                <w:sz w:val="21"/>
                <w:szCs w:val="21"/>
                <w:highlight w:val="none"/>
              </w:rPr>
              <w:t>3.0</w:t>
            </w:r>
          </w:p>
        </w:tc>
        <w:tc>
          <w:tcPr>
            <w:tcW w:w="686" w:type="dxa"/>
            <w:tcBorders>
              <w:top w:val="single" w:color="000000" w:sz="4" w:space="0"/>
              <w:left w:val="single" w:color="000000" w:sz="4" w:space="0"/>
              <w:bottom w:val="single" w:color="000000" w:sz="4" w:space="0"/>
              <w:right w:val="single" w:color="000000" w:sz="4" w:space="0"/>
            </w:tcBorders>
            <w:vAlign w:val="center"/>
          </w:tcPr>
          <w:p w14:paraId="1D6C1CCF">
            <w:pPr>
              <w:pStyle w:val="98"/>
              <w:ind w:left="-105" w:right="-105"/>
              <w:rPr>
                <w:rFonts w:eastAsia="宋体"/>
                <w:color w:val="auto"/>
                <w:sz w:val="21"/>
                <w:szCs w:val="21"/>
                <w:highlight w:val="none"/>
              </w:rPr>
            </w:pPr>
            <w:r>
              <w:rPr>
                <w:rFonts w:eastAsia="宋体"/>
                <w:color w:val="auto"/>
                <w:sz w:val="21"/>
                <w:szCs w:val="21"/>
                <w:highlight w:val="none"/>
              </w:rPr>
              <w:t>6.1</w:t>
            </w:r>
          </w:p>
        </w:tc>
        <w:tc>
          <w:tcPr>
            <w:tcW w:w="683" w:type="dxa"/>
            <w:tcBorders>
              <w:top w:val="single" w:color="000000" w:sz="4" w:space="0"/>
              <w:left w:val="single" w:color="000000" w:sz="4" w:space="0"/>
              <w:bottom w:val="single" w:color="000000" w:sz="4" w:space="0"/>
              <w:right w:val="single" w:color="000000" w:sz="4" w:space="0"/>
            </w:tcBorders>
            <w:vAlign w:val="center"/>
          </w:tcPr>
          <w:p w14:paraId="1A3538DF">
            <w:pPr>
              <w:pStyle w:val="98"/>
              <w:ind w:left="-105" w:right="-105"/>
              <w:rPr>
                <w:rFonts w:eastAsia="宋体"/>
                <w:color w:val="auto"/>
                <w:sz w:val="21"/>
                <w:szCs w:val="21"/>
                <w:highlight w:val="none"/>
              </w:rPr>
            </w:pPr>
            <w:r>
              <w:rPr>
                <w:rFonts w:eastAsia="宋体"/>
                <w:color w:val="auto"/>
                <w:sz w:val="21"/>
                <w:szCs w:val="21"/>
                <w:highlight w:val="none"/>
              </w:rPr>
              <w:t>3.3</w:t>
            </w:r>
          </w:p>
        </w:tc>
        <w:tc>
          <w:tcPr>
            <w:tcW w:w="683" w:type="dxa"/>
            <w:tcBorders>
              <w:top w:val="single" w:color="000000" w:sz="4" w:space="0"/>
              <w:left w:val="single" w:color="000000" w:sz="4" w:space="0"/>
              <w:bottom w:val="single" w:color="000000" w:sz="4" w:space="0"/>
              <w:right w:val="single" w:color="000000" w:sz="4" w:space="0"/>
            </w:tcBorders>
            <w:vAlign w:val="center"/>
          </w:tcPr>
          <w:p w14:paraId="64395887">
            <w:pPr>
              <w:pStyle w:val="98"/>
              <w:ind w:left="-105" w:right="-105"/>
              <w:rPr>
                <w:rFonts w:eastAsia="宋体"/>
                <w:color w:val="auto"/>
                <w:sz w:val="21"/>
                <w:szCs w:val="21"/>
                <w:highlight w:val="none"/>
              </w:rPr>
            </w:pPr>
            <w:r>
              <w:rPr>
                <w:rFonts w:eastAsia="宋体"/>
                <w:color w:val="auto"/>
                <w:sz w:val="21"/>
                <w:szCs w:val="21"/>
                <w:highlight w:val="none"/>
              </w:rPr>
              <w:t>4.5</w:t>
            </w:r>
          </w:p>
        </w:tc>
        <w:tc>
          <w:tcPr>
            <w:tcW w:w="683" w:type="dxa"/>
            <w:tcBorders>
              <w:top w:val="single" w:color="000000" w:sz="4" w:space="0"/>
              <w:left w:val="single" w:color="000000" w:sz="4" w:space="0"/>
              <w:bottom w:val="single" w:color="000000" w:sz="4" w:space="0"/>
              <w:right w:val="single" w:color="000000" w:sz="4" w:space="0"/>
            </w:tcBorders>
            <w:vAlign w:val="center"/>
          </w:tcPr>
          <w:p w14:paraId="1AFB9012">
            <w:pPr>
              <w:pStyle w:val="98"/>
              <w:ind w:left="-105" w:right="-105"/>
              <w:rPr>
                <w:rFonts w:eastAsia="宋体"/>
                <w:color w:val="auto"/>
                <w:sz w:val="21"/>
                <w:szCs w:val="21"/>
                <w:highlight w:val="none"/>
              </w:rPr>
            </w:pPr>
            <w:r>
              <w:rPr>
                <w:rFonts w:eastAsia="宋体"/>
                <w:color w:val="auto"/>
                <w:sz w:val="21"/>
                <w:szCs w:val="21"/>
                <w:highlight w:val="none"/>
              </w:rPr>
              <w:t>5.7</w:t>
            </w:r>
          </w:p>
        </w:tc>
        <w:tc>
          <w:tcPr>
            <w:tcW w:w="685" w:type="dxa"/>
            <w:tcBorders>
              <w:top w:val="single" w:color="000000" w:sz="4" w:space="0"/>
              <w:left w:val="single" w:color="000000" w:sz="4" w:space="0"/>
              <w:bottom w:val="single" w:color="000000" w:sz="4" w:space="0"/>
              <w:right w:val="single" w:color="000000" w:sz="4" w:space="0"/>
            </w:tcBorders>
            <w:vAlign w:val="center"/>
          </w:tcPr>
          <w:p w14:paraId="609EE405">
            <w:pPr>
              <w:pStyle w:val="98"/>
              <w:ind w:left="-105" w:right="-105"/>
              <w:rPr>
                <w:rFonts w:eastAsia="宋体"/>
                <w:color w:val="auto"/>
                <w:sz w:val="21"/>
                <w:szCs w:val="21"/>
                <w:highlight w:val="none"/>
              </w:rPr>
            </w:pPr>
            <w:r>
              <w:rPr>
                <w:rFonts w:eastAsia="宋体"/>
                <w:color w:val="auto"/>
                <w:sz w:val="21"/>
                <w:szCs w:val="21"/>
                <w:highlight w:val="none"/>
              </w:rPr>
              <w:t>3.3</w:t>
            </w:r>
          </w:p>
        </w:tc>
        <w:tc>
          <w:tcPr>
            <w:tcW w:w="683" w:type="dxa"/>
            <w:tcBorders>
              <w:top w:val="single" w:color="000000" w:sz="4" w:space="0"/>
              <w:left w:val="single" w:color="000000" w:sz="4" w:space="0"/>
              <w:bottom w:val="single" w:color="000000" w:sz="4" w:space="0"/>
              <w:right w:val="single" w:color="000000" w:sz="4" w:space="0"/>
            </w:tcBorders>
            <w:vAlign w:val="center"/>
          </w:tcPr>
          <w:p w14:paraId="06504955">
            <w:pPr>
              <w:pStyle w:val="98"/>
              <w:ind w:left="-105" w:right="-105"/>
              <w:rPr>
                <w:rFonts w:eastAsia="宋体"/>
                <w:color w:val="auto"/>
                <w:sz w:val="21"/>
                <w:szCs w:val="21"/>
                <w:highlight w:val="none"/>
              </w:rPr>
            </w:pPr>
            <w:r>
              <w:rPr>
                <w:rFonts w:eastAsia="宋体"/>
                <w:color w:val="auto"/>
                <w:sz w:val="21"/>
                <w:szCs w:val="21"/>
                <w:highlight w:val="none"/>
              </w:rPr>
              <w:t>2.3</w:t>
            </w:r>
          </w:p>
        </w:tc>
        <w:tc>
          <w:tcPr>
            <w:tcW w:w="683" w:type="dxa"/>
            <w:tcBorders>
              <w:top w:val="single" w:color="000000" w:sz="4" w:space="0"/>
              <w:left w:val="single" w:color="000000" w:sz="4" w:space="0"/>
              <w:bottom w:val="single" w:color="000000" w:sz="4" w:space="0"/>
              <w:right w:val="single" w:color="000000" w:sz="4" w:space="0"/>
            </w:tcBorders>
            <w:vAlign w:val="center"/>
          </w:tcPr>
          <w:p w14:paraId="1BC0F24B">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7E4FEAAC">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55191264">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2290E587">
            <w:pPr>
              <w:pStyle w:val="98"/>
              <w:ind w:left="-105" w:right="-105"/>
              <w:rPr>
                <w:rFonts w:eastAsia="宋体"/>
                <w:color w:val="auto"/>
                <w:sz w:val="21"/>
                <w:szCs w:val="21"/>
                <w:highlight w:val="none"/>
              </w:rPr>
            </w:pPr>
            <w:r>
              <w:rPr>
                <w:rFonts w:eastAsia="宋体"/>
                <w:color w:val="auto"/>
                <w:sz w:val="21"/>
                <w:szCs w:val="21"/>
                <w:highlight w:val="none"/>
              </w:rPr>
              <w:t>0.6</w:t>
            </w:r>
          </w:p>
        </w:tc>
        <w:tc>
          <w:tcPr>
            <w:tcW w:w="684" w:type="dxa"/>
            <w:tcBorders>
              <w:top w:val="single" w:color="000000" w:sz="4" w:space="0"/>
              <w:left w:val="single" w:color="000000" w:sz="4" w:space="0"/>
              <w:bottom w:val="single" w:color="000000" w:sz="4" w:space="0"/>
              <w:right w:val="single" w:color="000000" w:sz="4" w:space="0"/>
            </w:tcBorders>
            <w:vAlign w:val="center"/>
          </w:tcPr>
          <w:p w14:paraId="74F13F15">
            <w:pPr>
              <w:pStyle w:val="98"/>
              <w:ind w:left="-105" w:right="-105"/>
              <w:rPr>
                <w:rFonts w:eastAsia="宋体"/>
                <w:color w:val="auto"/>
                <w:sz w:val="21"/>
                <w:szCs w:val="21"/>
                <w:highlight w:val="none"/>
              </w:rPr>
            </w:pPr>
            <w:r>
              <w:rPr>
                <w:rFonts w:eastAsia="宋体"/>
                <w:color w:val="auto"/>
                <w:sz w:val="21"/>
                <w:szCs w:val="21"/>
                <w:highlight w:val="none"/>
              </w:rPr>
              <w:t>1.2</w:t>
            </w:r>
          </w:p>
        </w:tc>
        <w:tc>
          <w:tcPr>
            <w:tcW w:w="686" w:type="dxa"/>
            <w:tcBorders>
              <w:top w:val="single" w:color="000000" w:sz="4" w:space="0"/>
              <w:left w:val="single" w:color="000000" w:sz="4" w:space="0"/>
              <w:bottom w:val="single" w:color="000000" w:sz="4" w:space="0"/>
              <w:right w:val="single" w:color="000000" w:sz="4" w:space="0"/>
            </w:tcBorders>
            <w:vAlign w:val="center"/>
          </w:tcPr>
          <w:p w14:paraId="68755AF7">
            <w:pPr>
              <w:pStyle w:val="98"/>
              <w:ind w:left="-105" w:right="-105"/>
              <w:rPr>
                <w:rFonts w:eastAsia="宋体"/>
                <w:color w:val="auto"/>
                <w:sz w:val="21"/>
                <w:szCs w:val="21"/>
                <w:highlight w:val="none"/>
              </w:rPr>
            </w:pPr>
            <w:r>
              <w:rPr>
                <w:rFonts w:eastAsia="宋体"/>
                <w:color w:val="auto"/>
                <w:sz w:val="21"/>
                <w:szCs w:val="21"/>
                <w:highlight w:val="none"/>
              </w:rPr>
              <w:t>0.9</w:t>
            </w:r>
          </w:p>
        </w:tc>
        <w:tc>
          <w:tcPr>
            <w:tcW w:w="684" w:type="dxa"/>
            <w:tcBorders>
              <w:top w:val="single" w:color="000000" w:sz="4" w:space="0"/>
              <w:left w:val="single" w:color="000000" w:sz="4" w:space="0"/>
              <w:bottom w:val="single" w:color="000000" w:sz="4" w:space="0"/>
              <w:right w:val="single" w:color="000000" w:sz="4" w:space="0"/>
            </w:tcBorders>
            <w:vAlign w:val="center"/>
          </w:tcPr>
          <w:p w14:paraId="289A15FF">
            <w:pPr>
              <w:pStyle w:val="98"/>
              <w:ind w:left="-105" w:right="-105"/>
              <w:rPr>
                <w:rFonts w:eastAsia="宋体"/>
                <w:color w:val="auto"/>
                <w:sz w:val="21"/>
                <w:szCs w:val="21"/>
                <w:highlight w:val="none"/>
              </w:rPr>
            </w:pPr>
            <w:r>
              <w:rPr>
                <w:rFonts w:eastAsia="宋体"/>
                <w:color w:val="auto"/>
                <w:sz w:val="21"/>
                <w:szCs w:val="21"/>
                <w:highlight w:val="none"/>
              </w:rPr>
              <w:t>2.7</w:t>
            </w:r>
          </w:p>
        </w:tc>
        <w:tc>
          <w:tcPr>
            <w:tcW w:w="645" w:type="dxa"/>
            <w:tcBorders>
              <w:top w:val="single" w:color="000000" w:sz="4" w:space="0"/>
              <w:left w:val="single" w:color="000000" w:sz="4" w:space="0"/>
              <w:bottom w:val="single" w:color="000000" w:sz="4" w:space="0"/>
              <w:right w:val="single" w:color="000000" w:sz="4" w:space="0"/>
            </w:tcBorders>
            <w:vAlign w:val="center"/>
          </w:tcPr>
          <w:p w14:paraId="6568A49A">
            <w:pPr>
              <w:pStyle w:val="98"/>
              <w:ind w:left="-105" w:right="-105"/>
              <w:rPr>
                <w:rFonts w:eastAsia="宋体"/>
                <w:color w:val="auto"/>
                <w:sz w:val="21"/>
                <w:szCs w:val="21"/>
                <w:highlight w:val="none"/>
              </w:rPr>
            </w:pPr>
            <w:r>
              <w:rPr>
                <w:rFonts w:eastAsia="宋体"/>
                <w:color w:val="auto"/>
                <w:sz w:val="21"/>
                <w:szCs w:val="21"/>
                <w:highlight w:val="none"/>
              </w:rPr>
              <w:t>1.5</w:t>
            </w:r>
          </w:p>
        </w:tc>
        <w:tc>
          <w:tcPr>
            <w:tcW w:w="1134" w:type="dxa"/>
            <w:tcBorders>
              <w:top w:val="single" w:color="000000" w:sz="4" w:space="0"/>
              <w:left w:val="single" w:color="000000" w:sz="4" w:space="0"/>
              <w:bottom w:val="single" w:color="000000" w:sz="4" w:space="0"/>
              <w:right w:val="nil"/>
            </w:tcBorders>
            <w:vAlign w:val="center"/>
          </w:tcPr>
          <w:p w14:paraId="06ED7146">
            <w:pPr>
              <w:pStyle w:val="98"/>
              <w:ind w:left="-105" w:right="-105"/>
              <w:rPr>
                <w:rFonts w:eastAsia="宋体"/>
                <w:color w:val="auto"/>
                <w:sz w:val="21"/>
                <w:szCs w:val="21"/>
                <w:highlight w:val="none"/>
              </w:rPr>
            </w:pPr>
            <w:r>
              <w:rPr>
                <w:rFonts w:eastAsia="宋体"/>
                <w:color w:val="auto"/>
                <w:sz w:val="21"/>
                <w:szCs w:val="21"/>
                <w:highlight w:val="none"/>
              </w:rPr>
              <w:t>44.2</w:t>
            </w:r>
          </w:p>
        </w:tc>
      </w:tr>
      <w:tr w14:paraId="497AEB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6BCAF86F">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9FE5584">
            <w:pPr>
              <w:pStyle w:val="98"/>
              <w:ind w:left="-105" w:right="-105"/>
              <w:rPr>
                <w:rFonts w:eastAsia="宋体"/>
                <w:color w:val="auto"/>
                <w:sz w:val="21"/>
                <w:szCs w:val="21"/>
                <w:highlight w:val="none"/>
              </w:rPr>
            </w:pPr>
            <w:r>
              <w:rPr>
                <w:rFonts w:eastAsia="宋体"/>
                <w:color w:val="auto"/>
                <w:sz w:val="21"/>
                <w:szCs w:val="21"/>
                <w:highlight w:val="none"/>
              </w:rPr>
              <w:t>E</w:t>
            </w:r>
          </w:p>
        </w:tc>
        <w:tc>
          <w:tcPr>
            <w:tcW w:w="683" w:type="dxa"/>
            <w:tcBorders>
              <w:top w:val="single" w:color="000000" w:sz="4" w:space="0"/>
              <w:left w:val="single" w:color="000000" w:sz="4" w:space="0"/>
              <w:bottom w:val="single" w:color="000000" w:sz="4" w:space="0"/>
              <w:right w:val="single" w:color="000000" w:sz="4" w:space="0"/>
            </w:tcBorders>
            <w:vAlign w:val="center"/>
          </w:tcPr>
          <w:p w14:paraId="7692A686">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29FA987E">
            <w:pPr>
              <w:pStyle w:val="98"/>
              <w:ind w:left="-105" w:right="-105"/>
              <w:rPr>
                <w:rFonts w:eastAsia="宋体"/>
                <w:color w:val="auto"/>
                <w:sz w:val="21"/>
                <w:szCs w:val="21"/>
                <w:highlight w:val="none"/>
              </w:rPr>
            </w:pPr>
          </w:p>
        </w:tc>
        <w:tc>
          <w:tcPr>
            <w:tcW w:w="686" w:type="dxa"/>
            <w:tcBorders>
              <w:top w:val="single" w:color="000000" w:sz="4" w:space="0"/>
              <w:left w:val="single" w:color="000000" w:sz="4" w:space="0"/>
              <w:bottom w:val="single" w:color="000000" w:sz="4" w:space="0"/>
              <w:right w:val="single" w:color="000000" w:sz="4" w:space="0"/>
            </w:tcBorders>
            <w:vAlign w:val="center"/>
          </w:tcPr>
          <w:p w14:paraId="54D60CCC">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11A73651">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71AE06FD">
            <w:pPr>
              <w:pStyle w:val="98"/>
              <w:ind w:left="-105" w:right="-105"/>
              <w:rPr>
                <w:rFonts w:eastAsia="宋体"/>
                <w:color w:val="auto"/>
                <w:sz w:val="21"/>
                <w:szCs w:val="21"/>
                <w:highlight w:val="none"/>
              </w:rPr>
            </w:pPr>
            <w:r>
              <w:rPr>
                <w:rFonts w:eastAsia="宋体"/>
                <w:color w:val="auto"/>
                <w:sz w:val="21"/>
                <w:szCs w:val="21"/>
                <w:highlight w:val="none"/>
              </w:rPr>
              <w:t>1.7</w:t>
            </w:r>
          </w:p>
        </w:tc>
        <w:tc>
          <w:tcPr>
            <w:tcW w:w="683" w:type="dxa"/>
            <w:tcBorders>
              <w:top w:val="single" w:color="000000" w:sz="4" w:space="0"/>
              <w:left w:val="single" w:color="000000" w:sz="4" w:space="0"/>
              <w:bottom w:val="single" w:color="000000" w:sz="4" w:space="0"/>
              <w:right w:val="single" w:color="000000" w:sz="4" w:space="0"/>
            </w:tcBorders>
            <w:vAlign w:val="center"/>
          </w:tcPr>
          <w:p w14:paraId="081AFFE5">
            <w:pPr>
              <w:pStyle w:val="98"/>
              <w:ind w:left="-105" w:right="-105"/>
              <w:rPr>
                <w:rFonts w:eastAsia="宋体"/>
                <w:color w:val="auto"/>
                <w:sz w:val="21"/>
                <w:szCs w:val="21"/>
                <w:highlight w:val="none"/>
              </w:rPr>
            </w:pPr>
            <w:r>
              <w:rPr>
                <w:rFonts w:eastAsia="宋体"/>
                <w:color w:val="auto"/>
                <w:sz w:val="21"/>
                <w:szCs w:val="21"/>
                <w:highlight w:val="none"/>
              </w:rPr>
              <w:t>3.0</w:t>
            </w:r>
          </w:p>
        </w:tc>
        <w:tc>
          <w:tcPr>
            <w:tcW w:w="685" w:type="dxa"/>
            <w:tcBorders>
              <w:top w:val="single" w:color="000000" w:sz="4" w:space="0"/>
              <w:left w:val="single" w:color="000000" w:sz="4" w:space="0"/>
              <w:bottom w:val="single" w:color="000000" w:sz="4" w:space="0"/>
              <w:right w:val="single" w:color="000000" w:sz="4" w:space="0"/>
            </w:tcBorders>
            <w:vAlign w:val="center"/>
          </w:tcPr>
          <w:p w14:paraId="2FD78E57">
            <w:pPr>
              <w:pStyle w:val="98"/>
              <w:ind w:left="-105" w:right="-105"/>
              <w:rPr>
                <w:rFonts w:eastAsia="宋体"/>
                <w:color w:val="auto"/>
                <w:sz w:val="21"/>
                <w:szCs w:val="21"/>
                <w:highlight w:val="none"/>
              </w:rPr>
            </w:pPr>
            <w:r>
              <w:rPr>
                <w:rFonts w:eastAsia="宋体"/>
                <w:color w:val="auto"/>
                <w:sz w:val="21"/>
                <w:szCs w:val="21"/>
                <w:highlight w:val="none"/>
              </w:rPr>
              <w:t>3.0</w:t>
            </w:r>
          </w:p>
        </w:tc>
        <w:tc>
          <w:tcPr>
            <w:tcW w:w="683" w:type="dxa"/>
            <w:tcBorders>
              <w:top w:val="single" w:color="000000" w:sz="4" w:space="0"/>
              <w:left w:val="single" w:color="000000" w:sz="4" w:space="0"/>
              <w:bottom w:val="single" w:color="000000" w:sz="4" w:space="0"/>
              <w:right w:val="single" w:color="000000" w:sz="4" w:space="0"/>
            </w:tcBorders>
            <w:vAlign w:val="center"/>
          </w:tcPr>
          <w:p w14:paraId="2AF35F5F">
            <w:pPr>
              <w:pStyle w:val="98"/>
              <w:ind w:left="-105" w:right="-105"/>
              <w:rPr>
                <w:rFonts w:eastAsia="宋体"/>
                <w:color w:val="auto"/>
                <w:sz w:val="21"/>
                <w:szCs w:val="21"/>
                <w:highlight w:val="none"/>
              </w:rPr>
            </w:pPr>
            <w:r>
              <w:rPr>
                <w:rFonts w:eastAsia="宋体"/>
                <w:color w:val="auto"/>
                <w:sz w:val="21"/>
                <w:szCs w:val="21"/>
                <w:highlight w:val="none"/>
              </w:rPr>
              <w:t>1.0</w:t>
            </w:r>
          </w:p>
        </w:tc>
        <w:tc>
          <w:tcPr>
            <w:tcW w:w="683" w:type="dxa"/>
            <w:tcBorders>
              <w:top w:val="single" w:color="000000" w:sz="4" w:space="0"/>
              <w:left w:val="single" w:color="000000" w:sz="4" w:space="0"/>
              <w:bottom w:val="single" w:color="000000" w:sz="4" w:space="0"/>
              <w:right w:val="single" w:color="000000" w:sz="4" w:space="0"/>
            </w:tcBorders>
            <w:vAlign w:val="center"/>
          </w:tcPr>
          <w:p w14:paraId="6198396E">
            <w:pPr>
              <w:pStyle w:val="98"/>
              <w:ind w:left="-105" w:right="-105"/>
              <w:rPr>
                <w:rFonts w:eastAsia="宋体"/>
                <w:color w:val="auto"/>
                <w:sz w:val="21"/>
                <w:szCs w:val="21"/>
                <w:highlight w:val="none"/>
              </w:rPr>
            </w:pPr>
            <w:r>
              <w:rPr>
                <w:rFonts w:eastAsia="宋体"/>
                <w:color w:val="auto"/>
                <w:sz w:val="21"/>
                <w:szCs w:val="21"/>
                <w:highlight w:val="none"/>
              </w:rPr>
              <w:t>0.4</w:t>
            </w:r>
          </w:p>
        </w:tc>
        <w:tc>
          <w:tcPr>
            <w:tcW w:w="683" w:type="dxa"/>
            <w:tcBorders>
              <w:top w:val="single" w:color="000000" w:sz="4" w:space="0"/>
              <w:left w:val="single" w:color="000000" w:sz="4" w:space="0"/>
              <w:bottom w:val="single" w:color="000000" w:sz="4" w:space="0"/>
              <w:right w:val="single" w:color="000000" w:sz="4" w:space="0"/>
            </w:tcBorders>
            <w:vAlign w:val="center"/>
          </w:tcPr>
          <w:p w14:paraId="72022A23">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738E69A9">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0516B41D">
            <w:pPr>
              <w:pStyle w:val="98"/>
              <w:ind w:left="-105" w:right="-105"/>
              <w:rPr>
                <w:rFonts w:eastAsia="宋体"/>
                <w:color w:val="auto"/>
                <w:sz w:val="21"/>
                <w:szCs w:val="21"/>
                <w:highlight w:val="none"/>
              </w:rPr>
            </w:pPr>
            <w:r>
              <w:rPr>
                <w:rFonts w:eastAsia="宋体"/>
                <w:color w:val="auto"/>
                <w:sz w:val="21"/>
                <w:szCs w:val="21"/>
                <w:highlight w:val="none"/>
              </w:rPr>
              <w:t>0.4</w:t>
            </w:r>
          </w:p>
        </w:tc>
        <w:tc>
          <w:tcPr>
            <w:tcW w:w="684" w:type="dxa"/>
            <w:tcBorders>
              <w:top w:val="single" w:color="000000" w:sz="4" w:space="0"/>
              <w:left w:val="single" w:color="000000" w:sz="4" w:space="0"/>
              <w:bottom w:val="single" w:color="000000" w:sz="4" w:space="0"/>
              <w:right w:val="single" w:color="000000" w:sz="4" w:space="0"/>
            </w:tcBorders>
            <w:vAlign w:val="center"/>
          </w:tcPr>
          <w:p w14:paraId="16215A65">
            <w:pPr>
              <w:pStyle w:val="98"/>
              <w:ind w:left="-105" w:right="-105"/>
              <w:rPr>
                <w:rFonts w:eastAsia="宋体"/>
                <w:color w:val="auto"/>
                <w:sz w:val="21"/>
                <w:szCs w:val="21"/>
                <w:highlight w:val="none"/>
              </w:rPr>
            </w:pPr>
            <w:r>
              <w:rPr>
                <w:rFonts w:eastAsia="宋体"/>
                <w:color w:val="auto"/>
                <w:sz w:val="21"/>
                <w:szCs w:val="21"/>
                <w:highlight w:val="none"/>
              </w:rPr>
              <w:t>1.0</w:t>
            </w:r>
          </w:p>
        </w:tc>
        <w:tc>
          <w:tcPr>
            <w:tcW w:w="686" w:type="dxa"/>
            <w:tcBorders>
              <w:top w:val="single" w:color="000000" w:sz="4" w:space="0"/>
              <w:left w:val="single" w:color="000000" w:sz="4" w:space="0"/>
              <w:bottom w:val="single" w:color="000000" w:sz="4" w:space="0"/>
              <w:right w:val="single" w:color="000000" w:sz="4" w:space="0"/>
            </w:tcBorders>
            <w:vAlign w:val="center"/>
          </w:tcPr>
          <w:p w14:paraId="61A36883">
            <w:pPr>
              <w:pStyle w:val="98"/>
              <w:ind w:left="-105" w:right="-105"/>
              <w:rPr>
                <w:rFonts w:eastAsia="宋体"/>
                <w:color w:val="auto"/>
                <w:sz w:val="21"/>
                <w:szCs w:val="21"/>
                <w:highlight w:val="none"/>
              </w:rPr>
            </w:pPr>
            <w:r>
              <w:rPr>
                <w:rFonts w:eastAsia="宋体"/>
                <w:color w:val="auto"/>
                <w:sz w:val="21"/>
                <w:szCs w:val="21"/>
                <w:highlight w:val="none"/>
              </w:rPr>
              <w:t>0.7</w:t>
            </w:r>
          </w:p>
        </w:tc>
        <w:tc>
          <w:tcPr>
            <w:tcW w:w="684" w:type="dxa"/>
            <w:tcBorders>
              <w:top w:val="single" w:color="000000" w:sz="4" w:space="0"/>
              <w:left w:val="single" w:color="000000" w:sz="4" w:space="0"/>
              <w:bottom w:val="single" w:color="000000" w:sz="4" w:space="0"/>
              <w:right w:val="single" w:color="000000" w:sz="4" w:space="0"/>
            </w:tcBorders>
            <w:vAlign w:val="center"/>
          </w:tcPr>
          <w:p w14:paraId="46D2C187">
            <w:pPr>
              <w:pStyle w:val="98"/>
              <w:ind w:left="-105" w:right="-105"/>
              <w:rPr>
                <w:rFonts w:eastAsia="宋体"/>
                <w:color w:val="auto"/>
                <w:sz w:val="21"/>
                <w:szCs w:val="21"/>
                <w:highlight w:val="none"/>
              </w:rPr>
            </w:pPr>
            <w:r>
              <w:rPr>
                <w:rFonts w:eastAsia="宋体"/>
                <w:color w:val="auto"/>
                <w:sz w:val="21"/>
                <w:szCs w:val="21"/>
                <w:highlight w:val="none"/>
              </w:rPr>
              <w:t>1.3</w:t>
            </w:r>
          </w:p>
        </w:tc>
        <w:tc>
          <w:tcPr>
            <w:tcW w:w="645" w:type="dxa"/>
            <w:tcBorders>
              <w:top w:val="single" w:color="000000" w:sz="4" w:space="0"/>
              <w:left w:val="single" w:color="000000" w:sz="4" w:space="0"/>
              <w:bottom w:val="single" w:color="000000" w:sz="4" w:space="0"/>
              <w:right w:val="single" w:color="000000" w:sz="4" w:space="0"/>
            </w:tcBorders>
            <w:vAlign w:val="center"/>
          </w:tcPr>
          <w:p w14:paraId="502BD2CF">
            <w:pPr>
              <w:pStyle w:val="98"/>
              <w:ind w:left="-105" w:right="-105"/>
              <w:rPr>
                <w:rFonts w:eastAsia="宋体"/>
                <w:color w:val="auto"/>
                <w:sz w:val="21"/>
                <w:szCs w:val="21"/>
                <w:highlight w:val="none"/>
              </w:rPr>
            </w:pPr>
            <w:r>
              <w:rPr>
                <w:rFonts w:eastAsia="宋体"/>
                <w:color w:val="auto"/>
                <w:sz w:val="21"/>
                <w:szCs w:val="21"/>
                <w:highlight w:val="none"/>
              </w:rPr>
              <w:t>1.7</w:t>
            </w:r>
          </w:p>
        </w:tc>
        <w:tc>
          <w:tcPr>
            <w:tcW w:w="1134" w:type="dxa"/>
            <w:tcBorders>
              <w:top w:val="single" w:color="000000" w:sz="4" w:space="0"/>
              <w:left w:val="single" w:color="000000" w:sz="4" w:space="0"/>
              <w:bottom w:val="single" w:color="000000" w:sz="4" w:space="0"/>
              <w:right w:val="nil"/>
            </w:tcBorders>
            <w:vAlign w:val="center"/>
          </w:tcPr>
          <w:p w14:paraId="63EB239C">
            <w:pPr>
              <w:pStyle w:val="98"/>
              <w:ind w:left="-105" w:right="-105"/>
              <w:rPr>
                <w:rFonts w:eastAsia="宋体"/>
                <w:color w:val="auto"/>
                <w:sz w:val="21"/>
                <w:szCs w:val="21"/>
                <w:highlight w:val="none"/>
              </w:rPr>
            </w:pPr>
            <w:r>
              <w:rPr>
                <w:rFonts w:eastAsia="宋体"/>
                <w:color w:val="auto"/>
                <w:sz w:val="21"/>
                <w:szCs w:val="21"/>
                <w:highlight w:val="none"/>
              </w:rPr>
              <w:t>18.5</w:t>
            </w:r>
          </w:p>
        </w:tc>
      </w:tr>
      <w:tr w14:paraId="19B7D7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8" w:hRule="atLeast"/>
          <w:jc w:val="center"/>
        </w:trPr>
        <w:tc>
          <w:tcPr>
            <w:tcW w:w="1116" w:type="dxa"/>
            <w:vMerge w:val="continue"/>
            <w:tcBorders>
              <w:top w:val="nil"/>
              <w:left w:val="nil"/>
              <w:bottom w:val="single" w:color="000000" w:sz="4" w:space="0"/>
              <w:right w:val="single" w:color="000000" w:sz="4" w:space="0"/>
            </w:tcBorders>
            <w:vAlign w:val="center"/>
          </w:tcPr>
          <w:p w14:paraId="0F540C82">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F5E0496">
            <w:pPr>
              <w:pStyle w:val="98"/>
              <w:ind w:left="-105" w:right="-105"/>
              <w:rPr>
                <w:rFonts w:eastAsia="宋体"/>
                <w:color w:val="auto"/>
                <w:sz w:val="21"/>
                <w:szCs w:val="21"/>
                <w:highlight w:val="none"/>
              </w:rPr>
            </w:pPr>
            <w:r>
              <w:rPr>
                <w:rFonts w:eastAsia="宋体"/>
                <w:color w:val="auto"/>
                <w:sz w:val="21"/>
                <w:szCs w:val="21"/>
                <w:highlight w:val="none"/>
              </w:rPr>
              <w:t>F</w:t>
            </w:r>
          </w:p>
        </w:tc>
        <w:tc>
          <w:tcPr>
            <w:tcW w:w="683" w:type="dxa"/>
            <w:tcBorders>
              <w:top w:val="single" w:color="000000" w:sz="4" w:space="0"/>
              <w:left w:val="single" w:color="000000" w:sz="4" w:space="0"/>
              <w:bottom w:val="single" w:color="000000" w:sz="4" w:space="0"/>
              <w:right w:val="single" w:color="000000" w:sz="4" w:space="0"/>
            </w:tcBorders>
            <w:vAlign w:val="center"/>
          </w:tcPr>
          <w:p w14:paraId="392FA1B7">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1B347ADB">
            <w:pPr>
              <w:pStyle w:val="98"/>
              <w:ind w:left="-105" w:right="-105"/>
              <w:rPr>
                <w:rFonts w:eastAsia="宋体"/>
                <w:color w:val="auto"/>
                <w:sz w:val="21"/>
                <w:szCs w:val="21"/>
                <w:highlight w:val="none"/>
              </w:rPr>
            </w:pPr>
            <w:r>
              <w:rPr>
                <w:rFonts w:eastAsia="宋体"/>
                <w:color w:val="auto"/>
                <w:sz w:val="21"/>
                <w:szCs w:val="21"/>
                <w:highlight w:val="none"/>
              </w:rPr>
              <w:t>0.3</w:t>
            </w:r>
          </w:p>
        </w:tc>
        <w:tc>
          <w:tcPr>
            <w:tcW w:w="686" w:type="dxa"/>
            <w:tcBorders>
              <w:top w:val="single" w:color="000000" w:sz="4" w:space="0"/>
              <w:left w:val="single" w:color="000000" w:sz="4" w:space="0"/>
              <w:bottom w:val="single" w:color="000000" w:sz="4" w:space="0"/>
              <w:right w:val="single" w:color="000000" w:sz="4" w:space="0"/>
            </w:tcBorders>
            <w:vAlign w:val="center"/>
          </w:tcPr>
          <w:p w14:paraId="52D22543">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27C229A6">
            <w:pPr>
              <w:pStyle w:val="98"/>
              <w:ind w:left="-105" w:right="-105"/>
              <w:rPr>
                <w:rFonts w:eastAsia="宋体"/>
                <w:color w:val="auto"/>
                <w:sz w:val="21"/>
                <w:szCs w:val="21"/>
                <w:highlight w:val="none"/>
              </w:rPr>
            </w:pPr>
            <w:r>
              <w:rPr>
                <w:rFonts w:eastAsia="宋体"/>
                <w:color w:val="auto"/>
                <w:sz w:val="21"/>
                <w:szCs w:val="21"/>
                <w:highlight w:val="none"/>
              </w:rPr>
              <w:t>1.2</w:t>
            </w:r>
          </w:p>
        </w:tc>
        <w:tc>
          <w:tcPr>
            <w:tcW w:w="683" w:type="dxa"/>
            <w:tcBorders>
              <w:top w:val="single" w:color="000000" w:sz="4" w:space="0"/>
              <w:left w:val="single" w:color="000000" w:sz="4" w:space="0"/>
              <w:bottom w:val="single" w:color="000000" w:sz="4" w:space="0"/>
              <w:right w:val="single" w:color="000000" w:sz="4" w:space="0"/>
            </w:tcBorders>
            <w:vAlign w:val="center"/>
          </w:tcPr>
          <w:p w14:paraId="30BC1049">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1429101C">
            <w:pPr>
              <w:pStyle w:val="98"/>
              <w:ind w:left="-105" w:right="-105"/>
              <w:rPr>
                <w:rFonts w:eastAsia="宋体"/>
                <w:color w:val="auto"/>
                <w:sz w:val="21"/>
                <w:szCs w:val="21"/>
                <w:highlight w:val="none"/>
              </w:rPr>
            </w:pPr>
            <w:r>
              <w:rPr>
                <w:rFonts w:eastAsia="宋体"/>
                <w:color w:val="auto"/>
                <w:sz w:val="21"/>
                <w:szCs w:val="21"/>
                <w:highlight w:val="none"/>
              </w:rPr>
              <w:t>2.2</w:t>
            </w:r>
          </w:p>
        </w:tc>
        <w:tc>
          <w:tcPr>
            <w:tcW w:w="685" w:type="dxa"/>
            <w:tcBorders>
              <w:top w:val="single" w:color="000000" w:sz="4" w:space="0"/>
              <w:left w:val="single" w:color="000000" w:sz="4" w:space="0"/>
              <w:bottom w:val="single" w:color="000000" w:sz="4" w:space="0"/>
              <w:right w:val="single" w:color="000000" w:sz="4" w:space="0"/>
            </w:tcBorders>
            <w:vAlign w:val="center"/>
          </w:tcPr>
          <w:p w14:paraId="16AC4375">
            <w:pPr>
              <w:pStyle w:val="98"/>
              <w:ind w:left="-105" w:right="-105"/>
              <w:rPr>
                <w:rFonts w:eastAsia="宋体"/>
                <w:color w:val="auto"/>
                <w:sz w:val="21"/>
                <w:szCs w:val="21"/>
                <w:highlight w:val="none"/>
              </w:rPr>
            </w:pPr>
            <w:r>
              <w:rPr>
                <w:rFonts w:eastAsia="宋体"/>
                <w:color w:val="auto"/>
                <w:sz w:val="21"/>
                <w:szCs w:val="21"/>
                <w:highlight w:val="none"/>
              </w:rPr>
              <w:t>3.4</w:t>
            </w:r>
          </w:p>
        </w:tc>
        <w:tc>
          <w:tcPr>
            <w:tcW w:w="683" w:type="dxa"/>
            <w:tcBorders>
              <w:top w:val="single" w:color="000000" w:sz="4" w:space="0"/>
              <w:left w:val="single" w:color="000000" w:sz="4" w:space="0"/>
              <w:bottom w:val="single" w:color="000000" w:sz="4" w:space="0"/>
              <w:right w:val="single" w:color="000000" w:sz="4" w:space="0"/>
            </w:tcBorders>
            <w:vAlign w:val="center"/>
          </w:tcPr>
          <w:p w14:paraId="7E2BC937">
            <w:pPr>
              <w:pStyle w:val="98"/>
              <w:ind w:left="-105" w:right="-105"/>
              <w:rPr>
                <w:rFonts w:eastAsia="宋体"/>
                <w:color w:val="auto"/>
                <w:sz w:val="21"/>
                <w:szCs w:val="21"/>
                <w:highlight w:val="none"/>
              </w:rPr>
            </w:pPr>
            <w:r>
              <w:rPr>
                <w:rFonts w:eastAsia="宋体"/>
                <w:color w:val="auto"/>
                <w:sz w:val="21"/>
                <w:szCs w:val="21"/>
                <w:highlight w:val="none"/>
              </w:rPr>
              <w:t>0.7</w:t>
            </w:r>
          </w:p>
        </w:tc>
        <w:tc>
          <w:tcPr>
            <w:tcW w:w="683" w:type="dxa"/>
            <w:tcBorders>
              <w:top w:val="single" w:color="000000" w:sz="4" w:space="0"/>
              <w:left w:val="single" w:color="000000" w:sz="4" w:space="0"/>
              <w:bottom w:val="single" w:color="000000" w:sz="4" w:space="0"/>
              <w:right w:val="single" w:color="000000" w:sz="4" w:space="0"/>
            </w:tcBorders>
            <w:vAlign w:val="center"/>
          </w:tcPr>
          <w:p w14:paraId="44BB0958">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tcPr>
          <w:p w14:paraId="446C57B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85B91D3">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2AB5DE55">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vAlign w:val="center"/>
          </w:tcPr>
          <w:p w14:paraId="1FBCD0AD">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777B87F8">
            <w:pPr>
              <w:pStyle w:val="98"/>
              <w:ind w:left="-105" w:right="-105"/>
              <w:rPr>
                <w:rFonts w:eastAsia="宋体"/>
                <w:color w:val="auto"/>
                <w:sz w:val="21"/>
                <w:szCs w:val="21"/>
                <w:highlight w:val="none"/>
              </w:rPr>
            </w:pPr>
            <w:r>
              <w:rPr>
                <w:rFonts w:eastAsia="宋体"/>
                <w:color w:val="auto"/>
                <w:sz w:val="21"/>
                <w:szCs w:val="21"/>
                <w:highlight w:val="none"/>
              </w:rPr>
              <w:t>1.9</w:t>
            </w:r>
          </w:p>
        </w:tc>
        <w:tc>
          <w:tcPr>
            <w:tcW w:w="684" w:type="dxa"/>
            <w:tcBorders>
              <w:top w:val="single" w:color="000000" w:sz="4" w:space="0"/>
              <w:left w:val="single" w:color="000000" w:sz="4" w:space="0"/>
              <w:bottom w:val="single" w:color="000000" w:sz="4" w:space="0"/>
              <w:right w:val="single" w:color="000000" w:sz="4" w:space="0"/>
            </w:tcBorders>
          </w:tcPr>
          <w:p w14:paraId="77B3D2A4">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171113E9">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vAlign w:val="center"/>
          </w:tcPr>
          <w:p w14:paraId="1E2FB0E7">
            <w:pPr>
              <w:pStyle w:val="98"/>
              <w:ind w:left="-105" w:right="-105"/>
              <w:rPr>
                <w:rFonts w:eastAsia="宋体"/>
                <w:color w:val="auto"/>
                <w:sz w:val="21"/>
                <w:szCs w:val="21"/>
                <w:highlight w:val="none"/>
              </w:rPr>
            </w:pPr>
            <w:r>
              <w:rPr>
                <w:rFonts w:eastAsia="宋体"/>
                <w:color w:val="auto"/>
                <w:sz w:val="21"/>
                <w:szCs w:val="21"/>
                <w:highlight w:val="none"/>
              </w:rPr>
              <w:t>12.0</w:t>
            </w:r>
          </w:p>
        </w:tc>
      </w:tr>
      <w:tr w14:paraId="263A65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restart"/>
            <w:tcBorders>
              <w:top w:val="single" w:color="000000" w:sz="4" w:space="0"/>
              <w:left w:val="nil"/>
              <w:bottom w:val="single" w:color="000000" w:sz="4" w:space="0"/>
              <w:right w:val="single" w:color="000000" w:sz="4" w:space="0"/>
            </w:tcBorders>
            <w:vAlign w:val="center"/>
          </w:tcPr>
          <w:p w14:paraId="3DEBA716">
            <w:pPr>
              <w:pStyle w:val="98"/>
              <w:ind w:left="-105" w:right="-105"/>
              <w:rPr>
                <w:rFonts w:eastAsia="宋体"/>
                <w:color w:val="auto"/>
                <w:sz w:val="21"/>
                <w:szCs w:val="21"/>
                <w:highlight w:val="none"/>
              </w:rPr>
            </w:pPr>
            <w:r>
              <w:rPr>
                <w:rFonts w:eastAsia="宋体"/>
                <w:color w:val="auto"/>
                <w:sz w:val="21"/>
                <w:szCs w:val="21"/>
                <w:highlight w:val="none"/>
              </w:rPr>
              <w:t>3.1-5.0</w:t>
            </w:r>
          </w:p>
        </w:tc>
        <w:tc>
          <w:tcPr>
            <w:tcW w:w="742" w:type="dxa"/>
            <w:tcBorders>
              <w:top w:val="single" w:color="000000" w:sz="4" w:space="0"/>
              <w:left w:val="single" w:color="000000" w:sz="4" w:space="0"/>
              <w:bottom w:val="single" w:color="000000" w:sz="4" w:space="0"/>
              <w:right w:val="single" w:color="000000" w:sz="4" w:space="0"/>
            </w:tcBorders>
            <w:vAlign w:val="center"/>
          </w:tcPr>
          <w:p w14:paraId="31E40EE3">
            <w:pPr>
              <w:pStyle w:val="98"/>
              <w:ind w:left="-105" w:right="-105"/>
              <w:rPr>
                <w:rFonts w:eastAsia="宋体"/>
                <w:color w:val="auto"/>
                <w:sz w:val="21"/>
                <w:szCs w:val="21"/>
                <w:highlight w:val="none"/>
              </w:rPr>
            </w:pPr>
            <w:r>
              <w:rPr>
                <w:rFonts w:eastAsia="宋体"/>
                <w:color w:val="auto"/>
                <w:sz w:val="21"/>
                <w:szCs w:val="21"/>
                <w:highlight w:val="none"/>
              </w:rPr>
              <w:t>A</w:t>
            </w:r>
          </w:p>
        </w:tc>
        <w:tc>
          <w:tcPr>
            <w:tcW w:w="683" w:type="dxa"/>
            <w:tcBorders>
              <w:top w:val="single" w:color="000000" w:sz="4" w:space="0"/>
              <w:left w:val="single" w:color="000000" w:sz="4" w:space="0"/>
              <w:bottom w:val="single" w:color="000000" w:sz="4" w:space="0"/>
              <w:right w:val="single" w:color="000000" w:sz="4" w:space="0"/>
            </w:tcBorders>
            <w:vAlign w:val="center"/>
          </w:tcPr>
          <w:p w14:paraId="73D2E69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CC2059F">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0A61396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47A60EC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5F66E85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4E7B6583">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vAlign w:val="center"/>
          </w:tcPr>
          <w:p w14:paraId="15BDBD52">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66BCB399">
            <w:pPr>
              <w:pStyle w:val="98"/>
              <w:ind w:left="-105" w:right="-105"/>
              <w:rPr>
                <w:rFonts w:eastAsia="宋体"/>
                <w:color w:val="auto"/>
                <w:sz w:val="21"/>
                <w:szCs w:val="21"/>
                <w:highlight w:val="none"/>
              </w:rPr>
            </w:pPr>
          </w:p>
        </w:tc>
        <w:tc>
          <w:tcPr>
            <w:tcW w:w="683" w:type="dxa"/>
            <w:tcBorders>
              <w:top w:val="single" w:color="000000" w:sz="4" w:space="0"/>
              <w:left w:val="single" w:color="000000" w:sz="4" w:space="0"/>
              <w:bottom w:val="single" w:color="000000" w:sz="4" w:space="0"/>
              <w:right w:val="single" w:color="000000" w:sz="4" w:space="0"/>
            </w:tcBorders>
          </w:tcPr>
          <w:p w14:paraId="7DFAFFB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AFEB92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20E9CBB">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554F1D5">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7DE9B47B">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7763AFEF">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3FB00999">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2A071A63">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vAlign w:val="center"/>
          </w:tcPr>
          <w:p w14:paraId="3B4B22D7">
            <w:pPr>
              <w:pStyle w:val="98"/>
              <w:ind w:left="-105" w:right="-105"/>
              <w:rPr>
                <w:rFonts w:eastAsia="宋体"/>
                <w:color w:val="auto"/>
                <w:sz w:val="21"/>
                <w:szCs w:val="21"/>
                <w:highlight w:val="none"/>
              </w:rPr>
            </w:pPr>
            <w:r>
              <w:rPr>
                <w:rFonts w:eastAsia="宋体"/>
                <w:color w:val="auto"/>
                <w:sz w:val="21"/>
                <w:szCs w:val="21"/>
                <w:highlight w:val="none"/>
              </w:rPr>
              <w:t>/</w:t>
            </w:r>
          </w:p>
        </w:tc>
      </w:tr>
      <w:tr w14:paraId="35200E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5EA447E1">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3378D64">
            <w:pPr>
              <w:pStyle w:val="98"/>
              <w:ind w:left="-105" w:right="-105"/>
              <w:rPr>
                <w:rFonts w:eastAsia="宋体"/>
                <w:color w:val="auto"/>
                <w:sz w:val="21"/>
                <w:szCs w:val="21"/>
                <w:highlight w:val="none"/>
              </w:rPr>
            </w:pPr>
            <w:r>
              <w:rPr>
                <w:rFonts w:eastAsia="宋体"/>
                <w:color w:val="auto"/>
                <w:sz w:val="21"/>
                <w:szCs w:val="21"/>
                <w:highlight w:val="none"/>
              </w:rPr>
              <w:t>B</w:t>
            </w:r>
          </w:p>
        </w:tc>
        <w:tc>
          <w:tcPr>
            <w:tcW w:w="683" w:type="dxa"/>
            <w:tcBorders>
              <w:top w:val="single" w:color="000000" w:sz="4" w:space="0"/>
              <w:left w:val="single" w:color="000000" w:sz="4" w:space="0"/>
              <w:bottom w:val="single" w:color="000000" w:sz="4" w:space="0"/>
              <w:right w:val="single" w:color="000000" w:sz="4" w:space="0"/>
            </w:tcBorders>
            <w:vAlign w:val="center"/>
          </w:tcPr>
          <w:p w14:paraId="3F0908E4">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28887DDA">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5BC6F97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7ABBFDB">
            <w:pPr>
              <w:pStyle w:val="98"/>
              <w:ind w:left="-105" w:right="-105"/>
              <w:rPr>
                <w:rFonts w:eastAsia="宋体"/>
                <w:color w:val="auto"/>
                <w:sz w:val="21"/>
                <w:szCs w:val="21"/>
                <w:highlight w:val="none"/>
              </w:rPr>
            </w:pPr>
            <w:r>
              <w:rPr>
                <w:rFonts w:eastAsia="宋体"/>
                <w:color w:val="auto"/>
                <w:sz w:val="21"/>
                <w:szCs w:val="21"/>
                <w:highlight w:val="none"/>
              </w:rPr>
              <w:t>0.8</w:t>
            </w:r>
          </w:p>
        </w:tc>
        <w:tc>
          <w:tcPr>
            <w:tcW w:w="683" w:type="dxa"/>
            <w:tcBorders>
              <w:top w:val="single" w:color="000000" w:sz="4" w:space="0"/>
              <w:left w:val="single" w:color="000000" w:sz="4" w:space="0"/>
              <w:bottom w:val="single" w:color="000000" w:sz="4" w:space="0"/>
              <w:right w:val="single" w:color="000000" w:sz="4" w:space="0"/>
            </w:tcBorders>
            <w:vAlign w:val="center"/>
          </w:tcPr>
          <w:p w14:paraId="73DE1ADE">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7EC001B6">
            <w:pPr>
              <w:pStyle w:val="98"/>
              <w:ind w:left="-105" w:right="-105"/>
              <w:rPr>
                <w:rFonts w:eastAsia="宋体"/>
                <w:color w:val="auto"/>
                <w:sz w:val="21"/>
                <w:szCs w:val="21"/>
                <w:highlight w:val="none"/>
              </w:rPr>
            </w:pPr>
            <w:r>
              <w:rPr>
                <w:rFonts w:eastAsia="宋体"/>
                <w:color w:val="auto"/>
                <w:sz w:val="21"/>
                <w:szCs w:val="21"/>
                <w:highlight w:val="none"/>
              </w:rPr>
              <w:t>1.1</w:t>
            </w:r>
          </w:p>
        </w:tc>
        <w:tc>
          <w:tcPr>
            <w:tcW w:w="685" w:type="dxa"/>
            <w:tcBorders>
              <w:top w:val="single" w:color="000000" w:sz="4" w:space="0"/>
              <w:left w:val="single" w:color="000000" w:sz="4" w:space="0"/>
              <w:bottom w:val="single" w:color="000000" w:sz="4" w:space="0"/>
              <w:right w:val="single" w:color="000000" w:sz="4" w:space="0"/>
            </w:tcBorders>
            <w:vAlign w:val="center"/>
          </w:tcPr>
          <w:p w14:paraId="10E915A5">
            <w:pPr>
              <w:pStyle w:val="98"/>
              <w:ind w:left="-105" w:right="-105"/>
              <w:rPr>
                <w:rFonts w:eastAsia="宋体"/>
                <w:color w:val="auto"/>
                <w:sz w:val="21"/>
                <w:szCs w:val="21"/>
                <w:highlight w:val="none"/>
              </w:rPr>
            </w:pPr>
            <w:r>
              <w:rPr>
                <w:rFonts w:eastAsia="宋体"/>
                <w:color w:val="auto"/>
                <w:sz w:val="21"/>
                <w:szCs w:val="21"/>
                <w:highlight w:val="none"/>
              </w:rPr>
              <w:t>1.3</w:t>
            </w:r>
          </w:p>
        </w:tc>
        <w:tc>
          <w:tcPr>
            <w:tcW w:w="683" w:type="dxa"/>
            <w:tcBorders>
              <w:top w:val="single" w:color="000000" w:sz="4" w:space="0"/>
              <w:left w:val="single" w:color="000000" w:sz="4" w:space="0"/>
              <w:bottom w:val="single" w:color="000000" w:sz="4" w:space="0"/>
              <w:right w:val="single" w:color="000000" w:sz="4" w:space="0"/>
            </w:tcBorders>
            <w:vAlign w:val="center"/>
          </w:tcPr>
          <w:p w14:paraId="0527896C">
            <w:pPr>
              <w:pStyle w:val="98"/>
              <w:ind w:left="-105" w:right="-105"/>
              <w:rPr>
                <w:rFonts w:eastAsia="宋体"/>
                <w:color w:val="auto"/>
                <w:sz w:val="21"/>
                <w:szCs w:val="21"/>
                <w:highlight w:val="none"/>
              </w:rPr>
            </w:pPr>
            <w:r>
              <w:rPr>
                <w:rFonts w:eastAsia="宋体"/>
                <w:color w:val="auto"/>
                <w:sz w:val="21"/>
                <w:szCs w:val="21"/>
                <w:highlight w:val="none"/>
              </w:rPr>
              <w:t>1.3</w:t>
            </w:r>
          </w:p>
        </w:tc>
        <w:tc>
          <w:tcPr>
            <w:tcW w:w="683" w:type="dxa"/>
            <w:tcBorders>
              <w:top w:val="single" w:color="000000" w:sz="4" w:space="0"/>
              <w:left w:val="single" w:color="000000" w:sz="4" w:space="0"/>
              <w:bottom w:val="single" w:color="000000" w:sz="4" w:space="0"/>
              <w:right w:val="single" w:color="000000" w:sz="4" w:space="0"/>
            </w:tcBorders>
          </w:tcPr>
          <w:p w14:paraId="1EEC824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4E41E7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89C3AB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2F341184">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vAlign w:val="center"/>
          </w:tcPr>
          <w:p w14:paraId="29DB3C1C">
            <w:pPr>
              <w:pStyle w:val="98"/>
              <w:ind w:left="-105" w:right="-105"/>
              <w:rPr>
                <w:rFonts w:eastAsia="宋体"/>
                <w:color w:val="auto"/>
                <w:sz w:val="21"/>
                <w:szCs w:val="21"/>
                <w:highlight w:val="none"/>
              </w:rPr>
            </w:pPr>
            <w:r>
              <w:rPr>
                <w:rFonts w:eastAsia="宋体"/>
                <w:color w:val="auto"/>
                <w:sz w:val="21"/>
                <w:szCs w:val="21"/>
                <w:highlight w:val="none"/>
              </w:rPr>
              <w:t>0.8</w:t>
            </w:r>
          </w:p>
        </w:tc>
        <w:tc>
          <w:tcPr>
            <w:tcW w:w="686" w:type="dxa"/>
            <w:tcBorders>
              <w:top w:val="single" w:color="000000" w:sz="4" w:space="0"/>
              <w:left w:val="single" w:color="000000" w:sz="4" w:space="0"/>
              <w:bottom w:val="single" w:color="000000" w:sz="4" w:space="0"/>
              <w:right w:val="single" w:color="000000" w:sz="4" w:space="0"/>
            </w:tcBorders>
            <w:vAlign w:val="center"/>
          </w:tcPr>
          <w:p w14:paraId="3496E696">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tcPr>
          <w:p w14:paraId="3A47B9D1">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74C72317">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vAlign w:val="center"/>
          </w:tcPr>
          <w:p w14:paraId="6DCA4EAF">
            <w:pPr>
              <w:pStyle w:val="98"/>
              <w:ind w:left="-105" w:right="-105"/>
              <w:rPr>
                <w:rFonts w:eastAsia="宋体"/>
                <w:color w:val="auto"/>
                <w:sz w:val="21"/>
                <w:szCs w:val="21"/>
                <w:highlight w:val="none"/>
              </w:rPr>
            </w:pPr>
            <w:r>
              <w:rPr>
                <w:rFonts w:eastAsia="宋体"/>
                <w:color w:val="auto"/>
                <w:sz w:val="21"/>
                <w:szCs w:val="21"/>
                <w:highlight w:val="none"/>
              </w:rPr>
              <w:t>7.1</w:t>
            </w:r>
          </w:p>
        </w:tc>
      </w:tr>
      <w:tr w14:paraId="47DBBC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6CC081BF">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72F0037">
            <w:pPr>
              <w:pStyle w:val="98"/>
              <w:ind w:left="-105" w:right="-105"/>
              <w:rPr>
                <w:rFonts w:eastAsia="宋体"/>
                <w:color w:val="auto"/>
                <w:sz w:val="21"/>
                <w:szCs w:val="21"/>
                <w:highlight w:val="none"/>
              </w:rPr>
            </w:pPr>
            <w:r>
              <w:rPr>
                <w:rFonts w:eastAsia="宋体"/>
                <w:color w:val="auto"/>
                <w:sz w:val="21"/>
                <w:szCs w:val="21"/>
                <w:highlight w:val="none"/>
              </w:rPr>
              <w:t>C</w:t>
            </w:r>
          </w:p>
        </w:tc>
        <w:tc>
          <w:tcPr>
            <w:tcW w:w="683" w:type="dxa"/>
            <w:tcBorders>
              <w:top w:val="single" w:color="000000" w:sz="4" w:space="0"/>
              <w:left w:val="single" w:color="000000" w:sz="4" w:space="0"/>
              <w:bottom w:val="single" w:color="000000" w:sz="4" w:space="0"/>
              <w:right w:val="single" w:color="000000" w:sz="4" w:space="0"/>
            </w:tcBorders>
            <w:vAlign w:val="center"/>
          </w:tcPr>
          <w:p w14:paraId="64077CC3">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5E524FFC">
            <w:pPr>
              <w:pStyle w:val="98"/>
              <w:ind w:left="-105" w:right="-105"/>
              <w:rPr>
                <w:rFonts w:eastAsia="宋体"/>
                <w:color w:val="auto"/>
                <w:sz w:val="21"/>
                <w:szCs w:val="21"/>
                <w:highlight w:val="none"/>
              </w:rPr>
            </w:pPr>
            <w:r>
              <w:rPr>
                <w:rFonts w:eastAsia="宋体"/>
                <w:color w:val="auto"/>
                <w:sz w:val="21"/>
                <w:szCs w:val="21"/>
                <w:highlight w:val="none"/>
              </w:rPr>
              <w:t>0.3</w:t>
            </w:r>
          </w:p>
        </w:tc>
        <w:tc>
          <w:tcPr>
            <w:tcW w:w="686" w:type="dxa"/>
            <w:tcBorders>
              <w:top w:val="single" w:color="000000" w:sz="4" w:space="0"/>
              <w:left w:val="single" w:color="000000" w:sz="4" w:space="0"/>
              <w:bottom w:val="single" w:color="000000" w:sz="4" w:space="0"/>
              <w:right w:val="single" w:color="000000" w:sz="4" w:space="0"/>
            </w:tcBorders>
            <w:vAlign w:val="center"/>
          </w:tcPr>
          <w:p w14:paraId="483259DD">
            <w:pPr>
              <w:pStyle w:val="98"/>
              <w:ind w:left="-105" w:right="-105"/>
              <w:rPr>
                <w:rFonts w:eastAsia="宋体"/>
                <w:color w:val="auto"/>
                <w:sz w:val="21"/>
                <w:szCs w:val="21"/>
                <w:highlight w:val="none"/>
              </w:rPr>
            </w:pPr>
            <w:r>
              <w:rPr>
                <w:rFonts w:eastAsia="宋体"/>
                <w:color w:val="auto"/>
                <w:sz w:val="21"/>
                <w:szCs w:val="21"/>
                <w:highlight w:val="none"/>
              </w:rPr>
              <w:t>0.3</w:t>
            </w:r>
          </w:p>
        </w:tc>
        <w:tc>
          <w:tcPr>
            <w:tcW w:w="683" w:type="dxa"/>
            <w:tcBorders>
              <w:top w:val="single" w:color="000000" w:sz="4" w:space="0"/>
              <w:left w:val="single" w:color="000000" w:sz="4" w:space="0"/>
              <w:bottom w:val="single" w:color="000000" w:sz="4" w:space="0"/>
              <w:right w:val="single" w:color="000000" w:sz="4" w:space="0"/>
            </w:tcBorders>
            <w:vAlign w:val="center"/>
          </w:tcPr>
          <w:p w14:paraId="5C2ED47B">
            <w:pPr>
              <w:pStyle w:val="98"/>
              <w:ind w:left="-105" w:right="-105"/>
              <w:rPr>
                <w:rFonts w:eastAsia="宋体"/>
                <w:color w:val="auto"/>
                <w:sz w:val="21"/>
                <w:szCs w:val="21"/>
                <w:highlight w:val="none"/>
              </w:rPr>
            </w:pPr>
            <w:r>
              <w:rPr>
                <w:rFonts w:eastAsia="宋体"/>
                <w:color w:val="auto"/>
                <w:sz w:val="21"/>
                <w:szCs w:val="21"/>
                <w:highlight w:val="none"/>
              </w:rPr>
              <w:t>1.7</w:t>
            </w:r>
          </w:p>
        </w:tc>
        <w:tc>
          <w:tcPr>
            <w:tcW w:w="683" w:type="dxa"/>
            <w:tcBorders>
              <w:top w:val="single" w:color="000000" w:sz="4" w:space="0"/>
              <w:left w:val="single" w:color="000000" w:sz="4" w:space="0"/>
              <w:bottom w:val="single" w:color="000000" w:sz="4" w:space="0"/>
              <w:right w:val="single" w:color="000000" w:sz="4" w:space="0"/>
            </w:tcBorders>
            <w:vAlign w:val="center"/>
          </w:tcPr>
          <w:p w14:paraId="02997DF4">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6C881E3C">
            <w:pPr>
              <w:pStyle w:val="98"/>
              <w:ind w:left="-105" w:right="-105"/>
              <w:rPr>
                <w:rFonts w:eastAsia="宋体"/>
                <w:color w:val="auto"/>
                <w:sz w:val="21"/>
                <w:szCs w:val="21"/>
                <w:highlight w:val="none"/>
              </w:rPr>
            </w:pPr>
            <w:r>
              <w:rPr>
                <w:rFonts w:eastAsia="宋体"/>
                <w:color w:val="auto"/>
                <w:sz w:val="21"/>
                <w:szCs w:val="21"/>
                <w:highlight w:val="none"/>
              </w:rPr>
              <w:t>2.3</w:t>
            </w:r>
          </w:p>
        </w:tc>
        <w:tc>
          <w:tcPr>
            <w:tcW w:w="685" w:type="dxa"/>
            <w:tcBorders>
              <w:top w:val="single" w:color="000000" w:sz="4" w:space="0"/>
              <w:left w:val="single" w:color="000000" w:sz="4" w:space="0"/>
              <w:bottom w:val="single" w:color="000000" w:sz="4" w:space="0"/>
              <w:right w:val="single" w:color="000000" w:sz="4" w:space="0"/>
            </w:tcBorders>
            <w:vAlign w:val="center"/>
          </w:tcPr>
          <w:p w14:paraId="2836196E">
            <w:pPr>
              <w:pStyle w:val="98"/>
              <w:ind w:left="-105" w:right="-105"/>
              <w:rPr>
                <w:rFonts w:eastAsia="宋体"/>
                <w:color w:val="auto"/>
                <w:sz w:val="21"/>
                <w:szCs w:val="21"/>
                <w:highlight w:val="none"/>
              </w:rPr>
            </w:pPr>
            <w:r>
              <w:rPr>
                <w:rFonts w:eastAsia="宋体"/>
                <w:color w:val="auto"/>
                <w:sz w:val="21"/>
                <w:szCs w:val="21"/>
                <w:highlight w:val="none"/>
              </w:rPr>
              <w:t>1.4</w:t>
            </w:r>
          </w:p>
        </w:tc>
        <w:tc>
          <w:tcPr>
            <w:tcW w:w="683" w:type="dxa"/>
            <w:tcBorders>
              <w:top w:val="single" w:color="000000" w:sz="4" w:space="0"/>
              <w:left w:val="single" w:color="000000" w:sz="4" w:space="0"/>
              <w:bottom w:val="single" w:color="000000" w:sz="4" w:space="0"/>
              <w:right w:val="single" w:color="000000" w:sz="4" w:space="0"/>
            </w:tcBorders>
            <w:vAlign w:val="center"/>
          </w:tcPr>
          <w:p w14:paraId="4E108E7C">
            <w:pPr>
              <w:pStyle w:val="98"/>
              <w:ind w:left="-105" w:right="-105"/>
              <w:rPr>
                <w:rFonts w:eastAsia="宋体"/>
                <w:color w:val="auto"/>
                <w:sz w:val="21"/>
                <w:szCs w:val="21"/>
                <w:highlight w:val="none"/>
              </w:rPr>
            </w:pPr>
            <w:r>
              <w:rPr>
                <w:rFonts w:eastAsia="宋体"/>
                <w:color w:val="auto"/>
                <w:sz w:val="21"/>
                <w:szCs w:val="21"/>
                <w:highlight w:val="none"/>
              </w:rPr>
              <w:t>1.7</w:t>
            </w:r>
          </w:p>
        </w:tc>
        <w:tc>
          <w:tcPr>
            <w:tcW w:w="683" w:type="dxa"/>
            <w:tcBorders>
              <w:top w:val="single" w:color="000000" w:sz="4" w:space="0"/>
              <w:left w:val="single" w:color="000000" w:sz="4" w:space="0"/>
              <w:bottom w:val="single" w:color="000000" w:sz="4" w:space="0"/>
              <w:right w:val="single" w:color="000000" w:sz="4" w:space="0"/>
            </w:tcBorders>
            <w:vAlign w:val="center"/>
          </w:tcPr>
          <w:p w14:paraId="4EBDF413">
            <w:pPr>
              <w:pStyle w:val="98"/>
              <w:ind w:left="-105" w:right="-105"/>
              <w:rPr>
                <w:rFonts w:eastAsia="宋体"/>
                <w:color w:val="auto"/>
                <w:sz w:val="21"/>
                <w:szCs w:val="21"/>
                <w:highlight w:val="none"/>
              </w:rPr>
            </w:pPr>
            <w:r>
              <w:rPr>
                <w:rFonts w:eastAsia="宋体"/>
                <w:color w:val="auto"/>
                <w:sz w:val="21"/>
                <w:szCs w:val="21"/>
                <w:highlight w:val="none"/>
              </w:rPr>
              <w:t>0.8</w:t>
            </w:r>
          </w:p>
        </w:tc>
        <w:tc>
          <w:tcPr>
            <w:tcW w:w="683" w:type="dxa"/>
            <w:tcBorders>
              <w:top w:val="single" w:color="000000" w:sz="4" w:space="0"/>
              <w:left w:val="single" w:color="000000" w:sz="4" w:space="0"/>
              <w:bottom w:val="single" w:color="000000" w:sz="4" w:space="0"/>
              <w:right w:val="single" w:color="000000" w:sz="4" w:space="0"/>
            </w:tcBorders>
            <w:vAlign w:val="center"/>
          </w:tcPr>
          <w:p w14:paraId="616586AD">
            <w:pPr>
              <w:pStyle w:val="98"/>
              <w:ind w:left="-105" w:right="-105"/>
              <w:rPr>
                <w:rFonts w:eastAsia="宋体"/>
                <w:color w:val="auto"/>
                <w:sz w:val="21"/>
                <w:szCs w:val="21"/>
                <w:highlight w:val="none"/>
              </w:rPr>
            </w:pPr>
            <w:r>
              <w:rPr>
                <w:rFonts w:eastAsia="宋体"/>
                <w:color w:val="auto"/>
                <w:sz w:val="21"/>
                <w:szCs w:val="21"/>
                <w:highlight w:val="none"/>
              </w:rPr>
              <w:t>0.9</w:t>
            </w:r>
          </w:p>
        </w:tc>
        <w:tc>
          <w:tcPr>
            <w:tcW w:w="683" w:type="dxa"/>
            <w:tcBorders>
              <w:top w:val="single" w:color="000000" w:sz="4" w:space="0"/>
              <w:left w:val="single" w:color="000000" w:sz="4" w:space="0"/>
              <w:bottom w:val="single" w:color="000000" w:sz="4" w:space="0"/>
              <w:right w:val="single" w:color="000000" w:sz="4" w:space="0"/>
            </w:tcBorders>
            <w:vAlign w:val="center"/>
          </w:tcPr>
          <w:p w14:paraId="0739F7ED">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66D9B52D">
            <w:pPr>
              <w:pStyle w:val="98"/>
              <w:ind w:left="-105" w:right="-105"/>
              <w:rPr>
                <w:rFonts w:eastAsia="宋体"/>
                <w:color w:val="auto"/>
                <w:sz w:val="21"/>
                <w:szCs w:val="21"/>
                <w:highlight w:val="none"/>
              </w:rPr>
            </w:pPr>
            <w:r>
              <w:rPr>
                <w:rFonts w:eastAsia="宋体"/>
                <w:color w:val="auto"/>
                <w:sz w:val="21"/>
                <w:szCs w:val="21"/>
                <w:highlight w:val="none"/>
              </w:rPr>
              <w:t>0.3</w:t>
            </w:r>
          </w:p>
        </w:tc>
        <w:tc>
          <w:tcPr>
            <w:tcW w:w="684" w:type="dxa"/>
            <w:tcBorders>
              <w:top w:val="single" w:color="000000" w:sz="4" w:space="0"/>
              <w:left w:val="single" w:color="000000" w:sz="4" w:space="0"/>
              <w:bottom w:val="single" w:color="000000" w:sz="4" w:space="0"/>
              <w:right w:val="single" w:color="000000" w:sz="4" w:space="0"/>
            </w:tcBorders>
            <w:vAlign w:val="center"/>
          </w:tcPr>
          <w:p w14:paraId="75049EB2">
            <w:pPr>
              <w:pStyle w:val="98"/>
              <w:ind w:left="-105" w:right="-105"/>
              <w:rPr>
                <w:rFonts w:eastAsia="宋体"/>
                <w:color w:val="auto"/>
                <w:sz w:val="21"/>
                <w:szCs w:val="21"/>
                <w:highlight w:val="none"/>
              </w:rPr>
            </w:pPr>
            <w:r>
              <w:rPr>
                <w:rFonts w:eastAsia="宋体"/>
                <w:color w:val="auto"/>
                <w:sz w:val="21"/>
                <w:szCs w:val="21"/>
                <w:highlight w:val="none"/>
              </w:rPr>
              <w:t>1.1</w:t>
            </w:r>
          </w:p>
        </w:tc>
        <w:tc>
          <w:tcPr>
            <w:tcW w:w="686" w:type="dxa"/>
            <w:tcBorders>
              <w:top w:val="single" w:color="000000" w:sz="4" w:space="0"/>
              <w:left w:val="single" w:color="000000" w:sz="4" w:space="0"/>
              <w:bottom w:val="single" w:color="000000" w:sz="4" w:space="0"/>
              <w:right w:val="single" w:color="000000" w:sz="4" w:space="0"/>
            </w:tcBorders>
            <w:vAlign w:val="center"/>
          </w:tcPr>
          <w:p w14:paraId="420E1020">
            <w:pPr>
              <w:pStyle w:val="98"/>
              <w:ind w:left="-105" w:right="-105"/>
              <w:rPr>
                <w:rFonts w:eastAsia="宋体"/>
                <w:color w:val="auto"/>
                <w:sz w:val="21"/>
                <w:szCs w:val="21"/>
                <w:highlight w:val="none"/>
              </w:rPr>
            </w:pPr>
            <w:r>
              <w:rPr>
                <w:rFonts w:eastAsia="宋体"/>
                <w:color w:val="auto"/>
                <w:sz w:val="21"/>
                <w:szCs w:val="21"/>
                <w:highlight w:val="none"/>
              </w:rPr>
              <w:t>1.1</w:t>
            </w:r>
          </w:p>
        </w:tc>
        <w:tc>
          <w:tcPr>
            <w:tcW w:w="684" w:type="dxa"/>
            <w:tcBorders>
              <w:top w:val="single" w:color="000000" w:sz="4" w:space="0"/>
              <w:left w:val="single" w:color="000000" w:sz="4" w:space="0"/>
              <w:bottom w:val="single" w:color="000000" w:sz="4" w:space="0"/>
              <w:right w:val="single" w:color="000000" w:sz="4" w:space="0"/>
            </w:tcBorders>
            <w:vAlign w:val="center"/>
          </w:tcPr>
          <w:p w14:paraId="044B2AC8">
            <w:pPr>
              <w:pStyle w:val="98"/>
              <w:ind w:left="-105" w:right="-105"/>
              <w:rPr>
                <w:rFonts w:eastAsia="宋体"/>
                <w:color w:val="auto"/>
                <w:sz w:val="21"/>
                <w:szCs w:val="21"/>
                <w:highlight w:val="none"/>
              </w:rPr>
            </w:pPr>
            <w:r>
              <w:rPr>
                <w:rFonts w:eastAsia="宋体"/>
                <w:color w:val="auto"/>
                <w:sz w:val="21"/>
                <w:szCs w:val="21"/>
                <w:highlight w:val="none"/>
              </w:rPr>
              <w:t>1.7</w:t>
            </w:r>
          </w:p>
        </w:tc>
        <w:tc>
          <w:tcPr>
            <w:tcW w:w="645" w:type="dxa"/>
            <w:tcBorders>
              <w:top w:val="single" w:color="000000" w:sz="4" w:space="0"/>
              <w:left w:val="single" w:color="000000" w:sz="4" w:space="0"/>
              <w:bottom w:val="single" w:color="000000" w:sz="4" w:space="0"/>
              <w:right w:val="single" w:color="000000" w:sz="4" w:space="0"/>
            </w:tcBorders>
            <w:vAlign w:val="center"/>
          </w:tcPr>
          <w:p w14:paraId="01479E36">
            <w:pPr>
              <w:pStyle w:val="98"/>
              <w:ind w:left="-105" w:right="-105"/>
              <w:rPr>
                <w:rFonts w:eastAsia="宋体"/>
                <w:color w:val="auto"/>
                <w:sz w:val="21"/>
                <w:szCs w:val="21"/>
                <w:highlight w:val="none"/>
              </w:rPr>
            </w:pPr>
            <w:r>
              <w:rPr>
                <w:rFonts w:eastAsia="宋体"/>
                <w:color w:val="auto"/>
                <w:sz w:val="21"/>
                <w:szCs w:val="21"/>
                <w:highlight w:val="none"/>
              </w:rPr>
              <w:t>0.9</w:t>
            </w:r>
          </w:p>
        </w:tc>
        <w:tc>
          <w:tcPr>
            <w:tcW w:w="1134" w:type="dxa"/>
            <w:tcBorders>
              <w:top w:val="single" w:color="000000" w:sz="4" w:space="0"/>
              <w:left w:val="single" w:color="000000" w:sz="4" w:space="0"/>
              <w:bottom w:val="single" w:color="000000" w:sz="4" w:space="0"/>
              <w:right w:val="nil"/>
            </w:tcBorders>
            <w:vAlign w:val="center"/>
          </w:tcPr>
          <w:p w14:paraId="5355668B">
            <w:pPr>
              <w:pStyle w:val="98"/>
              <w:ind w:left="-105" w:right="-105"/>
              <w:rPr>
                <w:rFonts w:eastAsia="宋体"/>
                <w:color w:val="auto"/>
                <w:sz w:val="21"/>
                <w:szCs w:val="21"/>
                <w:highlight w:val="none"/>
              </w:rPr>
            </w:pPr>
            <w:r>
              <w:rPr>
                <w:rFonts w:eastAsia="宋体"/>
                <w:color w:val="auto"/>
                <w:sz w:val="21"/>
                <w:szCs w:val="21"/>
                <w:highlight w:val="none"/>
              </w:rPr>
              <w:t>17.0</w:t>
            </w:r>
          </w:p>
        </w:tc>
      </w:tr>
      <w:tr w14:paraId="268EEA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7A10D73D">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274BA98">
            <w:pPr>
              <w:pStyle w:val="98"/>
              <w:ind w:left="-105" w:right="-105"/>
              <w:rPr>
                <w:rFonts w:eastAsia="宋体"/>
                <w:color w:val="auto"/>
                <w:sz w:val="21"/>
                <w:szCs w:val="21"/>
                <w:highlight w:val="none"/>
              </w:rPr>
            </w:pPr>
            <w:r>
              <w:rPr>
                <w:rFonts w:eastAsia="宋体"/>
                <w:color w:val="auto"/>
                <w:sz w:val="21"/>
                <w:szCs w:val="21"/>
                <w:highlight w:val="none"/>
              </w:rPr>
              <w:t>D</w:t>
            </w:r>
          </w:p>
        </w:tc>
        <w:tc>
          <w:tcPr>
            <w:tcW w:w="683" w:type="dxa"/>
            <w:tcBorders>
              <w:top w:val="single" w:color="000000" w:sz="4" w:space="0"/>
              <w:left w:val="single" w:color="000000" w:sz="4" w:space="0"/>
              <w:bottom w:val="single" w:color="000000" w:sz="4" w:space="0"/>
              <w:right w:val="single" w:color="000000" w:sz="4" w:space="0"/>
            </w:tcBorders>
            <w:vAlign w:val="center"/>
          </w:tcPr>
          <w:p w14:paraId="453397B2">
            <w:pPr>
              <w:pStyle w:val="98"/>
              <w:ind w:left="-105" w:right="-105"/>
              <w:rPr>
                <w:rFonts w:eastAsia="宋体"/>
                <w:color w:val="auto"/>
                <w:sz w:val="21"/>
                <w:szCs w:val="21"/>
                <w:highlight w:val="none"/>
              </w:rPr>
            </w:pPr>
            <w:r>
              <w:rPr>
                <w:rFonts w:eastAsia="宋体"/>
                <w:color w:val="auto"/>
                <w:sz w:val="21"/>
                <w:szCs w:val="21"/>
                <w:highlight w:val="none"/>
              </w:rPr>
              <w:t>8.3</w:t>
            </w:r>
          </w:p>
        </w:tc>
        <w:tc>
          <w:tcPr>
            <w:tcW w:w="683" w:type="dxa"/>
            <w:tcBorders>
              <w:top w:val="single" w:color="000000" w:sz="4" w:space="0"/>
              <w:left w:val="single" w:color="000000" w:sz="4" w:space="0"/>
              <w:bottom w:val="single" w:color="000000" w:sz="4" w:space="0"/>
              <w:right w:val="single" w:color="000000" w:sz="4" w:space="0"/>
            </w:tcBorders>
            <w:vAlign w:val="center"/>
          </w:tcPr>
          <w:p w14:paraId="488FF210">
            <w:pPr>
              <w:pStyle w:val="98"/>
              <w:ind w:left="-105" w:right="-105"/>
              <w:rPr>
                <w:rFonts w:eastAsia="宋体"/>
                <w:color w:val="auto"/>
                <w:sz w:val="21"/>
                <w:szCs w:val="21"/>
                <w:highlight w:val="none"/>
              </w:rPr>
            </w:pPr>
            <w:r>
              <w:rPr>
                <w:rFonts w:eastAsia="宋体"/>
                <w:color w:val="auto"/>
                <w:sz w:val="21"/>
                <w:szCs w:val="21"/>
                <w:highlight w:val="none"/>
              </w:rPr>
              <w:t>1.6</w:t>
            </w:r>
          </w:p>
        </w:tc>
        <w:tc>
          <w:tcPr>
            <w:tcW w:w="686" w:type="dxa"/>
            <w:tcBorders>
              <w:top w:val="single" w:color="000000" w:sz="4" w:space="0"/>
              <w:left w:val="single" w:color="000000" w:sz="4" w:space="0"/>
              <w:bottom w:val="single" w:color="000000" w:sz="4" w:space="0"/>
              <w:right w:val="single" w:color="000000" w:sz="4" w:space="0"/>
            </w:tcBorders>
            <w:vAlign w:val="center"/>
          </w:tcPr>
          <w:p w14:paraId="7BA130DA">
            <w:pPr>
              <w:pStyle w:val="98"/>
              <w:ind w:left="-105" w:right="-105"/>
              <w:rPr>
                <w:rFonts w:eastAsia="宋体"/>
                <w:color w:val="auto"/>
                <w:sz w:val="21"/>
                <w:szCs w:val="21"/>
                <w:highlight w:val="none"/>
              </w:rPr>
            </w:pPr>
            <w:r>
              <w:rPr>
                <w:rFonts w:eastAsia="宋体"/>
                <w:color w:val="auto"/>
                <w:sz w:val="21"/>
                <w:szCs w:val="21"/>
                <w:highlight w:val="none"/>
              </w:rPr>
              <w:t>4.4</w:t>
            </w:r>
          </w:p>
        </w:tc>
        <w:tc>
          <w:tcPr>
            <w:tcW w:w="683" w:type="dxa"/>
            <w:tcBorders>
              <w:top w:val="single" w:color="000000" w:sz="4" w:space="0"/>
              <w:left w:val="single" w:color="000000" w:sz="4" w:space="0"/>
              <w:bottom w:val="single" w:color="000000" w:sz="4" w:space="0"/>
              <w:right w:val="single" w:color="000000" w:sz="4" w:space="0"/>
            </w:tcBorders>
            <w:vAlign w:val="center"/>
          </w:tcPr>
          <w:p w14:paraId="1C5BED36">
            <w:pPr>
              <w:pStyle w:val="98"/>
              <w:ind w:left="-105" w:right="-105"/>
              <w:rPr>
                <w:rFonts w:eastAsia="宋体"/>
                <w:color w:val="auto"/>
                <w:sz w:val="21"/>
                <w:szCs w:val="21"/>
                <w:highlight w:val="none"/>
              </w:rPr>
            </w:pPr>
            <w:r>
              <w:rPr>
                <w:rFonts w:eastAsia="宋体"/>
                <w:color w:val="auto"/>
                <w:sz w:val="21"/>
                <w:szCs w:val="21"/>
                <w:highlight w:val="none"/>
              </w:rPr>
              <w:t>3.6</w:t>
            </w:r>
          </w:p>
        </w:tc>
        <w:tc>
          <w:tcPr>
            <w:tcW w:w="683" w:type="dxa"/>
            <w:tcBorders>
              <w:top w:val="single" w:color="000000" w:sz="4" w:space="0"/>
              <w:left w:val="single" w:color="000000" w:sz="4" w:space="0"/>
              <w:bottom w:val="single" w:color="000000" w:sz="4" w:space="0"/>
              <w:right w:val="single" w:color="000000" w:sz="4" w:space="0"/>
            </w:tcBorders>
            <w:vAlign w:val="center"/>
          </w:tcPr>
          <w:p w14:paraId="77774E14">
            <w:pPr>
              <w:pStyle w:val="98"/>
              <w:ind w:left="-105" w:right="-105"/>
              <w:rPr>
                <w:rFonts w:eastAsia="宋体"/>
                <w:color w:val="auto"/>
                <w:sz w:val="21"/>
                <w:szCs w:val="21"/>
                <w:highlight w:val="none"/>
              </w:rPr>
            </w:pPr>
            <w:r>
              <w:rPr>
                <w:rFonts w:eastAsia="宋体"/>
                <w:color w:val="auto"/>
                <w:sz w:val="21"/>
                <w:szCs w:val="21"/>
                <w:highlight w:val="none"/>
              </w:rPr>
              <w:t>4.9</w:t>
            </w:r>
          </w:p>
        </w:tc>
        <w:tc>
          <w:tcPr>
            <w:tcW w:w="683" w:type="dxa"/>
            <w:tcBorders>
              <w:top w:val="single" w:color="000000" w:sz="4" w:space="0"/>
              <w:left w:val="single" w:color="000000" w:sz="4" w:space="0"/>
              <w:bottom w:val="single" w:color="000000" w:sz="4" w:space="0"/>
              <w:right w:val="single" w:color="000000" w:sz="4" w:space="0"/>
            </w:tcBorders>
            <w:vAlign w:val="center"/>
          </w:tcPr>
          <w:p w14:paraId="00F6761C">
            <w:pPr>
              <w:pStyle w:val="98"/>
              <w:ind w:left="-105" w:right="-105"/>
              <w:rPr>
                <w:rFonts w:eastAsia="宋体"/>
                <w:color w:val="auto"/>
                <w:sz w:val="21"/>
                <w:szCs w:val="21"/>
                <w:highlight w:val="none"/>
              </w:rPr>
            </w:pPr>
            <w:r>
              <w:rPr>
                <w:rFonts w:eastAsia="宋体"/>
                <w:color w:val="auto"/>
                <w:sz w:val="21"/>
                <w:szCs w:val="21"/>
                <w:highlight w:val="none"/>
              </w:rPr>
              <w:t>9.7</w:t>
            </w:r>
          </w:p>
        </w:tc>
        <w:tc>
          <w:tcPr>
            <w:tcW w:w="685" w:type="dxa"/>
            <w:tcBorders>
              <w:top w:val="single" w:color="000000" w:sz="4" w:space="0"/>
              <w:left w:val="single" w:color="000000" w:sz="4" w:space="0"/>
              <w:bottom w:val="single" w:color="000000" w:sz="4" w:space="0"/>
              <w:right w:val="single" w:color="000000" w:sz="4" w:space="0"/>
            </w:tcBorders>
            <w:vAlign w:val="center"/>
          </w:tcPr>
          <w:p w14:paraId="3A6840FF">
            <w:pPr>
              <w:pStyle w:val="98"/>
              <w:ind w:left="-105" w:right="-105"/>
              <w:rPr>
                <w:rFonts w:eastAsia="宋体"/>
                <w:color w:val="auto"/>
                <w:sz w:val="21"/>
                <w:szCs w:val="21"/>
                <w:highlight w:val="none"/>
              </w:rPr>
            </w:pPr>
            <w:r>
              <w:rPr>
                <w:rFonts w:eastAsia="宋体"/>
                <w:color w:val="auto"/>
                <w:sz w:val="21"/>
                <w:szCs w:val="21"/>
                <w:highlight w:val="none"/>
              </w:rPr>
              <w:t>6.9</w:t>
            </w:r>
          </w:p>
        </w:tc>
        <w:tc>
          <w:tcPr>
            <w:tcW w:w="683" w:type="dxa"/>
            <w:tcBorders>
              <w:top w:val="single" w:color="000000" w:sz="4" w:space="0"/>
              <w:left w:val="single" w:color="000000" w:sz="4" w:space="0"/>
              <w:bottom w:val="single" w:color="000000" w:sz="4" w:space="0"/>
              <w:right w:val="single" w:color="000000" w:sz="4" w:space="0"/>
            </w:tcBorders>
            <w:vAlign w:val="center"/>
          </w:tcPr>
          <w:p w14:paraId="405FE34C">
            <w:pPr>
              <w:pStyle w:val="98"/>
              <w:ind w:left="-105" w:right="-105"/>
              <w:rPr>
                <w:rFonts w:eastAsia="宋体"/>
                <w:color w:val="auto"/>
                <w:sz w:val="21"/>
                <w:szCs w:val="21"/>
                <w:highlight w:val="none"/>
              </w:rPr>
            </w:pPr>
            <w:r>
              <w:rPr>
                <w:rFonts w:eastAsia="宋体"/>
                <w:color w:val="auto"/>
                <w:sz w:val="21"/>
                <w:szCs w:val="21"/>
                <w:highlight w:val="none"/>
              </w:rPr>
              <w:t>3.3</w:t>
            </w:r>
          </w:p>
        </w:tc>
        <w:tc>
          <w:tcPr>
            <w:tcW w:w="683" w:type="dxa"/>
            <w:tcBorders>
              <w:top w:val="single" w:color="000000" w:sz="4" w:space="0"/>
              <w:left w:val="single" w:color="000000" w:sz="4" w:space="0"/>
              <w:bottom w:val="single" w:color="000000" w:sz="4" w:space="0"/>
              <w:right w:val="single" w:color="000000" w:sz="4" w:space="0"/>
            </w:tcBorders>
            <w:vAlign w:val="center"/>
          </w:tcPr>
          <w:p w14:paraId="419E8FC3">
            <w:pPr>
              <w:pStyle w:val="98"/>
              <w:ind w:left="-105" w:right="-105"/>
              <w:rPr>
                <w:rFonts w:eastAsia="宋体"/>
                <w:color w:val="auto"/>
                <w:sz w:val="21"/>
                <w:szCs w:val="21"/>
                <w:highlight w:val="none"/>
              </w:rPr>
            </w:pPr>
            <w:r>
              <w:rPr>
                <w:rFonts w:eastAsia="宋体"/>
                <w:color w:val="auto"/>
                <w:sz w:val="21"/>
                <w:szCs w:val="21"/>
                <w:highlight w:val="none"/>
              </w:rPr>
              <w:t>1.1</w:t>
            </w:r>
          </w:p>
        </w:tc>
        <w:tc>
          <w:tcPr>
            <w:tcW w:w="683" w:type="dxa"/>
            <w:tcBorders>
              <w:top w:val="single" w:color="000000" w:sz="4" w:space="0"/>
              <w:left w:val="single" w:color="000000" w:sz="4" w:space="0"/>
              <w:bottom w:val="single" w:color="000000" w:sz="4" w:space="0"/>
              <w:right w:val="single" w:color="000000" w:sz="4" w:space="0"/>
            </w:tcBorders>
            <w:vAlign w:val="center"/>
          </w:tcPr>
          <w:p w14:paraId="59783E26">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183FFD39">
            <w:pPr>
              <w:pStyle w:val="98"/>
              <w:ind w:left="-105" w:right="-105"/>
              <w:rPr>
                <w:rFonts w:eastAsia="宋体"/>
                <w:color w:val="auto"/>
                <w:sz w:val="21"/>
                <w:szCs w:val="21"/>
                <w:highlight w:val="none"/>
              </w:rPr>
            </w:pPr>
            <w:r>
              <w:rPr>
                <w:rFonts w:eastAsia="宋体"/>
                <w:color w:val="auto"/>
                <w:sz w:val="21"/>
                <w:szCs w:val="21"/>
                <w:highlight w:val="none"/>
              </w:rPr>
              <w:t>0.5</w:t>
            </w:r>
          </w:p>
        </w:tc>
        <w:tc>
          <w:tcPr>
            <w:tcW w:w="683" w:type="dxa"/>
            <w:tcBorders>
              <w:top w:val="single" w:color="000000" w:sz="4" w:space="0"/>
              <w:left w:val="single" w:color="000000" w:sz="4" w:space="0"/>
              <w:bottom w:val="single" w:color="000000" w:sz="4" w:space="0"/>
              <w:right w:val="single" w:color="000000" w:sz="4" w:space="0"/>
            </w:tcBorders>
            <w:vAlign w:val="center"/>
          </w:tcPr>
          <w:p w14:paraId="26102F5C">
            <w:pPr>
              <w:pStyle w:val="98"/>
              <w:ind w:left="-105" w:right="-105"/>
              <w:rPr>
                <w:rFonts w:eastAsia="宋体"/>
                <w:color w:val="auto"/>
                <w:sz w:val="21"/>
                <w:szCs w:val="21"/>
                <w:highlight w:val="none"/>
              </w:rPr>
            </w:pPr>
            <w:r>
              <w:rPr>
                <w:rFonts w:eastAsia="宋体"/>
                <w:color w:val="auto"/>
                <w:sz w:val="21"/>
                <w:szCs w:val="21"/>
                <w:highlight w:val="none"/>
              </w:rPr>
              <w:t>0.5</w:t>
            </w:r>
          </w:p>
        </w:tc>
        <w:tc>
          <w:tcPr>
            <w:tcW w:w="684" w:type="dxa"/>
            <w:tcBorders>
              <w:top w:val="single" w:color="000000" w:sz="4" w:space="0"/>
              <w:left w:val="single" w:color="000000" w:sz="4" w:space="0"/>
              <w:bottom w:val="single" w:color="000000" w:sz="4" w:space="0"/>
              <w:right w:val="single" w:color="000000" w:sz="4" w:space="0"/>
            </w:tcBorders>
            <w:vAlign w:val="center"/>
          </w:tcPr>
          <w:p w14:paraId="595F73BC">
            <w:pPr>
              <w:pStyle w:val="98"/>
              <w:ind w:left="-105" w:right="-105"/>
              <w:rPr>
                <w:rFonts w:eastAsia="宋体"/>
                <w:color w:val="auto"/>
                <w:sz w:val="21"/>
                <w:szCs w:val="21"/>
                <w:highlight w:val="none"/>
              </w:rPr>
            </w:pPr>
            <w:r>
              <w:rPr>
                <w:rFonts w:eastAsia="宋体"/>
                <w:color w:val="auto"/>
                <w:sz w:val="21"/>
                <w:szCs w:val="21"/>
                <w:highlight w:val="none"/>
              </w:rPr>
              <w:t>0.7</w:t>
            </w:r>
          </w:p>
        </w:tc>
        <w:tc>
          <w:tcPr>
            <w:tcW w:w="686" w:type="dxa"/>
            <w:tcBorders>
              <w:top w:val="single" w:color="000000" w:sz="4" w:space="0"/>
              <w:left w:val="single" w:color="000000" w:sz="4" w:space="0"/>
              <w:bottom w:val="single" w:color="000000" w:sz="4" w:space="0"/>
              <w:right w:val="single" w:color="000000" w:sz="4" w:space="0"/>
            </w:tcBorders>
            <w:vAlign w:val="center"/>
          </w:tcPr>
          <w:p w14:paraId="41845135">
            <w:pPr>
              <w:pStyle w:val="98"/>
              <w:ind w:left="-105" w:right="-105"/>
              <w:rPr>
                <w:rFonts w:eastAsia="宋体"/>
                <w:color w:val="auto"/>
                <w:sz w:val="21"/>
                <w:szCs w:val="21"/>
                <w:highlight w:val="none"/>
              </w:rPr>
            </w:pPr>
            <w:r>
              <w:rPr>
                <w:rFonts w:eastAsia="宋体"/>
                <w:color w:val="auto"/>
                <w:sz w:val="21"/>
                <w:szCs w:val="21"/>
                <w:highlight w:val="none"/>
              </w:rPr>
              <w:t>1.6</w:t>
            </w:r>
          </w:p>
        </w:tc>
        <w:tc>
          <w:tcPr>
            <w:tcW w:w="684" w:type="dxa"/>
            <w:tcBorders>
              <w:top w:val="single" w:color="000000" w:sz="4" w:space="0"/>
              <w:left w:val="single" w:color="000000" w:sz="4" w:space="0"/>
              <w:bottom w:val="single" w:color="000000" w:sz="4" w:space="0"/>
              <w:right w:val="single" w:color="000000" w:sz="4" w:space="0"/>
            </w:tcBorders>
            <w:vAlign w:val="center"/>
          </w:tcPr>
          <w:p w14:paraId="791CAA9A">
            <w:pPr>
              <w:pStyle w:val="98"/>
              <w:ind w:left="-105" w:right="-105"/>
              <w:rPr>
                <w:rFonts w:eastAsia="宋体"/>
                <w:color w:val="auto"/>
                <w:sz w:val="21"/>
                <w:szCs w:val="21"/>
                <w:highlight w:val="none"/>
              </w:rPr>
            </w:pPr>
            <w:r>
              <w:rPr>
                <w:rFonts w:eastAsia="宋体"/>
                <w:color w:val="auto"/>
                <w:sz w:val="21"/>
                <w:szCs w:val="21"/>
                <w:highlight w:val="none"/>
              </w:rPr>
              <w:t>6.9</w:t>
            </w:r>
          </w:p>
        </w:tc>
        <w:tc>
          <w:tcPr>
            <w:tcW w:w="645" w:type="dxa"/>
            <w:tcBorders>
              <w:top w:val="single" w:color="000000" w:sz="4" w:space="0"/>
              <w:left w:val="single" w:color="000000" w:sz="4" w:space="0"/>
              <w:bottom w:val="single" w:color="000000" w:sz="4" w:space="0"/>
              <w:right w:val="single" w:color="000000" w:sz="4" w:space="0"/>
            </w:tcBorders>
            <w:vAlign w:val="center"/>
          </w:tcPr>
          <w:p w14:paraId="409CD565">
            <w:pPr>
              <w:pStyle w:val="98"/>
              <w:ind w:left="-105" w:right="-105"/>
              <w:rPr>
                <w:rFonts w:eastAsia="宋体"/>
                <w:color w:val="auto"/>
                <w:sz w:val="21"/>
                <w:szCs w:val="21"/>
                <w:highlight w:val="none"/>
              </w:rPr>
            </w:pPr>
            <w:r>
              <w:rPr>
                <w:rFonts w:eastAsia="宋体"/>
                <w:color w:val="auto"/>
                <w:sz w:val="21"/>
                <w:szCs w:val="21"/>
                <w:highlight w:val="none"/>
              </w:rPr>
              <w:t>5.8</w:t>
            </w:r>
          </w:p>
        </w:tc>
        <w:tc>
          <w:tcPr>
            <w:tcW w:w="1134" w:type="dxa"/>
            <w:tcBorders>
              <w:top w:val="single" w:color="000000" w:sz="4" w:space="0"/>
              <w:left w:val="single" w:color="000000" w:sz="4" w:space="0"/>
              <w:bottom w:val="single" w:color="000000" w:sz="4" w:space="0"/>
              <w:right w:val="nil"/>
            </w:tcBorders>
            <w:vAlign w:val="center"/>
          </w:tcPr>
          <w:p w14:paraId="1344FCF9">
            <w:pPr>
              <w:pStyle w:val="98"/>
              <w:ind w:left="-105" w:right="-105"/>
              <w:rPr>
                <w:rFonts w:eastAsia="宋体"/>
                <w:color w:val="auto"/>
                <w:sz w:val="21"/>
                <w:szCs w:val="21"/>
                <w:highlight w:val="none"/>
              </w:rPr>
            </w:pPr>
            <w:r>
              <w:rPr>
                <w:rFonts w:eastAsia="宋体"/>
                <w:color w:val="auto"/>
                <w:sz w:val="21"/>
                <w:szCs w:val="21"/>
                <w:highlight w:val="none"/>
              </w:rPr>
              <w:t>60.1</w:t>
            </w:r>
          </w:p>
        </w:tc>
      </w:tr>
      <w:tr w14:paraId="791432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36A6A06F">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6E9EB99">
            <w:pPr>
              <w:pStyle w:val="98"/>
              <w:ind w:left="-105" w:right="-105"/>
              <w:rPr>
                <w:rFonts w:eastAsia="宋体"/>
                <w:color w:val="auto"/>
                <w:sz w:val="21"/>
                <w:szCs w:val="21"/>
                <w:highlight w:val="none"/>
              </w:rPr>
            </w:pPr>
            <w:r>
              <w:rPr>
                <w:rFonts w:eastAsia="宋体"/>
                <w:color w:val="auto"/>
                <w:sz w:val="21"/>
                <w:szCs w:val="21"/>
                <w:highlight w:val="none"/>
              </w:rPr>
              <w:t>E</w:t>
            </w:r>
          </w:p>
        </w:tc>
        <w:tc>
          <w:tcPr>
            <w:tcW w:w="683" w:type="dxa"/>
            <w:tcBorders>
              <w:top w:val="single" w:color="000000" w:sz="4" w:space="0"/>
              <w:left w:val="single" w:color="000000" w:sz="4" w:space="0"/>
              <w:bottom w:val="single" w:color="000000" w:sz="4" w:space="0"/>
              <w:right w:val="single" w:color="000000" w:sz="4" w:space="0"/>
            </w:tcBorders>
            <w:vAlign w:val="center"/>
          </w:tcPr>
          <w:p w14:paraId="6452329F">
            <w:pPr>
              <w:pStyle w:val="98"/>
              <w:ind w:left="-105" w:right="-105"/>
              <w:rPr>
                <w:rFonts w:eastAsia="宋体"/>
                <w:color w:val="auto"/>
                <w:sz w:val="21"/>
                <w:szCs w:val="21"/>
                <w:highlight w:val="none"/>
              </w:rPr>
            </w:pPr>
            <w:r>
              <w:rPr>
                <w:rFonts w:eastAsia="宋体"/>
                <w:color w:val="auto"/>
                <w:sz w:val="21"/>
                <w:szCs w:val="21"/>
                <w:highlight w:val="none"/>
              </w:rPr>
              <w:t>0.6</w:t>
            </w:r>
          </w:p>
        </w:tc>
        <w:tc>
          <w:tcPr>
            <w:tcW w:w="683" w:type="dxa"/>
            <w:tcBorders>
              <w:top w:val="single" w:color="000000" w:sz="4" w:space="0"/>
              <w:left w:val="single" w:color="000000" w:sz="4" w:space="0"/>
              <w:bottom w:val="single" w:color="000000" w:sz="4" w:space="0"/>
              <w:right w:val="single" w:color="000000" w:sz="4" w:space="0"/>
            </w:tcBorders>
          </w:tcPr>
          <w:p w14:paraId="26E8F515">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3A44810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6C67E70F">
            <w:pPr>
              <w:pStyle w:val="98"/>
              <w:ind w:left="-105" w:right="-105"/>
              <w:rPr>
                <w:rFonts w:eastAsia="宋体"/>
                <w:color w:val="auto"/>
                <w:sz w:val="21"/>
                <w:szCs w:val="21"/>
                <w:highlight w:val="none"/>
              </w:rPr>
            </w:pPr>
            <w:r>
              <w:rPr>
                <w:rFonts w:eastAsia="宋体"/>
                <w:color w:val="auto"/>
                <w:sz w:val="21"/>
                <w:szCs w:val="21"/>
                <w:highlight w:val="none"/>
              </w:rPr>
              <w:t>1.8</w:t>
            </w:r>
          </w:p>
        </w:tc>
        <w:tc>
          <w:tcPr>
            <w:tcW w:w="683" w:type="dxa"/>
            <w:tcBorders>
              <w:top w:val="single" w:color="000000" w:sz="4" w:space="0"/>
              <w:left w:val="single" w:color="000000" w:sz="4" w:space="0"/>
              <w:bottom w:val="single" w:color="000000" w:sz="4" w:space="0"/>
              <w:right w:val="single" w:color="000000" w:sz="4" w:space="0"/>
            </w:tcBorders>
            <w:vAlign w:val="center"/>
          </w:tcPr>
          <w:p w14:paraId="0A27B47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741D1158">
            <w:pPr>
              <w:pStyle w:val="98"/>
              <w:ind w:left="-105" w:right="-105"/>
              <w:rPr>
                <w:rFonts w:eastAsia="宋体"/>
                <w:color w:val="auto"/>
                <w:sz w:val="21"/>
                <w:szCs w:val="21"/>
                <w:highlight w:val="none"/>
              </w:rPr>
            </w:pPr>
            <w:r>
              <w:rPr>
                <w:rFonts w:eastAsia="宋体"/>
                <w:color w:val="auto"/>
                <w:sz w:val="21"/>
                <w:szCs w:val="21"/>
                <w:highlight w:val="none"/>
              </w:rPr>
              <w:t>4.1</w:t>
            </w:r>
          </w:p>
        </w:tc>
        <w:tc>
          <w:tcPr>
            <w:tcW w:w="685" w:type="dxa"/>
            <w:tcBorders>
              <w:top w:val="single" w:color="000000" w:sz="4" w:space="0"/>
              <w:left w:val="single" w:color="000000" w:sz="4" w:space="0"/>
              <w:bottom w:val="single" w:color="000000" w:sz="4" w:space="0"/>
              <w:right w:val="single" w:color="000000" w:sz="4" w:space="0"/>
            </w:tcBorders>
            <w:vAlign w:val="center"/>
          </w:tcPr>
          <w:p w14:paraId="7A6E2AEC">
            <w:pPr>
              <w:pStyle w:val="98"/>
              <w:ind w:left="-105" w:right="-105"/>
              <w:rPr>
                <w:rFonts w:eastAsia="宋体"/>
                <w:color w:val="auto"/>
                <w:sz w:val="21"/>
                <w:szCs w:val="21"/>
                <w:highlight w:val="none"/>
              </w:rPr>
            </w:pPr>
            <w:r>
              <w:rPr>
                <w:rFonts w:eastAsia="宋体"/>
                <w:color w:val="auto"/>
                <w:sz w:val="21"/>
                <w:szCs w:val="21"/>
                <w:highlight w:val="none"/>
              </w:rPr>
              <w:t>4.1</w:t>
            </w:r>
          </w:p>
        </w:tc>
        <w:tc>
          <w:tcPr>
            <w:tcW w:w="683" w:type="dxa"/>
            <w:tcBorders>
              <w:top w:val="single" w:color="000000" w:sz="4" w:space="0"/>
              <w:left w:val="single" w:color="000000" w:sz="4" w:space="0"/>
              <w:bottom w:val="single" w:color="000000" w:sz="4" w:space="0"/>
              <w:right w:val="single" w:color="000000" w:sz="4" w:space="0"/>
            </w:tcBorders>
          </w:tcPr>
          <w:p w14:paraId="7CF5E02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F82988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A89B1D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40AA6F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DBD95C8">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3DE2A62B">
            <w:pPr>
              <w:pStyle w:val="98"/>
              <w:ind w:left="-105" w:right="-105"/>
              <w:rPr>
                <w:rFonts w:eastAsia="宋体"/>
                <w:color w:val="auto"/>
                <w:sz w:val="21"/>
                <w:szCs w:val="21"/>
                <w:highlight w:val="none"/>
              </w:rPr>
            </w:pPr>
            <w:r>
              <w:rPr>
                <w:rFonts w:eastAsia="宋体"/>
                <w:color w:val="auto"/>
                <w:sz w:val="21"/>
                <w:szCs w:val="21"/>
                <w:highlight w:val="none"/>
              </w:rPr>
              <w:t>1.6</w:t>
            </w:r>
          </w:p>
        </w:tc>
        <w:tc>
          <w:tcPr>
            <w:tcW w:w="686" w:type="dxa"/>
            <w:tcBorders>
              <w:top w:val="single" w:color="000000" w:sz="4" w:space="0"/>
              <w:left w:val="single" w:color="000000" w:sz="4" w:space="0"/>
              <w:bottom w:val="single" w:color="000000" w:sz="4" w:space="0"/>
              <w:right w:val="single" w:color="000000" w:sz="4" w:space="0"/>
            </w:tcBorders>
            <w:vAlign w:val="center"/>
          </w:tcPr>
          <w:p w14:paraId="2F9E6669">
            <w:pPr>
              <w:pStyle w:val="98"/>
              <w:ind w:left="-105" w:right="-105"/>
              <w:rPr>
                <w:rFonts w:eastAsia="宋体"/>
                <w:color w:val="auto"/>
                <w:sz w:val="21"/>
                <w:szCs w:val="21"/>
                <w:highlight w:val="none"/>
              </w:rPr>
            </w:pPr>
            <w:r>
              <w:rPr>
                <w:rFonts w:eastAsia="宋体"/>
                <w:color w:val="auto"/>
                <w:sz w:val="21"/>
                <w:szCs w:val="21"/>
                <w:highlight w:val="none"/>
              </w:rPr>
              <w:t>1.2</w:t>
            </w:r>
          </w:p>
        </w:tc>
        <w:tc>
          <w:tcPr>
            <w:tcW w:w="684" w:type="dxa"/>
            <w:tcBorders>
              <w:top w:val="single" w:color="000000" w:sz="4" w:space="0"/>
              <w:left w:val="single" w:color="000000" w:sz="4" w:space="0"/>
              <w:bottom w:val="single" w:color="000000" w:sz="4" w:space="0"/>
              <w:right w:val="single" w:color="000000" w:sz="4" w:space="0"/>
            </w:tcBorders>
            <w:vAlign w:val="center"/>
          </w:tcPr>
          <w:p w14:paraId="76048E45">
            <w:pPr>
              <w:pStyle w:val="98"/>
              <w:ind w:left="-105" w:right="-105"/>
              <w:rPr>
                <w:rFonts w:eastAsia="宋体"/>
                <w:color w:val="auto"/>
                <w:sz w:val="21"/>
                <w:szCs w:val="21"/>
                <w:highlight w:val="none"/>
              </w:rPr>
            </w:pPr>
            <w:r>
              <w:rPr>
                <w:rFonts w:eastAsia="宋体"/>
                <w:color w:val="auto"/>
                <w:sz w:val="21"/>
                <w:szCs w:val="21"/>
                <w:highlight w:val="none"/>
              </w:rPr>
              <w:t>2.9</w:t>
            </w:r>
          </w:p>
        </w:tc>
        <w:tc>
          <w:tcPr>
            <w:tcW w:w="645" w:type="dxa"/>
            <w:tcBorders>
              <w:top w:val="single" w:color="000000" w:sz="4" w:space="0"/>
              <w:left w:val="single" w:color="000000" w:sz="4" w:space="0"/>
              <w:bottom w:val="single" w:color="000000" w:sz="4" w:space="0"/>
              <w:right w:val="single" w:color="000000" w:sz="4" w:space="0"/>
            </w:tcBorders>
            <w:vAlign w:val="center"/>
          </w:tcPr>
          <w:p w14:paraId="52B28509">
            <w:pPr>
              <w:pStyle w:val="98"/>
              <w:ind w:left="-105" w:right="-105"/>
              <w:rPr>
                <w:rFonts w:eastAsia="宋体"/>
                <w:color w:val="auto"/>
                <w:sz w:val="21"/>
                <w:szCs w:val="21"/>
                <w:highlight w:val="none"/>
              </w:rPr>
            </w:pPr>
            <w:r>
              <w:rPr>
                <w:rFonts w:eastAsia="宋体"/>
                <w:color w:val="auto"/>
                <w:sz w:val="21"/>
                <w:szCs w:val="21"/>
                <w:highlight w:val="none"/>
              </w:rPr>
              <w:t>0.6</w:t>
            </w:r>
          </w:p>
        </w:tc>
        <w:tc>
          <w:tcPr>
            <w:tcW w:w="1134" w:type="dxa"/>
            <w:tcBorders>
              <w:top w:val="single" w:color="000000" w:sz="4" w:space="0"/>
              <w:left w:val="single" w:color="000000" w:sz="4" w:space="0"/>
              <w:bottom w:val="single" w:color="000000" w:sz="4" w:space="0"/>
              <w:right w:val="nil"/>
            </w:tcBorders>
            <w:vAlign w:val="center"/>
          </w:tcPr>
          <w:p w14:paraId="075C379B">
            <w:pPr>
              <w:pStyle w:val="98"/>
              <w:ind w:left="-105" w:right="-105"/>
              <w:rPr>
                <w:rFonts w:eastAsia="宋体"/>
                <w:color w:val="auto"/>
                <w:sz w:val="21"/>
                <w:szCs w:val="21"/>
                <w:highlight w:val="none"/>
              </w:rPr>
            </w:pPr>
            <w:r>
              <w:rPr>
                <w:rFonts w:eastAsia="宋体"/>
                <w:color w:val="auto"/>
                <w:sz w:val="21"/>
                <w:szCs w:val="21"/>
                <w:highlight w:val="none"/>
              </w:rPr>
              <w:t>15.8</w:t>
            </w:r>
          </w:p>
        </w:tc>
      </w:tr>
      <w:tr w14:paraId="342262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8" w:hRule="atLeast"/>
          <w:jc w:val="center"/>
        </w:trPr>
        <w:tc>
          <w:tcPr>
            <w:tcW w:w="1116" w:type="dxa"/>
            <w:vMerge w:val="restart"/>
            <w:tcBorders>
              <w:top w:val="single" w:color="000000" w:sz="4" w:space="0"/>
              <w:left w:val="nil"/>
              <w:bottom w:val="single" w:color="000000" w:sz="4" w:space="0"/>
              <w:right w:val="single" w:color="000000" w:sz="4" w:space="0"/>
            </w:tcBorders>
            <w:vAlign w:val="center"/>
          </w:tcPr>
          <w:p w14:paraId="2378CD0A">
            <w:pPr>
              <w:pStyle w:val="98"/>
              <w:ind w:left="-105" w:right="-105"/>
              <w:rPr>
                <w:rFonts w:eastAsia="宋体"/>
                <w:color w:val="auto"/>
                <w:sz w:val="21"/>
                <w:szCs w:val="21"/>
                <w:highlight w:val="none"/>
              </w:rPr>
            </w:pPr>
            <w:r>
              <w:rPr>
                <w:rFonts w:eastAsia="宋体"/>
                <w:color w:val="auto"/>
                <w:sz w:val="21"/>
                <w:szCs w:val="21"/>
                <w:highlight w:val="none"/>
              </w:rPr>
              <w:t>5.1-6.0</w:t>
            </w:r>
          </w:p>
        </w:tc>
        <w:tc>
          <w:tcPr>
            <w:tcW w:w="742" w:type="dxa"/>
            <w:tcBorders>
              <w:top w:val="single" w:color="000000" w:sz="4" w:space="0"/>
              <w:left w:val="single" w:color="000000" w:sz="4" w:space="0"/>
              <w:bottom w:val="single" w:color="000000" w:sz="4" w:space="0"/>
              <w:right w:val="single" w:color="000000" w:sz="4" w:space="0"/>
            </w:tcBorders>
            <w:vAlign w:val="center"/>
          </w:tcPr>
          <w:p w14:paraId="28515A34">
            <w:pPr>
              <w:pStyle w:val="98"/>
              <w:ind w:left="-105" w:right="-105"/>
              <w:rPr>
                <w:rFonts w:eastAsia="宋体"/>
                <w:color w:val="auto"/>
                <w:sz w:val="21"/>
                <w:szCs w:val="21"/>
                <w:highlight w:val="none"/>
              </w:rPr>
            </w:pPr>
            <w:r>
              <w:rPr>
                <w:rFonts w:eastAsia="宋体"/>
                <w:color w:val="auto"/>
                <w:sz w:val="21"/>
                <w:szCs w:val="21"/>
                <w:highlight w:val="none"/>
              </w:rPr>
              <w:t>A</w:t>
            </w:r>
          </w:p>
        </w:tc>
        <w:tc>
          <w:tcPr>
            <w:tcW w:w="683" w:type="dxa"/>
            <w:tcBorders>
              <w:top w:val="single" w:color="000000" w:sz="4" w:space="0"/>
              <w:left w:val="single" w:color="000000" w:sz="4" w:space="0"/>
              <w:bottom w:val="single" w:color="000000" w:sz="4" w:space="0"/>
              <w:right w:val="single" w:color="000000" w:sz="4" w:space="0"/>
            </w:tcBorders>
          </w:tcPr>
          <w:p w14:paraId="2C0861B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A226895">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7F86BF33">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24A0C6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3AA78C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6BE39A6">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2C2080B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8DD799B">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5A9F25D">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3C8742C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BC8B75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1C56B54">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5F9E2C25">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5CCA9549">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1ACF60BA">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5547AA50">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706BF6BB">
            <w:pPr>
              <w:pStyle w:val="98"/>
              <w:ind w:left="-105" w:right="-105"/>
              <w:rPr>
                <w:rFonts w:eastAsia="宋体"/>
                <w:color w:val="auto"/>
                <w:sz w:val="21"/>
                <w:szCs w:val="21"/>
                <w:highlight w:val="none"/>
              </w:rPr>
            </w:pPr>
            <w:r>
              <w:rPr>
                <w:rFonts w:eastAsia="宋体"/>
                <w:color w:val="auto"/>
                <w:sz w:val="21"/>
                <w:szCs w:val="21"/>
                <w:highlight w:val="none"/>
              </w:rPr>
              <w:t>/</w:t>
            </w:r>
          </w:p>
        </w:tc>
      </w:tr>
      <w:tr w14:paraId="091485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146D13C8">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13E097FD">
            <w:pPr>
              <w:pStyle w:val="98"/>
              <w:ind w:left="-105" w:right="-105"/>
              <w:rPr>
                <w:rFonts w:eastAsia="宋体"/>
                <w:color w:val="auto"/>
                <w:sz w:val="21"/>
                <w:szCs w:val="21"/>
                <w:highlight w:val="none"/>
              </w:rPr>
            </w:pPr>
            <w:r>
              <w:rPr>
                <w:rFonts w:eastAsia="宋体"/>
                <w:color w:val="auto"/>
                <w:sz w:val="21"/>
                <w:szCs w:val="21"/>
                <w:highlight w:val="none"/>
              </w:rPr>
              <w:t>B</w:t>
            </w:r>
          </w:p>
        </w:tc>
        <w:tc>
          <w:tcPr>
            <w:tcW w:w="683" w:type="dxa"/>
            <w:tcBorders>
              <w:top w:val="single" w:color="000000" w:sz="4" w:space="0"/>
              <w:left w:val="single" w:color="000000" w:sz="4" w:space="0"/>
              <w:bottom w:val="single" w:color="000000" w:sz="4" w:space="0"/>
              <w:right w:val="single" w:color="000000" w:sz="4" w:space="0"/>
            </w:tcBorders>
          </w:tcPr>
          <w:p w14:paraId="295B3F8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AC8661D">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3A71EA0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65F99FD">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C9388F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477FF07">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6EE9077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DEA108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82D76A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6B14D6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6EA4AB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3696DBB">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47A993E0">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27CB70D8">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1B1A2311">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19CEA05C">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76250291">
            <w:pPr>
              <w:pStyle w:val="98"/>
              <w:ind w:left="-105" w:right="-105"/>
              <w:rPr>
                <w:rFonts w:eastAsia="宋体"/>
                <w:color w:val="auto"/>
                <w:sz w:val="21"/>
                <w:szCs w:val="21"/>
                <w:highlight w:val="none"/>
              </w:rPr>
            </w:pPr>
            <w:r>
              <w:rPr>
                <w:rFonts w:eastAsia="宋体"/>
                <w:color w:val="auto"/>
                <w:sz w:val="21"/>
                <w:szCs w:val="21"/>
                <w:highlight w:val="none"/>
              </w:rPr>
              <w:t>/</w:t>
            </w:r>
          </w:p>
        </w:tc>
      </w:tr>
      <w:tr w14:paraId="2ED753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4E34DE76">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525D409B">
            <w:pPr>
              <w:pStyle w:val="98"/>
              <w:ind w:left="-105" w:right="-105"/>
              <w:rPr>
                <w:rFonts w:eastAsia="宋体"/>
                <w:color w:val="auto"/>
                <w:sz w:val="21"/>
                <w:szCs w:val="21"/>
                <w:highlight w:val="none"/>
              </w:rPr>
            </w:pPr>
            <w:r>
              <w:rPr>
                <w:rFonts w:eastAsia="宋体"/>
                <w:color w:val="auto"/>
                <w:sz w:val="21"/>
                <w:szCs w:val="21"/>
                <w:highlight w:val="none"/>
              </w:rPr>
              <w:t>C</w:t>
            </w:r>
          </w:p>
        </w:tc>
        <w:tc>
          <w:tcPr>
            <w:tcW w:w="683" w:type="dxa"/>
            <w:tcBorders>
              <w:top w:val="single" w:color="000000" w:sz="4" w:space="0"/>
              <w:left w:val="single" w:color="000000" w:sz="4" w:space="0"/>
              <w:bottom w:val="single" w:color="000000" w:sz="4" w:space="0"/>
              <w:right w:val="single" w:color="000000" w:sz="4" w:space="0"/>
            </w:tcBorders>
          </w:tcPr>
          <w:p w14:paraId="4295170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E6ADCF9">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6D8450C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7A24A1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667F5E2">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08257C7">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vAlign w:val="center"/>
          </w:tcPr>
          <w:p w14:paraId="786AD2DB">
            <w:pPr>
              <w:pStyle w:val="98"/>
              <w:ind w:left="-105" w:right="-105"/>
              <w:rPr>
                <w:rFonts w:eastAsia="宋体"/>
                <w:color w:val="auto"/>
                <w:sz w:val="21"/>
                <w:szCs w:val="21"/>
                <w:highlight w:val="none"/>
              </w:rPr>
            </w:pPr>
            <w:r>
              <w:rPr>
                <w:rFonts w:eastAsia="宋体"/>
                <w:color w:val="auto"/>
                <w:sz w:val="21"/>
                <w:szCs w:val="21"/>
                <w:highlight w:val="none"/>
              </w:rPr>
              <w:t>8.6</w:t>
            </w:r>
          </w:p>
        </w:tc>
        <w:tc>
          <w:tcPr>
            <w:tcW w:w="683" w:type="dxa"/>
            <w:tcBorders>
              <w:top w:val="single" w:color="000000" w:sz="4" w:space="0"/>
              <w:left w:val="single" w:color="000000" w:sz="4" w:space="0"/>
              <w:bottom w:val="single" w:color="000000" w:sz="4" w:space="0"/>
              <w:right w:val="single" w:color="000000" w:sz="4" w:space="0"/>
            </w:tcBorders>
            <w:vAlign w:val="center"/>
          </w:tcPr>
          <w:p w14:paraId="2AA5478B">
            <w:pPr>
              <w:pStyle w:val="98"/>
              <w:ind w:left="-105" w:right="-105"/>
              <w:rPr>
                <w:rFonts w:eastAsia="宋体"/>
                <w:color w:val="auto"/>
                <w:sz w:val="21"/>
                <w:szCs w:val="21"/>
                <w:highlight w:val="none"/>
              </w:rPr>
            </w:pPr>
            <w:r>
              <w:rPr>
                <w:rFonts w:eastAsia="宋体"/>
                <w:color w:val="auto"/>
                <w:sz w:val="21"/>
                <w:szCs w:val="21"/>
                <w:highlight w:val="none"/>
              </w:rPr>
              <w:t>4.2</w:t>
            </w:r>
          </w:p>
        </w:tc>
        <w:tc>
          <w:tcPr>
            <w:tcW w:w="683" w:type="dxa"/>
            <w:tcBorders>
              <w:top w:val="single" w:color="000000" w:sz="4" w:space="0"/>
              <w:left w:val="single" w:color="000000" w:sz="4" w:space="0"/>
              <w:bottom w:val="single" w:color="000000" w:sz="4" w:space="0"/>
              <w:right w:val="single" w:color="000000" w:sz="4" w:space="0"/>
            </w:tcBorders>
          </w:tcPr>
          <w:p w14:paraId="3485733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672F3C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32A138D">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A3C82DC">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64EBCDC5">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0CE44C4C">
            <w:pPr>
              <w:pStyle w:val="98"/>
              <w:ind w:left="-105" w:right="-105"/>
              <w:rPr>
                <w:rFonts w:eastAsia="宋体"/>
                <w:color w:val="auto"/>
                <w:sz w:val="21"/>
                <w:szCs w:val="21"/>
                <w:highlight w:val="none"/>
              </w:rPr>
            </w:pPr>
            <w:r>
              <w:rPr>
                <w:rFonts w:eastAsia="宋体"/>
                <w:color w:val="auto"/>
                <w:sz w:val="21"/>
                <w:szCs w:val="21"/>
                <w:highlight w:val="none"/>
              </w:rPr>
              <w:t>4.2</w:t>
            </w:r>
          </w:p>
        </w:tc>
        <w:tc>
          <w:tcPr>
            <w:tcW w:w="684" w:type="dxa"/>
            <w:tcBorders>
              <w:top w:val="single" w:color="000000" w:sz="4" w:space="0"/>
              <w:left w:val="single" w:color="000000" w:sz="4" w:space="0"/>
              <w:bottom w:val="single" w:color="000000" w:sz="4" w:space="0"/>
              <w:right w:val="single" w:color="000000" w:sz="4" w:space="0"/>
            </w:tcBorders>
            <w:vAlign w:val="center"/>
          </w:tcPr>
          <w:p w14:paraId="53FA01A5">
            <w:pPr>
              <w:pStyle w:val="98"/>
              <w:ind w:left="-105" w:right="-105"/>
              <w:rPr>
                <w:rFonts w:eastAsia="宋体"/>
                <w:color w:val="auto"/>
                <w:sz w:val="21"/>
                <w:szCs w:val="21"/>
                <w:highlight w:val="none"/>
              </w:rPr>
            </w:pPr>
          </w:p>
        </w:tc>
        <w:tc>
          <w:tcPr>
            <w:tcW w:w="645" w:type="dxa"/>
            <w:tcBorders>
              <w:top w:val="single" w:color="000000" w:sz="4" w:space="0"/>
              <w:left w:val="single" w:color="000000" w:sz="4" w:space="0"/>
              <w:bottom w:val="single" w:color="000000" w:sz="4" w:space="0"/>
              <w:right w:val="single" w:color="000000" w:sz="4" w:space="0"/>
            </w:tcBorders>
            <w:vAlign w:val="center"/>
          </w:tcPr>
          <w:p w14:paraId="21BDAD3C">
            <w:pPr>
              <w:pStyle w:val="98"/>
              <w:ind w:left="-105" w:right="-105"/>
              <w:rPr>
                <w:rFonts w:eastAsia="宋体"/>
                <w:color w:val="auto"/>
                <w:sz w:val="21"/>
                <w:szCs w:val="21"/>
                <w:highlight w:val="none"/>
              </w:rPr>
            </w:pPr>
            <w:r>
              <w:rPr>
                <w:rFonts w:eastAsia="宋体"/>
                <w:color w:val="auto"/>
                <w:sz w:val="21"/>
                <w:szCs w:val="21"/>
                <w:highlight w:val="none"/>
              </w:rPr>
              <w:t>4.2</w:t>
            </w:r>
          </w:p>
        </w:tc>
        <w:tc>
          <w:tcPr>
            <w:tcW w:w="1134" w:type="dxa"/>
            <w:tcBorders>
              <w:top w:val="single" w:color="000000" w:sz="4" w:space="0"/>
              <w:left w:val="single" w:color="000000" w:sz="4" w:space="0"/>
              <w:bottom w:val="single" w:color="000000" w:sz="4" w:space="0"/>
              <w:right w:val="nil"/>
            </w:tcBorders>
            <w:vAlign w:val="center"/>
          </w:tcPr>
          <w:p w14:paraId="355167AA">
            <w:pPr>
              <w:pStyle w:val="98"/>
              <w:ind w:left="-105" w:right="-105"/>
              <w:rPr>
                <w:rFonts w:eastAsia="宋体"/>
                <w:color w:val="auto"/>
                <w:sz w:val="21"/>
                <w:szCs w:val="21"/>
                <w:highlight w:val="none"/>
              </w:rPr>
            </w:pPr>
            <w:r>
              <w:rPr>
                <w:rFonts w:eastAsia="宋体"/>
                <w:color w:val="auto"/>
                <w:sz w:val="21"/>
                <w:szCs w:val="21"/>
                <w:highlight w:val="none"/>
              </w:rPr>
              <w:t>21.2</w:t>
            </w:r>
          </w:p>
        </w:tc>
      </w:tr>
      <w:tr w14:paraId="3DF9B3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61B8D137">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66A5A026">
            <w:pPr>
              <w:pStyle w:val="98"/>
              <w:ind w:left="-105" w:right="-105"/>
              <w:rPr>
                <w:rFonts w:eastAsia="宋体"/>
                <w:color w:val="auto"/>
                <w:sz w:val="21"/>
                <w:szCs w:val="21"/>
                <w:highlight w:val="none"/>
              </w:rPr>
            </w:pPr>
            <w:r>
              <w:rPr>
                <w:rFonts w:eastAsia="宋体"/>
                <w:color w:val="auto"/>
                <w:sz w:val="21"/>
                <w:szCs w:val="21"/>
                <w:highlight w:val="none"/>
              </w:rPr>
              <w:t>D</w:t>
            </w:r>
          </w:p>
        </w:tc>
        <w:tc>
          <w:tcPr>
            <w:tcW w:w="683" w:type="dxa"/>
            <w:tcBorders>
              <w:top w:val="single" w:color="000000" w:sz="4" w:space="0"/>
              <w:left w:val="single" w:color="000000" w:sz="4" w:space="0"/>
              <w:bottom w:val="single" w:color="000000" w:sz="4" w:space="0"/>
              <w:right w:val="single" w:color="000000" w:sz="4" w:space="0"/>
            </w:tcBorders>
          </w:tcPr>
          <w:p w14:paraId="0FF8824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3C92D589">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7B4F2F2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ED7B747">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0FE498FD">
            <w:pPr>
              <w:pStyle w:val="98"/>
              <w:ind w:left="-105" w:right="-105"/>
              <w:rPr>
                <w:rFonts w:eastAsia="宋体"/>
                <w:color w:val="auto"/>
                <w:sz w:val="21"/>
                <w:szCs w:val="21"/>
                <w:highlight w:val="none"/>
              </w:rPr>
            </w:pPr>
            <w:r>
              <w:rPr>
                <w:rFonts w:eastAsia="宋体"/>
                <w:color w:val="auto"/>
                <w:sz w:val="21"/>
                <w:szCs w:val="21"/>
                <w:highlight w:val="none"/>
              </w:rPr>
              <w:t>13.1</w:t>
            </w:r>
          </w:p>
        </w:tc>
        <w:tc>
          <w:tcPr>
            <w:tcW w:w="683" w:type="dxa"/>
            <w:tcBorders>
              <w:top w:val="single" w:color="000000" w:sz="4" w:space="0"/>
              <w:left w:val="single" w:color="000000" w:sz="4" w:space="0"/>
              <w:bottom w:val="single" w:color="000000" w:sz="4" w:space="0"/>
              <w:right w:val="single" w:color="000000" w:sz="4" w:space="0"/>
            </w:tcBorders>
            <w:vAlign w:val="center"/>
          </w:tcPr>
          <w:p w14:paraId="1974C59F">
            <w:pPr>
              <w:pStyle w:val="98"/>
              <w:ind w:left="-105" w:right="-105"/>
              <w:rPr>
                <w:rFonts w:eastAsia="宋体"/>
                <w:color w:val="auto"/>
                <w:sz w:val="21"/>
                <w:szCs w:val="21"/>
                <w:highlight w:val="none"/>
              </w:rPr>
            </w:pPr>
            <w:r>
              <w:rPr>
                <w:rFonts w:eastAsia="宋体"/>
                <w:color w:val="auto"/>
                <w:sz w:val="21"/>
                <w:szCs w:val="21"/>
                <w:highlight w:val="none"/>
              </w:rPr>
              <w:t>8.8</w:t>
            </w:r>
          </w:p>
        </w:tc>
        <w:tc>
          <w:tcPr>
            <w:tcW w:w="685" w:type="dxa"/>
            <w:tcBorders>
              <w:top w:val="single" w:color="000000" w:sz="4" w:space="0"/>
              <w:left w:val="single" w:color="000000" w:sz="4" w:space="0"/>
              <w:bottom w:val="single" w:color="000000" w:sz="4" w:space="0"/>
              <w:right w:val="single" w:color="000000" w:sz="4" w:space="0"/>
            </w:tcBorders>
            <w:vAlign w:val="center"/>
          </w:tcPr>
          <w:p w14:paraId="0F5542A0">
            <w:pPr>
              <w:pStyle w:val="98"/>
              <w:ind w:left="-105" w:right="-105"/>
              <w:rPr>
                <w:rFonts w:eastAsia="宋体"/>
                <w:color w:val="auto"/>
                <w:sz w:val="21"/>
                <w:szCs w:val="21"/>
                <w:highlight w:val="none"/>
              </w:rPr>
            </w:pPr>
            <w:r>
              <w:rPr>
                <w:rFonts w:eastAsia="宋体"/>
                <w:color w:val="auto"/>
                <w:sz w:val="21"/>
                <w:szCs w:val="21"/>
                <w:highlight w:val="none"/>
              </w:rPr>
              <w:t>13.3</w:t>
            </w:r>
          </w:p>
        </w:tc>
        <w:tc>
          <w:tcPr>
            <w:tcW w:w="683" w:type="dxa"/>
            <w:tcBorders>
              <w:top w:val="single" w:color="000000" w:sz="4" w:space="0"/>
              <w:left w:val="single" w:color="000000" w:sz="4" w:space="0"/>
              <w:bottom w:val="single" w:color="000000" w:sz="4" w:space="0"/>
              <w:right w:val="single" w:color="000000" w:sz="4" w:space="0"/>
            </w:tcBorders>
            <w:vAlign w:val="center"/>
          </w:tcPr>
          <w:p w14:paraId="2641A50D">
            <w:pPr>
              <w:pStyle w:val="98"/>
              <w:ind w:left="-105" w:right="-105"/>
              <w:rPr>
                <w:rFonts w:eastAsia="宋体"/>
                <w:color w:val="auto"/>
                <w:sz w:val="21"/>
                <w:szCs w:val="21"/>
                <w:highlight w:val="none"/>
              </w:rPr>
            </w:pPr>
            <w:r>
              <w:rPr>
                <w:rFonts w:eastAsia="宋体"/>
                <w:color w:val="auto"/>
                <w:sz w:val="21"/>
                <w:szCs w:val="21"/>
                <w:highlight w:val="none"/>
              </w:rPr>
              <w:t>13.1</w:t>
            </w:r>
          </w:p>
        </w:tc>
        <w:tc>
          <w:tcPr>
            <w:tcW w:w="683" w:type="dxa"/>
            <w:tcBorders>
              <w:top w:val="single" w:color="000000" w:sz="4" w:space="0"/>
              <w:left w:val="single" w:color="000000" w:sz="4" w:space="0"/>
              <w:bottom w:val="single" w:color="000000" w:sz="4" w:space="0"/>
              <w:right w:val="single" w:color="000000" w:sz="4" w:space="0"/>
            </w:tcBorders>
          </w:tcPr>
          <w:p w14:paraId="2873D0B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4932C6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08157D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2B4528D">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vAlign w:val="center"/>
          </w:tcPr>
          <w:p w14:paraId="17B867A7">
            <w:pPr>
              <w:pStyle w:val="98"/>
              <w:ind w:left="-105" w:right="-105"/>
              <w:rPr>
                <w:rFonts w:eastAsia="宋体"/>
                <w:color w:val="auto"/>
                <w:sz w:val="21"/>
                <w:szCs w:val="21"/>
                <w:highlight w:val="none"/>
              </w:rPr>
            </w:pPr>
            <w:r>
              <w:rPr>
                <w:rFonts w:eastAsia="宋体"/>
                <w:color w:val="auto"/>
                <w:sz w:val="21"/>
                <w:szCs w:val="21"/>
                <w:highlight w:val="none"/>
              </w:rPr>
              <w:t>2.2</w:t>
            </w:r>
          </w:p>
        </w:tc>
        <w:tc>
          <w:tcPr>
            <w:tcW w:w="686" w:type="dxa"/>
            <w:tcBorders>
              <w:top w:val="single" w:color="000000" w:sz="4" w:space="0"/>
              <w:left w:val="single" w:color="000000" w:sz="4" w:space="0"/>
              <w:bottom w:val="single" w:color="000000" w:sz="4" w:space="0"/>
              <w:right w:val="single" w:color="000000" w:sz="4" w:space="0"/>
            </w:tcBorders>
            <w:vAlign w:val="center"/>
          </w:tcPr>
          <w:p w14:paraId="17E43136">
            <w:pPr>
              <w:pStyle w:val="98"/>
              <w:ind w:left="-105" w:right="-105"/>
              <w:rPr>
                <w:rFonts w:eastAsia="宋体"/>
                <w:color w:val="auto"/>
                <w:sz w:val="21"/>
                <w:szCs w:val="21"/>
                <w:highlight w:val="none"/>
              </w:rPr>
            </w:pPr>
            <w:r>
              <w:rPr>
                <w:rFonts w:eastAsia="宋体"/>
                <w:color w:val="auto"/>
                <w:sz w:val="21"/>
                <w:szCs w:val="21"/>
                <w:highlight w:val="none"/>
              </w:rPr>
              <w:t>10.9</w:t>
            </w:r>
          </w:p>
        </w:tc>
        <w:tc>
          <w:tcPr>
            <w:tcW w:w="684" w:type="dxa"/>
            <w:tcBorders>
              <w:top w:val="single" w:color="000000" w:sz="4" w:space="0"/>
              <w:left w:val="single" w:color="000000" w:sz="4" w:space="0"/>
              <w:bottom w:val="single" w:color="000000" w:sz="4" w:space="0"/>
              <w:right w:val="single" w:color="000000" w:sz="4" w:space="0"/>
            </w:tcBorders>
            <w:vAlign w:val="center"/>
          </w:tcPr>
          <w:p w14:paraId="12EF20D3">
            <w:pPr>
              <w:pStyle w:val="98"/>
              <w:ind w:left="-105" w:right="-105"/>
              <w:rPr>
                <w:rFonts w:eastAsia="宋体"/>
                <w:color w:val="auto"/>
                <w:sz w:val="21"/>
                <w:szCs w:val="21"/>
                <w:highlight w:val="none"/>
              </w:rPr>
            </w:pPr>
            <w:r>
              <w:rPr>
                <w:rFonts w:eastAsia="宋体"/>
                <w:color w:val="auto"/>
                <w:sz w:val="21"/>
                <w:szCs w:val="21"/>
                <w:highlight w:val="none"/>
              </w:rPr>
              <w:t>10.9</w:t>
            </w:r>
          </w:p>
        </w:tc>
        <w:tc>
          <w:tcPr>
            <w:tcW w:w="645" w:type="dxa"/>
            <w:tcBorders>
              <w:top w:val="single" w:color="000000" w:sz="4" w:space="0"/>
              <w:left w:val="single" w:color="000000" w:sz="4" w:space="0"/>
              <w:bottom w:val="single" w:color="000000" w:sz="4" w:space="0"/>
              <w:right w:val="single" w:color="000000" w:sz="4" w:space="0"/>
            </w:tcBorders>
            <w:vAlign w:val="center"/>
          </w:tcPr>
          <w:p w14:paraId="09678B19">
            <w:pPr>
              <w:pStyle w:val="98"/>
              <w:ind w:left="-105" w:right="-105"/>
              <w:rPr>
                <w:rFonts w:eastAsia="宋体"/>
                <w:color w:val="auto"/>
                <w:sz w:val="21"/>
                <w:szCs w:val="21"/>
                <w:highlight w:val="none"/>
              </w:rPr>
            </w:pPr>
            <w:r>
              <w:rPr>
                <w:rFonts w:eastAsia="宋体"/>
                <w:color w:val="auto"/>
                <w:sz w:val="21"/>
                <w:szCs w:val="21"/>
                <w:highlight w:val="none"/>
              </w:rPr>
              <w:t>6.5</w:t>
            </w:r>
          </w:p>
        </w:tc>
        <w:tc>
          <w:tcPr>
            <w:tcW w:w="1134" w:type="dxa"/>
            <w:tcBorders>
              <w:top w:val="single" w:color="000000" w:sz="4" w:space="0"/>
              <w:left w:val="single" w:color="000000" w:sz="4" w:space="0"/>
              <w:bottom w:val="single" w:color="000000" w:sz="4" w:space="0"/>
              <w:right w:val="nil"/>
            </w:tcBorders>
            <w:vAlign w:val="center"/>
          </w:tcPr>
          <w:p w14:paraId="35276540">
            <w:pPr>
              <w:pStyle w:val="98"/>
              <w:ind w:left="-105" w:right="-105"/>
              <w:rPr>
                <w:rFonts w:eastAsia="宋体"/>
                <w:color w:val="auto"/>
                <w:sz w:val="21"/>
                <w:szCs w:val="21"/>
                <w:highlight w:val="none"/>
              </w:rPr>
            </w:pPr>
            <w:r>
              <w:rPr>
                <w:rFonts w:eastAsia="宋体"/>
                <w:color w:val="auto"/>
                <w:sz w:val="21"/>
                <w:szCs w:val="21"/>
                <w:highlight w:val="none"/>
              </w:rPr>
              <w:t>78.8</w:t>
            </w:r>
          </w:p>
        </w:tc>
      </w:tr>
      <w:tr w14:paraId="0567FD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0" w:hRule="atLeast"/>
          <w:jc w:val="center"/>
        </w:trPr>
        <w:tc>
          <w:tcPr>
            <w:tcW w:w="1116" w:type="dxa"/>
            <w:vMerge w:val="continue"/>
            <w:tcBorders>
              <w:top w:val="nil"/>
              <w:left w:val="nil"/>
              <w:bottom w:val="single" w:color="000000" w:sz="4" w:space="0"/>
              <w:right w:val="single" w:color="000000" w:sz="4" w:space="0"/>
            </w:tcBorders>
            <w:vAlign w:val="center"/>
          </w:tcPr>
          <w:p w14:paraId="389194DC">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24D8DA9C">
            <w:pPr>
              <w:pStyle w:val="98"/>
              <w:ind w:left="-105" w:right="-105"/>
              <w:rPr>
                <w:rFonts w:eastAsia="宋体"/>
                <w:color w:val="auto"/>
                <w:sz w:val="21"/>
                <w:szCs w:val="21"/>
                <w:highlight w:val="none"/>
              </w:rPr>
            </w:pPr>
            <w:r>
              <w:rPr>
                <w:rFonts w:eastAsia="宋体"/>
                <w:color w:val="auto"/>
                <w:sz w:val="21"/>
                <w:szCs w:val="21"/>
                <w:highlight w:val="none"/>
              </w:rPr>
              <w:t>E</w:t>
            </w:r>
          </w:p>
        </w:tc>
        <w:tc>
          <w:tcPr>
            <w:tcW w:w="683" w:type="dxa"/>
            <w:tcBorders>
              <w:top w:val="single" w:color="000000" w:sz="4" w:space="0"/>
              <w:left w:val="single" w:color="000000" w:sz="4" w:space="0"/>
              <w:bottom w:val="single" w:color="000000" w:sz="4" w:space="0"/>
              <w:right w:val="single" w:color="000000" w:sz="4" w:space="0"/>
            </w:tcBorders>
          </w:tcPr>
          <w:p w14:paraId="7CEAAAC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5C87761">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26C3617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D8F44E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FC6CF09">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F99A415">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3AF4B80D">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E5FF19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2A5DEB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7DA3E6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6094A5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15004AD">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6D9C09C2">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360902E1">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5EECF950">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5E392D10">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26B5F9EA">
            <w:pPr>
              <w:pStyle w:val="98"/>
              <w:ind w:left="-105" w:right="-105"/>
              <w:rPr>
                <w:rFonts w:eastAsia="宋体"/>
                <w:color w:val="auto"/>
                <w:sz w:val="21"/>
                <w:szCs w:val="21"/>
                <w:highlight w:val="none"/>
              </w:rPr>
            </w:pPr>
            <w:r>
              <w:rPr>
                <w:rFonts w:eastAsia="宋体"/>
                <w:color w:val="auto"/>
                <w:sz w:val="21"/>
                <w:szCs w:val="21"/>
                <w:highlight w:val="none"/>
              </w:rPr>
              <w:t>/</w:t>
            </w:r>
          </w:p>
        </w:tc>
      </w:tr>
      <w:tr w14:paraId="077859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2" w:hRule="atLeast"/>
          <w:jc w:val="center"/>
        </w:trPr>
        <w:tc>
          <w:tcPr>
            <w:tcW w:w="1116" w:type="dxa"/>
            <w:vMerge w:val="restart"/>
            <w:tcBorders>
              <w:top w:val="single" w:color="000000" w:sz="4" w:space="0"/>
              <w:left w:val="nil"/>
              <w:right w:val="single" w:color="000000" w:sz="4" w:space="0"/>
            </w:tcBorders>
            <w:vAlign w:val="center"/>
          </w:tcPr>
          <w:p w14:paraId="3E539F57">
            <w:pPr>
              <w:pStyle w:val="98"/>
              <w:ind w:left="-105" w:right="-105"/>
              <w:rPr>
                <w:rFonts w:eastAsia="宋体"/>
                <w:color w:val="auto"/>
                <w:sz w:val="21"/>
                <w:szCs w:val="21"/>
                <w:highlight w:val="none"/>
              </w:rPr>
            </w:pPr>
            <w:r>
              <w:rPr>
                <w:rFonts w:eastAsia="宋体"/>
                <w:color w:val="auto"/>
                <w:sz w:val="21"/>
                <w:szCs w:val="21"/>
                <w:highlight w:val="none"/>
              </w:rPr>
              <w:t>〉6.0</w:t>
            </w:r>
          </w:p>
        </w:tc>
        <w:tc>
          <w:tcPr>
            <w:tcW w:w="742" w:type="dxa"/>
            <w:tcBorders>
              <w:top w:val="single" w:color="000000" w:sz="4" w:space="0"/>
              <w:left w:val="single" w:color="000000" w:sz="4" w:space="0"/>
              <w:bottom w:val="single" w:color="000000" w:sz="4" w:space="0"/>
              <w:right w:val="single" w:color="000000" w:sz="4" w:space="0"/>
            </w:tcBorders>
            <w:vAlign w:val="center"/>
          </w:tcPr>
          <w:p w14:paraId="68296DF8">
            <w:pPr>
              <w:pStyle w:val="98"/>
              <w:ind w:left="-105" w:right="-105"/>
              <w:rPr>
                <w:rFonts w:eastAsia="宋体"/>
                <w:color w:val="auto"/>
                <w:sz w:val="21"/>
                <w:szCs w:val="21"/>
                <w:highlight w:val="none"/>
              </w:rPr>
            </w:pPr>
            <w:r>
              <w:rPr>
                <w:rFonts w:eastAsia="宋体"/>
                <w:color w:val="auto"/>
                <w:sz w:val="21"/>
                <w:szCs w:val="21"/>
                <w:highlight w:val="none"/>
              </w:rPr>
              <w:t>A</w:t>
            </w:r>
          </w:p>
        </w:tc>
        <w:tc>
          <w:tcPr>
            <w:tcW w:w="683" w:type="dxa"/>
            <w:tcBorders>
              <w:top w:val="single" w:color="000000" w:sz="4" w:space="0"/>
              <w:left w:val="single" w:color="000000" w:sz="4" w:space="0"/>
              <w:bottom w:val="single" w:color="000000" w:sz="4" w:space="0"/>
              <w:right w:val="single" w:color="000000" w:sz="4" w:space="0"/>
            </w:tcBorders>
          </w:tcPr>
          <w:p w14:paraId="2101E33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692462E">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0FAA998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CE58E7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155DEB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A913705">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0BC8B039">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7626E4B">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39965E0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809765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FA0B8D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30D800AF">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0CF49FB2">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46CDD67B">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09F6B556">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382E78A4">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0727E2C1">
            <w:pPr>
              <w:pStyle w:val="98"/>
              <w:ind w:left="-105" w:right="-105"/>
              <w:rPr>
                <w:rFonts w:eastAsia="宋体"/>
                <w:color w:val="auto"/>
                <w:sz w:val="21"/>
                <w:szCs w:val="21"/>
                <w:highlight w:val="none"/>
              </w:rPr>
            </w:pPr>
            <w:r>
              <w:rPr>
                <w:rFonts w:eastAsia="宋体"/>
                <w:color w:val="auto"/>
                <w:sz w:val="21"/>
                <w:szCs w:val="21"/>
                <w:highlight w:val="none"/>
              </w:rPr>
              <w:t>/</w:t>
            </w:r>
          </w:p>
        </w:tc>
      </w:tr>
      <w:tr w14:paraId="4F48B6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1" w:hRule="atLeast"/>
          <w:jc w:val="center"/>
        </w:trPr>
        <w:tc>
          <w:tcPr>
            <w:tcW w:w="1116" w:type="dxa"/>
            <w:vMerge w:val="continue"/>
            <w:tcBorders>
              <w:top w:val="nil"/>
              <w:left w:val="nil"/>
              <w:right w:val="single" w:color="000000" w:sz="4" w:space="0"/>
            </w:tcBorders>
            <w:vAlign w:val="center"/>
          </w:tcPr>
          <w:p w14:paraId="78358AF6">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396994A">
            <w:pPr>
              <w:pStyle w:val="98"/>
              <w:ind w:left="-105" w:right="-105"/>
              <w:rPr>
                <w:rFonts w:eastAsia="宋体"/>
                <w:color w:val="auto"/>
                <w:sz w:val="21"/>
                <w:szCs w:val="21"/>
                <w:highlight w:val="none"/>
              </w:rPr>
            </w:pPr>
            <w:r>
              <w:rPr>
                <w:rFonts w:eastAsia="宋体"/>
                <w:color w:val="auto"/>
                <w:sz w:val="21"/>
                <w:szCs w:val="21"/>
                <w:highlight w:val="none"/>
              </w:rPr>
              <w:t>B</w:t>
            </w:r>
          </w:p>
        </w:tc>
        <w:tc>
          <w:tcPr>
            <w:tcW w:w="683" w:type="dxa"/>
            <w:tcBorders>
              <w:top w:val="single" w:color="000000" w:sz="4" w:space="0"/>
              <w:left w:val="single" w:color="000000" w:sz="4" w:space="0"/>
              <w:bottom w:val="single" w:color="000000" w:sz="4" w:space="0"/>
              <w:right w:val="single" w:color="000000" w:sz="4" w:space="0"/>
            </w:tcBorders>
          </w:tcPr>
          <w:p w14:paraId="35989879">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37AAFAB">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794BE39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7AA95D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E65F6C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14AF1DF">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716E33DC">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2A0A73D">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2B0FA0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AF1BFB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D628BD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A69F1C8">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18EC5FA7">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3BD55AD7">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30D8054A">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20FCB51D">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76E2633D">
            <w:pPr>
              <w:pStyle w:val="98"/>
              <w:ind w:left="-105" w:right="-105"/>
              <w:rPr>
                <w:rFonts w:eastAsia="宋体"/>
                <w:color w:val="auto"/>
                <w:sz w:val="21"/>
                <w:szCs w:val="21"/>
                <w:highlight w:val="none"/>
              </w:rPr>
            </w:pPr>
            <w:r>
              <w:rPr>
                <w:rFonts w:eastAsia="宋体"/>
                <w:color w:val="auto"/>
                <w:sz w:val="21"/>
                <w:szCs w:val="21"/>
                <w:highlight w:val="none"/>
              </w:rPr>
              <w:t>/</w:t>
            </w:r>
          </w:p>
        </w:tc>
      </w:tr>
      <w:tr w14:paraId="57AA4C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3" w:hRule="atLeast"/>
          <w:jc w:val="center"/>
        </w:trPr>
        <w:tc>
          <w:tcPr>
            <w:tcW w:w="1116" w:type="dxa"/>
            <w:vMerge w:val="continue"/>
            <w:tcBorders>
              <w:top w:val="nil"/>
              <w:left w:val="nil"/>
              <w:right w:val="single" w:color="000000" w:sz="4" w:space="0"/>
            </w:tcBorders>
            <w:vAlign w:val="center"/>
          </w:tcPr>
          <w:p w14:paraId="098238F2">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5E548DC2">
            <w:pPr>
              <w:pStyle w:val="98"/>
              <w:ind w:left="-105" w:right="-105"/>
              <w:rPr>
                <w:rFonts w:eastAsia="宋体"/>
                <w:color w:val="auto"/>
                <w:sz w:val="21"/>
                <w:szCs w:val="21"/>
                <w:highlight w:val="none"/>
              </w:rPr>
            </w:pPr>
            <w:r>
              <w:rPr>
                <w:rFonts w:eastAsia="宋体"/>
                <w:color w:val="auto"/>
                <w:sz w:val="21"/>
                <w:szCs w:val="21"/>
                <w:highlight w:val="none"/>
              </w:rPr>
              <w:t>C</w:t>
            </w:r>
          </w:p>
        </w:tc>
        <w:tc>
          <w:tcPr>
            <w:tcW w:w="683" w:type="dxa"/>
            <w:tcBorders>
              <w:top w:val="single" w:color="000000" w:sz="4" w:space="0"/>
              <w:left w:val="single" w:color="000000" w:sz="4" w:space="0"/>
              <w:bottom w:val="single" w:color="000000" w:sz="4" w:space="0"/>
              <w:right w:val="single" w:color="000000" w:sz="4" w:space="0"/>
            </w:tcBorders>
          </w:tcPr>
          <w:p w14:paraId="58D3221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FF838B7">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11E3D14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CCD1B3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11BA1D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35BB972C">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bottom w:val="single" w:color="000000" w:sz="4" w:space="0"/>
              <w:right w:val="single" w:color="000000" w:sz="4" w:space="0"/>
            </w:tcBorders>
          </w:tcPr>
          <w:p w14:paraId="627CF20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ED15461">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70C8B15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68F54DCE">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E82796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15E852E4">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2973C120">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tcPr>
          <w:p w14:paraId="0DEBB559">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bottom w:val="single" w:color="000000" w:sz="4" w:space="0"/>
              <w:right w:val="single" w:color="000000" w:sz="4" w:space="0"/>
            </w:tcBorders>
          </w:tcPr>
          <w:p w14:paraId="69271004">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bottom w:val="single" w:color="000000" w:sz="4" w:space="0"/>
              <w:right w:val="single" w:color="000000" w:sz="4" w:space="0"/>
            </w:tcBorders>
          </w:tcPr>
          <w:p w14:paraId="66CB6C1E">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bottom w:val="single" w:color="000000" w:sz="4" w:space="0"/>
              <w:right w:val="nil"/>
            </w:tcBorders>
          </w:tcPr>
          <w:p w14:paraId="20A2244E">
            <w:pPr>
              <w:pStyle w:val="98"/>
              <w:ind w:left="-105" w:right="-105"/>
              <w:rPr>
                <w:rFonts w:eastAsia="宋体"/>
                <w:color w:val="auto"/>
                <w:sz w:val="21"/>
                <w:szCs w:val="21"/>
                <w:highlight w:val="none"/>
              </w:rPr>
            </w:pPr>
            <w:r>
              <w:rPr>
                <w:rFonts w:eastAsia="宋体"/>
                <w:color w:val="auto"/>
                <w:sz w:val="21"/>
                <w:szCs w:val="21"/>
                <w:highlight w:val="none"/>
              </w:rPr>
              <w:t>/</w:t>
            </w:r>
          </w:p>
        </w:tc>
      </w:tr>
      <w:tr w14:paraId="61526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3" w:hRule="atLeast"/>
          <w:jc w:val="center"/>
        </w:trPr>
        <w:tc>
          <w:tcPr>
            <w:tcW w:w="1116" w:type="dxa"/>
            <w:vMerge w:val="continue"/>
            <w:tcBorders>
              <w:top w:val="nil"/>
              <w:left w:val="nil"/>
              <w:right w:val="single" w:color="000000" w:sz="4" w:space="0"/>
            </w:tcBorders>
            <w:vAlign w:val="center"/>
          </w:tcPr>
          <w:p w14:paraId="76B9B439">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40F612A0">
            <w:pPr>
              <w:pStyle w:val="98"/>
              <w:ind w:left="-105" w:right="-105"/>
              <w:rPr>
                <w:rFonts w:eastAsia="宋体"/>
                <w:color w:val="auto"/>
                <w:sz w:val="21"/>
                <w:szCs w:val="21"/>
                <w:highlight w:val="none"/>
              </w:rPr>
            </w:pPr>
            <w:r>
              <w:rPr>
                <w:rFonts w:eastAsia="宋体"/>
                <w:color w:val="auto"/>
                <w:sz w:val="21"/>
                <w:szCs w:val="21"/>
                <w:highlight w:val="none"/>
              </w:rPr>
              <w:t>D</w:t>
            </w:r>
          </w:p>
        </w:tc>
        <w:tc>
          <w:tcPr>
            <w:tcW w:w="683" w:type="dxa"/>
            <w:tcBorders>
              <w:top w:val="single" w:color="000000" w:sz="4" w:space="0"/>
              <w:left w:val="single" w:color="000000" w:sz="4" w:space="0"/>
              <w:bottom w:val="single" w:color="000000" w:sz="4" w:space="0"/>
              <w:right w:val="single" w:color="000000" w:sz="4" w:space="0"/>
            </w:tcBorders>
          </w:tcPr>
          <w:p w14:paraId="5D1279AB">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5AE98F2B">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2DB65208">
            <w:pPr>
              <w:pStyle w:val="98"/>
              <w:ind w:left="-105" w:right="-105"/>
              <w:rPr>
                <w:rFonts w:eastAsia="宋体"/>
                <w:color w:val="auto"/>
                <w:sz w:val="21"/>
                <w:szCs w:val="21"/>
                <w:highlight w:val="none"/>
              </w:rPr>
            </w:pPr>
            <w:r>
              <w:rPr>
                <w:rFonts w:eastAsia="宋体"/>
                <w:color w:val="auto"/>
                <w:sz w:val="21"/>
                <w:szCs w:val="21"/>
                <w:highlight w:val="none"/>
              </w:rPr>
              <w:t>5.3</w:t>
            </w:r>
          </w:p>
        </w:tc>
        <w:tc>
          <w:tcPr>
            <w:tcW w:w="683" w:type="dxa"/>
            <w:tcBorders>
              <w:top w:val="single" w:color="000000" w:sz="4" w:space="0"/>
              <w:left w:val="single" w:color="000000" w:sz="4" w:space="0"/>
              <w:bottom w:val="single" w:color="000000" w:sz="4" w:space="0"/>
              <w:right w:val="single" w:color="000000" w:sz="4" w:space="0"/>
            </w:tcBorders>
            <w:vAlign w:val="center"/>
          </w:tcPr>
          <w:p w14:paraId="519C5481">
            <w:pPr>
              <w:pStyle w:val="98"/>
              <w:ind w:left="-105" w:right="-105"/>
              <w:rPr>
                <w:rFonts w:eastAsia="宋体"/>
                <w:color w:val="auto"/>
                <w:sz w:val="21"/>
                <w:szCs w:val="21"/>
                <w:highlight w:val="none"/>
              </w:rPr>
            </w:pPr>
            <w:r>
              <w:rPr>
                <w:rFonts w:eastAsia="宋体"/>
                <w:color w:val="auto"/>
                <w:sz w:val="21"/>
                <w:szCs w:val="21"/>
                <w:highlight w:val="none"/>
              </w:rPr>
              <w:t>15.8</w:t>
            </w:r>
          </w:p>
        </w:tc>
        <w:tc>
          <w:tcPr>
            <w:tcW w:w="683" w:type="dxa"/>
            <w:tcBorders>
              <w:top w:val="single" w:color="000000" w:sz="4" w:space="0"/>
              <w:left w:val="single" w:color="000000" w:sz="4" w:space="0"/>
              <w:bottom w:val="single" w:color="000000" w:sz="4" w:space="0"/>
              <w:right w:val="single" w:color="000000" w:sz="4" w:space="0"/>
            </w:tcBorders>
            <w:vAlign w:val="center"/>
          </w:tcPr>
          <w:p w14:paraId="76EB3CA1">
            <w:pPr>
              <w:pStyle w:val="98"/>
              <w:ind w:left="-105" w:right="-105"/>
              <w:rPr>
                <w:rFonts w:eastAsia="宋体"/>
                <w:color w:val="auto"/>
                <w:sz w:val="21"/>
                <w:szCs w:val="21"/>
                <w:highlight w:val="none"/>
              </w:rPr>
            </w:pPr>
            <w:r>
              <w:rPr>
                <w:rFonts w:eastAsia="宋体"/>
                <w:color w:val="auto"/>
                <w:sz w:val="21"/>
                <w:szCs w:val="21"/>
                <w:highlight w:val="none"/>
              </w:rPr>
              <w:t>15.8</w:t>
            </w:r>
          </w:p>
        </w:tc>
        <w:tc>
          <w:tcPr>
            <w:tcW w:w="683" w:type="dxa"/>
            <w:tcBorders>
              <w:top w:val="single" w:color="000000" w:sz="4" w:space="0"/>
              <w:left w:val="single" w:color="000000" w:sz="4" w:space="0"/>
              <w:bottom w:val="single" w:color="000000" w:sz="4" w:space="0"/>
              <w:right w:val="single" w:color="000000" w:sz="4" w:space="0"/>
            </w:tcBorders>
            <w:vAlign w:val="center"/>
          </w:tcPr>
          <w:p w14:paraId="23F75936">
            <w:pPr>
              <w:pStyle w:val="98"/>
              <w:ind w:left="-105" w:right="-105"/>
              <w:rPr>
                <w:rFonts w:eastAsia="宋体"/>
                <w:color w:val="auto"/>
                <w:sz w:val="21"/>
                <w:szCs w:val="21"/>
                <w:highlight w:val="none"/>
              </w:rPr>
            </w:pPr>
            <w:r>
              <w:rPr>
                <w:rFonts w:eastAsia="宋体"/>
                <w:color w:val="auto"/>
                <w:sz w:val="21"/>
                <w:szCs w:val="21"/>
                <w:highlight w:val="none"/>
              </w:rPr>
              <w:t>5.3</w:t>
            </w:r>
          </w:p>
        </w:tc>
        <w:tc>
          <w:tcPr>
            <w:tcW w:w="685" w:type="dxa"/>
            <w:tcBorders>
              <w:top w:val="single" w:color="000000" w:sz="4" w:space="0"/>
              <w:left w:val="single" w:color="000000" w:sz="4" w:space="0"/>
              <w:bottom w:val="single" w:color="000000" w:sz="4" w:space="0"/>
              <w:right w:val="single" w:color="000000" w:sz="4" w:space="0"/>
            </w:tcBorders>
            <w:vAlign w:val="center"/>
          </w:tcPr>
          <w:p w14:paraId="6197B172">
            <w:pPr>
              <w:pStyle w:val="98"/>
              <w:ind w:left="-105" w:right="-105"/>
              <w:rPr>
                <w:rFonts w:eastAsia="宋体"/>
                <w:color w:val="auto"/>
                <w:sz w:val="21"/>
                <w:szCs w:val="21"/>
                <w:highlight w:val="none"/>
              </w:rPr>
            </w:pPr>
            <w:r>
              <w:rPr>
                <w:rFonts w:eastAsia="宋体"/>
                <w:color w:val="auto"/>
                <w:sz w:val="21"/>
                <w:szCs w:val="21"/>
                <w:highlight w:val="none"/>
              </w:rPr>
              <w:t>10.5</w:t>
            </w:r>
          </w:p>
        </w:tc>
        <w:tc>
          <w:tcPr>
            <w:tcW w:w="683" w:type="dxa"/>
            <w:tcBorders>
              <w:top w:val="single" w:color="000000" w:sz="4" w:space="0"/>
              <w:left w:val="single" w:color="000000" w:sz="4" w:space="0"/>
              <w:bottom w:val="single" w:color="000000" w:sz="4" w:space="0"/>
              <w:right w:val="single" w:color="000000" w:sz="4" w:space="0"/>
            </w:tcBorders>
          </w:tcPr>
          <w:p w14:paraId="4ED6604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0727937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223057C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tcPr>
          <w:p w14:paraId="4DAA2C0F">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bottom w:val="single" w:color="000000" w:sz="4" w:space="0"/>
              <w:right w:val="single" w:color="000000" w:sz="4" w:space="0"/>
            </w:tcBorders>
            <w:vAlign w:val="center"/>
          </w:tcPr>
          <w:p w14:paraId="3706AE7D">
            <w:pPr>
              <w:pStyle w:val="98"/>
              <w:ind w:left="-105" w:right="-105"/>
              <w:rPr>
                <w:rFonts w:eastAsia="宋体"/>
                <w:color w:val="auto"/>
                <w:sz w:val="21"/>
                <w:szCs w:val="21"/>
                <w:highlight w:val="none"/>
              </w:rPr>
            </w:pPr>
            <w:r>
              <w:rPr>
                <w:rFonts w:eastAsia="宋体"/>
                <w:color w:val="auto"/>
                <w:sz w:val="21"/>
                <w:szCs w:val="21"/>
                <w:highlight w:val="none"/>
              </w:rPr>
              <w:t>5.3</w:t>
            </w:r>
          </w:p>
        </w:tc>
        <w:tc>
          <w:tcPr>
            <w:tcW w:w="684" w:type="dxa"/>
            <w:tcBorders>
              <w:top w:val="single" w:color="000000" w:sz="4" w:space="0"/>
              <w:left w:val="single" w:color="000000" w:sz="4" w:space="0"/>
              <w:bottom w:val="single" w:color="000000" w:sz="4" w:space="0"/>
              <w:right w:val="single" w:color="000000" w:sz="4" w:space="0"/>
            </w:tcBorders>
            <w:vAlign w:val="center"/>
          </w:tcPr>
          <w:p w14:paraId="340846A7">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bottom w:val="single" w:color="000000" w:sz="4" w:space="0"/>
              <w:right w:val="single" w:color="000000" w:sz="4" w:space="0"/>
            </w:tcBorders>
            <w:vAlign w:val="center"/>
          </w:tcPr>
          <w:p w14:paraId="4C4D870B">
            <w:pPr>
              <w:pStyle w:val="98"/>
              <w:ind w:left="-105" w:right="-105"/>
              <w:rPr>
                <w:rFonts w:eastAsia="宋体"/>
                <w:color w:val="auto"/>
                <w:sz w:val="21"/>
                <w:szCs w:val="21"/>
                <w:highlight w:val="none"/>
              </w:rPr>
            </w:pPr>
            <w:r>
              <w:rPr>
                <w:rFonts w:eastAsia="宋体"/>
                <w:color w:val="auto"/>
                <w:sz w:val="21"/>
                <w:szCs w:val="21"/>
                <w:highlight w:val="none"/>
              </w:rPr>
              <w:t>21.1</w:t>
            </w:r>
          </w:p>
        </w:tc>
        <w:tc>
          <w:tcPr>
            <w:tcW w:w="684" w:type="dxa"/>
            <w:tcBorders>
              <w:top w:val="single" w:color="000000" w:sz="4" w:space="0"/>
              <w:left w:val="single" w:color="000000" w:sz="4" w:space="0"/>
              <w:bottom w:val="single" w:color="000000" w:sz="4" w:space="0"/>
              <w:right w:val="single" w:color="000000" w:sz="4" w:space="0"/>
            </w:tcBorders>
            <w:vAlign w:val="center"/>
          </w:tcPr>
          <w:p w14:paraId="3963CDFF">
            <w:pPr>
              <w:pStyle w:val="98"/>
              <w:ind w:left="-105" w:right="-105"/>
              <w:rPr>
                <w:rFonts w:eastAsia="宋体"/>
                <w:color w:val="auto"/>
                <w:sz w:val="21"/>
                <w:szCs w:val="21"/>
                <w:highlight w:val="none"/>
              </w:rPr>
            </w:pPr>
            <w:r>
              <w:rPr>
                <w:rFonts w:eastAsia="宋体"/>
                <w:color w:val="auto"/>
                <w:sz w:val="21"/>
                <w:szCs w:val="21"/>
                <w:highlight w:val="none"/>
              </w:rPr>
              <w:t>15.8</w:t>
            </w:r>
          </w:p>
        </w:tc>
        <w:tc>
          <w:tcPr>
            <w:tcW w:w="645" w:type="dxa"/>
            <w:tcBorders>
              <w:top w:val="single" w:color="000000" w:sz="4" w:space="0"/>
              <w:left w:val="single" w:color="000000" w:sz="4" w:space="0"/>
              <w:bottom w:val="single" w:color="000000" w:sz="4" w:space="0"/>
              <w:right w:val="single" w:color="000000" w:sz="4" w:space="0"/>
            </w:tcBorders>
            <w:vAlign w:val="center"/>
          </w:tcPr>
          <w:p w14:paraId="53468A4F">
            <w:pPr>
              <w:pStyle w:val="98"/>
              <w:ind w:left="-105" w:right="-105"/>
              <w:rPr>
                <w:rFonts w:eastAsia="宋体"/>
                <w:color w:val="auto"/>
                <w:sz w:val="21"/>
                <w:szCs w:val="21"/>
                <w:highlight w:val="none"/>
              </w:rPr>
            </w:pPr>
            <w:r>
              <w:rPr>
                <w:rFonts w:eastAsia="宋体"/>
                <w:color w:val="auto"/>
                <w:sz w:val="21"/>
                <w:szCs w:val="21"/>
                <w:highlight w:val="none"/>
              </w:rPr>
              <w:t>5.3</w:t>
            </w:r>
          </w:p>
        </w:tc>
        <w:tc>
          <w:tcPr>
            <w:tcW w:w="1134" w:type="dxa"/>
            <w:tcBorders>
              <w:top w:val="single" w:color="000000" w:sz="4" w:space="0"/>
              <w:left w:val="single" w:color="000000" w:sz="4" w:space="0"/>
              <w:bottom w:val="single" w:color="000000" w:sz="4" w:space="0"/>
              <w:right w:val="nil"/>
            </w:tcBorders>
            <w:vAlign w:val="center"/>
          </w:tcPr>
          <w:p w14:paraId="3FD22E05">
            <w:pPr>
              <w:pStyle w:val="98"/>
              <w:ind w:left="-105" w:right="-105"/>
              <w:rPr>
                <w:rFonts w:eastAsia="宋体"/>
                <w:color w:val="auto"/>
                <w:sz w:val="21"/>
                <w:szCs w:val="21"/>
                <w:highlight w:val="none"/>
              </w:rPr>
            </w:pPr>
            <w:r>
              <w:rPr>
                <w:rFonts w:eastAsia="宋体"/>
                <w:color w:val="auto"/>
                <w:sz w:val="21"/>
                <w:szCs w:val="21"/>
                <w:highlight w:val="none"/>
              </w:rPr>
              <w:t>100</w:t>
            </w:r>
          </w:p>
        </w:tc>
      </w:tr>
      <w:tr w14:paraId="743078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2" w:hRule="atLeast"/>
          <w:jc w:val="center"/>
        </w:trPr>
        <w:tc>
          <w:tcPr>
            <w:tcW w:w="1116" w:type="dxa"/>
            <w:vMerge w:val="continue"/>
            <w:tcBorders>
              <w:top w:val="nil"/>
              <w:left w:val="nil"/>
              <w:right w:val="single" w:color="000000" w:sz="4" w:space="0"/>
            </w:tcBorders>
            <w:vAlign w:val="center"/>
          </w:tcPr>
          <w:p w14:paraId="2AC67E04">
            <w:pPr>
              <w:ind w:left="-105" w:right="-105"/>
              <w:jc w:val="center"/>
              <w:rPr>
                <w:rFonts w:ascii="Times New Roman" w:hAnsi="Times New Roman" w:cs="Times New Roman"/>
                <w:color w:val="auto"/>
                <w:sz w:val="21"/>
                <w:szCs w:val="21"/>
                <w:highlight w:val="none"/>
              </w:rPr>
            </w:pPr>
          </w:p>
        </w:tc>
        <w:tc>
          <w:tcPr>
            <w:tcW w:w="742" w:type="dxa"/>
            <w:tcBorders>
              <w:top w:val="single" w:color="000000" w:sz="4" w:space="0"/>
              <w:left w:val="single" w:color="000000" w:sz="4" w:space="0"/>
              <w:right w:val="single" w:color="000000" w:sz="4" w:space="0"/>
            </w:tcBorders>
            <w:vAlign w:val="center"/>
          </w:tcPr>
          <w:p w14:paraId="0A0C0465">
            <w:pPr>
              <w:pStyle w:val="98"/>
              <w:ind w:left="-105" w:right="-105"/>
              <w:rPr>
                <w:rFonts w:eastAsia="宋体"/>
                <w:color w:val="auto"/>
                <w:sz w:val="21"/>
                <w:szCs w:val="21"/>
                <w:highlight w:val="none"/>
              </w:rPr>
            </w:pPr>
            <w:r>
              <w:rPr>
                <w:rFonts w:eastAsia="宋体"/>
                <w:color w:val="auto"/>
                <w:sz w:val="21"/>
                <w:szCs w:val="21"/>
                <w:highlight w:val="none"/>
              </w:rPr>
              <w:t>E</w:t>
            </w:r>
          </w:p>
        </w:tc>
        <w:tc>
          <w:tcPr>
            <w:tcW w:w="683" w:type="dxa"/>
            <w:tcBorders>
              <w:top w:val="single" w:color="000000" w:sz="4" w:space="0"/>
              <w:left w:val="single" w:color="000000" w:sz="4" w:space="0"/>
              <w:right w:val="single" w:color="000000" w:sz="4" w:space="0"/>
            </w:tcBorders>
          </w:tcPr>
          <w:p w14:paraId="4897E052">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7F9CAD42">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right w:val="single" w:color="000000" w:sz="4" w:space="0"/>
            </w:tcBorders>
          </w:tcPr>
          <w:p w14:paraId="1A697B66">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4AA6CBB0">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3135D43B">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3D0F2CF8">
            <w:pPr>
              <w:pStyle w:val="98"/>
              <w:ind w:left="-105" w:right="-105"/>
              <w:rPr>
                <w:rFonts w:eastAsia="宋体"/>
                <w:color w:val="auto"/>
                <w:sz w:val="21"/>
                <w:szCs w:val="21"/>
                <w:highlight w:val="none"/>
              </w:rPr>
            </w:pPr>
            <w:r>
              <w:rPr>
                <w:rFonts w:eastAsia="宋体"/>
                <w:color w:val="auto"/>
                <w:sz w:val="21"/>
                <w:szCs w:val="21"/>
                <w:highlight w:val="none"/>
              </w:rPr>
              <w:t>/</w:t>
            </w:r>
          </w:p>
        </w:tc>
        <w:tc>
          <w:tcPr>
            <w:tcW w:w="685" w:type="dxa"/>
            <w:tcBorders>
              <w:top w:val="single" w:color="000000" w:sz="4" w:space="0"/>
              <w:left w:val="single" w:color="000000" w:sz="4" w:space="0"/>
              <w:right w:val="single" w:color="000000" w:sz="4" w:space="0"/>
            </w:tcBorders>
          </w:tcPr>
          <w:p w14:paraId="0B74353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6FCA4A2A">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25E45854">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57F782F8">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363A9EA5">
            <w:pPr>
              <w:pStyle w:val="98"/>
              <w:ind w:left="-105" w:right="-105"/>
              <w:rPr>
                <w:rFonts w:eastAsia="宋体"/>
                <w:color w:val="auto"/>
                <w:sz w:val="21"/>
                <w:szCs w:val="21"/>
                <w:highlight w:val="none"/>
              </w:rPr>
            </w:pPr>
            <w:r>
              <w:rPr>
                <w:rFonts w:eastAsia="宋体"/>
                <w:color w:val="auto"/>
                <w:sz w:val="21"/>
                <w:szCs w:val="21"/>
                <w:highlight w:val="none"/>
              </w:rPr>
              <w:t>/</w:t>
            </w:r>
          </w:p>
        </w:tc>
        <w:tc>
          <w:tcPr>
            <w:tcW w:w="683" w:type="dxa"/>
            <w:tcBorders>
              <w:top w:val="single" w:color="000000" w:sz="4" w:space="0"/>
              <w:left w:val="single" w:color="000000" w:sz="4" w:space="0"/>
              <w:right w:val="single" w:color="000000" w:sz="4" w:space="0"/>
            </w:tcBorders>
          </w:tcPr>
          <w:p w14:paraId="41A4908D">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right w:val="single" w:color="000000" w:sz="4" w:space="0"/>
            </w:tcBorders>
          </w:tcPr>
          <w:p w14:paraId="44D2C342">
            <w:pPr>
              <w:pStyle w:val="98"/>
              <w:ind w:left="-105" w:right="-105"/>
              <w:rPr>
                <w:rFonts w:eastAsia="宋体"/>
                <w:color w:val="auto"/>
                <w:sz w:val="21"/>
                <w:szCs w:val="21"/>
                <w:highlight w:val="none"/>
              </w:rPr>
            </w:pPr>
            <w:r>
              <w:rPr>
                <w:rFonts w:eastAsia="宋体"/>
                <w:color w:val="auto"/>
                <w:sz w:val="21"/>
                <w:szCs w:val="21"/>
                <w:highlight w:val="none"/>
              </w:rPr>
              <w:t>/</w:t>
            </w:r>
          </w:p>
        </w:tc>
        <w:tc>
          <w:tcPr>
            <w:tcW w:w="686" w:type="dxa"/>
            <w:tcBorders>
              <w:top w:val="single" w:color="000000" w:sz="4" w:space="0"/>
              <w:left w:val="single" w:color="000000" w:sz="4" w:space="0"/>
              <w:right w:val="single" w:color="000000" w:sz="4" w:space="0"/>
            </w:tcBorders>
          </w:tcPr>
          <w:p w14:paraId="6BE842F4">
            <w:pPr>
              <w:pStyle w:val="98"/>
              <w:ind w:left="-105" w:right="-105"/>
              <w:rPr>
                <w:rFonts w:eastAsia="宋体"/>
                <w:color w:val="auto"/>
                <w:sz w:val="21"/>
                <w:szCs w:val="21"/>
                <w:highlight w:val="none"/>
              </w:rPr>
            </w:pPr>
            <w:r>
              <w:rPr>
                <w:rFonts w:eastAsia="宋体"/>
                <w:color w:val="auto"/>
                <w:sz w:val="21"/>
                <w:szCs w:val="21"/>
                <w:highlight w:val="none"/>
              </w:rPr>
              <w:t>/</w:t>
            </w:r>
          </w:p>
        </w:tc>
        <w:tc>
          <w:tcPr>
            <w:tcW w:w="684" w:type="dxa"/>
            <w:tcBorders>
              <w:top w:val="single" w:color="000000" w:sz="4" w:space="0"/>
              <w:left w:val="single" w:color="000000" w:sz="4" w:space="0"/>
              <w:right w:val="single" w:color="000000" w:sz="4" w:space="0"/>
            </w:tcBorders>
          </w:tcPr>
          <w:p w14:paraId="153B4500">
            <w:pPr>
              <w:pStyle w:val="98"/>
              <w:ind w:left="-105" w:right="-105"/>
              <w:rPr>
                <w:rFonts w:eastAsia="宋体"/>
                <w:color w:val="auto"/>
                <w:sz w:val="21"/>
                <w:szCs w:val="21"/>
                <w:highlight w:val="none"/>
              </w:rPr>
            </w:pPr>
            <w:r>
              <w:rPr>
                <w:rFonts w:eastAsia="宋体"/>
                <w:color w:val="auto"/>
                <w:sz w:val="21"/>
                <w:szCs w:val="21"/>
                <w:highlight w:val="none"/>
              </w:rPr>
              <w:t>/</w:t>
            </w:r>
          </w:p>
        </w:tc>
        <w:tc>
          <w:tcPr>
            <w:tcW w:w="645" w:type="dxa"/>
            <w:tcBorders>
              <w:top w:val="single" w:color="000000" w:sz="4" w:space="0"/>
              <w:left w:val="single" w:color="000000" w:sz="4" w:space="0"/>
              <w:right w:val="single" w:color="000000" w:sz="4" w:space="0"/>
            </w:tcBorders>
          </w:tcPr>
          <w:p w14:paraId="7CCC5510">
            <w:pPr>
              <w:pStyle w:val="98"/>
              <w:ind w:left="-105" w:right="-105"/>
              <w:rPr>
                <w:rFonts w:eastAsia="宋体"/>
                <w:color w:val="auto"/>
                <w:sz w:val="21"/>
                <w:szCs w:val="21"/>
                <w:highlight w:val="none"/>
              </w:rPr>
            </w:pPr>
            <w:r>
              <w:rPr>
                <w:rFonts w:eastAsia="宋体"/>
                <w:color w:val="auto"/>
                <w:sz w:val="21"/>
                <w:szCs w:val="21"/>
                <w:highlight w:val="none"/>
              </w:rPr>
              <w:t>/</w:t>
            </w:r>
          </w:p>
        </w:tc>
        <w:tc>
          <w:tcPr>
            <w:tcW w:w="1134" w:type="dxa"/>
            <w:tcBorders>
              <w:top w:val="single" w:color="000000" w:sz="4" w:space="0"/>
              <w:left w:val="single" w:color="000000" w:sz="4" w:space="0"/>
              <w:right w:val="nil"/>
            </w:tcBorders>
          </w:tcPr>
          <w:p w14:paraId="2B7B194C">
            <w:pPr>
              <w:pStyle w:val="98"/>
              <w:ind w:left="-105" w:right="-105"/>
              <w:rPr>
                <w:rFonts w:eastAsia="宋体"/>
                <w:color w:val="auto"/>
                <w:sz w:val="21"/>
                <w:szCs w:val="21"/>
                <w:highlight w:val="none"/>
              </w:rPr>
            </w:pPr>
            <w:r>
              <w:rPr>
                <w:rFonts w:eastAsia="宋体"/>
                <w:color w:val="auto"/>
                <w:sz w:val="21"/>
                <w:szCs w:val="21"/>
                <w:highlight w:val="none"/>
              </w:rPr>
              <w:t>/</w:t>
            </w:r>
          </w:p>
        </w:tc>
      </w:tr>
    </w:tbl>
    <w:p w14:paraId="4943F635">
      <w:pPr>
        <w:pStyle w:val="15"/>
        <w:ind w:left="-105" w:right="-105" w:firstLine="482"/>
        <w:rPr>
          <w:rFonts w:eastAsia="宋体" w:cs="Times New Roman"/>
          <w:color w:val="auto"/>
          <w:sz w:val="24"/>
          <w:szCs w:val="18"/>
          <w:highlight w:val="none"/>
        </w:rPr>
      </w:pPr>
      <w:bookmarkStart w:id="366" w:name="_Ref38871358"/>
    </w:p>
    <w:p w14:paraId="32A9C5AA">
      <w:pPr>
        <w:pStyle w:val="15"/>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4</w:t>
      </w:r>
      <w:r>
        <w:rPr>
          <w:rFonts w:eastAsia="宋体" w:cs="Times New Roman"/>
          <w:color w:val="auto"/>
          <w:sz w:val="24"/>
          <w:szCs w:val="18"/>
          <w:highlight w:val="none"/>
        </w:rPr>
        <w:fldChar w:fldCharType="end"/>
      </w:r>
      <w:bookmarkEnd w:id="366"/>
      <w:r>
        <w:rPr>
          <w:rFonts w:eastAsia="宋体" w:cs="Times New Roman"/>
          <w:color w:val="auto"/>
          <w:sz w:val="24"/>
          <w:szCs w:val="18"/>
          <w:highlight w:val="none"/>
        </w:rPr>
        <w:t>各风向频率（%）、平均风速（m/s）统计表</w:t>
      </w:r>
    </w:p>
    <w:tbl>
      <w:tblPr>
        <w:tblStyle w:val="45"/>
        <w:tblW w:w="13863"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687"/>
        <w:gridCol w:w="688"/>
        <w:gridCol w:w="687"/>
        <w:gridCol w:w="687"/>
        <w:gridCol w:w="687"/>
        <w:gridCol w:w="688"/>
        <w:gridCol w:w="687"/>
        <w:gridCol w:w="687"/>
        <w:gridCol w:w="687"/>
        <w:gridCol w:w="687"/>
        <w:gridCol w:w="687"/>
        <w:gridCol w:w="687"/>
        <w:gridCol w:w="684"/>
        <w:gridCol w:w="714"/>
        <w:gridCol w:w="686"/>
        <w:gridCol w:w="747"/>
        <w:gridCol w:w="686"/>
        <w:gridCol w:w="700"/>
        <w:gridCol w:w="686"/>
        <w:gridCol w:w="693"/>
        <w:gridCol w:w="21"/>
      </w:tblGrid>
      <w:tr w14:paraId="6470E2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4" w:hRule="atLeast"/>
          <w:jc w:val="center"/>
        </w:trPr>
        <w:tc>
          <w:tcPr>
            <w:tcW w:w="1376" w:type="dxa"/>
            <w:gridSpan w:val="2"/>
            <w:vMerge w:val="restart"/>
            <w:tcBorders>
              <w:left w:val="nil"/>
              <w:bottom w:val="single" w:color="000000" w:sz="4" w:space="0"/>
              <w:right w:val="single" w:color="000000" w:sz="4" w:space="0"/>
            </w:tcBorders>
            <w:vAlign w:val="center"/>
          </w:tcPr>
          <w:p w14:paraId="50E572F6">
            <w:pPr>
              <w:pStyle w:val="98"/>
              <w:ind w:left="-105" w:right="-105"/>
              <w:rPr>
                <w:rFonts w:eastAsia="宋体"/>
                <w:b/>
                <w:bCs/>
                <w:color w:val="auto"/>
                <w:sz w:val="21"/>
                <w:szCs w:val="21"/>
                <w:highlight w:val="none"/>
              </w:rPr>
            </w:pPr>
            <w:r>
              <w:rPr>
                <w:rFonts w:eastAsia="宋体"/>
                <w:b/>
                <w:bCs/>
                <w:color w:val="auto"/>
                <w:sz w:val="21"/>
                <w:szCs w:val="21"/>
                <w:highlight w:val="none"/>
              </w:rPr>
              <w:t>月份</w:t>
            </w:r>
          </w:p>
        </w:tc>
        <w:tc>
          <w:tcPr>
            <w:tcW w:w="12487" w:type="dxa"/>
            <w:gridSpan w:val="19"/>
            <w:tcBorders>
              <w:left w:val="single" w:color="000000" w:sz="4" w:space="0"/>
              <w:bottom w:val="single" w:color="000000" w:sz="4" w:space="0"/>
              <w:right w:val="nil"/>
            </w:tcBorders>
            <w:vAlign w:val="center"/>
          </w:tcPr>
          <w:p w14:paraId="5F4E5F62">
            <w:pPr>
              <w:pStyle w:val="98"/>
              <w:ind w:left="-105" w:right="-105"/>
              <w:rPr>
                <w:rFonts w:eastAsia="宋体"/>
                <w:b/>
                <w:bCs/>
                <w:color w:val="auto"/>
                <w:sz w:val="21"/>
                <w:szCs w:val="21"/>
                <w:highlight w:val="none"/>
              </w:rPr>
            </w:pPr>
            <w:r>
              <w:rPr>
                <w:rFonts w:eastAsia="宋体"/>
                <w:b/>
                <w:bCs/>
                <w:color w:val="auto"/>
                <w:sz w:val="21"/>
                <w:szCs w:val="21"/>
                <w:highlight w:val="none"/>
              </w:rPr>
              <w:t>风向</w:t>
            </w:r>
          </w:p>
        </w:tc>
      </w:tr>
      <w:tr w14:paraId="032756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0" w:type="dxa"/>
          <w:trHeight w:val="232" w:hRule="atLeast"/>
          <w:jc w:val="center"/>
        </w:trPr>
        <w:tc>
          <w:tcPr>
            <w:tcW w:w="1376" w:type="dxa"/>
            <w:gridSpan w:val="2"/>
            <w:vMerge w:val="continue"/>
            <w:tcBorders>
              <w:top w:val="nil"/>
              <w:left w:val="nil"/>
              <w:bottom w:val="single" w:color="000000" w:sz="4" w:space="0"/>
              <w:right w:val="single" w:color="000000" w:sz="4" w:space="0"/>
            </w:tcBorders>
            <w:vAlign w:val="center"/>
          </w:tcPr>
          <w:p w14:paraId="51CA109A">
            <w:pPr>
              <w:ind w:left="-105" w:right="-105"/>
              <w:jc w:val="center"/>
              <w:rPr>
                <w:rFonts w:ascii="Times New Roman" w:hAnsi="Times New Roman"/>
                <w:b/>
                <w:bCs/>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48B3649E">
            <w:pPr>
              <w:pStyle w:val="98"/>
              <w:ind w:left="-105" w:right="-105"/>
              <w:rPr>
                <w:rFonts w:eastAsia="宋体"/>
                <w:b/>
                <w:bCs/>
                <w:color w:val="auto"/>
                <w:sz w:val="21"/>
                <w:szCs w:val="21"/>
                <w:highlight w:val="none"/>
              </w:rPr>
            </w:pPr>
            <w:r>
              <w:rPr>
                <w:rFonts w:eastAsia="宋体"/>
                <w:b/>
                <w:bCs/>
                <w:color w:val="auto"/>
                <w:sz w:val="21"/>
                <w:szCs w:val="21"/>
                <w:highlight w:val="none"/>
              </w:rPr>
              <w:t>N</w:t>
            </w:r>
          </w:p>
        </w:tc>
        <w:tc>
          <w:tcPr>
            <w:tcW w:w="687" w:type="dxa"/>
            <w:tcBorders>
              <w:top w:val="single" w:color="000000" w:sz="4" w:space="0"/>
              <w:left w:val="single" w:color="000000" w:sz="4" w:space="0"/>
              <w:bottom w:val="single" w:color="000000" w:sz="4" w:space="0"/>
              <w:right w:val="single" w:color="000000" w:sz="4" w:space="0"/>
            </w:tcBorders>
            <w:vAlign w:val="center"/>
          </w:tcPr>
          <w:p w14:paraId="72C4AFB4">
            <w:pPr>
              <w:pStyle w:val="98"/>
              <w:ind w:left="-105" w:right="-105"/>
              <w:rPr>
                <w:rFonts w:eastAsia="宋体"/>
                <w:b/>
                <w:bCs/>
                <w:color w:val="auto"/>
                <w:sz w:val="21"/>
                <w:szCs w:val="21"/>
                <w:highlight w:val="none"/>
              </w:rPr>
            </w:pPr>
            <w:r>
              <w:rPr>
                <w:rFonts w:eastAsia="宋体"/>
                <w:b/>
                <w:bCs/>
                <w:color w:val="auto"/>
                <w:sz w:val="21"/>
                <w:szCs w:val="21"/>
                <w:highlight w:val="none"/>
              </w:rPr>
              <w:t>NNE</w:t>
            </w:r>
          </w:p>
        </w:tc>
        <w:tc>
          <w:tcPr>
            <w:tcW w:w="687" w:type="dxa"/>
            <w:tcBorders>
              <w:top w:val="single" w:color="000000" w:sz="4" w:space="0"/>
              <w:left w:val="single" w:color="000000" w:sz="4" w:space="0"/>
              <w:bottom w:val="single" w:color="000000" w:sz="4" w:space="0"/>
              <w:right w:val="single" w:color="000000" w:sz="4" w:space="0"/>
            </w:tcBorders>
            <w:vAlign w:val="center"/>
          </w:tcPr>
          <w:p w14:paraId="1B1DDECE">
            <w:pPr>
              <w:pStyle w:val="98"/>
              <w:ind w:left="-105" w:right="-105"/>
              <w:rPr>
                <w:rFonts w:eastAsia="宋体"/>
                <w:b/>
                <w:bCs/>
                <w:color w:val="auto"/>
                <w:sz w:val="21"/>
                <w:szCs w:val="21"/>
                <w:highlight w:val="none"/>
              </w:rPr>
            </w:pPr>
            <w:r>
              <w:rPr>
                <w:rFonts w:eastAsia="宋体"/>
                <w:b/>
                <w:bCs/>
                <w:color w:val="auto"/>
                <w:sz w:val="21"/>
                <w:szCs w:val="21"/>
                <w:highlight w:val="none"/>
              </w:rPr>
              <w:t>NE</w:t>
            </w:r>
          </w:p>
        </w:tc>
        <w:tc>
          <w:tcPr>
            <w:tcW w:w="688" w:type="dxa"/>
            <w:tcBorders>
              <w:top w:val="single" w:color="000000" w:sz="4" w:space="0"/>
              <w:left w:val="single" w:color="000000" w:sz="4" w:space="0"/>
              <w:bottom w:val="single" w:color="000000" w:sz="4" w:space="0"/>
              <w:right w:val="single" w:color="000000" w:sz="4" w:space="0"/>
            </w:tcBorders>
            <w:vAlign w:val="center"/>
          </w:tcPr>
          <w:p w14:paraId="6D98C7B2">
            <w:pPr>
              <w:pStyle w:val="98"/>
              <w:ind w:left="-105" w:right="-105"/>
              <w:rPr>
                <w:rFonts w:eastAsia="宋体"/>
                <w:b/>
                <w:bCs/>
                <w:color w:val="auto"/>
                <w:sz w:val="21"/>
                <w:szCs w:val="21"/>
                <w:highlight w:val="none"/>
              </w:rPr>
            </w:pPr>
            <w:r>
              <w:rPr>
                <w:rFonts w:eastAsia="宋体"/>
                <w:b/>
                <w:bCs/>
                <w:color w:val="auto"/>
                <w:sz w:val="21"/>
                <w:szCs w:val="21"/>
                <w:highlight w:val="none"/>
              </w:rPr>
              <w:t>ENE</w:t>
            </w:r>
          </w:p>
        </w:tc>
        <w:tc>
          <w:tcPr>
            <w:tcW w:w="687" w:type="dxa"/>
            <w:tcBorders>
              <w:top w:val="single" w:color="000000" w:sz="4" w:space="0"/>
              <w:left w:val="single" w:color="000000" w:sz="4" w:space="0"/>
              <w:bottom w:val="single" w:color="000000" w:sz="4" w:space="0"/>
              <w:right w:val="single" w:color="000000" w:sz="4" w:space="0"/>
            </w:tcBorders>
            <w:vAlign w:val="center"/>
          </w:tcPr>
          <w:p w14:paraId="2BC24520">
            <w:pPr>
              <w:pStyle w:val="98"/>
              <w:ind w:left="-105" w:right="-105"/>
              <w:rPr>
                <w:rFonts w:eastAsia="宋体"/>
                <w:b/>
                <w:bCs/>
                <w:color w:val="auto"/>
                <w:sz w:val="21"/>
                <w:szCs w:val="21"/>
                <w:highlight w:val="none"/>
              </w:rPr>
            </w:pPr>
            <w:r>
              <w:rPr>
                <w:rFonts w:eastAsia="宋体"/>
                <w:b/>
                <w:bCs/>
                <w:color w:val="auto"/>
                <w:sz w:val="21"/>
                <w:szCs w:val="21"/>
                <w:highlight w:val="none"/>
              </w:rPr>
              <w:t>E</w:t>
            </w:r>
          </w:p>
        </w:tc>
        <w:tc>
          <w:tcPr>
            <w:tcW w:w="687" w:type="dxa"/>
            <w:tcBorders>
              <w:top w:val="single" w:color="000000" w:sz="4" w:space="0"/>
              <w:left w:val="single" w:color="000000" w:sz="4" w:space="0"/>
              <w:bottom w:val="single" w:color="000000" w:sz="4" w:space="0"/>
              <w:right w:val="single" w:color="000000" w:sz="4" w:space="0"/>
            </w:tcBorders>
            <w:vAlign w:val="center"/>
          </w:tcPr>
          <w:p w14:paraId="628F4AC2">
            <w:pPr>
              <w:pStyle w:val="98"/>
              <w:ind w:left="-105" w:right="-105"/>
              <w:rPr>
                <w:rFonts w:eastAsia="宋体"/>
                <w:b/>
                <w:bCs/>
                <w:color w:val="auto"/>
                <w:sz w:val="21"/>
                <w:szCs w:val="21"/>
                <w:highlight w:val="none"/>
              </w:rPr>
            </w:pPr>
            <w:r>
              <w:rPr>
                <w:rFonts w:eastAsia="宋体"/>
                <w:b/>
                <w:bCs/>
                <w:color w:val="auto"/>
                <w:sz w:val="21"/>
                <w:szCs w:val="21"/>
                <w:highlight w:val="none"/>
              </w:rPr>
              <w:t>ESE</w:t>
            </w:r>
          </w:p>
        </w:tc>
        <w:tc>
          <w:tcPr>
            <w:tcW w:w="687" w:type="dxa"/>
            <w:tcBorders>
              <w:top w:val="single" w:color="000000" w:sz="4" w:space="0"/>
              <w:left w:val="single" w:color="000000" w:sz="4" w:space="0"/>
              <w:bottom w:val="single" w:color="000000" w:sz="4" w:space="0"/>
              <w:right w:val="single" w:color="000000" w:sz="4" w:space="0"/>
            </w:tcBorders>
            <w:vAlign w:val="center"/>
          </w:tcPr>
          <w:p w14:paraId="1B07F708">
            <w:pPr>
              <w:pStyle w:val="98"/>
              <w:ind w:left="-105" w:right="-105"/>
              <w:rPr>
                <w:rFonts w:eastAsia="宋体"/>
                <w:b/>
                <w:bCs/>
                <w:color w:val="auto"/>
                <w:sz w:val="21"/>
                <w:szCs w:val="21"/>
                <w:highlight w:val="none"/>
              </w:rPr>
            </w:pPr>
            <w:r>
              <w:rPr>
                <w:rFonts w:eastAsia="宋体"/>
                <w:b/>
                <w:bCs/>
                <w:color w:val="auto"/>
                <w:sz w:val="21"/>
                <w:szCs w:val="21"/>
                <w:highlight w:val="none"/>
              </w:rPr>
              <w:t>SE</w:t>
            </w:r>
          </w:p>
        </w:tc>
        <w:tc>
          <w:tcPr>
            <w:tcW w:w="687" w:type="dxa"/>
            <w:tcBorders>
              <w:top w:val="single" w:color="000000" w:sz="4" w:space="0"/>
              <w:left w:val="single" w:color="000000" w:sz="4" w:space="0"/>
              <w:bottom w:val="single" w:color="000000" w:sz="4" w:space="0"/>
              <w:right w:val="single" w:color="000000" w:sz="4" w:space="0"/>
            </w:tcBorders>
            <w:vAlign w:val="center"/>
          </w:tcPr>
          <w:p w14:paraId="46A69608">
            <w:pPr>
              <w:pStyle w:val="98"/>
              <w:ind w:left="-105" w:right="-105"/>
              <w:rPr>
                <w:rFonts w:eastAsia="宋体"/>
                <w:b/>
                <w:bCs/>
                <w:color w:val="auto"/>
                <w:sz w:val="21"/>
                <w:szCs w:val="21"/>
                <w:highlight w:val="none"/>
              </w:rPr>
            </w:pPr>
            <w:r>
              <w:rPr>
                <w:rFonts w:eastAsia="宋体"/>
                <w:b/>
                <w:bCs/>
                <w:color w:val="auto"/>
                <w:sz w:val="21"/>
                <w:szCs w:val="21"/>
                <w:highlight w:val="none"/>
              </w:rPr>
              <w:t>SSE</w:t>
            </w:r>
          </w:p>
        </w:tc>
        <w:tc>
          <w:tcPr>
            <w:tcW w:w="687" w:type="dxa"/>
            <w:tcBorders>
              <w:top w:val="single" w:color="000000" w:sz="4" w:space="0"/>
              <w:left w:val="single" w:color="000000" w:sz="4" w:space="0"/>
              <w:bottom w:val="single" w:color="000000" w:sz="4" w:space="0"/>
              <w:right w:val="single" w:color="000000" w:sz="4" w:space="0"/>
            </w:tcBorders>
            <w:vAlign w:val="center"/>
          </w:tcPr>
          <w:p w14:paraId="042F6192">
            <w:pPr>
              <w:pStyle w:val="98"/>
              <w:ind w:left="-105" w:right="-105"/>
              <w:rPr>
                <w:rFonts w:eastAsia="宋体"/>
                <w:b/>
                <w:bCs/>
                <w:color w:val="auto"/>
                <w:sz w:val="21"/>
                <w:szCs w:val="21"/>
                <w:highlight w:val="none"/>
              </w:rPr>
            </w:pPr>
            <w:r>
              <w:rPr>
                <w:rFonts w:eastAsia="宋体"/>
                <w:b/>
                <w:bCs/>
                <w:color w:val="auto"/>
                <w:sz w:val="21"/>
                <w:szCs w:val="21"/>
                <w:highlight w:val="none"/>
              </w:rPr>
              <w:t>S</w:t>
            </w:r>
          </w:p>
        </w:tc>
        <w:tc>
          <w:tcPr>
            <w:tcW w:w="687" w:type="dxa"/>
            <w:tcBorders>
              <w:top w:val="single" w:color="000000" w:sz="4" w:space="0"/>
              <w:left w:val="single" w:color="000000" w:sz="4" w:space="0"/>
              <w:bottom w:val="single" w:color="000000" w:sz="4" w:space="0"/>
              <w:right w:val="single" w:color="000000" w:sz="4" w:space="0"/>
            </w:tcBorders>
            <w:vAlign w:val="center"/>
          </w:tcPr>
          <w:p w14:paraId="16A265AA">
            <w:pPr>
              <w:pStyle w:val="98"/>
              <w:ind w:left="-105" w:right="-105"/>
              <w:rPr>
                <w:rFonts w:eastAsia="宋体"/>
                <w:b/>
                <w:bCs/>
                <w:color w:val="auto"/>
                <w:sz w:val="21"/>
                <w:szCs w:val="21"/>
                <w:highlight w:val="none"/>
              </w:rPr>
            </w:pPr>
            <w:r>
              <w:rPr>
                <w:rFonts w:eastAsia="宋体"/>
                <w:b/>
                <w:bCs/>
                <w:color w:val="auto"/>
                <w:sz w:val="21"/>
                <w:szCs w:val="21"/>
                <w:highlight w:val="none"/>
              </w:rPr>
              <w:t>SSW</w:t>
            </w:r>
          </w:p>
        </w:tc>
        <w:tc>
          <w:tcPr>
            <w:tcW w:w="684" w:type="dxa"/>
            <w:tcBorders>
              <w:top w:val="single" w:color="000000" w:sz="4" w:space="0"/>
              <w:left w:val="single" w:color="000000" w:sz="4" w:space="0"/>
              <w:bottom w:val="single" w:color="000000" w:sz="4" w:space="0"/>
              <w:right w:val="single" w:color="000000" w:sz="4" w:space="0"/>
            </w:tcBorders>
            <w:vAlign w:val="center"/>
          </w:tcPr>
          <w:p w14:paraId="245DF9B5">
            <w:pPr>
              <w:pStyle w:val="98"/>
              <w:ind w:left="-105" w:right="-105"/>
              <w:rPr>
                <w:rFonts w:eastAsia="宋体"/>
                <w:b/>
                <w:bCs/>
                <w:color w:val="auto"/>
                <w:sz w:val="21"/>
                <w:szCs w:val="21"/>
                <w:highlight w:val="none"/>
              </w:rPr>
            </w:pPr>
            <w:r>
              <w:rPr>
                <w:rFonts w:eastAsia="宋体"/>
                <w:b/>
                <w:bCs/>
                <w:color w:val="auto"/>
                <w:sz w:val="21"/>
                <w:szCs w:val="21"/>
                <w:highlight w:val="none"/>
              </w:rPr>
              <w:t>SW</w:t>
            </w:r>
          </w:p>
        </w:tc>
        <w:tc>
          <w:tcPr>
            <w:tcW w:w="714" w:type="dxa"/>
            <w:tcBorders>
              <w:top w:val="single" w:color="000000" w:sz="4" w:space="0"/>
              <w:left w:val="single" w:color="000000" w:sz="4" w:space="0"/>
              <w:bottom w:val="single" w:color="000000" w:sz="4" w:space="0"/>
              <w:right w:val="single" w:color="000000" w:sz="4" w:space="0"/>
            </w:tcBorders>
            <w:vAlign w:val="center"/>
          </w:tcPr>
          <w:p w14:paraId="52339A92">
            <w:pPr>
              <w:pStyle w:val="98"/>
              <w:ind w:left="-105" w:right="-105"/>
              <w:rPr>
                <w:rFonts w:eastAsia="宋体"/>
                <w:b/>
                <w:bCs/>
                <w:color w:val="auto"/>
                <w:sz w:val="21"/>
                <w:szCs w:val="21"/>
                <w:highlight w:val="none"/>
              </w:rPr>
            </w:pPr>
            <w:r>
              <w:rPr>
                <w:rFonts w:eastAsia="宋体"/>
                <w:b/>
                <w:bCs/>
                <w:color w:val="auto"/>
                <w:sz w:val="21"/>
                <w:szCs w:val="21"/>
                <w:highlight w:val="none"/>
              </w:rPr>
              <w:t>WSW</w:t>
            </w:r>
          </w:p>
        </w:tc>
        <w:tc>
          <w:tcPr>
            <w:tcW w:w="686" w:type="dxa"/>
            <w:tcBorders>
              <w:top w:val="single" w:color="000000" w:sz="4" w:space="0"/>
              <w:left w:val="single" w:color="000000" w:sz="4" w:space="0"/>
              <w:bottom w:val="single" w:color="000000" w:sz="4" w:space="0"/>
              <w:right w:val="single" w:color="000000" w:sz="4" w:space="0"/>
            </w:tcBorders>
            <w:vAlign w:val="center"/>
          </w:tcPr>
          <w:p w14:paraId="2B74E7F3">
            <w:pPr>
              <w:pStyle w:val="98"/>
              <w:ind w:left="-105" w:right="-105"/>
              <w:rPr>
                <w:rFonts w:eastAsia="宋体"/>
                <w:b/>
                <w:bCs/>
                <w:color w:val="auto"/>
                <w:sz w:val="21"/>
                <w:szCs w:val="21"/>
                <w:highlight w:val="none"/>
              </w:rPr>
            </w:pPr>
            <w:r>
              <w:rPr>
                <w:rFonts w:eastAsia="宋体"/>
                <w:b/>
                <w:bCs/>
                <w:color w:val="auto"/>
                <w:sz w:val="21"/>
                <w:szCs w:val="21"/>
                <w:highlight w:val="none"/>
              </w:rPr>
              <w:t>W</w:t>
            </w:r>
          </w:p>
        </w:tc>
        <w:tc>
          <w:tcPr>
            <w:tcW w:w="747" w:type="dxa"/>
            <w:tcBorders>
              <w:top w:val="single" w:color="000000" w:sz="4" w:space="0"/>
              <w:left w:val="single" w:color="000000" w:sz="4" w:space="0"/>
              <w:bottom w:val="single" w:color="000000" w:sz="4" w:space="0"/>
              <w:right w:val="single" w:color="000000" w:sz="4" w:space="0"/>
            </w:tcBorders>
            <w:vAlign w:val="center"/>
          </w:tcPr>
          <w:p w14:paraId="787D3121">
            <w:pPr>
              <w:pStyle w:val="98"/>
              <w:ind w:left="-105" w:right="-105"/>
              <w:rPr>
                <w:rFonts w:eastAsia="宋体"/>
                <w:b/>
                <w:bCs/>
                <w:color w:val="auto"/>
                <w:sz w:val="21"/>
                <w:szCs w:val="21"/>
                <w:highlight w:val="none"/>
              </w:rPr>
            </w:pPr>
            <w:r>
              <w:rPr>
                <w:rFonts w:eastAsia="宋体"/>
                <w:b/>
                <w:bCs/>
                <w:color w:val="auto"/>
                <w:sz w:val="21"/>
                <w:szCs w:val="21"/>
                <w:highlight w:val="none"/>
              </w:rPr>
              <w:t>WNW</w:t>
            </w:r>
          </w:p>
        </w:tc>
        <w:tc>
          <w:tcPr>
            <w:tcW w:w="686" w:type="dxa"/>
            <w:tcBorders>
              <w:top w:val="single" w:color="000000" w:sz="4" w:space="0"/>
              <w:left w:val="single" w:color="000000" w:sz="4" w:space="0"/>
              <w:bottom w:val="single" w:color="000000" w:sz="4" w:space="0"/>
              <w:right w:val="single" w:color="000000" w:sz="4" w:space="0"/>
            </w:tcBorders>
            <w:vAlign w:val="center"/>
          </w:tcPr>
          <w:p w14:paraId="272243E3">
            <w:pPr>
              <w:pStyle w:val="98"/>
              <w:ind w:left="-105" w:right="-105"/>
              <w:rPr>
                <w:rFonts w:eastAsia="宋体"/>
                <w:b/>
                <w:bCs/>
                <w:color w:val="auto"/>
                <w:sz w:val="21"/>
                <w:szCs w:val="21"/>
                <w:highlight w:val="none"/>
              </w:rPr>
            </w:pPr>
            <w:r>
              <w:rPr>
                <w:rFonts w:eastAsia="宋体"/>
                <w:b/>
                <w:bCs/>
                <w:color w:val="auto"/>
                <w:sz w:val="21"/>
                <w:szCs w:val="21"/>
                <w:highlight w:val="none"/>
              </w:rPr>
              <w:t>NW</w:t>
            </w:r>
          </w:p>
        </w:tc>
        <w:tc>
          <w:tcPr>
            <w:tcW w:w="700" w:type="dxa"/>
            <w:tcBorders>
              <w:top w:val="single" w:color="000000" w:sz="4" w:space="0"/>
              <w:left w:val="single" w:color="000000" w:sz="4" w:space="0"/>
              <w:bottom w:val="single" w:color="000000" w:sz="4" w:space="0"/>
              <w:right w:val="single" w:color="000000" w:sz="4" w:space="0"/>
            </w:tcBorders>
            <w:vAlign w:val="center"/>
          </w:tcPr>
          <w:p w14:paraId="79F706AE">
            <w:pPr>
              <w:pStyle w:val="98"/>
              <w:ind w:left="-105" w:right="-105"/>
              <w:rPr>
                <w:rFonts w:eastAsia="宋体"/>
                <w:b/>
                <w:bCs/>
                <w:color w:val="auto"/>
                <w:sz w:val="21"/>
                <w:szCs w:val="21"/>
                <w:highlight w:val="none"/>
              </w:rPr>
            </w:pPr>
            <w:r>
              <w:rPr>
                <w:rFonts w:eastAsia="宋体"/>
                <w:b/>
                <w:bCs/>
                <w:color w:val="auto"/>
                <w:sz w:val="21"/>
                <w:szCs w:val="21"/>
                <w:highlight w:val="none"/>
              </w:rPr>
              <w:t>NNW</w:t>
            </w:r>
          </w:p>
        </w:tc>
        <w:tc>
          <w:tcPr>
            <w:tcW w:w="686" w:type="dxa"/>
            <w:tcBorders>
              <w:top w:val="single" w:color="000000" w:sz="4" w:space="0"/>
              <w:left w:val="single" w:color="000000" w:sz="4" w:space="0"/>
              <w:bottom w:val="single" w:color="000000" w:sz="4" w:space="0"/>
              <w:right w:val="single" w:color="000000" w:sz="4" w:space="0"/>
            </w:tcBorders>
            <w:vAlign w:val="center"/>
          </w:tcPr>
          <w:p w14:paraId="5A04810C">
            <w:pPr>
              <w:pStyle w:val="98"/>
              <w:ind w:left="-105" w:right="-105"/>
              <w:rPr>
                <w:rFonts w:eastAsia="宋体"/>
                <w:b/>
                <w:bCs/>
                <w:color w:val="auto"/>
                <w:sz w:val="21"/>
                <w:szCs w:val="21"/>
                <w:highlight w:val="none"/>
              </w:rPr>
            </w:pPr>
            <w:r>
              <w:rPr>
                <w:rFonts w:eastAsia="宋体"/>
                <w:b/>
                <w:bCs/>
                <w:color w:val="auto"/>
                <w:sz w:val="21"/>
                <w:szCs w:val="21"/>
                <w:highlight w:val="none"/>
              </w:rPr>
              <w:t>C</w:t>
            </w:r>
          </w:p>
        </w:tc>
        <w:tc>
          <w:tcPr>
            <w:tcW w:w="693" w:type="dxa"/>
            <w:tcBorders>
              <w:top w:val="single" w:color="000000" w:sz="4" w:space="0"/>
              <w:left w:val="single" w:color="000000" w:sz="4" w:space="0"/>
              <w:bottom w:val="single" w:color="000000" w:sz="4" w:space="0"/>
              <w:right w:val="nil"/>
            </w:tcBorders>
            <w:vAlign w:val="center"/>
          </w:tcPr>
          <w:p w14:paraId="23330CEB">
            <w:pPr>
              <w:pStyle w:val="98"/>
              <w:ind w:left="-105" w:right="-105"/>
              <w:rPr>
                <w:rFonts w:eastAsia="宋体"/>
                <w:b/>
                <w:bCs/>
                <w:color w:val="auto"/>
                <w:sz w:val="21"/>
                <w:szCs w:val="21"/>
                <w:highlight w:val="none"/>
              </w:rPr>
            </w:pPr>
            <w:r>
              <w:rPr>
                <w:rFonts w:eastAsia="宋体"/>
                <w:b/>
                <w:bCs/>
                <w:color w:val="auto"/>
                <w:sz w:val="21"/>
                <w:szCs w:val="21"/>
                <w:highlight w:val="none"/>
              </w:rPr>
              <w:t>平均</w:t>
            </w:r>
          </w:p>
        </w:tc>
      </w:tr>
      <w:tr w14:paraId="52C27D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4489209A">
            <w:pPr>
              <w:pStyle w:val="98"/>
              <w:ind w:left="-105" w:right="-105"/>
              <w:rPr>
                <w:rFonts w:eastAsia="宋体"/>
                <w:color w:val="auto"/>
                <w:sz w:val="21"/>
                <w:szCs w:val="21"/>
                <w:highlight w:val="none"/>
              </w:rPr>
            </w:pPr>
            <w:r>
              <w:rPr>
                <w:rFonts w:eastAsia="宋体"/>
                <w:color w:val="auto"/>
                <w:sz w:val="21"/>
                <w:szCs w:val="21"/>
                <w:highlight w:val="none"/>
              </w:rPr>
              <w:t>1月</w:t>
            </w:r>
          </w:p>
        </w:tc>
        <w:tc>
          <w:tcPr>
            <w:tcW w:w="687" w:type="dxa"/>
            <w:tcBorders>
              <w:top w:val="single" w:color="000000" w:sz="4" w:space="0"/>
              <w:left w:val="single" w:color="000000" w:sz="4" w:space="0"/>
              <w:bottom w:val="single" w:color="000000" w:sz="4" w:space="0"/>
              <w:right w:val="single" w:color="000000" w:sz="4" w:space="0"/>
            </w:tcBorders>
            <w:vAlign w:val="center"/>
          </w:tcPr>
          <w:p w14:paraId="5765C109">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61C12A96">
            <w:pPr>
              <w:pStyle w:val="98"/>
              <w:ind w:left="-105" w:right="-105"/>
              <w:rPr>
                <w:rFonts w:eastAsia="宋体"/>
                <w:color w:val="auto"/>
                <w:sz w:val="21"/>
                <w:szCs w:val="21"/>
                <w:highlight w:val="none"/>
              </w:rPr>
            </w:pPr>
            <w:r>
              <w:rPr>
                <w:rFonts w:eastAsia="宋体"/>
                <w:color w:val="auto"/>
                <w:sz w:val="21"/>
                <w:szCs w:val="21"/>
                <w:highlight w:val="none"/>
              </w:rPr>
              <w:t>7.6</w:t>
            </w:r>
          </w:p>
        </w:tc>
        <w:tc>
          <w:tcPr>
            <w:tcW w:w="687" w:type="dxa"/>
            <w:tcBorders>
              <w:top w:val="single" w:color="000000" w:sz="4" w:space="0"/>
              <w:left w:val="single" w:color="000000" w:sz="4" w:space="0"/>
              <w:bottom w:val="single" w:color="000000" w:sz="4" w:space="0"/>
              <w:right w:val="single" w:color="000000" w:sz="4" w:space="0"/>
            </w:tcBorders>
            <w:vAlign w:val="center"/>
          </w:tcPr>
          <w:p w14:paraId="64850C92">
            <w:pPr>
              <w:pStyle w:val="98"/>
              <w:ind w:left="-105" w:right="-105"/>
              <w:rPr>
                <w:rFonts w:eastAsia="宋体"/>
                <w:color w:val="auto"/>
                <w:sz w:val="21"/>
                <w:szCs w:val="21"/>
                <w:highlight w:val="none"/>
              </w:rPr>
            </w:pPr>
            <w:r>
              <w:rPr>
                <w:rFonts w:eastAsia="宋体"/>
                <w:color w:val="auto"/>
                <w:sz w:val="21"/>
                <w:szCs w:val="21"/>
                <w:highlight w:val="none"/>
              </w:rPr>
              <w:t>6.8</w:t>
            </w:r>
          </w:p>
        </w:tc>
        <w:tc>
          <w:tcPr>
            <w:tcW w:w="687" w:type="dxa"/>
            <w:tcBorders>
              <w:top w:val="single" w:color="000000" w:sz="4" w:space="0"/>
              <w:left w:val="single" w:color="000000" w:sz="4" w:space="0"/>
              <w:bottom w:val="single" w:color="000000" w:sz="4" w:space="0"/>
              <w:right w:val="single" w:color="000000" w:sz="4" w:space="0"/>
            </w:tcBorders>
            <w:vAlign w:val="center"/>
          </w:tcPr>
          <w:p w14:paraId="1AE2D2D7">
            <w:pPr>
              <w:pStyle w:val="98"/>
              <w:ind w:left="-105" w:right="-105"/>
              <w:rPr>
                <w:rFonts w:eastAsia="宋体"/>
                <w:color w:val="auto"/>
                <w:sz w:val="21"/>
                <w:szCs w:val="21"/>
                <w:highlight w:val="none"/>
              </w:rPr>
            </w:pPr>
            <w:r>
              <w:rPr>
                <w:rFonts w:eastAsia="宋体"/>
                <w:color w:val="auto"/>
                <w:sz w:val="21"/>
                <w:szCs w:val="21"/>
                <w:highlight w:val="none"/>
              </w:rPr>
              <w:t>4.8</w:t>
            </w:r>
          </w:p>
        </w:tc>
        <w:tc>
          <w:tcPr>
            <w:tcW w:w="688" w:type="dxa"/>
            <w:tcBorders>
              <w:top w:val="single" w:color="000000" w:sz="4" w:space="0"/>
              <w:left w:val="single" w:color="000000" w:sz="4" w:space="0"/>
              <w:bottom w:val="single" w:color="000000" w:sz="4" w:space="0"/>
              <w:right w:val="single" w:color="000000" w:sz="4" w:space="0"/>
            </w:tcBorders>
            <w:vAlign w:val="center"/>
          </w:tcPr>
          <w:p w14:paraId="2C5368E4">
            <w:pPr>
              <w:pStyle w:val="98"/>
              <w:ind w:left="-105" w:right="-105"/>
              <w:rPr>
                <w:rFonts w:eastAsia="宋体"/>
                <w:color w:val="auto"/>
                <w:sz w:val="21"/>
                <w:szCs w:val="21"/>
                <w:highlight w:val="none"/>
              </w:rPr>
            </w:pPr>
            <w:r>
              <w:rPr>
                <w:rFonts w:eastAsia="宋体"/>
                <w:color w:val="auto"/>
                <w:sz w:val="21"/>
                <w:szCs w:val="21"/>
                <w:highlight w:val="none"/>
              </w:rPr>
              <w:t>5.2</w:t>
            </w:r>
          </w:p>
        </w:tc>
        <w:tc>
          <w:tcPr>
            <w:tcW w:w="687" w:type="dxa"/>
            <w:tcBorders>
              <w:top w:val="single" w:color="000000" w:sz="4" w:space="0"/>
              <w:left w:val="single" w:color="000000" w:sz="4" w:space="0"/>
              <w:bottom w:val="single" w:color="000000" w:sz="4" w:space="0"/>
              <w:right w:val="single" w:color="000000" w:sz="4" w:space="0"/>
            </w:tcBorders>
            <w:vAlign w:val="center"/>
          </w:tcPr>
          <w:p w14:paraId="5D64803C">
            <w:pPr>
              <w:pStyle w:val="98"/>
              <w:ind w:left="-105" w:right="-105"/>
              <w:rPr>
                <w:rFonts w:eastAsia="宋体"/>
                <w:color w:val="auto"/>
                <w:sz w:val="21"/>
                <w:szCs w:val="21"/>
                <w:highlight w:val="none"/>
              </w:rPr>
            </w:pPr>
            <w:r>
              <w:rPr>
                <w:rFonts w:eastAsia="宋体"/>
                <w:color w:val="auto"/>
                <w:sz w:val="21"/>
                <w:szCs w:val="21"/>
                <w:highlight w:val="none"/>
              </w:rPr>
              <w:t>4</w:t>
            </w:r>
          </w:p>
        </w:tc>
        <w:tc>
          <w:tcPr>
            <w:tcW w:w="687" w:type="dxa"/>
            <w:tcBorders>
              <w:top w:val="single" w:color="000000" w:sz="4" w:space="0"/>
              <w:left w:val="single" w:color="000000" w:sz="4" w:space="0"/>
              <w:bottom w:val="single" w:color="000000" w:sz="4" w:space="0"/>
              <w:right w:val="single" w:color="000000" w:sz="4" w:space="0"/>
            </w:tcBorders>
            <w:vAlign w:val="center"/>
          </w:tcPr>
          <w:p w14:paraId="6DF63AAE">
            <w:pPr>
              <w:pStyle w:val="98"/>
              <w:ind w:left="-105" w:right="-105"/>
              <w:rPr>
                <w:rFonts w:eastAsia="宋体"/>
                <w:color w:val="auto"/>
                <w:sz w:val="21"/>
                <w:szCs w:val="21"/>
                <w:highlight w:val="none"/>
              </w:rPr>
            </w:pPr>
            <w:r>
              <w:rPr>
                <w:rFonts w:eastAsia="宋体"/>
                <w:color w:val="auto"/>
                <w:sz w:val="21"/>
                <w:szCs w:val="21"/>
                <w:highlight w:val="none"/>
              </w:rPr>
              <w:t>5</w:t>
            </w:r>
          </w:p>
        </w:tc>
        <w:tc>
          <w:tcPr>
            <w:tcW w:w="687" w:type="dxa"/>
            <w:tcBorders>
              <w:top w:val="single" w:color="000000" w:sz="4" w:space="0"/>
              <w:left w:val="single" w:color="000000" w:sz="4" w:space="0"/>
              <w:bottom w:val="single" w:color="000000" w:sz="4" w:space="0"/>
              <w:right w:val="single" w:color="000000" w:sz="4" w:space="0"/>
            </w:tcBorders>
            <w:vAlign w:val="center"/>
          </w:tcPr>
          <w:p w14:paraId="64205775">
            <w:pPr>
              <w:pStyle w:val="98"/>
              <w:ind w:left="-105" w:right="-105"/>
              <w:rPr>
                <w:rFonts w:eastAsia="宋体"/>
                <w:color w:val="auto"/>
                <w:sz w:val="21"/>
                <w:szCs w:val="21"/>
                <w:highlight w:val="none"/>
              </w:rPr>
            </w:pPr>
            <w:r>
              <w:rPr>
                <w:rFonts w:eastAsia="宋体"/>
                <w:color w:val="auto"/>
                <w:sz w:val="21"/>
                <w:szCs w:val="21"/>
                <w:highlight w:val="none"/>
              </w:rPr>
              <w:t>4.6</w:t>
            </w:r>
          </w:p>
        </w:tc>
        <w:tc>
          <w:tcPr>
            <w:tcW w:w="687" w:type="dxa"/>
            <w:tcBorders>
              <w:top w:val="single" w:color="000000" w:sz="4" w:space="0"/>
              <w:left w:val="single" w:color="000000" w:sz="4" w:space="0"/>
              <w:bottom w:val="single" w:color="000000" w:sz="4" w:space="0"/>
              <w:right w:val="single" w:color="000000" w:sz="4" w:space="0"/>
            </w:tcBorders>
            <w:vAlign w:val="center"/>
          </w:tcPr>
          <w:p w14:paraId="2799AC61">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1B19F471">
            <w:pPr>
              <w:pStyle w:val="98"/>
              <w:ind w:left="-105" w:right="-105"/>
              <w:rPr>
                <w:rFonts w:eastAsia="宋体"/>
                <w:color w:val="auto"/>
                <w:sz w:val="21"/>
                <w:szCs w:val="21"/>
                <w:highlight w:val="none"/>
              </w:rPr>
            </w:pPr>
            <w:r>
              <w:rPr>
                <w:rFonts w:eastAsia="宋体"/>
                <w:color w:val="auto"/>
                <w:sz w:val="21"/>
                <w:szCs w:val="21"/>
                <w:highlight w:val="none"/>
              </w:rPr>
              <w:t>1</w:t>
            </w:r>
          </w:p>
        </w:tc>
        <w:tc>
          <w:tcPr>
            <w:tcW w:w="687" w:type="dxa"/>
            <w:tcBorders>
              <w:top w:val="single" w:color="000000" w:sz="4" w:space="0"/>
              <w:left w:val="single" w:color="000000" w:sz="4" w:space="0"/>
              <w:bottom w:val="single" w:color="000000" w:sz="4" w:space="0"/>
              <w:right w:val="single" w:color="000000" w:sz="4" w:space="0"/>
            </w:tcBorders>
            <w:vAlign w:val="center"/>
          </w:tcPr>
          <w:p w14:paraId="5608EA70">
            <w:pPr>
              <w:pStyle w:val="98"/>
              <w:ind w:left="-105" w:right="-105"/>
              <w:rPr>
                <w:rFonts w:eastAsia="宋体"/>
                <w:color w:val="auto"/>
                <w:sz w:val="21"/>
                <w:szCs w:val="21"/>
                <w:highlight w:val="none"/>
              </w:rPr>
            </w:pPr>
            <w:r>
              <w:rPr>
                <w:rFonts w:eastAsia="宋体"/>
                <w:color w:val="auto"/>
                <w:sz w:val="21"/>
                <w:szCs w:val="21"/>
                <w:highlight w:val="none"/>
              </w:rPr>
              <w:t>0.4</w:t>
            </w:r>
          </w:p>
        </w:tc>
        <w:tc>
          <w:tcPr>
            <w:tcW w:w="684" w:type="dxa"/>
            <w:tcBorders>
              <w:top w:val="single" w:color="000000" w:sz="4" w:space="0"/>
              <w:left w:val="single" w:color="000000" w:sz="4" w:space="0"/>
              <w:bottom w:val="single" w:color="000000" w:sz="4" w:space="0"/>
              <w:right w:val="single" w:color="000000" w:sz="4" w:space="0"/>
            </w:tcBorders>
            <w:vAlign w:val="center"/>
          </w:tcPr>
          <w:p w14:paraId="360432A0">
            <w:pPr>
              <w:pStyle w:val="98"/>
              <w:ind w:left="-105" w:right="-105"/>
              <w:rPr>
                <w:rFonts w:eastAsia="宋体"/>
                <w:color w:val="auto"/>
                <w:sz w:val="21"/>
                <w:szCs w:val="21"/>
                <w:highlight w:val="none"/>
              </w:rPr>
            </w:pPr>
            <w:r>
              <w:rPr>
                <w:rFonts w:eastAsia="宋体"/>
                <w:color w:val="auto"/>
                <w:sz w:val="21"/>
                <w:szCs w:val="21"/>
                <w:highlight w:val="none"/>
              </w:rPr>
              <w:t>1.2</w:t>
            </w:r>
          </w:p>
        </w:tc>
        <w:tc>
          <w:tcPr>
            <w:tcW w:w="714" w:type="dxa"/>
            <w:tcBorders>
              <w:top w:val="single" w:color="000000" w:sz="4" w:space="0"/>
              <w:left w:val="single" w:color="000000" w:sz="4" w:space="0"/>
              <w:bottom w:val="single" w:color="000000" w:sz="4" w:space="0"/>
              <w:right w:val="single" w:color="000000" w:sz="4" w:space="0"/>
            </w:tcBorders>
            <w:vAlign w:val="center"/>
          </w:tcPr>
          <w:p w14:paraId="42196663">
            <w:pPr>
              <w:pStyle w:val="98"/>
              <w:ind w:left="-105" w:right="-105"/>
              <w:rPr>
                <w:rFonts w:eastAsia="宋体"/>
                <w:color w:val="auto"/>
                <w:sz w:val="21"/>
                <w:szCs w:val="21"/>
                <w:highlight w:val="none"/>
              </w:rPr>
            </w:pPr>
            <w:r>
              <w:rPr>
                <w:rFonts w:eastAsia="宋体"/>
                <w:color w:val="auto"/>
                <w:sz w:val="21"/>
                <w:szCs w:val="21"/>
                <w:highlight w:val="none"/>
              </w:rPr>
              <w:t>3.4</w:t>
            </w:r>
          </w:p>
        </w:tc>
        <w:tc>
          <w:tcPr>
            <w:tcW w:w="686" w:type="dxa"/>
            <w:tcBorders>
              <w:top w:val="single" w:color="000000" w:sz="4" w:space="0"/>
              <w:left w:val="single" w:color="000000" w:sz="4" w:space="0"/>
              <w:bottom w:val="single" w:color="000000" w:sz="4" w:space="0"/>
              <w:right w:val="single" w:color="000000" w:sz="4" w:space="0"/>
            </w:tcBorders>
            <w:vAlign w:val="center"/>
          </w:tcPr>
          <w:p w14:paraId="5715587D">
            <w:pPr>
              <w:pStyle w:val="98"/>
              <w:ind w:left="-105" w:right="-105"/>
              <w:rPr>
                <w:rFonts w:eastAsia="宋体"/>
                <w:color w:val="auto"/>
                <w:sz w:val="21"/>
                <w:szCs w:val="21"/>
                <w:highlight w:val="none"/>
              </w:rPr>
            </w:pPr>
            <w:r>
              <w:rPr>
                <w:rFonts w:eastAsia="宋体"/>
                <w:color w:val="auto"/>
                <w:sz w:val="21"/>
                <w:szCs w:val="21"/>
                <w:highlight w:val="none"/>
              </w:rPr>
              <w:t>6.6</w:t>
            </w:r>
          </w:p>
        </w:tc>
        <w:tc>
          <w:tcPr>
            <w:tcW w:w="747" w:type="dxa"/>
            <w:tcBorders>
              <w:top w:val="single" w:color="000000" w:sz="4" w:space="0"/>
              <w:left w:val="single" w:color="000000" w:sz="4" w:space="0"/>
              <w:bottom w:val="single" w:color="000000" w:sz="4" w:space="0"/>
              <w:right w:val="single" w:color="000000" w:sz="4" w:space="0"/>
            </w:tcBorders>
            <w:vAlign w:val="center"/>
          </w:tcPr>
          <w:p w14:paraId="75FA61CA">
            <w:pPr>
              <w:pStyle w:val="98"/>
              <w:ind w:left="-105" w:right="-105"/>
              <w:rPr>
                <w:rFonts w:eastAsia="宋体"/>
                <w:color w:val="auto"/>
                <w:sz w:val="21"/>
                <w:szCs w:val="21"/>
                <w:highlight w:val="none"/>
              </w:rPr>
            </w:pPr>
            <w:r>
              <w:rPr>
                <w:rFonts w:eastAsia="宋体"/>
                <w:color w:val="auto"/>
                <w:sz w:val="21"/>
                <w:szCs w:val="21"/>
                <w:highlight w:val="none"/>
              </w:rPr>
              <w:t>12.8</w:t>
            </w:r>
          </w:p>
        </w:tc>
        <w:tc>
          <w:tcPr>
            <w:tcW w:w="686" w:type="dxa"/>
            <w:tcBorders>
              <w:top w:val="single" w:color="000000" w:sz="4" w:space="0"/>
              <w:left w:val="single" w:color="000000" w:sz="4" w:space="0"/>
              <w:bottom w:val="single" w:color="000000" w:sz="4" w:space="0"/>
              <w:right w:val="single" w:color="000000" w:sz="4" w:space="0"/>
            </w:tcBorders>
            <w:vAlign w:val="center"/>
          </w:tcPr>
          <w:p w14:paraId="585F3435">
            <w:pPr>
              <w:pStyle w:val="98"/>
              <w:ind w:left="-105" w:right="-105"/>
              <w:rPr>
                <w:rFonts w:eastAsia="宋体"/>
                <w:color w:val="auto"/>
                <w:sz w:val="21"/>
                <w:szCs w:val="21"/>
                <w:highlight w:val="none"/>
              </w:rPr>
            </w:pPr>
            <w:r>
              <w:rPr>
                <w:rFonts w:eastAsia="宋体"/>
                <w:color w:val="auto"/>
                <w:sz w:val="21"/>
                <w:szCs w:val="21"/>
                <w:highlight w:val="none"/>
              </w:rPr>
              <w:t>6.6</w:t>
            </w:r>
          </w:p>
        </w:tc>
        <w:tc>
          <w:tcPr>
            <w:tcW w:w="700" w:type="dxa"/>
            <w:tcBorders>
              <w:top w:val="single" w:color="000000" w:sz="4" w:space="0"/>
              <w:left w:val="single" w:color="000000" w:sz="4" w:space="0"/>
              <w:bottom w:val="single" w:color="000000" w:sz="4" w:space="0"/>
              <w:right w:val="single" w:color="000000" w:sz="4" w:space="0"/>
            </w:tcBorders>
            <w:vAlign w:val="center"/>
          </w:tcPr>
          <w:p w14:paraId="1AAE2871">
            <w:pPr>
              <w:pStyle w:val="98"/>
              <w:ind w:left="-105" w:right="-105"/>
              <w:rPr>
                <w:rFonts w:eastAsia="宋体"/>
                <w:color w:val="auto"/>
                <w:sz w:val="21"/>
                <w:szCs w:val="21"/>
                <w:highlight w:val="none"/>
              </w:rPr>
            </w:pPr>
            <w:r>
              <w:rPr>
                <w:rFonts w:eastAsia="宋体"/>
                <w:color w:val="auto"/>
                <w:sz w:val="21"/>
                <w:szCs w:val="21"/>
                <w:highlight w:val="none"/>
              </w:rPr>
              <w:t>9.2</w:t>
            </w:r>
          </w:p>
        </w:tc>
        <w:tc>
          <w:tcPr>
            <w:tcW w:w="686" w:type="dxa"/>
            <w:tcBorders>
              <w:top w:val="single" w:color="000000" w:sz="4" w:space="0"/>
              <w:left w:val="single" w:color="000000" w:sz="4" w:space="0"/>
              <w:bottom w:val="single" w:color="000000" w:sz="4" w:space="0"/>
              <w:right w:val="single" w:color="000000" w:sz="4" w:space="0"/>
            </w:tcBorders>
            <w:vAlign w:val="center"/>
          </w:tcPr>
          <w:p w14:paraId="66F628C7">
            <w:pPr>
              <w:pStyle w:val="98"/>
              <w:ind w:left="-105" w:right="-105"/>
              <w:rPr>
                <w:rFonts w:eastAsia="宋体"/>
                <w:color w:val="auto"/>
                <w:sz w:val="21"/>
                <w:szCs w:val="21"/>
                <w:highlight w:val="none"/>
              </w:rPr>
            </w:pPr>
            <w:r>
              <w:rPr>
                <w:rFonts w:eastAsia="宋体"/>
                <w:color w:val="auto"/>
                <w:sz w:val="21"/>
                <w:szCs w:val="21"/>
                <w:highlight w:val="none"/>
              </w:rPr>
              <w:t>17.6</w:t>
            </w:r>
          </w:p>
        </w:tc>
        <w:tc>
          <w:tcPr>
            <w:tcW w:w="693" w:type="dxa"/>
            <w:tcBorders>
              <w:top w:val="single" w:color="000000" w:sz="4" w:space="0"/>
              <w:left w:val="single" w:color="000000" w:sz="4" w:space="0"/>
              <w:bottom w:val="single" w:color="000000" w:sz="4" w:space="0"/>
              <w:right w:val="nil"/>
            </w:tcBorders>
            <w:vAlign w:val="center"/>
          </w:tcPr>
          <w:p w14:paraId="50658A19">
            <w:pPr>
              <w:pStyle w:val="98"/>
              <w:ind w:left="-105" w:right="-105"/>
              <w:rPr>
                <w:rFonts w:eastAsia="宋体"/>
                <w:color w:val="auto"/>
                <w:sz w:val="21"/>
                <w:szCs w:val="21"/>
                <w:highlight w:val="none"/>
              </w:rPr>
            </w:pPr>
            <w:r>
              <w:rPr>
                <w:rFonts w:eastAsia="宋体"/>
                <w:color w:val="auto"/>
                <w:sz w:val="21"/>
                <w:szCs w:val="21"/>
                <w:highlight w:val="none"/>
              </w:rPr>
              <w:t>/</w:t>
            </w:r>
          </w:p>
        </w:tc>
      </w:tr>
      <w:tr w14:paraId="45746B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1FCC92BC">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57E5F658">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41FC1377">
            <w:pPr>
              <w:pStyle w:val="98"/>
              <w:ind w:left="-105" w:right="-105"/>
              <w:rPr>
                <w:rFonts w:eastAsia="宋体"/>
                <w:color w:val="auto"/>
                <w:sz w:val="21"/>
                <w:szCs w:val="21"/>
                <w:highlight w:val="none"/>
              </w:rPr>
            </w:pPr>
            <w:r>
              <w:rPr>
                <w:rFonts w:eastAsia="宋体"/>
                <w:color w:val="auto"/>
                <w:sz w:val="21"/>
                <w:szCs w:val="21"/>
                <w:highlight w:val="none"/>
              </w:rPr>
              <w:t>2.2</w:t>
            </w:r>
          </w:p>
        </w:tc>
        <w:tc>
          <w:tcPr>
            <w:tcW w:w="687" w:type="dxa"/>
            <w:tcBorders>
              <w:top w:val="single" w:color="000000" w:sz="4" w:space="0"/>
              <w:left w:val="single" w:color="000000" w:sz="4" w:space="0"/>
              <w:bottom w:val="single" w:color="000000" w:sz="4" w:space="0"/>
              <w:right w:val="single" w:color="000000" w:sz="4" w:space="0"/>
            </w:tcBorders>
            <w:vAlign w:val="center"/>
          </w:tcPr>
          <w:p w14:paraId="76C2D83C">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6A07D0F5">
            <w:pPr>
              <w:pStyle w:val="98"/>
              <w:ind w:left="-105" w:right="-105"/>
              <w:rPr>
                <w:rFonts w:eastAsia="宋体"/>
                <w:color w:val="auto"/>
                <w:sz w:val="21"/>
                <w:szCs w:val="21"/>
                <w:highlight w:val="none"/>
              </w:rPr>
            </w:pPr>
            <w:r>
              <w:rPr>
                <w:rFonts w:eastAsia="宋体"/>
                <w:color w:val="auto"/>
                <w:sz w:val="21"/>
                <w:szCs w:val="21"/>
                <w:highlight w:val="none"/>
              </w:rPr>
              <w:t>2.7</w:t>
            </w:r>
          </w:p>
        </w:tc>
        <w:tc>
          <w:tcPr>
            <w:tcW w:w="688" w:type="dxa"/>
            <w:tcBorders>
              <w:top w:val="single" w:color="000000" w:sz="4" w:space="0"/>
              <w:left w:val="single" w:color="000000" w:sz="4" w:space="0"/>
              <w:bottom w:val="single" w:color="000000" w:sz="4" w:space="0"/>
              <w:right w:val="single" w:color="000000" w:sz="4" w:space="0"/>
            </w:tcBorders>
            <w:vAlign w:val="center"/>
          </w:tcPr>
          <w:p w14:paraId="51FCD470">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0AFBF7B5">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49D06CA2">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36F725ED">
            <w:pPr>
              <w:pStyle w:val="98"/>
              <w:ind w:left="-105" w:right="-105"/>
              <w:rPr>
                <w:rFonts w:eastAsia="宋体"/>
                <w:color w:val="auto"/>
                <w:sz w:val="21"/>
                <w:szCs w:val="21"/>
                <w:highlight w:val="none"/>
              </w:rPr>
            </w:pPr>
            <w:r>
              <w:rPr>
                <w:rFonts w:eastAsia="宋体"/>
                <w:color w:val="auto"/>
                <w:sz w:val="21"/>
                <w:szCs w:val="21"/>
                <w:highlight w:val="none"/>
              </w:rPr>
              <w:t>1.9</w:t>
            </w:r>
          </w:p>
        </w:tc>
        <w:tc>
          <w:tcPr>
            <w:tcW w:w="687" w:type="dxa"/>
            <w:tcBorders>
              <w:top w:val="single" w:color="000000" w:sz="4" w:space="0"/>
              <w:left w:val="single" w:color="000000" w:sz="4" w:space="0"/>
              <w:bottom w:val="single" w:color="000000" w:sz="4" w:space="0"/>
              <w:right w:val="single" w:color="000000" w:sz="4" w:space="0"/>
            </w:tcBorders>
            <w:vAlign w:val="center"/>
          </w:tcPr>
          <w:p w14:paraId="502F2ECA">
            <w:pPr>
              <w:pStyle w:val="98"/>
              <w:ind w:left="-105" w:right="-105"/>
              <w:rPr>
                <w:rFonts w:eastAsia="宋体"/>
                <w:color w:val="auto"/>
                <w:sz w:val="21"/>
                <w:szCs w:val="21"/>
                <w:highlight w:val="none"/>
              </w:rPr>
            </w:pPr>
            <w:r>
              <w:rPr>
                <w:rFonts w:eastAsia="宋体"/>
                <w:color w:val="auto"/>
                <w:sz w:val="21"/>
                <w:szCs w:val="21"/>
                <w:highlight w:val="none"/>
              </w:rPr>
              <w:t>1.1</w:t>
            </w:r>
          </w:p>
        </w:tc>
        <w:tc>
          <w:tcPr>
            <w:tcW w:w="687" w:type="dxa"/>
            <w:tcBorders>
              <w:top w:val="single" w:color="000000" w:sz="4" w:space="0"/>
              <w:left w:val="single" w:color="000000" w:sz="4" w:space="0"/>
              <w:bottom w:val="single" w:color="000000" w:sz="4" w:space="0"/>
              <w:right w:val="single" w:color="000000" w:sz="4" w:space="0"/>
            </w:tcBorders>
            <w:vAlign w:val="center"/>
          </w:tcPr>
          <w:p w14:paraId="3085DE67">
            <w:pPr>
              <w:pStyle w:val="98"/>
              <w:ind w:left="-105" w:right="-105"/>
              <w:rPr>
                <w:rFonts w:eastAsia="宋体"/>
                <w:color w:val="auto"/>
                <w:sz w:val="21"/>
                <w:szCs w:val="21"/>
                <w:highlight w:val="none"/>
              </w:rPr>
            </w:pPr>
            <w:r>
              <w:rPr>
                <w:rFonts w:eastAsia="宋体"/>
                <w:color w:val="auto"/>
                <w:sz w:val="21"/>
                <w:szCs w:val="21"/>
                <w:highlight w:val="none"/>
              </w:rPr>
              <w:t>2.3</w:t>
            </w:r>
          </w:p>
        </w:tc>
        <w:tc>
          <w:tcPr>
            <w:tcW w:w="687" w:type="dxa"/>
            <w:tcBorders>
              <w:top w:val="single" w:color="000000" w:sz="4" w:space="0"/>
              <w:left w:val="single" w:color="000000" w:sz="4" w:space="0"/>
              <w:bottom w:val="single" w:color="000000" w:sz="4" w:space="0"/>
              <w:right w:val="single" w:color="000000" w:sz="4" w:space="0"/>
            </w:tcBorders>
            <w:vAlign w:val="center"/>
          </w:tcPr>
          <w:p w14:paraId="24C9704C">
            <w:pPr>
              <w:pStyle w:val="98"/>
              <w:ind w:left="-105" w:right="-105"/>
              <w:rPr>
                <w:rFonts w:eastAsia="宋体"/>
                <w:color w:val="auto"/>
                <w:sz w:val="21"/>
                <w:szCs w:val="21"/>
                <w:highlight w:val="none"/>
              </w:rPr>
            </w:pPr>
            <w:r>
              <w:rPr>
                <w:rFonts w:eastAsia="宋体"/>
                <w:color w:val="auto"/>
                <w:sz w:val="21"/>
                <w:szCs w:val="21"/>
                <w:highlight w:val="none"/>
              </w:rPr>
              <w:t>0.6</w:t>
            </w:r>
          </w:p>
        </w:tc>
        <w:tc>
          <w:tcPr>
            <w:tcW w:w="684" w:type="dxa"/>
            <w:tcBorders>
              <w:top w:val="single" w:color="000000" w:sz="4" w:space="0"/>
              <w:left w:val="single" w:color="000000" w:sz="4" w:space="0"/>
              <w:bottom w:val="single" w:color="000000" w:sz="4" w:space="0"/>
              <w:right w:val="single" w:color="000000" w:sz="4" w:space="0"/>
            </w:tcBorders>
            <w:vAlign w:val="center"/>
          </w:tcPr>
          <w:p w14:paraId="43BD80E1">
            <w:pPr>
              <w:pStyle w:val="98"/>
              <w:ind w:left="-105" w:right="-105"/>
              <w:rPr>
                <w:rFonts w:eastAsia="宋体"/>
                <w:color w:val="auto"/>
                <w:sz w:val="21"/>
                <w:szCs w:val="21"/>
                <w:highlight w:val="none"/>
              </w:rPr>
            </w:pPr>
            <w:r>
              <w:rPr>
                <w:rFonts w:eastAsia="宋体"/>
                <w:color w:val="auto"/>
                <w:sz w:val="21"/>
                <w:szCs w:val="21"/>
                <w:highlight w:val="none"/>
              </w:rPr>
              <w:t>1.7</w:t>
            </w:r>
          </w:p>
        </w:tc>
        <w:tc>
          <w:tcPr>
            <w:tcW w:w="714" w:type="dxa"/>
            <w:tcBorders>
              <w:top w:val="single" w:color="000000" w:sz="4" w:space="0"/>
              <w:left w:val="single" w:color="000000" w:sz="4" w:space="0"/>
              <w:bottom w:val="single" w:color="000000" w:sz="4" w:space="0"/>
              <w:right w:val="single" w:color="000000" w:sz="4" w:space="0"/>
            </w:tcBorders>
            <w:vAlign w:val="center"/>
          </w:tcPr>
          <w:p w14:paraId="5FE71F8C">
            <w:pPr>
              <w:pStyle w:val="98"/>
              <w:ind w:left="-105" w:right="-105"/>
              <w:rPr>
                <w:rFonts w:eastAsia="宋体"/>
                <w:color w:val="auto"/>
                <w:sz w:val="21"/>
                <w:szCs w:val="21"/>
                <w:highlight w:val="none"/>
              </w:rPr>
            </w:pPr>
            <w:r>
              <w:rPr>
                <w:rFonts w:eastAsia="宋体"/>
                <w:color w:val="auto"/>
                <w:sz w:val="21"/>
                <w:szCs w:val="21"/>
                <w:highlight w:val="none"/>
              </w:rPr>
              <w:t>2.6</w:t>
            </w:r>
          </w:p>
        </w:tc>
        <w:tc>
          <w:tcPr>
            <w:tcW w:w="686" w:type="dxa"/>
            <w:tcBorders>
              <w:top w:val="single" w:color="000000" w:sz="4" w:space="0"/>
              <w:left w:val="single" w:color="000000" w:sz="4" w:space="0"/>
              <w:bottom w:val="single" w:color="000000" w:sz="4" w:space="0"/>
              <w:right w:val="single" w:color="000000" w:sz="4" w:space="0"/>
            </w:tcBorders>
            <w:vAlign w:val="center"/>
          </w:tcPr>
          <w:p w14:paraId="5AC7998C">
            <w:pPr>
              <w:pStyle w:val="98"/>
              <w:ind w:left="-105" w:right="-105"/>
              <w:rPr>
                <w:rFonts w:eastAsia="宋体"/>
                <w:color w:val="auto"/>
                <w:sz w:val="21"/>
                <w:szCs w:val="21"/>
                <w:highlight w:val="none"/>
              </w:rPr>
            </w:pPr>
            <w:r>
              <w:rPr>
                <w:rFonts w:eastAsia="宋体"/>
                <w:color w:val="auto"/>
                <w:sz w:val="21"/>
                <w:szCs w:val="21"/>
                <w:highlight w:val="none"/>
              </w:rPr>
              <w:t>3.5</w:t>
            </w:r>
          </w:p>
        </w:tc>
        <w:tc>
          <w:tcPr>
            <w:tcW w:w="747" w:type="dxa"/>
            <w:tcBorders>
              <w:top w:val="single" w:color="000000" w:sz="4" w:space="0"/>
              <w:left w:val="single" w:color="000000" w:sz="4" w:space="0"/>
              <w:bottom w:val="single" w:color="000000" w:sz="4" w:space="0"/>
              <w:right w:val="single" w:color="000000" w:sz="4" w:space="0"/>
            </w:tcBorders>
            <w:vAlign w:val="center"/>
          </w:tcPr>
          <w:p w14:paraId="24DA7556">
            <w:pPr>
              <w:pStyle w:val="98"/>
              <w:ind w:left="-105" w:right="-105"/>
              <w:rPr>
                <w:rFonts w:eastAsia="宋体"/>
                <w:color w:val="auto"/>
                <w:sz w:val="21"/>
                <w:szCs w:val="21"/>
                <w:highlight w:val="none"/>
              </w:rPr>
            </w:pPr>
            <w:r>
              <w:rPr>
                <w:rFonts w:eastAsia="宋体"/>
                <w:color w:val="auto"/>
                <w:sz w:val="21"/>
                <w:szCs w:val="21"/>
                <w:highlight w:val="none"/>
              </w:rPr>
              <w:t>3.4</w:t>
            </w:r>
          </w:p>
        </w:tc>
        <w:tc>
          <w:tcPr>
            <w:tcW w:w="686" w:type="dxa"/>
            <w:tcBorders>
              <w:top w:val="single" w:color="000000" w:sz="4" w:space="0"/>
              <w:left w:val="single" w:color="000000" w:sz="4" w:space="0"/>
              <w:bottom w:val="single" w:color="000000" w:sz="4" w:space="0"/>
              <w:right w:val="single" w:color="000000" w:sz="4" w:space="0"/>
            </w:tcBorders>
            <w:vAlign w:val="center"/>
          </w:tcPr>
          <w:p w14:paraId="7EEDE939">
            <w:pPr>
              <w:pStyle w:val="98"/>
              <w:ind w:left="-105" w:right="-105"/>
              <w:rPr>
                <w:rFonts w:eastAsia="宋体"/>
                <w:color w:val="auto"/>
                <w:sz w:val="21"/>
                <w:szCs w:val="21"/>
                <w:highlight w:val="none"/>
              </w:rPr>
            </w:pPr>
            <w:r>
              <w:rPr>
                <w:rFonts w:eastAsia="宋体"/>
                <w:color w:val="auto"/>
                <w:sz w:val="21"/>
                <w:szCs w:val="21"/>
                <w:highlight w:val="none"/>
              </w:rPr>
              <w:t>2.8</w:t>
            </w:r>
          </w:p>
        </w:tc>
        <w:tc>
          <w:tcPr>
            <w:tcW w:w="700" w:type="dxa"/>
            <w:tcBorders>
              <w:top w:val="single" w:color="000000" w:sz="4" w:space="0"/>
              <w:left w:val="single" w:color="000000" w:sz="4" w:space="0"/>
              <w:bottom w:val="single" w:color="000000" w:sz="4" w:space="0"/>
              <w:right w:val="single" w:color="000000" w:sz="4" w:space="0"/>
            </w:tcBorders>
            <w:vAlign w:val="center"/>
          </w:tcPr>
          <w:p w14:paraId="75106607">
            <w:pPr>
              <w:pStyle w:val="98"/>
              <w:ind w:left="-105" w:right="-105"/>
              <w:rPr>
                <w:rFonts w:eastAsia="宋体"/>
                <w:color w:val="auto"/>
                <w:sz w:val="21"/>
                <w:szCs w:val="21"/>
                <w:highlight w:val="none"/>
              </w:rPr>
            </w:pPr>
            <w:r>
              <w:rPr>
                <w:rFonts w:eastAsia="宋体"/>
                <w:color w:val="auto"/>
                <w:sz w:val="21"/>
                <w:szCs w:val="21"/>
                <w:highlight w:val="none"/>
              </w:rPr>
              <w:t>2.6</w:t>
            </w:r>
          </w:p>
        </w:tc>
        <w:tc>
          <w:tcPr>
            <w:tcW w:w="686" w:type="dxa"/>
            <w:tcBorders>
              <w:top w:val="single" w:color="000000" w:sz="4" w:space="0"/>
              <w:left w:val="single" w:color="000000" w:sz="4" w:space="0"/>
              <w:bottom w:val="single" w:color="000000" w:sz="4" w:space="0"/>
              <w:right w:val="single" w:color="000000" w:sz="4" w:space="0"/>
            </w:tcBorders>
            <w:vAlign w:val="center"/>
          </w:tcPr>
          <w:p w14:paraId="3559B7AD">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1F1DCC74">
            <w:pPr>
              <w:pStyle w:val="98"/>
              <w:ind w:left="-105" w:right="-105"/>
              <w:rPr>
                <w:rFonts w:eastAsia="宋体"/>
                <w:color w:val="auto"/>
                <w:sz w:val="21"/>
                <w:szCs w:val="21"/>
                <w:highlight w:val="none"/>
              </w:rPr>
            </w:pPr>
            <w:r>
              <w:rPr>
                <w:rFonts w:eastAsia="宋体"/>
                <w:color w:val="auto"/>
                <w:sz w:val="21"/>
                <w:szCs w:val="21"/>
                <w:highlight w:val="none"/>
              </w:rPr>
              <w:t>2.36</w:t>
            </w:r>
          </w:p>
        </w:tc>
      </w:tr>
      <w:tr w14:paraId="4A6270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19BA471F">
            <w:pPr>
              <w:pStyle w:val="98"/>
              <w:ind w:left="-105" w:right="-105"/>
              <w:rPr>
                <w:rFonts w:eastAsia="宋体"/>
                <w:color w:val="auto"/>
                <w:sz w:val="21"/>
                <w:szCs w:val="21"/>
                <w:highlight w:val="none"/>
              </w:rPr>
            </w:pPr>
            <w:r>
              <w:rPr>
                <w:rFonts w:eastAsia="宋体"/>
                <w:color w:val="auto"/>
                <w:sz w:val="21"/>
                <w:szCs w:val="21"/>
                <w:highlight w:val="none"/>
              </w:rPr>
              <w:t>2月</w:t>
            </w:r>
          </w:p>
        </w:tc>
        <w:tc>
          <w:tcPr>
            <w:tcW w:w="687" w:type="dxa"/>
            <w:tcBorders>
              <w:top w:val="single" w:color="000000" w:sz="4" w:space="0"/>
              <w:left w:val="single" w:color="000000" w:sz="4" w:space="0"/>
              <w:bottom w:val="single" w:color="000000" w:sz="4" w:space="0"/>
              <w:right w:val="single" w:color="000000" w:sz="4" w:space="0"/>
            </w:tcBorders>
            <w:vAlign w:val="center"/>
          </w:tcPr>
          <w:p w14:paraId="5A9071B9">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5231BBB3">
            <w:pPr>
              <w:pStyle w:val="98"/>
              <w:ind w:left="-105" w:right="-105"/>
              <w:rPr>
                <w:rFonts w:eastAsia="宋体"/>
                <w:color w:val="auto"/>
                <w:sz w:val="21"/>
                <w:szCs w:val="21"/>
                <w:highlight w:val="none"/>
              </w:rPr>
            </w:pPr>
            <w:r>
              <w:rPr>
                <w:rFonts w:eastAsia="宋体"/>
                <w:color w:val="auto"/>
                <w:sz w:val="21"/>
                <w:szCs w:val="21"/>
                <w:highlight w:val="none"/>
              </w:rPr>
              <w:t>8</w:t>
            </w:r>
          </w:p>
        </w:tc>
        <w:tc>
          <w:tcPr>
            <w:tcW w:w="687" w:type="dxa"/>
            <w:tcBorders>
              <w:top w:val="single" w:color="000000" w:sz="4" w:space="0"/>
              <w:left w:val="single" w:color="000000" w:sz="4" w:space="0"/>
              <w:bottom w:val="single" w:color="000000" w:sz="4" w:space="0"/>
              <w:right w:val="single" w:color="000000" w:sz="4" w:space="0"/>
            </w:tcBorders>
            <w:vAlign w:val="center"/>
          </w:tcPr>
          <w:p w14:paraId="302E5609">
            <w:pPr>
              <w:pStyle w:val="98"/>
              <w:ind w:left="-105" w:right="-105"/>
              <w:rPr>
                <w:rFonts w:eastAsia="宋体"/>
                <w:color w:val="auto"/>
                <w:sz w:val="21"/>
                <w:szCs w:val="21"/>
                <w:highlight w:val="none"/>
              </w:rPr>
            </w:pPr>
            <w:r>
              <w:rPr>
                <w:rFonts w:eastAsia="宋体"/>
                <w:color w:val="auto"/>
                <w:sz w:val="21"/>
                <w:szCs w:val="21"/>
                <w:highlight w:val="none"/>
              </w:rPr>
              <w:t>6</w:t>
            </w:r>
          </w:p>
        </w:tc>
        <w:tc>
          <w:tcPr>
            <w:tcW w:w="687" w:type="dxa"/>
            <w:tcBorders>
              <w:top w:val="single" w:color="000000" w:sz="4" w:space="0"/>
              <w:left w:val="single" w:color="000000" w:sz="4" w:space="0"/>
              <w:bottom w:val="single" w:color="000000" w:sz="4" w:space="0"/>
              <w:right w:val="single" w:color="000000" w:sz="4" w:space="0"/>
            </w:tcBorders>
            <w:vAlign w:val="center"/>
          </w:tcPr>
          <w:p w14:paraId="446A8474">
            <w:pPr>
              <w:pStyle w:val="98"/>
              <w:ind w:left="-105" w:right="-105"/>
              <w:rPr>
                <w:rFonts w:eastAsia="宋体"/>
                <w:color w:val="auto"/>
                <w:sz w:val="21"/>
                <w:szCs w:val="21"/>
                <w:highlight w:val="none"/>
              </w:rPr>
            </w:pPr>
            <w:r>
              <w:rPr>
                <w:rFonts w:eastAsia="宋体"/>
                <w:color w:val="auto"/>
                <w:sz w:val="21"/>
                <w:szCs w:val="21"/>
                <w:highlight w:val="none"/>
              </w:rPr>
              <w:t>8.2</w:t>
            </w:r>
          </w:p>
        </w:tc>
        <w:tc>
          <w:tcPr>
            <w:tcW w:w="688" w:type="dxa"/>
            <w:tcBorders>
              <w:top w:val="single" w:color="000000" w:sz="4" w:space="0"/>
              <w:left w:val="single" w:color="000000" w:sz="4" w:space="0"/>
              <w:bottom w:val="single" w:color="000000" w:sz="4" w:space="0"/>
              <w:right w:val="single" w:color="000000" w:sz="4" w:space="0"/>
            </w:tcBorders>
            <w:vAlign w:val="center"/>
          </w:tcPr>
          <w:p w14:paraId="643B0A8F">
            <w:pPr>
              <w:pStyle w:val="98"/>
              <w:ind w:left="-105" w:right="-105"/>
              <w:rPr>
                <w:rFonts w:eastAsia="宋体"/>
                <w:color w:val="auto"/>
                <w:sz w:val="21"/>
                <w:szCs w:val="21"/>
                <w:highlight w:val="none"/>
              </w:rPr>
            </w:pPr>
            <w:r>
              <w:rPr>
                <w:rFonts w:eastAsia="宋体"/>
                <w:color w:val="auto"/>
                <w:sz w:val="21"/>
                <w:szCs w:val="21"/>
                <w:highlight w:val="none"/>
              </w:rPr>
              <w:t>7.2</w:t>
            </w:r>
          </w:p>
        </w:tc>
        <w:tc>
          <w:tcPr>
            <w:tcW w:w="687" w:type="dxa"/>
            <w:tcBorders>
              <w:top w:val="single" w:color="000000" w:sz="4" w:space="0"/>
              <w:left w:val="single" w:color="000000" w:sz="4" w:space="0"/>
              <w:bottom w:val="single" w:color="000000" w:sz="4" w:space="0"/>
              <w:right w:val="single" w:color="000000" w:sz="4" w:space="0"/>
            </w:tcBorders>
            <w:vAlign w:val="center"/>
          </w:tcPr>
          <w:p w14:paraId="5BE653EB">
            <w:pPr>
              <w:pStyle w:val="98"/>
              <w:ind w:left="-105" w:right="-105"/>
              <w:rPr>
                <w:rFonts w:eastAsia="宋体"/>
                <w:color w:val="auto"/>
                <w:sz w:val="21"/>
                <w:szCs w:val="21"/>
                <w:highlight w:val="none"/>
              </w:rPr>
            </w:pPr>
            <w:r>
              <w:rPr>
                <w:rFonts w:eastAsia="宋体"/>
                <w:color w:val="auto"/>
                <w:sz w:val="21"/>
                <w:szCs w:val="21"/>
                <w:highlight w:val="none"/>
              </w:rPr>
              <w:t>4.8</w:t>
            </w:r>
          </w:p>
        </w:tc>
        <w:tc>
          <w:tcPr>
            <w:tcW w:w="687" w:type="dxa"/>
            <w:tcBorders>
              <w:top w:val="single" w:color="000000" w:sz="4" w:space="0"/>
              <w:left w:val="single" w:color="000000" w:sz="4" w:space="0"/>
              <w:bottom w:val="single" w:color="000000" w:sz="4" w:space="0"/>
              <w:right w:val="single" w:color="000000" w:sz="4" w:space="0"/>
            </w:tcBorders>
            <w:vAlign w:val="center"/>
          </w:tcPr>
          <w:p w14:paraId="30F1B696">
            <w:pPr>
              <w:pStyle w:val="98"/>
              <w:ind w:left="-105" w:right="-105"/>
              <w:rPr>
                <w:rFonts w:eastAsia="宋体"/>
                <w:color w:val="auto"/>
                <w:sz w:val="21"/>
                <w:szCs w:val="21"/>
                <w:highlight w:val="none"/>
              </w:rPr>
            </w:pPr>
            <w:r>
              <w:rPr>
                <w:rFonts w:eastAsia="宋体"/>
                <w:color w:val="auto"/>
                <w:sz w:val="21"/>
                <w:szCs w:val="21"/>
                <w:highlight w:val="none"/>
              </w:rPr>
              <w:t>9</w:t>
            </w:r>
          </w:p>
        </w:tc>
        <w:tc>
          <w:tcPr>
            <w:tcW w:w="687" w:type="dxa"/>
            <w:tcBorders>
              <w:top w:val="single" w:color="000000" w:sz="4" w:space="0"/>
              <w:left w:val="single" w:color="000000" w:sz="4" w:space="0"/>
              <w:bottom w:val="single" w:color="000000" w:sz="4" w:space="0"/>
              <w:right w:val="single" w:color="000000" w:sz="4" w:space="0"/>
            </w:tcBorders>
            <w:vAlign w:val="center"/>
          </w:tcPr>
          <w:p w14:paraId="6EF41821">
            <w:pPr>
              <w:pStyle w:val="98"/>
              <w:ind w:left="-105" w:right="-105"/>
              <w:rPr>
                <w:rFonts w:eastAsia="宋体"/>
                <w:color w:val="auto"/>
                <w:sz w:val="21"/>
                <w:szCs w:val="21"/>
                <w:highlight w:val="none"/>
              </w:rPr>
            </w:pPr>
            <w:r>
              <w:rPr>
                <w:rFonts w:eastAsia="宋体"/>
                <w:color w:val="auto"/>
                <w:sz w:val="21"/>
                <w:szCs w:val="21"/>
                <w:highlight w:val="none"/>
              </w:rPr>
              <w:t>5</w:t>
            </w:r>
          </w:p>
        </w:tc>
        <w:tc>
          <w:tcPr>
            <w:tcW w:w="687" w:type="dxa"/>
            <w:tcBorders>
              <w:top w:val="single" w:color="000000" w:sz="4" w:space="0"/>
              <w:left w:val="single" w:color="000000" w:sz="4" w:space="0"/>
              <w:bottom w:val="single" w:color="000000" w:sz="4" w:space="0"/>
              <w:right w:val="single" w:color="000000" w:sz="4" w:space="0"/>
            </w:tcBorders>
            <w:vAlign w:val="center"/>
          </w:tcPr>
          <w:p w14:paraId="6E09C674">
            <w:pPr>
              <w:pStyle w:val="98"/>
              <w:ind w:left="-105" w:right="-105"/>
              <w:rPr>
                <w:rFonts w:eastAsia="宋体"/>
                <w:color w:val="auto"/>
                <w:sz w:val="21"/>
                <w:szCs w:val="21"/>
                <w:highlight w:val="none"/>
              </w:rPr>
            </w:pPr>
            <w:r>
              <w:rPr>
                <w:rFonts w:eastAsia="宋体"/>
                <w:color w:val="auto"/>
                <w:sz w:val="21"/>
                <w:szCs w:val="21"/>
                <w:highlight w:val="none"/>
              </w:rPr>
              <w:t>4.6</w:t>
            </w:r>
          </w:p>
        </w:tc>
        <w:tc>
          <w:tcPr>
            <w:tcW w:w="687" w:type="dxa"/>
            <w:tcBorders>
              <w:top w:val="single" w:color="000000" w:sz="4" w:space="0"/>
              <w:left w:val="single" w:color="000000" w:sz="4" w:space="0"/>
              <w:bottom w:val="single" w:color="000000" w:sz="4" w:space="0"/>
              <w:right w:val="single" w:color="000000" w:sz="4" w:space="0"/>
            </w:tcBorders>
            <w:vAlign w:val="center"/>
          </w:tcPr>
          <w:p w14:paraId="449378D2">
            <w:pPr>
              <w:pStyle w:val="98"/>
              <w:ind w:left="-105" w:right="-105"/>
              <w:rPr>
                <w:rFonts w:eastAsia="宋体"/>
                <w:color w:val="auto"/>
                <w:sz w:val="21"/>
                <w:szCs w:val="21"/>
                <w:highlight w:val="none"/>
              </w:rPr>
            </w:pPr>
            <w:r>
              <w:rPr>
                <w:rFonts w:eastAsia="宋体"/>
                <w:color w:val="auto"/>
                <w:sz w:val="21"/>
                <w:szCs w:val="21"/>
                <w:highlight w:val="none"/>
              </w:rPr>
              <w:t>1.4</w:t>
            </w:r>
          </w:p>
        </w:tc>
        <w:tc>
          <w:tcPr>
            <w:tcW w:w="687" w:type="dxa"/>
            <w:tcBorders>
              <w:top w:val="single" w:color="000000" w:sz="4" w:space="0"/>
              <w:left w:val="single" w:color="000000" w:sz="4" w:space="0"/>
              <w:bottom w:val="single" w:color="000000" w:sz="4" w:space="0"/>
              <w:right w:val="single" w:color="000000" w:sz="4" w:space="0"/>
            </w:tcBorders>
            <w:vAlign w:val="center"/>
          </w:tcPr>
          <w:p w14:paraId="415C0E13">
            <w:pPr>
              <w:pStyle w:val="98"/>
              <w:ind w:left="-105" w:right="-105"/>
              <w:rPr>
                <w:rFonts w:eastAsia="宋体"/>
                <w:color w:val="auto"/>
                <w:sz w:val="21"/>
                <w:szCs w:val="21"/>
                <w:highlight w:val="none"/>
              </w:rPr>
            </w:pPr>
            <w:r>
              <w:rPr>
                <w:rFonts w:eastAsia="宋体"/>
                <w:color w:val="auto"/>
                <w:sz w:val="21"/>
                <w:szCs w:val="21"/>
                <w:highlight w:val="none"/>
              </w:rPr>
              <w:t>3.4</w:t>
            </w:r>
          </w:p>
        </w:tc>
        <w:tc>
          <w:tcPr>
            <w:tcW w:w="684" w:type="dxa"/>
            <w:tcBorders>
              <w:top w:val="single" w:color="000000" w:sz="4" w:space="0"/>
              <w:left w:val="single" w:color="000000" w:sz="4" w:space="0"/>
              <w:bottom w:val="single" w:color="000000" w:sz="4" w:space="0"/>
              <w:right w:val="single" w:color="000000" w:sz="4" w:space="0"/>
            </w:tcBorders>
            <w:vAlign w:val="center"/>
          </w:tcPr>
          <w:p w14:paraId="32B595CE">
            <w:pPr>
              <w:pStyle w:val="98"/>
              <w:ind w:left="-105" w:right="-105"/>
              <w:rPr>
                <w:rFonts w:eastAsia="宋体"/>
                <w:color w:val="auto"/>
                <w:sz w:val="21"/>
                <w:szCs w:val="21"/>
                <w:highlight w:val="none"/>
              </w:rPr>
            </w:pPr>
            <w:r>
              <w:rPr>
                <w:rFonts w:eastAsia="宋体"/>
                <w:color w:val="auto"/>
                <w:sz w:val="21"/>
                <w:szCs w:val="21"/>
                <w:highlight w:val="none"/>
              </w:rPr>
              <w:t>2</w:t>
            </w:r>
          </w:p>
        </w:tc>
        <w:tc>
          <w:tcPr>
            <w:tcW w:w="714" w:type="dxa"/>
            <w:tcBorders>
              <w:top w:val="single" w:color="000000" w:sz="4" w:space="0"/>
              <w:left w:val="single" w:color="000000" w:sz="4" w:space="0"/>
              <w:bottom w:val="single" w:color="000000" w:sz="4" w:space="0"/>
              <w:right w:val="single" w:color="000000" w:sz="4" w:space="0"/>
            </w:tcBorders>
            <w:vAlign w:val="center"/>
          </w:tcPr>
          <w:p w14:paraId="223C815A">
            <w:pPr>
              <w:pStyle w:val="98"/>
              <w:ind w:left="-105" w:right="-105"/>
              <w:rPr>
                <w:rFonts w:eastAsia="宋体"/>
                <w:color w:val="auto"/>
                <w:sz w:val="21"/>
                <w:szCs w:val="21"/>
                <w:highlight w:val="none"/>
              </w:rPr>
            </w:pPr>
            <w:r>
              <w:rPr>
                <w:rFonts w:eastAsia="宋体"/>
                <w:color w:val="auto"/>
                <w:sz w:val="21"/>
                <w:szCs w:val="21"/>
                <w:highlight w:val="none"/>
              </w:rPr>
              <w:t>1.6</w:t>
            </w:r>
          </w:p>
        </w:tc>
        <w:tc>
          <w:tcPr>
            <w:tcW w:w="686" w:type="dxa"/>
            <w:tcBorders>
              <w:top w:val="single" w:color="000000" w:sz="4" w:space="0"/>
              <w:left w:val="single" w:color="000000" w:sz="4" w:space="0"/>
              <w:bottom w:val="single" w:color="000000" w:sz="4" w:space="0"/>
              <w:right w:val="single" w:color="000000" w:sz="4" w:space="0"/>
            </w:tcBorders>
            <w:vAlign w:val="center"/>
          </w:tcPr>
          <w:p w14:paraId="623F12C7">
            <w:pPr>
              <w:pStyle w:val="98"/>
              <w:ind w:left="-105" w:right="-105"/>
              <w:rPr>
                <w:rFonts w:eastAsia="宋体"/>
                <w:color w:val="auto"/>
                <w:sz w:val="21"/>
                <w:szCs w:val="21"/>
                <w:highlight w:val="none"/>
              </w:rPr>
            </w:pPr>
            <w:r>
              <w:rPr>
                <w:rFonts w:eastAsia="宋体"/>
                <w:color w:val="auto"/>
                <w:sz w:val="21"/>
                <w:szCs w:val="21"/>
                <w:highlight w:val="none"/>
              </w:rPr>
              <w:t>4.8</w:t>
            </w:r>
          </w:p>
        </w:tc>
        <w:tc>
          <w:tcPr>
            <w:tcW w:w="747" w:type="dxa"/>
            <w:tcBorders>
              <w:top w:val="single" w:color="000000" w:sz="4" w:space="0"/>
              <w:left w:val="single" w:color="000000" w:sz="4" w:space="0"/>
              <w:bottom w:val="single" w:color="000000" w:sz="4" w:space="0"/>
              <w:right w:val="single" w:color="000000" w:sz="4" w:space="0"/>
            </w:tcBorders>
            <w:vAlign w:val="center"/>
          </w:tcPr>
          <w:p w14:paraId="5C1A9080">
            <w:pPr>
              <w:pStyle w:val="98"/>
              <w:ind w:left="-105" w:right="-105"/>
              <w:rPr>
                <w:rFonts w:eastAsia="宋体"/>
                <w:color w:val="auto"/>
                <w:sz w:val="21"/>
                <w:szCs w:val="21"/>
                <w:highlight w:val="none"/>
              </w:rPr>
            </w:pPr>
            <w:r>
              <w:rPr>
                <w:rFonts w:eastAsia="宋体"/>
                <w:color w:val="auto"/>
                <w:sz w:val="21"/>
                <w:szCs w:val="21"/>
                <w:highlight w:val="none"/>
              </w:rPr>
              <w:t>8.8</w:t>
            </w:r>
          </w:p>
        </w:tc>
        <w:tc>
          <w:tcPr>
            <w:tcW w:w="686" w:type="dxa"/>
            <w:tcBorders>
              <w:top w:val="single" w:color="000000" w:sz="4" w:space="0"/>
              <w:left w:val="single" w:color="000000" w:sz="4" w:space="0"/>
              <w:bottom w:val="single" w:color="000000" w:sz="4" w:space="0"/>
              <w:right w:val="single" w:color="000000" w:sz="4" w:space="0"/>
            </w:tcBorders>
            <w:vAlign w:val="center"/>
          </w:tcPr>
          <w:p w14:paraId="52F30509">
            <w:pPr>
              <w:pStyle w:val="98"/>
              <w:ind w:left="-105" w:right="-105"/>
              <w:rPr>
                <w:rFonts w:eastAsia="宋体"/>
                <w:color w:val="auto"/>
                <w:sz w:val="21"/>
                <w:szCs w:val="21"/>
                <w:highlight w:val="none"/>
              </w:rPr>
            </w:pPr>
            <w:r>
              <w:rPr>
                <w:rFonts w:eastAsia="宋体"/>
                <w:color w:val="auto"/>
                <w:sz w:val="21"/>
                <w:szCs w:val="21"/>
                <w:highlight w:val="none"/>
              </w:rPr>
              <w:t>5.4</w:t>
            </w:r>
          </w:p>
        </w:tc>
        <w:tc>
          <w:tcPr>
            <w:tcW w:w="700" w:type="dxa"/>
            <w:tcBorders>
              <w:top w:val="single" w:color="000000" w:sz="4" w:space="0"/>
              <w:left w:val="single" w:color="000000" w:sz="4" w:space="0"/>
              <w:bottom w:val="single" w:color="000000" w:sz="4" w:space="0"/>
              <w:right w:val="single" w:color="000000" w:sz="4" w:space="0"/>
            </w:tcBorders>
            <w:vAlign w:val="center"/>
          </w:tcPr>
          <w:p w14:paraId="3B9E8FF1">
            <w:pPr>
              <w:pStyle w:val="98"/>
              <w:ind w:left="-105" w:right="-105"/>
              <w:rPr>
                <w:rFonts w:eastAsia="宋体"/>
                <w:color w:val="auto"/>
                <w:sz w:val="21"/>
                <w:szCs w:val="21"/>
                <w:highlight w:val="none"/>
              </w:rPr>
            </w:pPr>
            <w:r>
              <w:rPr>
                <w:rFonts w:eastAsia="宋体"/>
                <w:color w:val="auto"/>
                <w:sz w:val="21"/>
                <w:szCs w:val="21"/>
                <w:highlight w:val="none"/>
              </w:rPr>
              <w:t>4.2</w:t>
            </w:r>
          </w:p>
        </w:tc>
        <w:tc>
          <w:tcPr>
            <w:tcW w:w="686" w:type="dxa"/>
            <w:tcBorders>
              <w:top w:val="single" w:color="000000" w:sz="4" w:space="0"/>
              <w:left w:val="single" w:color="000000" w:sz="4" w:space="0"/>
              <w:bottom w:val="single" w:color="000000" w:sz="4" w:space="0"/>
              <w:right w:val="single" w:color="000000" w:sz="4" w:space="0"/>
            </w:tcBorders>
            <w:vAlign w:val="center"/>
          </w:tcPr>
          <w:p w14:paraId="71D3C4AF">
            <w:pPr>
              <w:pStyle w:val="98"/>
              <w:ind w:left="-105" w:right="-105"/>
              <w:rPr>
                <w:rFonts w:eastAsia="宋体"/>
                <w:color w:val="auto"/>
                <w:sz w:val="21"/>
                <w:szCs w:val="21"/>
                <w:highlight w:val="none"/>
              </w:rPr>
            </w:pPr>
            <w:r>
              <w:rPr>
                <w:rFonts w:eastAsia="宋体"/>
                <w:color w:val="auto"/>
                <w:sz w:val="21"/>
                <w:szCs w:val="21"/>
                <w:highlight w:val="none"/>
              </w:rPr>
              <w:t>16</w:t>
            </w:r>
          </w:p>
        </w:tc>
        <w:tc>
          <w:tcPr>
            <w:tcW w:w="693" w:type="dxa"/>
            <w:tcBorders>
              <w:top w:val="single" w:color="000000" w:sz="4" w:space="0"/>
              <w:left w:val="single" w:color="000000" w:sz="4" w:space="0"/>
              <w:bottom w:val="single" w:color="000000" w:sz="4" w:space="0"/>
              <w:right w:val="nil"/>
            </w:tcBorders>
            <w:vAlign w:val="center"/>
          </w:tcPr>
          <w:p w14:paraId="06F01B64">
            <w:pPr>
              <w:pStyle w:val="98"/>
              <w:ind w:left="-105" w:right="-105"/>
              <w:rPr>
                <w:rFonts w:eastAsia="宋体"/>
                <w:color w:val="auto"/>
                <w:sz w:val="21"/>
                <w:szCs w:val="21"/>
                <w:highlight w:val="none"/>
              </w:rPr>
            </w:pPr>
            <w:r>
              <w:rPr>
                <w:rFonts w:eastAsia="宋体"/>
                <w:color w:val="auto"/>
                <w:sz w:val="21"/>
                <w:szCs w:val="21"/>
                <w:highlight w:val="none"/>
              </w:rPr>
              <w:t>/</w:t>
            </w:r>
          </w:p>
        </w:tc>
      </w:tr>
      <w:tr w14:paraId="1006C4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73D69C8D">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77BF6D96">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21CDC5DB">
            <w:pPr>
              <w:pStyle w:val="98"/>
              <w:ind w:left="-105" w:right="-105"/>
              <w:rPr>
                <w:rFonts w:eastAsia="宋体"/>
                <w:color w:val="auto"/>
                <w:sz w:val="21"/>
                <w:szCs w:val="21"/>
                <w:highlight w:val="none"/>
              </w:rPr>
            </w:pPr>
            <w:r>
              <w:rPr>
                <w:rFonts w:eastAsia="宋体"/>
                <w:color w:val="auto"/>
                <w:sz w:val="21"/>
                <w:szCs w:val="21"/>
                <w:highlight w:val="none"/>
              </w:rPr>
              <w:t>2.1</w:t>
            </w:r>
          </w:p>
        </w:tc>
        <w:tc>
          <w:tcPr>
            <w:tcW w:w="687" w:type="dxa"/>
            <w:tcBorders>
              <w:top w:val="single" w:color="000000" w:sz="4" w:space="0"/>
              <w:left w:val="single" w:color="000000" w:sz="4" w:space="0"/>
              <w:bottom w:val="single" w:color="000000" w:sz="4" w:space="0"/>
              <w:right w:val="single" w:color="000000" w:sz="4" w:space="0"/>
            </w:tcBorders>
            <w:vAlign w:val="center"/>
          </w:tcPr>
          <w:p w14:paraId="6F72B02F">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212CCC32">
            <w:pPr>
              <w:pStyle w:val="98"/>
              <w:ind w:left="-105" w:right="-105"/>
              <w:rPr>
                <w:rFonts w:eastAsia="宋体"/>
                <w:color w:val="auto"/>
                <w:sz w:val="21"/>
                <w:szCs w:val="21"/>
                <w:highlight w:val="none"/>
              </w:rPr>
            </w:pPr>
            <w:r>
              <w:rPr>
                <w:rFonts w:eastAsia="宋体"/>
                <w:color w:val="auto"/>
                <w:sz w:val="21"/>
                <w:szCs w:val="21"/>
                <w:highlight w:val="none"/>
              </w:rPr>
              <w:t>2.8</w:t>
            </w:r>
          </w:p>
        </w:tc>
        <w:tc>
          <w:tcPr>
            <w:tcW w:w="688" w:type="dxa"/>
            <w:tcBorders>
              <w:top w:val="single" w:color="000000" w:sz="4" w:space="0"/>
              <w:left w:val="single" w:color="000000" w:sz="4" w:space="0"/>
              <w:bottom w:val="single" w:color="000000" w:sz="4" w:space="0"/>
              <w:right w:val="single" w:color="000000" w:sz="4" w:space="0"/>
            </w:tcBorders>
            <w:vAlign w:val="center"/>
          </w:tcPr>
          <w:p w14:paraId="7267CB62">
            <w:pPr>
              <w:pStyle w:val="98"/>
              <w:ind w:left="-105" w:right="-105"/>
              <w:rPr>
                <w:rFonts w:eastAsia="宋体"/>
                <w:color w:val="auto"/>
                <w:sz w:val="21"/>
                <w:szCs w:val="21"/>
                <w:highlight w:val="none"/>
              </w:rPr>
            </w:pPr>
            <w:r>
              <w:rPr>
                <w:rFonts w:eastAsia="宋体"/>
                <w:color w:val="auto"/>
                <w:sz w:val="21"/>
                <w:szCs w:val="21"/>
                <w:highlight w:val="none"/>
              </w:rPr>
              <w:t>3.2</w:t>
            </w:r>
          </w:p>
        </w:tc>
        <w:tc>
          <w:tcPr>
            <w:tcW w:w="687" w:type="dxa"/>
            <w:tcBorders>
              <w:top w:val="single" w:color="000000" w:sz="4" w:space="0"/>
              <w:left w:val="single" w:color="000000" w:sz="4" w:space="0"/>
              <w:bottom w:val="single" w:color="000000" w:sz="4" w:space="0"/>
              <w:right w:val="single" w:color="000000" w:sz="4" w:space="0"/>
            </w:tcBorders>
            <w:vAlign w:val="center"/>
          </w:tcPr>
          <w:p w14:paraId="3A4BBB7A">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3608809D">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0754CFF7">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13312660">
            <w:pPr>
              <w:pStyle w:val="98"/>
              <w:ind w:left="-105" w:right="-105"/>
              <w:rPr>
                <w:rFonts w:eastAsia="宋体"/>
                <w:color w:val="auto"/>
                <w:sz w:val="21"/>
                <w:szCs w:val="21"/>
                <w:highlight w:val="none"/>
              </w:rPr>
            </w:pPr>
            <w:r>
              <w:rPr>
                <w:rFonts w:eastAsia="宋体"/>
                <w:color w:val="auto"/>
                <w:sz w:val="21"/>
                <w:szCs w:val="21"/>
                <w:highlight w:val="none"/>
              </w:rPr>
              <w:t>1.9</w:t>
            </w:r>
          </w:p>
        </w:tc>
        <w:tc>
          <w:tcPr>
            <w:tcW w:w="687" w:type="dxa"/>
            <w:tcBorders>
              <w:top w:val="single" w:color="000000" w:sz="4" w:space="0"/>
              <w:left w:val="single" w:color="000000" w:sz="4" w:space="0"/>
              <w:bottom w:val="single" w:color="000000" w:sz="4" w:space="0"/>
              <w:right w:val="single" w:color="000000" w:sz="4" w:space="0"/>
            </w:tcBorders>
            <w:vAlign w:val="center"/>
          </w:tcPr>
          <w:p w14:paraId="6813D0F1">
            <w:pPr>
              <w:pStyle w:val="98"/>
              <w:ind w:left="-105" w:right="-105"/>
              <w:rPr>
                <w:rFonts w:eastAsia="宋体"/>
                <w:color w:val="auto"/>
                <w:sz w:val="21"/>
                <w:szCs w:val="21"/>
                <w:highlight w:val="none"/>
              </w:rPr>
            </w:pPr>
            <w:r>
              <w:rPr>
                <w:rFonts w:eastAsia="宋体"/>
                <w:color w:val="auto"/>
                <w:sz w:val="21"/>
                <w:szCs w:val="21"/>
                <w:highlight w:val="none"/>
              </w:rPr>
              <w:t>1.5</w:t>
            </w:r>
          </w:p>
        </w:tc>
        <w:tc>
          <w:tcPr>
            <w:tcW w:w="687" w:type="dxa"/>
            <w:tcBorders>
              <w:top w:val="single" w:color="000000" w:sz="4" w:space="0"/>
              <w:left w:val="single" w:color="000000" w:sz="4" w:space="0"/>
              <w:bottom w:val="single" w:color="000000" w:sz="4" w:space="0"/>
              <w:right w:val="single" w:color="000000" w:sz="4" w:space="0"/>
            </w:tcBorders>
            <w:vAlign w:val="center"/>
          </w:tcPr>
          <w:p w14:paraId="5E3ACC53">
            <w:pPr>
              <w:pStyle w:val="98"/>
              <w:ind w:left="-105" w:right="-105"/>
              <w:rPr>
                <w:rFonts w:eastAsia="宋体"/>
                <w:color w:val="auto"/>
                <w:sz w:val="21"/>
                <w:szCs w:val="21"/>
                <w:highlight w:val="none"/>
              </w:rPr>
            </w:pPr>
            <w:r>
              <w:rPr>
                <w:rFonts w:eastAsia="宋体"/>
                <w:color w:val="auto"/>
                <w:sz w:val="21"/>
                <w:szCs w:val="21"/>
                <w:highlight w:val="none"/>
              </w:rPr>
              <w:t>2.6</w:t>
            </w:r>
          </w:p>
        </w:tc>
        <w:tc>
          <w:tcPr>
            <w:tcW w:w="684" w:type="dxa"/>
            <w:tcBorders>
              <w:top w:val="single" w:color="000000" w:sz="4" w:space="0"/>
              <w:left w:val="single" w:color="000000" w:sz="4" w:space="0"/>
              <w:bottom w:val="single" w:color="000000" w:sz="4" w:space="0"/>
              <w:right w:val="single" w:color="000000" w:sz="4" w:space="0"/>
            </w:tcBorders>
            <w:vAlign w:val="center"/>
          </w:tcPr>
          <w:p w14:paraId="3E29F424">
            <w:pPr>
              <w:pStyle w:val="98"/>
              <w:ind w:left="-105" w:right="-105"/>
              <w:rPr>
                <w:rFonts w:eastAsia="宋体"/>
                <w:color w:val="auto"/>
                <w:sz w:val="21"/>
                <w:szCs w:val="21"/>
                <w:highlight w:val="none"/>
              </w:rPr>
            </w:pPr>
            <w:r>
              <w:rPr>
                <w:rFonts w:eastAsia="宋体"/>
                <w:color w:val="auto"/>
                <w:sz w:val="21"/>
                <w:szCs w:val="21"/>
                <w:highlight w:val="none"/>
              </w:rPr>
              <w:t>1.7</w:t>
            </w:r>
          </w:p>
        </w:tc>
        <w:tc>
          <w:tcPr>
            <w:tcW w:w="714" w:type="dxa"/>
            <w:tcBorders>
              <w:top w:val="single" w:color="000000" w:sz="4" w:space="0"/>
              <w:left w:val="single" w:color="000000" w:sz="4" w:space="0"/>
              <w:bottom w:val="single" w:color="000000" w:sz="4" w:space="0"/>
              <w:right w:val="single" w:color="000000" w:sz="4" w:space="0"/>
            </w:tcBorders>
            <w:vAlign w:val="center"/>
          </w:tcPr>
          <w:p w14:paraId="5A7BBD83">
            <w:pPr>
              <w:pStyle w:val="98"/>
              <w:ind w:left="-105" w:right="-105"/>
              <w:rPr>
                <w:rFonts w:eastAsia="宋体"/>
                <w:color w:val="auto"/>
                <w:sz w:val="21"/>
                <w:szCs w:val="21"/>
                <w:highlight w:val="none"/>
              </w:rPr>
            </w:pPr>
            <w:r>
              <w:rPr>
                <w:rFonts w:eastAsia="宋体"/>
                <w:color w:val="auto"/>
                <w:sz w:val="21"/>
                <w:szCs w:val="21"/>
                <w:highlight w:val="none"/>
              </w:rPr>
              <w:t>2.2</w:t>
            </w:r>
          </w:p>
        </w:tc>
        <w:tc>
          <w:tcPr>
            <w:tcW w:w="686" w:type="dxa"/>
            <w:tcBorders>
              <w:top w:val="single" w:color="000000" w:sz="4" w:space="0"/>
              <w:left w:val="single" w:color="000000" w:sz="4" w:space="0"/>
              <w:bottom w:val="single" w:color="000000" w:sz="4" w:space="0"/>
              <w:right w:val="single" w:color="000000" w:sz="4" w:space="0"/>
            </w:tcBorders>
            <w:vAlign w:val="center"/>
          </w:tcPr>
          <w:p w14:paraId="114ED122">
            <w:pPr>
              <w:pStyle w:val="98"/>
              <w:ind w:left="-105" w:right="-105"/>
              <w:rPr>
                <w:rFonts w:eastAsia="宋体"/>
                <w:color w:val="auto"/>
                <w:sz w:val="21"/>
                <w:szCs w:val="21"/>
                <w:highlight w:val="none"/>
              </w:rPr>
            </w:pPr>
            <w:r>
              <w:rPr>
                <w:rFonts w:eastAsia="宋体"/>
                <w:color w:val="auto"/>
                <w:sz w:val="21"/>
                <w:szCs w:val="21"/>
                <w:highlight w:val="none"/>
              </w:rPr>
              <w:t>5</w:t>
            </w:r>
          </w:p>
        </w:tc>
        <w:tc>
          <w:tcPr>
            <w:tcW w:w="747" w:type="dxa"/>
            <w:tcBorders>
              <w:top w:val="single" w:color="000000" w:sz="4" w:space="0"/>
              <w:left w:val="single" w:color="000000" w:sz="4" w:space="0"/>
              <w:bottom w:val="single" w:color="000000" w:sz="4" w:space="0"/>
              <w:right w:val="single" w:color="000000" w:sz="4" w:space="0"/>
            </w:tcBorders>
            <w:vAlign w:val="center"/>
          </w:tcPr>
          <w:p w14:paraId="651AC776">
            <w:pPr>
              <w:pStyle w:val="98"/>
              <w:ind w:left="-105" w:right="-105"/>
              <w:rPr>
                <w:rFonts w:eastAsia="宋体"/>
                <w:color w:val="auto"/>
                <w:sz w:val="21"/>
                <w:szCs w:val="21"/>
                <w:highlight w:val="none"/>
              </w:rPr>
            </w:pPr>
            <w:r>
              <w:rPr>
                <w:rFonts w:eastAsia="宋体"/>
                <w:color w:val="auto"/>
                <w:sz w:val="21"/>
                <w:szCs w:val="21"/>
                <w:highlight w:val="none"/>
              </w:rPr>
              <w:t>3.5</w:t>
            </w:r>
          </w:p>
        </w:tc>
        <w:tc>
          <w:tcPr>
            <w:tcW w:w="686" w:type="dxa"/>
            <w:tcBorders>
              <w:top w:val="single" w:color="000000" w:sz="4" w:space="0"/>
              <w:left w:val="single" w:color="000000" w:sz="4" w:space="0"/>
              <w:bottom w:val="single" w:color="000000" w:sz="4" w:space="0"/>
              <w:right w:val="single" w:color="000000" w:sz="4" w:space="0"/>
            </w:tcBorders>
            <w:vAlign w:val="center"/>
          </w:tcPr>
          <w:p w14:paraId="61E87BD5">
            <w:pPr>
              <w:pStyle w:val="98"/>
              <w:ind w:left="-105" w:right="-105"/>
              <w:rPr>
                <w:rFonts w:eastAsia="宋体"/>
                <w:color w:val="auto"/>
                <w:sz w:val="21"/>
                <w:szCs w:val="21"/>
                <w:highlight w:val="none"/>
              </w:rPr>
            </w:pPr>
            <w:r>
              <w:rPr>
                <w:rFonts w:eastAsia="宋体"/>
                <w:color w:val="auto"/>
                <w:sz w:val="21"/>
                <w:szCs w:val="21"/>
                <w:highlight w:val="none"/>
              </w:rPr>
              <w:t>3.5</w:t>
            </w:r>
          </w:p>
        </w:tc>
        <w:tc>
          <w:tcPr>
            <w:tcW w:w="700" w:type="dxa"/>
            <w:tcBorders>
              <w:top w:val="single" w:color="000000" w:sz="4" w:space="0"/>
              <w:left w:val="single" w:color="000000" w:sz="4" w:space="0"/>
              <w:bottom w:val="single" w:color="000000" w:sz="4" w:space="0"/>
              <w:right w:val="single" w:color="000000" w:sz="4" w:space="0"/>
            </w:tcBorders>
            <w:vAlign w:val="center"/>
          </w:tcPr>
          <w:p w14:paraId="665E5B52">
            <w:pPr>
              <w:pStyle w:val="98"/>
              <w:ind w:left="-105" w:right="-105"/>
              <w:rPr>
                <w:rFonts w:eastAsia="宋体"/>
                <w:color w:val="auto"/>
                <w:sz w:val="21"/>
                <w:szCs w:val="21"/>
                <w:highlight w:val="none"/>
              </w:rPr>
            </w:pPr>
            <w:r>
              <w:rPr>
                <w:rFonts w:eastAsia="宋体"/>
                <w:color w:val="auto"/>
                <w:sz w:val="21"/>
                <w:szCs w:val="21"/>
                <w:highlight w:val="none"/>
              </w:rPr>
              <w:t>2.9</w:t>
            </w:r>
          </w:p>
        </w:tc>
        <w:tc>
          <w:tcPr>
            <w:tcW w:w="686" w:type="dxa"/>
            <w:tcBorders>
              <w:top w:val="single" w:color="000000" w:sz="4" w:space="0"/>
              <w:left w:val="single" w:color="000000" w:sz="4" w:space="0"/>
              <w:bottom w:val="single" w:color="000000" w:sz="4" w:space="0"/>
              <w:right w:val="single" w:color="000000" w:sz="4" w:space="0"/>
            </w:tcBorders>
            <w:vAlign w:val="center"/>
          </w:tcPr>
          <w:p w14:paraId="10EABFAB">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139E2551">
            <w:pPr>
              <w:pStyle w:val="98"/>
              <w:ind w:left="-105" w:right="-105"/>
              <w:rPr>
                <w:rFonts w:eastAsia="宋体"/>
                <w:color w:val="auto"/>
                <w:sz w:val="21"/>
                <w:szCs w:val="21"/>
                <w:highlight w:val="none"/>
              </w:rPr>
            </w:pPr>
            <w:r>
              <w:rPr>
                <w:rFonts w:eastAsia="宋体"/>
                <w:color w:val="auto"/>
                <w:sz w:val="21"/>
                <w:szCs w:val="21"/>
                <w:highlight w:val="none"/>
              </w:rPr>
              <w:t>2.76</w:t>
            </w:r>
          </w:p>
        </w:tc>
      </w:tr>
      <w:tr w14:paraId="1A41F4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5"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4FBCB44B">
            <w:pPr>
              <w:pStyle w:val="98"/>
              <w:ind w:left="-105" w:right="-105"/>
              <w:rPr>
                <w:rFonts w:eastAsia="宋体"/>
                <w:color w:val="auto"/>
                <w:sz w:val="21"/>
                <w:szCs w:val="21"/>
                <w:highlight w:val="none"/>
              </w:rPr>
            </w:pPr>
            <w:r>
              <w:rPr>
                <w:rFonts w:eastAsia="宋体"/>
                <w:color w:val="auto"/>
                <w:sz w:val="21"/>
                <w:szCs w:val="21"/>
                <w:highlight w:val="none"/>
              </w:rPr>
              <w:t>3月</w:t>
            </w:r>
          </w:p>
        </w:tc>
        <w:tc>
          <w:tcPr>
            <w:tcW w:w="687" w:type="dxa"/>
            <w:tcBorders>
              <w:top w:val="single" w:color="000000" w:sz="4" w:space="0"/>
              <w:left w:val="single" w:color="000000" w:sz="4" w:space="0"/>
              <w:bottom w:val="single" w:color="000000" w:sz="4" w:space="0"/>
              <w:right w:val="single" w:color="000000" w:sz="4" w:space="0"/>
            </w:tcBorders>
            <w:vAlign w:val="center"/>
          </w:tcPr>
          <w:p w14:paraId="3E01F831">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6113E8C5">
            <w:pPr>
              <w:pStyle w:val="98"/>
              <w:ind w:left="-105" w:right="-105"/>
              <w:rPr>
                <w:rFonts w:eastAsia="宋体"/>
                <w:color w:val="auto"/>
                <w:sz w:val="21"/>
                <w:szCs w:val="21"/>
                <w:highlight w:val="none"/>
              </w:rPr>
            </w:pPr>
            <w:r>
              <w:rPr>
                <w:rFonts w:eastAsia="宋体"/>
                <w:color w:val="auto"/>
                <w:sz w:val="21"/>
                <w:szCs w:val="21"/>
                <w:highlight w:val="none"/>
              </w:rPr>
              <w:t>7</w:t>
            </w:r>
          </w:p>
        </w:tc>
        <w:tc>
          <w:tcPr>
            <w:tcW w:w="687" w:type="dxa"/>
            <w:tcBorders>
              <w:top w:val="single" w:color="000000" w:sz="4" w:space="0"/>
              <w:left w:val="single" w:color="000000" w:sz="4" w:space="0"/>
              <w:bottom w:val="single" w:color="000000" w:sz="4" w:space="0"/>
              <w:right w:val="single" w:color="000000" w:sz="4" w:space="0"/>
            </w:tcBorders>
            <w:vAlign w:val="center"/>
          </w:tcPr>
          <w:p w14:paraId="469BD2C4">
            <w:pPr>
              <w:pStyle w:val="98"/>
              <w:ind w:left="-105" w:right="-105"/>
              <w:rPr>
                <w:rFonts w:eastAsia="宋体"/>
                <w:color w:val="auto"/>
                <w:sz w:val="21"/>
                <w:szCs w:val="21"/>
                <w:highlight w:val="none"/>
              </w:rPr>
            </w:pPr>
            <w:r>
              <w:rPr>
                <w:rFonts w:eastAsia="宋体"/>
                <w:color w:val="auto"/>
                <w:sz w:val="21"/>
                <w:szCs w:val="21"/>
                <w:highlight w:val="none"/>
              </w:rPr>
              <w:t>6.8</w:t>
            </w:r>
          </w:p>
        </w:tc>
        <w:tc>
          <w:tcPr>
            <w:tcW w:w="687" w:type="dxa"/>
            <w:tcBorders>
              <w:top w:val="single" w:color="000000" w:sz="4" w:space="0"/>
              <w:left w:val="single" w:color="000000" w:sz="4" w:space="0"/>
              <w:bottom w:val="single" w:color="000000" w:sz="4" w:space="0"/>
              <w:right w:val="single" w:color="000000" w:sz="4" w:space="0"/>
            </w:tcBorders>
            <w:vAlign w:val="center"/>
          </w:tcPr>
          <w:p w14:paraId="5E88BF95">
            <w:pPr>
              <w:pStyle w:val="98"/>
              <w:ind w:left="-105" w:right="-105"/>
              <w:rPr>
                <w:rFonts w:eastAsia="宋体"/>
                <w:color w:val="auto"/>
                <w:sz w:val="21"/>
                <w:szCs w:val="21"/>
                <w:highlight w:val="none"/>
              </w:rPr>
            </w:pPr>
            <w:r>
              <w:rPr>
                <w:rFonts w:eastAsia="宋体"/>
                <w:color w:val="auto"/>
                <w:sz w:val="21"/>
                <w:szCs w:val="21"/>
                <w:highlight w:val="none"/>
              </w:rPr>
              <w:t>8</w:t>
            </w:r>
          </w:p>
        </w:tc>
        <w:tc>
          <w:tcPr>
            <w:tcW w:w="688" w:type="dxa"/>
            <w:tcBorders>
              <w:top w:val="single" w:color="000000" w:sz="4" w:space="0"/>
              <w:left w:val="single" w:color="000000" w:sz="4" w:space="0"/>
              <w:bottom w:val="single" w:color="000000" w:sz="4" w:space="0"/>
              <w:right w:val="single" w:color="000000" w:sz="4" w:space="0"/>
            </w:tcBorders>
            <w:vAlign w:val="center"/>
          </w:tcPr>
          <w:p w14:paraId="276E08C3">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731DB684">
            <w:pPr>
              <w:pStyle w:val="98"/>
              <w:ind w:left="-105" w:right="-105"/>
              <w:rPr>
                <w:rFonts w:eastAsia="宋体"/>
                <w:color w:val="auto"/>
                <w:sz w:val="21"/>
                <w:szCs w:val="21"/>
                <w:highlight w:val="none"/>
              </w:rPr>
            </w:pPr>
            <w:r>
              <w:rPr>
                <w:rFonts w:eastAsia="宋体"/>
                <w:color w:val="auto"/>
                <w:sz w:val="21"/>
                <w:szCs w:val="21"/>
                <w:highlight w:val="none"/>
              </w:rPr>
              <w:t>6</w:t>
            </w:r>
          </w:p>
        </w:tc>
        <w:tc>
          <w:tcPr>
            <w:tcW w:w="687" w:type="dxa"/>
            <w:tcBorders>
              <w:top w:val="single" w:color="000000" w:sz="4" w:space="0"/>
              <w:left w:val="single" w:color="000000" w:sz="4" w:space="0"/>
              <w:bottom w:val="single" w:color="000000" w:sz="4" w:space="0"/>
              <w:right w:val="single" w:color="000000" w:sz="4" w:space="0"/>
            </w:tcBorders>
            <w:vAlign w:val="center"/>
          </w:tcPr>
          <w:p w14:paraId="266B0E54">
            <w:pPr>
              <w:pStyle w:val="98"/>
              <w:ind w:left="-105" w:right="-105"/>
              <w:rPr>
                <w:rFonts w:eastAsia="宋体"/>
                <w:color w:val="auto"/>
                <w:sz w:val="21"/>
                <w:szCs w:val="21"/>
                <w:highlight w:val="none"/>
              </w:rPr>
            </w:pPr>
            <w:r>
              <w:rPr>
                <w:rFonts w:eastAsia="宋体"/>
                <w:color w:val="auto"/>
                <w:sz w:val="21"/>
                <w:szCs w:val="21"/>
                <w:highlight w:val="none"/>
              </w:rPr>
              <w:t>13.8</w:t>
            </w:r>
          </w:p>
        </w:tc>
        <w:tc>
          <w:tcPr>
            <w:tcW w:w="687" w:type="dxa"/>
            <w:tcBorders>
              <w:top w:val="single" w:color="000000" w:sz="4" w:space="0"/>
              <w:left w:val="single" w:color="000000" w:sz="4" w:space="0"/>
              <w:bottom w:val="single" w:color="000000" w:sz="4" w:space="0"/>
              <w:right w:val="single" w:color="000000" w:sz="4" w:space="0"/>
            </w:tcBorders>
            <w:vAlign w:val="center"/>
          </w:tcPr>
          <w:p w14:paraId="446F4D83">
            <w:pPr>
              <w:pStyle w:val="98"/>
              <w:ind w:left="-105" w:right="-105"/>
              <w:rPr>
                <w:rFonts w:eastAsia="宋体"/>
                <w:color w:val="auto"/>
                <w:sz w:val="21"/>
                <w:szCs w:val="21"/>
                <w:highlight w:val="none"/>
              </w:rPr>
            </w:pPr>
            <w:r>
              <w:rPr>
                <w:rFonts w:eastAsia="宋体"/>
                <w:color w:val="auto"/>
                <w:sz w:val="21"/>
                <w:szCs w:val="21"/>
                <w:highlight w:val="none"/>
              </w:rPr>
              <w:t>7.6</w:t>
            </w:r>
          </w:p>
        </w:tc>
        <w:tc>
          <w:tcPr>
            <w:tcW w:w="687" w:type="dxa"/>
            <w:tcBorders>
              <w:top w:val="single" w:color="000000" w:sz="4" w:space="0"/>
              <w:left w:val="single" w:color="000000" w:sz="4" w:space="0"/>
              <w:bottom w:val="single" w:color="000000" w:sz="4" w:space="0"/>
              <w:right w:val="single" w:color="000000" w:sz="4" w:space="0"/>
            </w:tcBorders>
            <w:vAlign w:val="center"/>
          </w:tcPr>
          <w:p w14:paraId="348BF5BD">
            <w:pPr>
              <w:pStyle w:val="98"/>
              <w:ind w:left="-105" w:right="-105"/>
              <w:rPr>
                <w:rFonts w:eastAsia="宋体"/>
                <w:color w:val="auto"/>
                <w:sz w:val="21"/>
                <w:szCs w:val="21"/>
                <w:highlight w:val="none"/>
              </w:rPr>
            </w:pPr>
            <w:r>
              <w:rPr>
                <w:rFonts w:eastAsia="宋体"/>
                <w:color w:val="auto"/>
                <w:sz w:val="21"/>
                <w:szCs w:val="21"/>
                <w:highlight w:val="none"/>
              </w:rPr>
              <w:t>5.2</w:t>
            </w:r>
          </w:p>
        </w:tc>
        <w:tc>
          <w:tcPr>
            <w:tcW w:w="687" w:type="dxa"/>
            <w:tcBorders>
              <w:top w:val="single" w:color="000000" w:sz="4" w:space="0"/>
              <w:left w:val="single" w:color="000000" w:sz="4" w:space="0"/>
              <w:bottom w:val="single" w:color="000000" w:sz="4" w:space="0"/>
              <w:right w:val="single" w:color="000000" w:sz="4" w:space="0"/>
            </w:tcBorders>
            <w:vAlign w:val="center"/>
          </w:tcPr>
          <w:p w14:paraId="1DEEAC8A">
            <w:pPr>
              <w:pStyle w:val="98"/>
              <w:ind w:left="-105" w:right="-105"/>
              <w:rPr>
                <w:rFonts w:eastAsia="宋体"/>
                <w:color w:val="auto"/>
                <w:sz w:val="21"/>
                <w:szCs w:val="21"/>
                <w:highlight w:val="none"/>
              </w:rPr>
            </w:pPr>
            <w:r>
              <w:rPr>
                <w:rFonts w:eastAsia="宋体"/>
                <w:color w:val="auto"/>
                <w:sz w:val="21"/>
                <w:szCs w:val="21"/>
                <w:highlight w:val="none"/>
              </w:rPr>
              <w:t>3.2</w:t>
            </w:r>
          </w:p>
        </w:tc>
        <w:tc>
          <w:tcPr>
            <w:tcW w:w="687" w:type="dxa"/>
            <w:tcBorders>
              <w:top w:val="single" w:color="000000" w:sz="4" w:space="0"/>
              <w:left w:val="single" w:color="000000" w:sz="4" w:space="0"/>
              <w:bottom w:val="single" w:color="000000" w:sz="4" w:space="0"/>
              <w:right w:val="single" w:color="000000" w:sz="4" w:space="0"/>
            </w:tcBorders>
            <w:vAlign w:val="center"/>
          </w:tcPr>
          <w:p w14:paraId="7F6167A3">
            <w:pPr>
              <w:pStyle w:val="98"/>
              <w:ind w:left="-105" w:right="-105"/>
              <w:rPr>
                <w:rFonts w:eastAsia="宋体"/>
                <w:color w:val="auto"/>
                <w:sz w:val="21"/>
                <w:szCs w:val="21"/>
                <w:highlight w:val="none"/>
              </w:rPr>
            </w:pPr>
            <w:r>
              <w:rPr>
                <w:rFonts w:eastAsia="宋体"/>
                <w:color w:val="auto"/>
                <w:sz w:val="21"/>
                <w:szCs w:val="21"/>
                <w:highlight w:val="none"/>
              </w:rPr>
              <w:t>2</w:t>
            </w:r>
          </w:p>
        </w:tc>
        <w:tc>
          <w:tcPr>
            <w:tcW w:w="684" w:type="dxa"/>
            <w:tcBorders>
              <w:top w:val="single" w:color="000000" w:sz="4" w:space="0"/>
              <w:left w:val="single" w:color="000000" w:sz="4" w:space="0"/>
              <w:bottom w:val="single" w:color="000000" w:sz="4" w:space="0"/>
              <w:right w:val="single" w:color="000000" w:sz="4" w:space="0"/>
            </w:tcBorders>
            <w:vAlign w:val="center"/>
          </w:tcPr>
          <w:p w14:paraId="66C0C035">
            <w:pPr>
              <w:pStyle w:val="98"/>
              <w:ind w:left="-105" w:right="-105"/>
              <w:rPr>
                <w:rFonts w:eastAsia="宋体"/>
                <w:color w:val="auto"/>
                <w:sz w:val="21"/>
                <w:szCs w:val="21"/>
                <w:highlight w:val="none"/>
              </w:rPr>
            </w:pPr>
            <w:r>
              <w:rPr>
                <w:rFonts w:eastAsia="宋体"/>
                <w:color w:val="auto"/>
                <w:sz w:val="21"/>
                <w:szCs w:val="21"/>
                <w:highlight w:val="none"/>
              </w:rPr>
              <w:t>1.6</w:t>
            </w:r>
          </w:p>
        </w:tc>
        <w:tc>
          <w:tcPr>
            <w:tcW w:w="714" w:type="dxa"/>
            <w:tcBorders>
              <w:top w:val="single" w:color="000000" w:sz="4" w:space="0"/>
              <w:left w:val="single" w:color="000000" w:sz="4" w:space="0"/>
              <w:bottom w:val="single" w:color="000000" w:sz="4" w:space="0"/>
              <w:right w:val="single" w:color="000000" w:sz="4" w:space="0"/>
            </w:tcBorders>
            <w:vAlign w:val="center"/>
          </w:tcPr>
          <w:p w14:paraId="480A4529">
            <w:pPr>
              <w:pStyle w:val="98"/>
              <w:ind w:left="-105" w:right="-105"/>
              <w:rPr>
                <w:rFonts w:eastAsia="宋体"/>
                <w:color w:val="auto"/>
                <w:sz w:val="21"/>
                <w:szCs w:val="21"/>
                <w:highlight w:val="none"/>
              </w:rPr>
            </w:pPr>
            <w:r>
              <w:rPr>
                <w:rFonts w:eastAsia="宋体"/>
                <w:color w:val="auto"/>
                <w:sz w:val="21"/>
                <w:szCs w:val="21"/>
                <w:highlight w:val="none"/>
              </w:rPr>
              <w:t>3.2</w:t>
            </w:r>
          </w:p>
        </w:tc>
        <w:tc>
          <w:tcPr>
            <w:tcW w:w="686" w:type="dxa"/>
            <w:tcBorders>
              <w:top w:val="single" w:color="000000" w:sz="4" w:space="0"/>
              <w:left w:val="single" w:color="000000" w:sz="4" w:space="0"/>
              <w:bottom w:val="single" w:color="000000" w:sz="4" w:space="0"/>
              <w:right w:val="single" w:color="000000" w:sz="4" w:space="0"/>
            </w:tcBorders>
            <w:vAlign w:val="center"/>
          </w:tcPr>
          <w:p w14:paraId="291099CF">
            <w:pPr>
              <w:pStyle w:val="98"/>
              <w:ind w:left="-105" w:right="-105"/>
              <w:rPr>
                <w:rFonts w:eastAsia="宋体"/>
                <w:color w:val="auto"/>
                <w:sz w:val="21"/>
                <w:szCs w:val="21"/>
                <w:highlight w:val="none"/>
              </w:rPr>
            </w:pPr>
            <w:r>
              <w:rPr>
                <w:rFonts w:eastAsia="宋体"/>
                <w:color w:val="auto"/>
                <w:sz w:val="21"/>
                <w:szCs w:val="21"/>
                <w:highlight w:val="none"/>
              </w:rPr>
              <w:t>3.2</w:t>
            </w:r>
          </w:p>
        </w:tc>
        <w:tc>
          <w:tcPr>
            <w:tcW w:w="747" w:type="dxa"/>
            <w:tcBorders>
              <w:top w:val="single" w:color="000000" w:sz="4" w:space="0"/>
              <w:left w:val="single" w:color="000000" w:sz="4" w:space="0"/>
              <w:bottom w:val="single" w:color="000000" w:sz="4" w:space="0"/>
              <w:right w:val="single" w:color="000000" w:sz="4" w:space="0"/>
            </w:tcBorders>
            <w:vAlign w:val="center"/>
          </w:tcPr>
          <w:p w14:paraId="04394397">
            <w:pPr>
              <w:pStyle w:val="98"/>
              <w:ind w:left="-105" w:right="-105"/>
              <w:rPr>
                <w:rFonts w:eastAsia="宋体"/>
                <w:color w:val="auto"/>
                <w:sz w:val="21"/>
                <w:szCs w:val="21"/>
                <w:highlight w:val="none"/>
              </w:rPr>
            </w:pPr>
            <w:r>
              <w:rPr>
                <w:rFonts w:eastAsia="宋体"/>
                <w:color w:val="auto"/>
                <w:sz w:val="21"/>
                <w:szCs w:val="21"/>
                <w:highlight w:val="none"/>
              </w:rPr>
              <w:t>4.4</w:t>
            </w:r>
          </w:p>
        </w:tc>
        <w:tc>
          <w:tcPr>
            <w:tcW w:w="686" w:type="dxa"/>
            <w:tcBorders>
              <w:top w:val="single" w:color="000000" w:sz="4" w:space="0"/>
              <w:left w:val="single" w:color="000000" w:sz="4" w:space="0"/>
              <w:bottom w:val="single" w:color="000000" w:sz="4" w:space="0"/>
              <w:right w:val="single" w:color="000000" w:sz="4" w:space="0"/>
            </w:tcBorders>
            <w:vAlign w:val="center"/>
          </w:tcPr>
          <w:p w14:paraId="34E5FCD4">
            <w:pPr>
              <w:pStyle w:val="98"/>
              <w:ind w:left="-105" w:right="-105"/>
              <w:rPr>
                <w:rFonts w:eastAsia="宋体"/>
                <w:color w:val="auto"/>
                <w:sz w:val="21"/>
                <w:szCs w:val="21"/>
                <w:highlight w:val="none"/>
              </w:rPr>
            </w:pPr>
            <w:r>
              <w:rPr>
                <w:rFonts w:eastAsia="宋体"/>
                <w:color w:val="auto"/>
                <w:sz w:val="21"/>
                <w:szCs w:val="21"/>
                <w:highlight w:val="none"/>
              </w:rPr>
              <w:t>6.6</w:t>
            </w:r>
          </w:p>
        </w:tc>
        <w:tc>
          <w:tcPr>
            <w:tcW w:w="700" w:type="dxa"/>
            <w:tcBorders>
              <w:top w:val="single" w:color="000000" w:sz="4" w:space="0"/>
              <w:left w:val="single" w:color="000000" w:sz="4" w:space="0"/>
              <w:bottom w:val="single" w:color="000000" w:sz="4" w:space="0"/>
              <w:right w:val="single" w:color="000000" w:sz="4" w:space="0"/>
            </w:tcBorders>
            <w:vAlign w:val="center"/>
          </w:tcPr>
          <w:p w14:paraId="02F3EB9D">
            <w:pPr>
              <w:pStyle w:val="98"/>
              <w:ind w:left="-105" w:right="-105"/>
              <w:rPr>
                <w:rFonts w:eastAsia="宋体"/>
                <w:color w:val="auto"/>
                <w:sz w:val="21"/>
                <w:szCs w:val="21"/>
                <w:highlight w:val="none"/>
              </w:rPr>
            </w:pPr>
            <w:r>
              <w:rPr>
                <w:rFonts w:eastAsia="宋体"/>
                <w:color w:val="auto"/>
                <w:sz w:val="21"/>
                <w:szCs w:val="21"/>
                <w:highlight w:val="none"/>
              </w:rPr>
              <w:t>5.2</w:t>
            </w:r>
          </w:p>
        </w:tc>
        <w:tc>
          <w:tcPr>
            <w:tcW w:w="686" w:type="dxa"/>
            <w:tcBorders>
              <w:top w:val="single" w:color="000000" w:sz="4" w:space="0"/>
              <w:left w:val="single" w:color="000000" w:sz="4" w:space="0"/>
              <w:bottom w:val="single" w:color="000000" w:sz="4" w:space="0"/>
              <w:right w:val="single" w:color="000000" w:sz="4" w:space="0"/>
            </w:tcBorders>
            <w:vAlign w:val="center"/>
          </w:tcPr>
          <w:p w14:paraId="1ED9205C">
            <w:pPr>
              <w:pStyle w:val="98"/>
              <w:ind w:left="-105" w:right="-105"/>
              <w:rPr>
                <w:rFonts w:eastAsia="宋体"/>
                <w:color w:val="auto"/>
                <w:sz w:val="21"/>
                <w:szCs w:val="21"/>
                <w:highlight w:val="none"/>
              </w:rPr>
            </w:pPr>
            <w:r>
              <w:rPr>
                <w:rFonts w:eastAsia="宋体"/>
                <w:color w:val="auto"/>
                <w:sz w:val="21"/>
                <w:szCs w:val="21"/>
                <w:highlight w:val="none"/>
              </w:rPr>
              <w:t>10.8</w:t>
            </w:r>
          </w:p>
        </w:tc>
        <w:tc>
          <w:tcPr>
            <w:tcW w:w="693" w:type="dxa"/>
            <w:tcBorders>
              <w:top w:val="single" w:color="000000" w:sz="4" w:space="0"/>
              <w:left w:val="single" w:color="000000" w:sz="4" w:space="0"/>
              <w:bottom w:val="single" w:color="000000" w:sz="4" w:space="0"/>
              <w:right w:val="nil"/>
            </w:tcBorders>
            <w:vAlign w:val="center"/>
          </w:tcPr>
          <w:p w14:paraId="0FC3AF02">
            <w:pPr>
              <w:pStyle w:val="98"/>
              <w:ind w:left="-105" w:right="-105"/>
              <w:rPr>
                <w:rFonts w:eastAsia="宋体"/>
                <w:color w:val="auto"/>
                <w:sz w:val="21"/>
                <w:szCs w:val="21"/>
                <w:highlight w:val="none"/>
              </w:rPr>
            </w:pPr>
            <w:r>
              <w:rPr>
                <w:rFonts w:eastAsia="宋体"/>
                <w:color w:val="auto"/>
                <w:sz w:val="21"/>
                <w:szCs w:val="21"/>
                <w:highlight w:val="none"/>
              </w:rPr>
              <w:t>/</w:t>
            </w:r>
          </w:p>
        </w:tc>
      </w:tr>
      <w:tr w14:paraId="61CF80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3" w:hRule="atLeast"/>
          <w:jc w:val="center"/>
        </w:trPr>
        <w:tc>
          <w:tcPr>
            <w:tcW w:w="688" w:type="dxa"/>
            <w:vMerge w:val="continue"/>
            <w:tcBorders>
              <w:top w:val="nil"/>
              <w:left w:val="nil"/>
              <w:bottom w:val="single" w:color="000000" w:sz="4" w:space="0"/>
              <w:right w:val="single" w:color="000000" w:sz="4" w:space="0"/>
            </w:tcBorders>
            <w:vAlign w:val="center"/>
          </w:tcPr>
          <w:p w14:paraId="2BE9EC7F">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45E53105">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5183FEC4">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02730C9A">
            <w:pPr>
              <w:pStyle w:val="98"/>
              <w:ind w:left="-105" w:right="-105"/>
              <w:rPr>
                <w:rFonts w:eastAsia="宋体"/>
                <w:color w:val="auto"/>
                <w:sz w:val="21"/>
                <w:szCs w:val="21"/>
                <w:highlight w:val="none"/>
              </w:rPr>
            </w:pPr>
            <w:r>
              <w:rPr>
                <w:rFonts w:eastAsia="宋体"/>
                <w:color w:val="auto"/>
                <w:sz w:val="21"/>
                <w:szCs w:val="21"/>
                <w:highlight w:val="none"/>
              </w:rPr>
              <w:t>3.7</w:t>
            </w:r>
          </w:p>
        </w:tc>
        <w:tc>
          <w:tcPr>
            <w:tcW w:w="687" w:type="dxa"/>
            <w:tcBorders>
              <w:top w:val="single" w:color="000000" w:sz="4" w:space="0"/>
              <w:left w:val="single" w:color="000000" w:sz="4" w:space="0"/>
              <w:bottom w:val="single" w:color="000000" w:sz="4" w:space="0"/>
              <w:right w:val="single" w:color="000000" w:sz="4" w:space="0"/>
            </w:tcBorders>
            <w:vAlign w:val="center"/>
          </w:tcPr>
          <w:p w14:paraId="1332BDB6">
            <w:pPr>
              <w:pStyle w:val="98"/>
              <w:ind w:left="-105" w:right="-105"/>
              <w:rPr>
                <w:rFonts w:eastAsia="宋体"/>
                <w:color w:val="auto"/>
                <w:sz w:val="21"/>
                <w:szCs w:val="21"/>
                <w:highlight w:val="none"/>
              </w:rPr>
            </w:pPr>
            <w:r>
              <w:rPr>
                <w:rFonts w:eastAsia="宋体"/>
                <w:color w:val="auto"/>
                <w:sz w:val="21"/>
                <w:szCs w:val="21"/>
                <w:highlight w:val="none"/>
              </w:rPr>
              <w:t>3.6</w:t>
            </w:r>
          </w:p>
        </w:tc>
        <w:tc>
          <w:tcPr>
            <w:tcW w:w="688" w:type="dxa"/>
            <w:tcBorders>
              <w:top w:val="single" w:color="000000" w:sz="4" w:space="0"/>
              <w:left w:val="single" w:color="000000" w:sz="4" w:space="0"/>
              <w:bottom w:val="single" w:color="000000" w:sz="4" w:space="0"/>
              <w:right w:val="single" w:color="000000" w:sz="4" w:space="0"/>
            </w:tcBorders>
            <w:vAlign w:val="center"/>
          </w:tcPr>
          <w:p w14:paraId="1F663A9C">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7565519E">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145C4311">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688C7010">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2F720769">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3A773EB5">
            <w:pPr>
              <w:pStyle w:val="98"/>
              <w:ind w:left="-105" w:right="-105"/>
              <w:rPr>
                <w:rFonts w:eastAsia="宋体"/>
                <w:color w:val="auto"/>
                <w:sz w:val="21"/>
                <w:szCs w:val="21"/>
                <w:highlight w:val="none"/>
              </w:rPr>
            </w:pPr>
            <w:r>
              <w:rPr>
                <w:rFonts w:eastAsia="宋体"/>
                <w:color w:val="auto"/>
                <w:sz w:val="21"/>
                <w:szCs w:val="21"/>
                <w:highlight w:val="none"/>
              </w:rPr>
              <w:t>2.1</w:t>
            </w:r>
          </w:p>
        </w:tc>
        <w:tc>
          <w:tcPr>
            <w:tcW w:w="687" w:type="dxa"/>
            <w:tcBorders>
              <w:top w:val="single" w:color="000000" w:sz="4" w:space="0"/>
              <w:left w:val="single" w:color="000000" w:sz="4" w:space="0"/>
              <w:bottom w:val="single" w:color="000000" w:sz="4" w:space="0"/>
              <w:right w:val="single" w:color="000000" w:sz="4" w:space="0"/>
            </w:tcBorders>
            <w:vAlign w:val="center"/>
          </w:tcPr>
          <w:p w14:paraId="45BEDE3D">
            <w:pPr>
              <w:pStyle w:val="98"/>
              <w:ind w:left="-105" w:right="-105"/>
              <w:rPr>
                <w:rFonts w:eastAsia="宋体"/>
                <w:color w:val="auto"/>
                <w:sz w:val="21"/>
                <w:szCs w:val="21"/>
                <w:highlight w:val="none"/>
              </w:rPr>
            </w:pPr>
            <w:r>
              <w:rPr>
                <w:rFonts w:eastAsia="宋体"/>
                <w:color w:val="auto"/>
                <w:sz w:val="21"/>
                <w:szCs w:val="21"/>
                <w:highlight w:val="none"/>
              </w:rPr>
              <w:t>2.2</w:t>
            </w:r>
          </w:p>
        </w:tc>
        <w:tc>
          <w:tcPr>
            <w:tcW w:w="684" w:type="dxa"/>
            <w:tcBorders>
              <w:top w:val="single" w:color="000000" w:sz="4" w:space="0"/>
              <w:left w:val="single" w:color="000000" w:sz="4" w:space="0"/>
              <w:bottom w:val="single" w:color="000000" w:sz="4" w:space="0"/>
              <w:right w:val="single" w:color="000000" w:sz="4" w:space="0"/>
            </w:tcBorders>
            <w:vAlign w:val="center"/>
          </w:tcPr>
          <w:p w14:paraId="22941973">
            <w:pPr>
              <w:pStyle w:val="98"/>
              <w:ind w:left="-105" w:right="-105"/>
              <w:rPr>
                <w:rFonts w:eastAsia="宋体"/>
                <w:color w:val="auto"/>
                <w:sz w:val="21"/>
                <w:szCs w:val="21"/>
                <w:highlight w:val="none"/>
              </w:rPr>
            </w:pPr>
            <w:r>
              <w:rPr>
                <w:rFonts w:eastAsia="宋体"/>
                <w:color w:val="auto"/>
                <w:sz w:val="21"/>
                <w:szCs w:val="21"/>
                <w:highlight w:val="none"/>
              </w:rPr>
              <w:t>1.8</w:t>
            </w:r>
          </w:p>
        </w:tc>
        <w:tc>
          <w:tcPr>
            <w:tcW w:w="714" w:type="dxa"/>
            <w:tcBorders>
              <w:top w:val="single" w:color="000000" w:sz="4" w:space="0"/>
              <w:left w:val="single" w:color="000000" w:sz="4" w:space="0"/>
              <w:bottom w:val="single" w:color="000000" w:sz="4" w:space="0"/>
              <w:right w:val="single" w:color="000000" w:sz="4" w:space="0"/>
            </w:tcBorders>
            <w:vAlign w:val="center"/>
          </w:tcPr>
          <w:p w14:paraId="13463963">
            <w:pPr>
              <w:pStyle w:val="98"/>
              <w:ind w:left="-105" w:right="-105"/>
              <w:rPr>
                <w:rFonts w:eastAsia="宋体"/>
                <w:color w:val="auto"/>
                <w:sz w:val="21"/>
                <w:szCs w:val="21"/>
                <w:highlight w:val="none"/>
              </w:rPr>
            </w:pPr>
            <w:r>
              <w:rPr>
                <w:rFonts w:eastAsia="宋体"/>
                <w:color w:val="auto"/>
                <w:sz w:val="21"/>
                <w:szCs w:val="21"/>
                <w:highlight w:val="none"/>
              </w:rPr>
              <w:t>2.2</w:t>
            </w:r>
          </w:p>
        </w:tc>
        <w:tc>
          <w:tcPr>
            <w:tcW w:w="686" w:type="dxa"/>
            <w:tcBorders>
              <w:top w:val="single" w:color="000000" w:sz="4" w:space="0"/>
              <w:left w:val="single" w:color="000000" w:sz="4" w:space="0"/>
              <w:bottom w:val="single" w:color="000000" w:sz="4" w:space="0"/>
              <w:right w:val="single" w:color="000000" w:sz="4" w:space="0"/>
            </w:tcBorders>
            <w:vAlign w:val="center"/>
          </w:tcPr>
          <w:p w14:paraId="2045A9D8">
            <w:pPr>
              <w:pStyle w:val="98"/>
              <w:ind w:left="-105" w:right="-105"/>
              <w:rPr>
                <w:rFonts w:eastAsia="宋体"/>
                <w:color w:val="auto"/>
                <w:sz w:val="21"/>
                <w:szCs w:val="21"/>
                <w:highlight w:val="none"/>
              </w:rPr>
            </w:pPr>
            <w:r>
              <w:rPr>
                <w:rFonts w:eastAsia="宋体"/>
                <w:color w:val="auto"/>
                <w:sz w:val="21"/>
                <w:szCs w:val="21"/>
                <w:highlight w:val="none"/>
              </w:rPr>
              <w:t>3</w:t>
            </w:r>
          </w:p>
        </w:tc>
        <w:tc>
          <w:tcPr>
            <w:tcW w:w="747" w:type="dxa"/>
            <w:tcBorders>
              <w:top w:val="single" w:color="000000" w:sz="4" w:space="0"/>
              <w:left w:val="single" w:color="000000" w:sz="4" w:space="0"/>
              <w:bottom w:val="single" w:color="000000" w:sz="4" w:space="0"/>
              <w:right w:val="single" w:color="000000" w:sz="4" w:space="0"/>
            </w:tcBorders>
            <w:vAlign w:val="center"/>
          </w:tcPr>
          <w:p w14:paraId="339310F4">
            <w:pPr>
              <w:pStyle w:val="98"/>
              <w:ind w:left="-105" w:right="-105"/>
              <w:rPr>
                <w:rFonts w:eastAsia="宋体"/>
                <w:color w:val="auto"/>
                <w:sz w:val="21"/>
                <w:szCs w:val="21"/>
                <w:highlight w:val="none"/>
              </w:rPr>
            </w:pPr>
            <w:r>
              <w:rPr>
                <w:rFonts w:eastAsia="宋体"/>
                <w:color w:val="auto"/>
                <w:sz w:val="21"/>
                <w:szCs w:val="21"/>
                <w:highlight w:val="none"/>
              </w:rPr>
              <w:t>4.5</w:t>
            </w:r>
          </w:p>
        </w:tc>
        <w:tc>
          <w:tcPr>
            <w:tcW w:w="686" w:type="dxa"/>
            <w:tcBorders>
              <w:top w:val="single" w:color="000000" w:sz="4" w:space="0"/>
              <w:left w:val="single" w:color="000000" w:sz="4" w:space="0"/>
              <w:bottom w:val="single" w:color="000000" w:sz="4" w:space="0"/>
              <w:right w:val="single" w:color="000000" w:sz="4" w:space="0"/>
            </w:tcBorders>
            <w:vAlign w:val="center"/>
          </w:tcPr>
          <w:p w14:paraId="2723AB73">
            <w:pPr>
              <w:pStyle w:val="98"/>
              <w:ind w:left="-105" w:right="-105"/>
              <w:rPr>
                <w:rFonts w:eastAsia="宋体"/>
                <w:color w:val="auto"/>
                <w:sz w:val="21"/>
                <w:szCs w:val="21"/>
                <w:highlight w:val="none"/>
              </w:rPr>
            </w:pPr>
            <w:r>
              <w:rPr>
                <w:rFonts w:eastAsia="宋体"/>
                <w:color w:val="auto"/>
                <w:sz w:val="21"/>
                <w:szCs w:val="21"/>
                <w:highlight w:val="none"/>
              </w:rPr>
              <w:t>2.8</w:t>
            </w:r>
          </w:p>
        </w:tc>
        <w:tc>
          <w:tcPr>
            <w:tcW w:w="700" w:type="dxa"/>
            <w:tcBorders>
              <w:top w:val="single" w:color="000000" w:sz="4" w:space="0"/>
              <w:left w:val="single" w:color="000000" w:sz="4" w:space="0"/>
              <w:bottom w:val="single" w:color="000000" w:sz="4" w:space="0"/>
              <w:right w:val="single" w:color="000000" w:sz="4" w:space="0"/>
            </w:tcBorders>
            <w:vAlign w:val="center"/>
          </w:tcPr>
          <w:p w14:paraId="2F876F01">
            <w:pPr>
              <w:pStyle w:val="98"/>
              <w:ind w:left="-105" w:right="-105"/>
              <w:rPr>
                <w:rFonts w:eastAsia="宋体"/>
                <w:color w:val="auto"/>
                <w:sz w:val="21"/>
                <w:szCs w:val="21"/>
                <w:highlight w:val="none"/>
              </w:rPr>
            </w:pPr>
            <w:r>
              <w:rPr>
                <w:rFonts w:eastAsia="宋体"/>
                <w:color w:val="auto"/>
                <w:sz w:val="21"/>
                <w:szCs w:val="21"/>
                <w:highlight w:val="none"/>
              </w:rPr>
              <w:t>2.7</w:t>
            </w:r>
          </w:p>
        </w:tc>
        <w:tc>
          <w:tcPr>
            <w:tcW w:w="686" w:type="dxa"/>
            <w:tcBorders>
              <w:top w:val="single" w:color="000000" w:sz="4" w:space="0"/>
              <w:left w:val="single" w:color="000000" w:sz="4" w:space="0"/>
              <w:bottom w:val="single" w:color="000000" w:sz="4" w:space="0"/>
              <w:right w:val="single" w:color="000000" w:sz="4" w:space="0"/>
            </w:tcBorders>
            <w:vAlign w:val="center"/>
          </w:tcPr>
          <w:p w14:paraId="447EF7CB">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7366B3AB">
            <w:pPr>
              <w:pStyle w:val="98"/>
              <w:ind w:left="-105" w:right="-105"/>
              <w:rPr>
                <w:rFonts w:eastAsia="宋体"/>
                <w:color w:val="auto"/>
                <w:sz w:val="21"/>
                <w:szCs w:val="21"/>
                <w:highlight w:val="none"/>
              </w:rPr>
            </w:pPr>
            <w:r>
              <w:rPr>
                <w:rFonts w:eastAsia="宋体"/>
                <w:color w:val="auto"/>
                <w:sz w:val="21"/>
                <w:szCs w:val="21"/>
                <w:highlight w:val="none"/>
              </w:rPr>
              <w:t>2.82</w:t>
            </w:r>
          </w:p>
        </w:tc>
      </w:tr>
      <w:tr w14:paraId="004E40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060816BD">
            <w:pPr>
              <w:pStyle w:val="98"/>
              <w:ind w:left="-105" w:right="-105"/>
              <w:rPr>
                <w:rFonts w:eastAsia="宋体"/>
                <w:color w:val="auto"/>
                <w:sz w:val="21"/>
                <w:szCs w:val="21"/>
                <w:highlight w:val="none"/>
              </w:rPr>
            </w:pPr>
            <w:r>
              <w:rPr>
                <w:rFonts w:eastAsia="宋体"/>
                <w:color w:val="auto"/>
                <w:sz w:val="21"/>
                <w:szCs w:val="21"/>
                <w:highlight w:val="none"/>
              </w:rPr>
              <w:t>4月</w:t>
            </w:r>
          </w:p>
        </w:tc>
        <w:tc>
          <w:tcPr>
            <w:tcW w:w="687" w:type="dxa"/>
            <w:tcBorders>
              <w:top w:val="single" w:color="000000" w:sz="4" w:space="0"/>
              <w:left w:val="single" w:color="000000" w:sz="4" w:space="0"/>
              <w:bottom w:val="single" w:color="000000" w:sz="4" w:space="0"/>
              <w:right w:val="single" w:color="000000" w:sz="4" w:space="0"/>
            </w:tcBorders>
            <w:vAlign w:val="center"/>
          </w:tcPr>
          <w:p w14:paraId="51F1AEEA">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5BAFFED0">
            <w:pPr>
              <w:pStyle w:val="98"/>
              <w:ind w:left="-105" w:right="-105"/>
              <w:rPr>
                <w:rFonts w:eastAsia="宋体"/>
                <w:color w:val="auto"/>
                <w:sz w:val="21"/>
                <w:szCs w:val="21"/>
                <w:highlight w:val="none"/>
              </w:rPr>
            </w:pPr>
            <w:r>
              <w:rPr>
                <w:rFonts w:eastAsia="宋体"/>
                <w:color w:val="auto"/>
                <w:sz w:val="21"/>
                <w:szCs w:val="21"/>
                <w:highlight w:val="none"/>
              </w:rPr>
              <w:t>4.2</w:t>
            </w:r>
          </w:p>
        </w:tc>
        <w:tc>
          <w:tcPr>
            <w:tcW w:w="687" w:type="dxa"/>
            <w:tcBorders>
              <w:top w:val="single" w:color="000000" w:sz="4" w:space="0"/>
              <w:left w:val="single" w:color="000000" w:sz="4" w:space="0"/>
              <w:bottom w:val="single" w:color="000000" w:sz="4" w:space="0"/>
              <w:right w:val="single" w:color="000000" w:sz="4" w:space="0"/>
            </w:tcBorders>
            <w:vAlign w:val="center"/>
          </w:tcPr>
          <w:p w14:paraId="10D36A7A">
            <w:pPr>
              <w:pStyle w:val="98"/>
              <w:ind w:left="-105" w:right="-105"/>
              <w:rPr>
                <w:rFonts w:eastAsia="宋体"/>
                <w:color w:val="auto"/>
                <w:sz w:val="21"/>
                <w:szCs w:val="21"/>
                <w:highlight w:val="none"/>
              </w:rPr>
            </w:pPr>
            <w:r>
              <w:rPr>
                <w:rFonts w:eastAsia="宋体"/>
                <w:color w:val="auto"/>
                <w:sz w:val="21"/>
                <w:szCs w:val="21"/>
                <w:highlight w:val="none"/>
              </w:rPr>
              <w:t>4.2</w:t>
            </w:r>
          </w:p>
        </w:tc>
        <w:tc>
          <w:tcPr>
            <w:tcW w:w="687" w:type="dxa"/>
            <w:tcBorders>
              <w:top w:val="single" w:color="000000" w:sz="4" w:space="0"/>
              <w:left w:val="single" w:color="000000" w:sz="4" w:space="0"/>
              <w:bottom w:val="single" w:color="000000" w:sz="4" w:space="0"/>
              <w:right w:val="single" w:color="000000" w:sz="4" w:space="0"/>
            </w:tcBorders>
            <w:vAlign w:val="center"/>
          </w:tcPr>
          <w:p w14:paraId="2B349B4D">
            <w:pPr>
              <w:pStyle w:val="98"/>
              <w:ind w:left="-105" w:right="-105"/>
              <w:rPr>
                <w:rFonts w:eastAsia="宋体"/>
                <w:color w:val="auto"/>
                <w:sz w:val="21"/>
                <w:szCs w:val="21"/>
                <w:highlight w:val="none"/>
              </w:rPr>
            </w:pPr>
            <w:r>
              <w:rPr>
                <w:rFonts w:eastAsia="宋体"/>
                <w:color w:val="auto"/>
                <w:sz w:val="21"/>
                <w:szCs w:val="21"/>
                <w:highlight w:val="none"/>
              </w:rPr>
              <w:t>6.6</w:t>
            </w:r>
          </w:p>
        </w:tc>
        <w:tc>
          <w:tcPr>
            <w:tcW w:w="688" w:type="dxa"/>
            <w:tcBorders>
              <w:top w:val="single" w:color="000000" w:sz="4" w:space="0"/>
              <w:left w:val="single" w:color="000000" w:sz="4" w:space="0"/>
              <w:bottom w:val="single" w:color="000000" w:sz="4" w:space="0"/>
              <w:right w:val="single" w:color="000000" w:sz="4" w:space="0"/>
            </w:tcBorders>
            <w:vAlign w:val="center"/>
          </w:tcPr>
          <w:p w14:paraId="77ABF8DE">
            <w:pPr>
              <w:pStyle w:val="98"/>
              <w:ind w:left="-105" w:right="-105"/>
              <w:rPr>
                <w:rFonts w:eastAsia="宋体"/>
                <w:color w:val="auto"/>
                <w:sz w:val="21"/>
                <w:szCs w:val="21"/>
                <w:highlight w:val="none"/>
              </w:rPr>
            </w:pPr>
            <w:r>
              <w:rPr>
                <w:rFonts w:eastAsia="宋体"/>
                <w:color w:val="auto"/>
                <w:sz w:val="21"/>
                <w:szCs w:val="21"/>
                <w:highlight w:val="none"/>
              </w:rPr>
              <w:t>6.6</w:t>
            </w:r>
          </w:p>
        </w:tc>
        <w:tc>
          <w:tcPr>
            <w:tcW w:w="687" w:type="dxa"/>
            <w:tcBorders>
              <w:top w:val="single" w:color="000000" w:sz="4" w:space="0"/>
              <w:left w:val="single" w:color="000000" w:sz="4" w:space="0"/>
              <w:bottom w:val="single" w:color="000000" w:sz="4" w:space="0"/>
              <w:right w:val="single" w:color="000000" w:sz="4" w:space="0"/>
            </w:tcBorders>
            <w:vAlign w:val="center"/>
          </w:tcPr>
          <w:p w14:paraId="45D2760C">
            <w:pPr>
              <w:pStyle w:val="98"/>
              <w:ind w:left="-105" w:right="-105"/>
              <w:rPr>
                <w:rFonts w:eastAsia="宋体"/>
                <w:color w:val="auto"/>
                <w:sz w:val="21"/>
                <w:szCs w:val="21"/>
                <w:highlight w:val="none"/>
              </w:rPr>
            </w:pPr>
            <w:r>
              <w:rPr>
                <w:rFonts w:eastAsia="宋体"/>
                <w:color w:val="auto"/>
                <w:sz w:val="21"/>
                <w:szCs w:val="21"/>
                <w:highlight w:val="none"/>
              </w:rPr>
              <w:t>9.2</w:t>
            </w:r>
          </w:p>
        </w:tc>
        <w:tc>
          <w:tcPr>
            <w:tcW w:w="687" w:type="dxa"/>
            <w:tcBorders>
              <w:top w:val="single" w:color="000000" w:sz="4" w:space="0"/>
              <w:left w:val="single" w:color="000000" w:sz="4" w:space="0"/>
              <w:bottom w:val="single" w:color="000000" w:sz="4" w:space="0"/>
              <w:right w:val="single" w:color="000000" w:sz="4" w:space="0"/>
            </w:tcBorders>
            <w:vAlign w:val="center"/>
          </w:tcPr>
          <w:p w14:paraId="1D819120">
            <w:pPr>
              <w:pStyle w:val="98"/>
              <w:ind w:left="-105" w:right="-105"/>
              <w:rPr>
                <w:rFonts w:eastAsia="宋体"/>
                <w:color w:val="auto"/>
                <w:sz w:val="21"/>
                <w:szCs w:val="21"/>
                <w:highlight w:val="none"/>
              </w:rPr>
            </w:pPr>
            <w:r>
              <w:rPr>
                <w:rFonts w:eastAsia="宋体"/>
                <w:color w:val="auto"/>
                <w:sz w:val="21"/>
                <w:szCs w:val="21"/>
                <w:highlight w:val="none"/>
              </w:rPr>
              <w:t>15.6</w:t>
            </w:r>
          </w:p>
        </w:tc>
        <w:tc>
          <w:tcPr>
            <w:tcW w:w="687" w:type="dxa"/>
            <w:tcBorders>
              <w:top w:val="single" w:color="000000" w:sz="4" w:space="0"/>
              <w:left w:val="single" w:color="000000" w:sz="4" w:space="0"/>
              <w:bottom w:val="single" w:color="000000" w:sz="4" w:space="0"/>
              <w:right w:val="single" w:color="000000" w:sz="4" w:space="0"/>
            </w:tcBorders>
            <w:vAlign w:val="center"/>
          </w:tcPr>
          <w:p w14:paraId="27B86C7B">
            <w:pPr>
              <w:pStyle w:val="98"/>
              <w:ind w:left="-105" w:right="-105"/>
              <w:rPr>
                <w:rFonts w:eastAsia="宋体"/>
                <w:color w:val="auto"/>
                <w:sz w:val="21"/>
                <w:szCs w:val="21"/>
                <w:highlight w:val="none"/>
              </w:rPr>
            </w:pPr>
            <w:r>
              <w:rPr>
                <w:rFonts w:eastAsia="宋体"/>
                <w:color w:val="auto"/>
                <w:sz w:val="21"/>
                <w:szCs w:val="21"/>
                <w:highlight w:val="none"/>
              </w:rPr>
              <w:t>13</w:t>
            </w:r>
          </w:p>
        </w:tc>
        <w:tc>
          <w:tcPr>
            <w:tcW w:w="687" w:type="dxa"/>
            <w:tcBorders>
              <w:top w:val="single" w:color="000000" w:sz="4" w:space="0"/>
              <w:left w:val="single" w:color="000000" w:sz="4" w:space="0"/>
              <w:bottom w:val="single" w:color="000000" w:sz="4" w:space="0"/>
              <w:right w:val="single" w:color="000000" w:sz="4" w:space="0"/>
            </w:tcBorders>
            <w:vAlign w:val="center"/>
          </w:tcPr>
          <w:p w14:paraId="7779349C">
            <w:pPr>
              <w:pStyle w:val="98"/>
              <w:ind w:left="-105" w:right="-105"/>
              <w:rPr>
                <w:rFonts w:eastAsia="宋体"/>
                <w:color w:val="auto"/>
                <w:sz w:val="21"/>
                <w:szCs w:val="21"/>
                <w:highlight w:val="none"/>
              </w:rPr>
            </w:pPr>
            <w:r>
              <w:rPr>
                <w:rFonts w:eastAsia="宋体"/>
                <w:color w:val="auto"/>
                <w:sz w:val="21"/>
                <w:szCs w:val="21"/>
                <w:highlight w:val="none"/>
              </w:rPr>
              <w:t>6.6</w:t>
            </w:r>
          </w:p>
        </w:tc>
        <w:tc>
          <w:tcPr>
            <w:tcW w:w="687" w:type="dxa"/>
            <w:tcBorders>
              <w:top w:val="single" w:color="000000" w:sz="4" w:space="0"/>
              <w:left w:val="single" w:color="000000" w:sz="4" w:space="0"/>
              <w:bottom w:val="single" w:color="000000" w:sz="4" w:space="0"/>
              <w:right w:val="single" w:color="000000" w:sz="4" w:space="0"/>
            </w:tcBorders>
            <w:vAlign w:val="center"/>
          </w:tcPr>
          <w:p w14:paraId="1FBDDEFE">
            <w:pPr>
              <w:pStyle w:val="98"/>
              <w:ind w:left="-105" w:right="-105"/>
              <w:rPr>
                <w:rFonts w:eastAsia="宋体"/>
                <w:color w:val="auto"/>
                <w:sz w:val="21"/>
                <w:szCs w:val="21"/>
                <w:highlight w:val="none"/>
              </w:rPr>
            </w:pPr>
            <w:r>
              <w:rPr>
                <w:rFonts w:eastAsia="宋体"/>
                <w:color w:val="auto"/>
                <w:sz w:val="21"/>
                <w:szCs w:val="21"/>
                <w:highlight w:val="none"/>
              </w:rPr>
              <w:t>3.8</w:t>
            </w:r>
          </w:p>
        </w:tc>
        <w:tc>
          <w:tcPr>
            <w:tcW w:w="687" w:type="dxa"/>
            <w:tcBorders>
              <w:top w:val="single" w:color="000000" w:sz="4" w:space="0"/>
              <w:left w:val="single" w:color="000000" w:sz="4" w:space="0"/>
              <w:bottom w:val="single" w:color="000000" w:sz="4" w:space="0"/>
              <w:right w:val="single" w:color="000000" w:sz="4" w:space="0"/>
            </w:tcBorders>
            <w:vAlign w:val="center"/>
          </w:tcPr>
          <w:p w14:paraId="12429E9E">
            <w:pPr>
              <w:pStyle w:val="98"/>
              <w:ind w:left="-105" w:right="-105"/>
              <w:rPr>
                <w:rFonts w:eastAsia="宋体"/>
                <w:color w:val="auto"/>
                <w:sz w:val="21"/>
                <w:szCs w:val="21"/>
                <w:highlight w:val="none"/>
              </w:rPr>
            </w:pPr>
            <w:r>
              <w:rPr>
                <w:rFonts w:eastAsia="宋体"/>
                <w:color w:val="auto"/>
                <w:sz w:val="21"/>
                <w:szCs w:val="21"/>
                <w:highlight w:val="none"/>
              </w:rPr>
              <w:t>2.2</w:t>
            </w:r>
          </w:p>
        </w:tc>
        <w:tc>
          <w:tcPr>
            <w:tcW w:w="684" w:type="dxa"/>
            <w:tcBorders>
              <w:top w:val="single" w:color="000000" w:sz="4" w:space="0"/>
              <w:left w:val="single" w:color="000000" w:sz="4" w:space="0"/>
              <w:bottom w:val="single" w:color="000000" w:sz="4" w:space="0"/>
              <w:right w:val="single" w:color="000000" w:sz="4" w:space="0"/>
            </w:tcBorders>
            <w:vAlign w:val="center"/>
          </w:tcPr>
          <w:p w14:paraId="19AC552F">
            <w:pPr>
              <w:pStyle w:val="98"/>
              <w:ind w:left="-105" w:right="-105"/>
              <w:rPr>
                <w:rFonts w:eastAsia="宋体"/>
                <w:color w:val="auto"/>
                <w:sz w:val="21"/>
                <w:szCs w:val="21"/>
                <w:highlight w:val="none"/>
              </w:rPr>
            </w:pPr>
            <w:r>
              <w:rPr>
                <w:rFonts w:eastAsia="宋体"/>
                <w:color w:val="auto"/>
                <w:sz w:val="21"/>
                <w:szCs w:val="21"/>
                <w:highlight w:val="none"/>
              </w:rPr>
              <w:t>2.4</w:t>
            </w:r>
          </w:p>
        </w:tc>
        <w:tc>
          <w:tcPr>
            <w:tcW w:w="714" w:type="dxa"/>
            <w:tcBorders>
              <w:top w:val="single" w:color="000000" w:sz="4" w:space="0"/>
              <w:left w:val="single" w:color="000000" w:sz="4" w:space="0"/>
              <w:bottom w:val="single" w:color="000000" w:sz="4" w:space="0"/>
              <w:right w:val="single" w:color="000000" w:sz="4" w:space="0"/>
            </w:tcBorders>
            <w:vAlign w:val="center"/>
          </w:tcPr>
          <w:p w14:paraId="0B93EA4B">
            <w:pPr>
              <w:pStyle w:val="98"/>
              <w:ind w:left="-105" w:right="-105"/>
              <w:rPr>
                <w:rFonts w:eastAsia="宋体"/>
                <w:color w:val="auto"/>
                <w:sz w:val="21"/>
                <w:szCs w:val="21"/>
                <w:highlight w:val="none"/>
              </w:rPr>
            </w:pPr>
            <w:r>
              <w:rPr>
                <w:rFonts w:eastAsia="宋体"/>
                <w:color w:val="auto"/>
                <w:sz w:val="21"/>
                <w:szCs w:val="21"/>
                <w:highlight w:val="none"/>
              </w:rPr>
              <w:t>0.6</w:t>
            </w:r>
          </w:p>
        </w:tc>
        <w:tc>
          <w:tcPr>
            <w:tcW w:w="686" w:type="dxa"/>
            <w:tcBorders>
              <w:top w:val="single" w:color="000000" w:sz="4" w:space="0"/>
              <w:left w:val="single" w:color="000000" w:sz="4" w:space="0"/>
              <w:bottom w:val="single" w:color="000000" w:sz="4" w:space="0"/>
              <w:right w:val="single" w:color="000000" w:sz="4" w:space="0"/>
            </w:tcBorders>
            <w:vAlign w:val="center"/>
          </w:tcPr>
          <w:p w14:paraId="3598FE6C">
            <w:pPr>
              <w:pStyle w:val="98"/>
              <w:ind w:left="-105" w:right="-105"/>
              <w:rPr>
                <w:rFonts w:eastAsia="宋体"/>
                <w:color w:val="auto"/>
                <w:sz w:val="21"/>
                <w:szCs w:val="21"/>
                <w:highlight w:val="none"/>
              </w:rPr>
            </w:pPr>
            <w:r>
              <w:rPr>
                <w:rFonts w:eastAsia="宋体"/>
                <w:color w:val="auto"/>
                <w:sz w:val="21"/>
                <w:szCs w:val="21"/>
                <w:highlight w:val="none"/>
              </w:rPr>
              <w:t>2.4</w:t>
            </w:r>
          </w:p>
        </w:tc>
        <w:tc>
          <w:tcPr>
            <w:tcW w:w="747" w:type="dxa"/>
            <w:tcBorders>
              <w:top w:val="single" w:color="000000" w:sz="4" w:space="0"/>
              <w:left w:val="single" w:color="000000" w:sz="4" w:space="0"/>
              <w:bottom w:val="single" w:color="000000" w:sz="4" w:space="0"/>
              <w:right w:val="single" w:color="000000" w:sz="4" w:space="0"/>
            </w:tcBorders>
            <w:vAlign w:val="center"/>
          </w:tcPr>
          <w:p w14:paraId="0EC4D548">
            <w:pPr>
              <w:pStyle w:val="98"/>
              <w:ind w:left="-105" w:right="-105"/>
              <w:rPr>
                <w:rFonts w:eastAsia="宋体"/>
                <w:color w:val="auto"/>
                <w:sz w:val="21"/>
                <w:szCs w:val="21"/>
                <w:highlight w:val="none"/>
              </w:rPr>
            </w:pPr>
            <w:r>
              <w:rPr>
                <w:rFonts w:eastAsia="宋体"/>
                <w:color w:val="auto"/>
                <w:sz w:val="21"/>
                <w:szCs w:val="21"/>
                <w:highlight w:val="none"/>
              </w:rPr>
              <w:t>5.4</w:t>
            </w:r>
          </w:p>
        </w:tc>
        <w:tc>
          <w:tcPr>
            <w:tcW w:w="686" w:type="dxa"/>
            <w:tcBorders>
              <w:top w:val="single" w:color="000000" w:sz="4" w:space="0"/>
              <w:left w:val="single" w:color="000000" w:sz="4" w:space="0"/>
              <w:bottom w:val="single" w:color="000000" w:sz="4" w:space="0"/>
              <w:right w:val="single" w:color="000000" w:sz="4" w:space="0"/>
            </w:tcBorders>
            <w:vAlign w:val="center"/>
          </w:tcPr>
          <w:p w14:paraId="490A73AD">
            <w:pPr>
              <w:pStyle w:val="98"/>
              <w:ind w:left="-105" w:right="-105"/>
              <w:rPr>
                <w:rFonts w:eastAsia="宋体"/>
                <w:color w:val="auto"/>
                <w:sz w:val="21"/>
                <w:szCs w:val="21"/>
                <w:highlight w:val="none"/>
              </w:rPr>
            </w:pPr>
            <w:r>
              <w:rPr>
                <w:rFonts w:eastAsia="宋体"/>
                <w:color w:val="auto"/>
                <w:sz w:val="21"/>
                <w:szCs w:val="21"/>
                <w:highlight w:val="none"/>
              </w:rPr>
              <w:t>2.8</w:t>
            </w:r>
          </w:p>
        </w:tc>
        <w:tc>
          <w:tcPr>
            <w:tcW w:w="700" w:type="dxa"/>
            <w:tcBorders>
              <w:top w:val="single" w:color="000000" w:sz="4" w:space="0"/>
              <w:left w:val="single" w:color="000000" w:sz="4" w:space="0"/>
              <w:bottom w:val="single" w:color="000000" w:sz="4" w:space="0"/>
              <w:right w:val="single" w:color="000000" w:sz="4" w:space="0"/>
            </w:tcBorders>
            <w:vAlign w:val="center"/>
          </w:tcPr>
          <w:p w14:paraId="248A92FD">
            <w:pPr>
              <w:pStyle w:val="98"/>
              <w:ind w:left="-105" w:right="-105"/>
              <w:rPr>
                <w:rFonts w:eastAsia="宋体"/>
                <w:color w:val="auto"/>
                <w:sz w:val="21"/>
                <w:szCs w:val="21"/>
                <w:highlight w:val="none"/>
              </w:rPr>
            </w:pPr>
            <w:r>
              <w:rPr>
                <w:rFonts w:eastAsia="宋体"/>
                <w:color w:val="auto"/>
                <w:sz w:val="21"/>
                <w:szCs w:val="21"/>
                <w:highlight w:val="none"/>
              </w:rPr>
              <w:t>3.2</w:t>
            </w:r>
          </w:p>
        </w:tc>
        <w:tc>
          <w:tcPr>
            <w:tcW w:w="686" w:type="dxa"/>
            <w:tcBorders>
              <w:top w:val="single" w:color="000000" w:sz="4" w:space="0"/>
              <w:left w:val="single" w:color="000000" w:sz="4" w:space="0"/>
              <w:bottom w:val="single" w:color="000000" w:sz="4" w:space="0"/>
              <w:right w:val="single" w:color="000000" w:sz="4" w:space="0"/>
            </w:tcBorders>
            <w:vAlign w:val="center"/>
          </w:tcPr>
          <w:p w14:paraId="3FC5B602">
            <w:pPr>
              <w:pStyle w:val="98"/>
              <w:ind w:left="-105" w:right="-105"/>
              <w:rPr>
                <w:rFonts w:eastAsia="宋体"/>
                <w:color w:val="auto"/>
                <w:sz w:val="21"/>
                <w:szCs w:val="21"/>
                <w:highlight w:val="none"/>
              </w:rPr>
            </w:pPr>
            <w:r>
              <w:rPr>
                <w:rFonts w:eastAsia="宋体"/>
                <w:color w:val="auto"/>
                <w:sz w:val="21"/>
                <w:szCs w:val="21"/>
                <w:highlight w:val="none"/>
              </w:rPr>
              <w:t>12.4</w:t>
            </w:r>
          </w:p>
        </w:tc>
        <w:tc>
          <w:tcPr>
            <w:tcW w:w="693" w:type="dxa"/>
            <w:tcBorders>
              <w:top w:val="single" w:color="000000" w:sz="4" w:space="0"/>
              <w:left w:val="single" w:color="000000" w:sz="4" w:space="0"/>
              <w:bottom w:val="single" w:color="000000" w:sz="4" w:space="0"/>
              <w:right w:val="nil"/>
            </w:tcBorders>
            <w:vAlign w:val="center"/>
          </w:tcPr>
          <w:p w14:paraId="189B94D3">
            <w:pPr>
              <w:pStyle w:val="98"/>
              <w:ind w:left="-105" w:right="-105"/>
              <w:rPr>
                <w:rFonts w:eastAsia="宋体"/>
                <w:color w:val="auto"/>
                <w:sz w:val="21"/>
                <w:szCs w:val="21"/>
                <w:highlight w:val="none"/>
              </w:rPr>
            </w:pPr>
            <w:r>
              <w:rPr>
                <w:rFonts w:eastAsia="宋体"/>
                <w:color w:val="auto"/>
                <w:sz w:val="21"/>
                <w:szCs w:val="21"/>
                <w:highlight w:val="none"/>
              </w:rPr>
              <w:t>/</w:t>
            </w:r>
          </w:p>
        </w:tc>
      </w:tr>
      <w:tr w14:paraId="6156F2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205F9960">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143076D6">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2508F6F2">
            <w:pPr>
              <w:pStyle w:val="98"/>
              <w:ind w:left="-105" w:right="-105"/>
              <w:rPr>
                <w:rFonts w:eastAsia="宋体"/>
                <w:color w:val="auto"/>
                <w:sz w:val="21"/>
                <w:szCs w:val="21"/>
                <w:highlight w:val="none"/>
              </w:rPr>
            </w:pPr>
            <w:r>
              <w:rPr>
                <w:rFonts w:eastAsia="宋体"/>
                <w:color w:val="auto"/>
                <w:sz w:val="21"/>
                <w:szCs w:val="21"/>
                <w:highlight w:val="none"/>
              </w:rPr>
              <w:t>8</w:t>
            </w:r>
          </w:p>
        </w:tc>
        <w:tc>
          <w:tcPr>
            <w:tcW w:w="687" w:type="dxa"/>
            <w:tcBorders>
              <w:top w:val="single" w:color="000000" w:sz="4" w:space="0"/>
              <w:left w:val="single" w:color="000000" w:sz="4" w:space="0"/>
              <w:bottom w:val="single" w:color="000000" w:sz="4" w:space="0"/>
              <w:right w:val="single" w:color="000000" w:sz="4" w:space="0"/>
            </w:tcBorders>
            <w:vAlign w:val="center"/>
          </w:tcPr>
          <w:p w14:paraId="379DB3F3">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3A2B8C5B">
            <w:pPr>
              <w:pStyle w:val="98"/>
              <w:ind w:left="-105" w:right="-105"/>
              <w:rPr>
                <w:rFonts w:eastAsia="宋体"/>
                <w:color w:val="auto"/>
                <w:sz w:val="21"/>
                <w:szCs w:val="21"/>
                <w:highlight w:val="none"/>
              </w:rPr>
            </w:pPr>
            <w:r>
              <w:rPr>
                <w:rFonts w:eastAsia="宋体"/>
                <w:color w:val="auto"/>
                <w:sz w:val="21"/>
                <w:szCs w:val="21"/>
                <w:highlight w:val="none"/>
              </w:rPr>
              <w:t>2.7</w:t>
            </w:r>
          </w:p>
        </w:tc>
        <w:tc>
          <w:tcPr>
            <w:tcW w:w="688" w:type="dxa"/>
            <w:tcBorders>
              <w:top w:val="single" w:color="000000" w:sz="4" w:space="0"/>
              <w:left w:val="single" w:color="000000" w:sz="4" w:space="0"/>
              <w:bottom w:val="single" w:color="000000" w:sz="4" w:space="0"/>
              <w:right w:val="single" w:color="000000" w:sz="4" w:space="0"/>
            </w:tcBorders>
            <w:vAlign w:val="center"/>
          </w:tcPr>
          <w:p w14:paraId="13AB75C3">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7C445A44">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2F71CE6A">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15CE5480">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22E4092C">
            <w:pPr>
              <w:pStyle w:val="98"/>
              <w:ind w:left="-105" w:right="-105"/>
              <w:rPr>
                <w:rFonts w:eastAsia="宋体"/>
                <w:color w:val="auto"/>
                <w:sz w:val="21"/>
                <w:szCs w:val="21"/>
                <w:highlight w:val="none"/>
              </w:rPr>
            </w:pPr>
            <w:r>
              <w:rPr>
                <w:rFonts w:eastAsia="宋体"/>
                <w:color w:val="auto"/>
                <w:sz w:val="21"/>
                <w:szCs w:val="21"/>
                <w:highlight w:val="none"/>
              </w:rPr>
              <w:t>2.1</w:t>
            </w:r>
          </w:p>
        </w:tc>
        <w:tc>
          <w:tcPr>
            <w:tcW w:w="687" w:type="dxa"/>
            <w:tcBorders>
              <w:top w:val="single" w:color="000000" w:sz="4" w:space="0"/>
              <w:left w:val="single" w:color="000000" w:sz="4" w:space="0"/>
              <w:bottom w:val="single" w:color="000000" w:sz="4" w:space="0"/>
              <w:right w:val="single" w:color="000000" w:sz="4" w:space="0"/>
            </w:tcBorders>
            <w:vAlign w:val="center"/>
          </w:tcPr>
          <w:p w14:paraId="7BB11311">
            <w:pPr>
              <w:pStyle w:val="98"/>
              <w:ind w:left="-105" w:right="-105"/>
              <w:rPr>
                <w:rFonts w:eastAsia="宋体"/>
                <w:color w:val="auto"/>
                <w:sz w:val="21"/>
                <w:szCs w:val="21"/>
                <w:highlight w:val="none"/>
              </w:rPr>
            </w:pPr>
            <w:r>
              <w:rPr>
                <w:rFonts w:eastAsia="宋体"/>
                <w:color w:val="auto"/>
                <w:sz w:val="21"/>
                <w:szCs w:val="21"/>
                <w:highlight w:val="none"/>
              </w:rPr>
              <w:t>2.3</w:t>
            </w:r>
          </w:p>
        </w:tc>
        <w:tc>
          <w:tcPr>
            <w:tcW w:w="687" w:type="dxa"/>
            <w:tcBorders>
              <w:top w:val="single" w:color="000000" w:sz="4" w:space="0"/>
              <w:left w:val="single" w:color="000000" w:sz="4" w:space="0"/>
              <w:bottom w:val="single" w:color="000000" w:sz="4" w:space="0"/>
              <w:right w:val="single" w:color="000000" w:sz="4" w:space="0"/>
            </w:tcBorders>
            <w:vAlign w:val="center"/>
          </w:tcPr>
          <w:p w14:paraId="7ECEC03D">
            <w:pPr>
              <w:pStyle w:val="98"/>
              <w:ind w:left="-105" w:right="-105"/>
              <w:rPr>
                <w:rFonts w:eastAsia="宋体"/>
                <w:color w:val="auto"/>
                <w:sz w:val="21"/>
                <w:szCs w:val="21"/>
                <w:highlight w:val="none"/>
              </w:rPr>
            </w:pPr>
            <w:r>
              <w:rPr>
                <w:rFonts w:eastAsia="宋体"/>
                <w:color w:val="auto"/>
                <w:sz w:val="21"/>
                <w:szCs w:val="21"/>
                <w:highlight w:val="none"/>
              </w:rPr>
              <w:t>2.3</w:t>
            </w:r>
          </w:p>
        </w:tc>
        <w:tc>
          <w:tcPr>
            <w:tcW w:w="684" w:type="dxa"/>
            <w:tcBorders>
              <w:top w:val="single" w:color="000000" w:sz="4" w:space="0"/>
              <w:left w:val="single" w:color="000000" w:sz="4" w:space="0"/>
              <w:bottom w:val="single" w:color="000000" w:sz="4" w:space="0"/>
              <w:right w:val="single" w:color="000000" w:sz="4" w:space="0"/>
            </w:tcBorders>
            <w:vAlign w:val="center"/>
          </w:tcPr>
          <w:p w14:paraId="691E019B">
            <w:pPr>
              <w:pStyle w:val="98"/>
              <w:ind w:left="-105" w:right="-105"/>
              <w:rPr>
                <w:rFonts w:eastAsia="宋体"/>
                <w:color w:val="auto"/>
                <w:sz w:val="21"/>
                <w:szCs w:val="21"/>
                <w:highlight w:val="none"/>
              </w:rPr>
            </w:pPr>
            <w:r>
              <w:rPr>
                <w:rFonts w:eastAsia="宋体"/>
                <w:color w:val="auto"/>
                <w:sz w:val="21"/>
                <w:szCs w:val="21"/>
                <w:highlight w:val="none"/>
              </w:rPr>
              <w:t>2.6</w:t>
            </w:r>
          </w:p>
        </w:tc>
        <w:tc>
          <w:tcPr>
            <w:tcW w:w="714" w:type="dxa"/>
            <w:tcBorders>
              <w:top w:val="single" w:color="000000" w:sz="4" w:space="0"/>
              <w:left w:val="single" w:color="000000" w:sz="4" w:space="0"/>
              <w:bottom w:val="single" w:color="000000" w:sz="4" w:space="0"/>
              <w:right w:val="single" w:color="000000" w:sz="4" w:space="0"/>
            </w:tcBorders>
            <w:vAlign w:val="center"/>
          </w:tcPr>
          <w:p w14:paraId="53A10B2B">
            <w:pPr>
              <w:pStyle w:val="98"/>
              <w:ind w:left="-105" w:right="-105"/>
              <w:rPr>
                <w:rFonts w:eastAsia="宋体"/>
                <w:color w:val="auto"/>
                <w:sz w:val="21"/>
                <w:szCs w:val="21"/>
                <w:highlight w:val="none"/>
              </w:rPr>
            </w:pPr>
            <w:r>
              <w:rPr>
                <w:rFonts w:eastAsia="宋体"/>
                <w:color w:val="auto"/>
                <w:sz w:val="21"/>
                <w:szCs w:val="21"/>
                <w:highlight w:val="none"/>
              </w:rPr>
              <w:t>1</w:t>
            </w:r>
          </w:p>
        </w:tc>
        <w:tc>
          <w:tcPr>
            <w:tcW w:w="686" w:type="dxa"/>
            <w:tcBorders>
              <w:top w:val="single" w:color="000000" w:sz="4" w:space="0"/>
              <w:left w:val="single" w:color="000000" w:sz="4" w:space="0"/>
              <w:bottom w:val="single" w:color="000000" w:sz="4" w:space="0"/>
              <w:right w:val="single" w:color="000000" w:sz="4" w:space="0"/>
            </w:tcBorders>
            <w:vAlign w:val="center"/>
          </w:tcPr>
          <w:p w14:paraId="74EB2036">
            <w:pPr>
              <w:pStyle w:val="98"/>
              <w:ind w:left="-105" w:right="-105"/>
              <w:rPr>
                <w:rFonts w:eastAsia="宋体"/>
                <w:color w:val="auto"/>
                <w:sz w:val="21"/>
                <w:szCs w:val="21"/>
                <w:highlight w:val="none"/>
              </w:rPr>
            </w:pPr>
            <w:r>
              <w:rPr>
                <w:rFonts w:eastAsia="宋体"/>
                <w:color w:val="auto"/>
                <w:sz w:val="21"/>
                <w:szCs w:val="21"/>
                <w:highlight w:val="none"/>
              </w:rPr>
              <w:t>2.9</w:t>
            </w:r>
          </w:p>
        </w:tc>
        <w:tc>
          <w:tcPr>
            <w:tcW w:w="747" w:type="dxa"/>
            <w:tcBorders>
              <w:top w:val="single" w:color="000000" w:sz="4" w:space="0"/>
              <w:left w:val="single" w:color="000000" w:sz="4" w:space="0"/>
              <w:bottom w:val="single" w:color="000000" w:sz="4" w:space="0"/>
              <w:right w:val="single" w:color="000000" w:sz="4" w:space="0"/>
            </w:tcBorders>
            <w:vAlign w:val="center"/>
          </w:tcPr>
          <w:p w14:paraId="4BCE440A">
            <w:pPr>
              <w:pStyle w:val="98"/>
              <w:ind w:left="-105" w:right="-105"/>
              <w:rPr>
                <w:rFonts w:eastAsia="宋体"/>
                <w:color w:val="auto"/>
                <w:sz w:val="21"/>
                <w:szCs w:val="21"/>
                <w:highlight w:val="none"/>
              </w:rPr>
            </w:pPr>
            <w:r>
              <w:rPr>
                <w:rFonts w:eastAsia="宋体"/>
                <w:color w:val="auto"/>
                <w:sz w:val="21"/>
                <w:szCs w:val="21"/>
                <w:highlight w:val="none"/>
              </w:rPr>
              <w:t>5.1</w:t>
            </w:r>
          </w:p>
        </w:tc>
        <w:tc>
          <w:tcPr>
            <w:tcW w:w="686" w:type="dxa"/>
            <w:tcBorders>
              <w:top w:val="single" w:color="000000" w:sz="4" w:space="0"/>
              <w:left w:val="single" w:color="000000" w:sz="4" w:space="0"/>
              <w:bottom w:val="single" w:color="000000" w:sz="4" w:space="0"/>
              <w:right w:val="single" w:color="000000" w:sz="4" w:space="0"/>
            </w:tcBorders>
            <w:vAlign w:val="center"/>
          </w:tcPr>
          <w:p w14:paraId="69912FD5">
            <w:pPr>
              <w:pStyle w:val="98"/>
              <w:ind w:left="-105" w:right="-105"/>
              <w:rPr>
                <w:rFonts w:eastAsia="宋体"/>
                <w:color w:val="auto"/>
                <w:sz w:val="21"/>
                <w:szCs w:val="21"/>
                <w:highlight w:val="none"/>
              </w:rPr>
            </w:pPr>
            <w:r>
              <w:rPr>
                <w:rFonts w:eastAsia="宋体"/>
                <w:color w:val="auto"/>
                <w:sz w:val="21"/>
                <w:szCs w:val="21"/>
                <w:highlight w:val="none"/>
              </w:rPr>
              <w:t>2.9</w:t>
            </w:r>
          </w:p>
        </w:tc>
        <w:tc>
          <w:tcPr>
            <w:tcW w:w="700" w:type="dxa"/>
            <w:tcBorders>
              <w:top w:val="single" w:color="000000" w:sz="4" w:space="0"/>
              <w:left w:val="single" w:color="000000" w:sz="4" w:space="0"/>
              <w:bottom w:val="single" w:color="000000" w:sz="4" w:space="0"/>
              <w:right w:val="single" w:color="000000" w:sz="4" w:space="0"/>
            </w:tcBorders>
            <w:vAlign w:val="center"/>
          </w:tcPr>
          <w:p w14:paraId="06CAD89D">
            <w:pPr>
              <w:pStyle w:val="98"/>
              <w:ind w:left="-105" w:right="-105"/>
              <w:rPr>
                <w:rFonts w:eastAsia="宋体"/>
                <w:color w:val="auto"/>
                <w:sz w:val="21"/>
                <w:szCs w:val="21"/>
                <w:highlight w:val="none"/>
              </w:rPr>
            </w:pPr>
            <w:r>
              <w:rPr>
                <w:rFonts w:eastAsia="宋体"/>
                <w:color w:val="auto"/>
                <w:sz w:val="21"/>
                <w:szCs w:val="21"/>
                <w:highlight w:val="none"/>
              </w:rPr>
              <w:t>2</w:t>
            </w:r>
          </w:p>
        </w:tc>
        <w:tc>
          <w:tcPr>
            <w:tcW w:w="686" w:type="dxa"/>
            <w:tcBorders>
              <w:top w:val="single" w:color="000000" w:sz="4" w:space="0"/>
              <w:left w:val="single" w:color="000000" w:sz="4" w:space="0"/>
              <w:bottom w:val="single" w:color="000000" w:sz="4" w:space="0"/>
              <w:right w:val="single" w:color="000000" w:sz="4" w:space="0"/>
            </w:tcBorders>
            <w:vAlign w:val="center"/>
          </w:tcPr>
          <w:p w14:paraId="25A75812">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65C7F927">
            <w:pPr>
              <w:pStyle w:val="98"/>
              <w:ind w:left="-105" w:right="-105"/>
              <w:rPr>
                <w:rFonts w:eastAsia="宋体"/>
                <w:color w:val="auto"/>
                <w:sz w:val="21"/>
                <w:szCs w:val="21"/>
                <w:highlight w:val="none"/>
              </w:rPr>
            </w:pPr>
            <w:r>
              <w:rPr>
                <w:rFonts w:eastAsia="宋体"/>
                <w:color w:val="auto"/>
                <w:sz w:val="21"/>
                <w:szCs w:val="21"/>
                <w:highlight w:val="none"/>
              </w:rPr>
              <w:t>2.71</w:t>
            </w:r>
          </w:p>
        </w:tc>
      </w:tr>
      <w:tr w14:paraId="5BB2A4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4D1D4D95">
            <w:pPr>
              <w:pStyle w:val="98"/>
              <w:ind w:left="-105" w:right="-105"/>
              <w:rPr>
                <w:rFonts w:eastAsia="宋体"/>
                <w:color w:val="auto"/>
                <w:sz w:val="21"/>
                <w:szCs w:val="21"/>
                <w:highlight w:val="none"/>
              </w:rPr>
            </w:pPr>
            <w:r>
              <w:rPr>
                <w:rFonts w:eastAsia="宋体"/>
                <w:color w:val="auto"/>
                <w:sz w:val="21"/>
                <w:szCs w:val="21"/>
                <w:highlight w:val="none"/>
              </w:rPr>
              <w:t>5月</w:t>
            </w:r>
          </w:p>
        </w:tc>
        <w:tc>
          <w:tcPr>
            <w:tcW w:w="687" w:type="dxa"/>
            <w:tcBorders>
              <w:top w:val="single" w:color="000000" w:sz="4" w:space="0"/>
              <w:left w:val="single" w:color="000000" w:sz="4" w:space="0"/>
              <w:bottom w:val="single" w:color="000000" w:sz="4" w:space="0"/>
              <w:right w:val="single" w:color="000000" w:sz="4" w:space="0"/>
            </w:tcBorders>
            <w:vAlign w:val="center"/>
          </w:tcPr>
          <w:p w14:paraId="00706141">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1F008820">
            <w:pPr>
              <w:pStyle w:val="98"/>
              <w:ind w:left="-105" w:right="-105"/>
              <w:rPr>
                <w:rFonts w:eastAsia="宋体"/>
                <w:color w:val="auto"/>
                <w:sz w:val="21"/>
                <w:szCs w:val="21"/>
                <w:highlight w:val="none"/>
              </w:rPr>
            </w:pPr>
            <w:r>
              <w:rPr>
                <w:rFonts w:eastAsia="宋体"/>
                <w:color w:val="auto"/>
                <w:sz w:val="21"/>
                <w:szCs w:val="21"/>
                <w:highlight w:val="none"/>
              </w:rPr>
              <w:t>4</w:t>
            </w:r>
          </w:p>
        </w:tc>
        <w:tc>
          <w:tcPr>
            <w:tcW w:w="687" w:type="dxa"/>
            <w:tcBorders>
              <w:top w:val="single" w:color="000000" w:sz="4" w:space="0"/>
              <w:left w:val="single" w:color="000000" w:sz="4" w:space="0"/>
              <w:bottom w:val="single" w:color="000000" w:sz="4" w:space="0"/>
              <w:right w:val="single" w:color="000000" w:sz="4" w:space="0"/>
            </w:tcBorders>
            <w:vAlign w:val="center"/>
          </w:tcPr>
          <w:p w14:paraId="39442184">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0C37CFCB">
            <w:pPr>
              <w:pStyle w:val="98"/>
              <w:ind w:left="-105" w:right="-105"/>
              <w:rPr>
                <w:rFonts w:eastAsia="宋体"/>
                <w:color w:val="auto"/>
                <w:sz w:val="21"/>
                <w:szCs w:val="21"/>
                <w:highlight w:val="none"/>
              </w:rPr>
            </w:pPr>
            <w:r>
              <w:rPr>
                <w:rFonts w:eastAsia="宋体"/>
                <w:color w:val="auto"/>
                <w:sz w:val="21"/>
                <w:szCs w:val="21"/>
                <w:highlight w:val="none"/>
              </w:rPr>
              <w:t>3.6</w:t>
            </w:r>
          </w:p>
        </w:tc>
        <w:tc>
          <w:tcPr>
            <w:tcW w:w="688" w:type="dxa"/>
            <w:tcBorders>
              <w:top w:val="single" w:color="000000" w:sz="4" w:space="0"/>
              <w:left w:val="single" w:color="000000" w:sz="4" w:space="0"/>
              <w:bottom w:val="single" w:color="000000" w:sz="4" w:space="0"/>
              <w:right w:val="single" w:color="000000" w:sz="4" w:space="0"/>
            </w:tcBorders>
            <w:vAlign w:val="center"/>
          </w:tcPr>
          <w:p w14:paraId="0741DB66">
            <w:pPr>
              <w:pStyle w:val="98"/>
              <w:ind w:left="-105" w:right="-105"/>
              <w:rPr>
                <w:rFonts w:eastAsia="宋体"/>
                <w:color w:val="auto"/>
                <w:sz w:val="21"/>
                <w:szCs w:val="21"/>
                <w:highlight w:val="none"/>
              </w:rPr>
            </w:pPr>
            <w:r>
              <w:rPr>
                <w:rFonts w:eastAsia="宋体"/>
                <w:color w:val="auto"/>
                <w:sz w:val="21"/>
                <w:szCs w:val="21"/>
                <w:highlight w:val="none"/>
              </w:rPr>
              <w:t>4.6</w:t>
            </w:r>
          </w:p>
        </w:tc>
        <w:tc>
          <w:tcPr>
            <w:tcW w:w="687" w:type="dxa"/>
            <w:tcBorders>
              <w:top w:val="single" w:color="000000" w:sz="4" w:space="0"/>
              <w:left w:val="single" w:color="000000" w:sz="4" w:space="0"/>
              <w:bottom w:val="single" w:color="000000" w:sz="4" w:space="0"/>
              <w:right w:val="single" w:color="000000" w:sz="4" w:space="0"/>
            </w:tcBorders>
            <w:vAlign w:val="center"/>
          </w:tcPr>
          <w:p w14:paraId="106BBE81">
            <w:pPr>
              <w:pStyle w:val="98"/>
              <w:ind w:left="-105" w:right="-105"/>
              <w:rPr>
                <w:rFonts w:eastAsia="宋体"/>
                <w:color w:val="auto"/>
                <w:sz w:val="21"/>
                <w:szCs w:val="21"/>
                <w:highlight w:val="none"/>
              </w:rPr>
            </w:pPr>
            <w:r>
              <w:rPr>
                <w:rFonts w:eastAsia="宋体"/>
                <w:color w:val="auto"/>
                <w:sz w:val="21"/>
                <w:szCs w:val="21"/>
                <w:highlight w:val="none"/>
              </w:rPr>
              <w:t>6.8</w:t>
            </w:r>
          </w:p>
        </w:tc>
        <w:tc>
          <w:tcPr>
            <w:tcW w:w="687" w:type="dxa"/>
            <w:tcBorders>
              <w:top w:val="single" w:color="000000" w:sz="4" w:space="0"/>
              <w:left w:val="single" w:color="000000" w:sz="4" w:space="0"/>
              <w:bottom w:val="single" w:color="000000" w:sz="4" w:space="0"/>
              <w:right w:val="single" w:color="000000" w:sz="4" w:space="0"/>
            </w:tcBorders>
            <w:vAlign w:val="center"/>
          </w:tcPr>
          <w:p w14:paraId="049DB153">
            <w:pPr>
              <w:pStyle w:val="98"/>
              <w:ind w:left="-105" w:right="-105"/>
              <w:rPr>
                <w:rFonts w:eastAsia="宋体"/>
                <w:color w:val="auto"/>
                <w:sz w:val="21"/>
                <w:szCs w:val="21"/>
                <w:highlight w:val="none"/>
              </w:rPr>
            </w:pPr>
            <w:r>
              <w:rPr>
                <w:rFonts w:eastAsia="宋体"/>
                <w:color w:val="auto"/>
                <w:sz w:val="21"/>
                <w:szCs w:val="21"/>
                <w:highlight w:val="none"/>
              </w:rPr>
              <w:t>12.6</w:t>
            </w:r>
          </w:p>
        </w:tc>
        <w:tc>
          <w:tcPr>
            <w:tcW w:w="687" w:type="dxa"/>
            <w:tcBorders>
              <w:top w:val="single" w:color="000000" w:sz="4" w:space="0"/>
              <w:left w:val="single" w:color="000000" w:sz="4" w:space="0"/>
              <w:bottom w:val="single" w:color="000000" w:sz="4" w:space="0"/>
              <w:right w:val="single" w:color="000000" w:sz="4" w:space="0"/>
            </w:tcBorders>
            <w:vAlign w:val="center"/>
          </w:tcPr>
          <w:p w14:paraId="5C3AE274">
            <w:pPr>
              <w:pStyle w:val="98"/>
              <w:ind w:left="-105" w:right="-105"/>
              <w:rPr>
                <w:rFonts w:eastAsia="宋体"/>
                <w:color w:val="auto"/>
                <w:sz w:val="21"/>
                <w:szCs w:val="21"/>
                <w:highlight w:val="none"/>
              </w:rPr>
            </w:pPr>
            <w:r>
              <w:rPr>
                <w:rFonts w:eastAsia="宋体"/>
                <w:color w:val="auto"/>
                <w:sz w:val="21"/>
                <w:szCs w:val="21"/>
                <w:highlight w:val="none"/>
              </w:rPr>
              <w:t>15.6</w:t>
            </w:r>
          </w:p>
        </w:tc>
        <w:tc>
          <w:tcPr>
            <w:tcW w:w="687" w:type="dxa"/>
            <w:tcBorders>
              <w:top w:val="single" w:color="000000" w:sz="4" w:space="0"/>
              <w:left w:val="single" w:color="000000" w:sz="4" w:space="0"/>
              <w:bottom w:val="single" w:color="000000" w:sz="4" w:space="0"/>
              <w:right w:val="single" w:color="000000" w:sz="4" w:space="0"/>
            </w:tcBorders>
            <w:vAlign w:val="center"/>
          </w:tcPr>
          <w:p w14:paraId="7443E650">
            <w:pPr>
              <w:pStyle w:val="98"/>
              <w:ind w:left="-105" w:right="-105"/>
              <w:rPr>
                <w:rFonts w:eastAsia="宋体"/>
                <w:color w:val="auto"/>
                <w:sz w:val="21"/>
                <w:szCs w:val="21"/>
                <w:highlight w:val="none"/>
              </w:rPr>
            </w:pPr>
            <w:r>
              <w:rPr>
                <w:rFonts w:eastAsia="宋体"/>
                <w:color w:val="auto"/>
                <w:sz w:val="21"/>
                <w:szCs w:val="21"/>
                <w:highlight w:val="none"/>
              </w:rPr>
              <w:t>7.6</w:t>
            </w:r>
          </w:p>
        </w:tc>
        <w:tc>
          <w:tcPr>
            <w:tcW w:w="687" w:type="dxa"/>
            <w:tcBorders>
              <w:top w:val="single" w:color="000000" w:sz="4" w:space="0"/>
              <w:left w:val="single" w:color="000000" w:sz="4" w:space="0"/>
              <w:bottom w:val="single" w:color="000000" w:sz="4" w:space="0"/>
              <w:right w:val="single" w:color="000000" w:sz="4" w:space="0"/>
            </w:tcBorders>
            <w:vAlign w:val="center"/>
          </w:tcPr>
          <w:p w14:paraId="233077C2">
            <w:pPr>
              <w:pStyle w:val="98"/>
              <w:ind w:left="-105" w:right="-105"/>
              <w:rPr>
                <w:rFonts w:eastAsia="宋体"/>
                <w:color w:val="auto"/>
                <w:sz w:val="21"/>
                <w:szCs w:val="21"/>
                <w:highlight w:val="none"/>
              </w:rPr>
            </w:pPr>
            <w:r>
              <w:rPr>
                <w:rFonts w:eastAsia="宋体"/>
                <w:color w:val="auto"/>
                <w:sz w:val="21"/>
                <w:szCs w:val="21"/>
                <w:highlight w:val="none"/>
              </w:rPr>
              <w:t>5</w:t>
            </w:r>
          </w:p>
        </w:tc>
        <w:tc>
          <w:tcPr>
            <w:tcW w:w="687" w:type="dxa"/>
            <w:tcBorders>
              <w:top w:val="single" w:color="000000" w:sz="4" w:space="0"/>
              <w:left w:val="single" w:color="000000" w:sz="4" w:space="0"/>
              <w:bottom w:val="single" w:color="000000" w:sz="4" w:space="0"/>
              <w:right w:val="single" w:color="000000" w:sz="4" w:space="0"/>
            </w:tcBorders>
            <w:vAlign w:val="center"/>
          </w:tcPr>
          <w:p w14:paraId="68D10435">
            <w:pPr>
              <w:pStyle w:val="98"/>
              <w:ind w:left="-105" w:right="-105"/>
              <w:rPr>
                <w:rFonts w:eastAsia="宋体"/>
                <w:color w:val="auto"/>
                <w:sz w:val="21"/>
                <w:szCs w:val="21"/>
                <w:highlight w:val="none"/>
              </w:rPr>
            </w:pPr>
            <w:r>
              <w:rPr>
                <w:rFonts w:eastAsia="宋体"/>
                <w:color w:val="auto"/>
                <w:sz w:val="21"/>
                <w:szCs w:val="21"/>
                <w:highlight w:val="none"/>
              </w:rPr>
              <w:t>3.8</w:t>
            </w:r>
          </w:p>
        </w:tc>
        <w:tc>
          <w:tcPr>
            <w:tcW w:w="684" w:type="dxa"/>
            <w:tcBorders>
              <w:top w:val="single" w:color="000000" w:sz="4" w:space="0"/>
              <w:left w:val="single" w:color="000000" w:sz="4" w:space="0"/>
              <w:bottom w:val="single" w:color="000000" w:sz="4" w:space="0"/>
              <w:right w:val="single" w:color="000000" w:sz="4" w:space="0"/>
            </w:tcBorders>
            <w:vAlign w:val="center"/>
          </w:tcPr>
          <w:p w14:paraId="2DED33E5">
            <w:pPr>
              <w:pStyle w:val="98"/>
              <w:ind w:left="-105" w:right="-105"/>
              <w:rPr>
                <w:rFonts w:eastAsia="宋体"/>
                <w:color w:val="auto"/>
                <w:sz w:val="21"/>
                <w:szCs w:val="21"/>
                <w:highlight w:val="none"/>
              </w:rPr>
            </w:pPr>
            <w:r>
              <w:rPr>
                <w:rFonts w:eastAsia="宋体"/>
                <w:color w:val="auto"/>
                <w:sz w:val="21"/>
                <w:szCs w:val="21"/>
                <w:highlight w:val="none"/>
              </w:rPr>
              <w:t>2.8</w:t>
            </w:r>
          </w:p>
        </w:tc>
        <w:tc>
          <w:tcPr>
            <w:tcW w:w="714" w:type="dxa"/>
            <w:tcBorders>
              <w:top w:val="single" w:color="000000" w:sz="4" w:space="0"/>
              <w:left w:val="single" w:color="000000" w:sz="4" w:space="0"/>
              <w:bottom w:val="single" w:color="000000" w:sz="4" w:space="0"/>
              <w:right w:val="single" w:color="000000" w:sz="4" w:space="0"/>
            </w:tcBorders>
            <w:vAlign w:val="center"/>
          </w:tcPr>
          <w:p w14:paraId="48A03130">
            <w:pPr>
              <w:pStyle w:val="98"/>
              <w:ind w:left="-105" w:right="-105"/>
              <w:rPr>
                <w:rFonts w:eastAsia="宋体"/>
                <w:color w:val="auto"/>
                <w:sz w:val="21"/>
                <w:szCs w:val="21"/>
                <w:highlight w:val="none"/>
              </w:rPr>
            </w:pPr>
            <w:r>
              <w:rPr>
                <w:rFonts w:eastAsia="宋体"/>
                <w:color w:val="auto"/>
                <w:sz w:val="21"/>
                <w:szCs w:val="21"/>
                <w:highlight w:val="none"/>
              </w:rPr>
              <w:t>3</w:t>
            </w:r>
          </w:p>
        </w:tc>
        <w:tc>
          <w:tcPr>
            <w:tcW w:w="686" w:type="dxa"/>
            <w:tcBorders>
              <w:top w:val="single" w:color="000000" w:sz="4" w:space="0"/>
              <w:left w:val="single" w:color="000000" w:sz="4" w:space="0"/>
              <w:bottom w:val="single" w:color="000000" w:sz="4" w:space="0"/>
              <w:right w:val="single" w:color="000000" w:sz="4" w:space="0"/>
            </w:tcBorders>
            <w:vAlign w:val="center"/>
          </w:tcPr>
          <w:p w14:paraId="6F392AB6">
            <w:pPr>
              <w:pStyle w:val="98"/>
              <w:ind w:left="-105" w:right="-105"/>
              <w:rPr>
                <w:rFonts w:eastAsia="宋体"/>
                <w:color w:val="auto"/>
                <w:sz w:val="21"/>
                <w:szCs w:val="21"/>
                <w:highlight w:val="none"/>
              </w:rPr>
            </w:pPr>
            <w:r>
              <w:rPr>
                <w:rFonts w:eastAsia="宋体"/>
                <w:color w:val="auto"/>
                <w:sz w:val="21"/>
                <w:szCs w:val="21"/>
                <w:highlight w:val="none"/>
              </w:rPr>
              <w:t>4.2</w:t>
            </w:r>
          </w:p>
        </w:tc>
        <w:tc>
          <w:tcPr>
            <w:tcW w:w="747" w:type="dxa"/>
            <w:tcBorders>
              <w:top w:val="single" w:color="000000" w:sz="4" w:space="0"/>
              <w:left w:val="single" w:color="000000" w:sz="4" w:space="0"/>
              <w:bottom w:val="single" w:color="000000" w:sz="4" w:space="0"/>
              <w:right w:val="single" w:color="000000" w:sz="4" w:space="0"/>
            </w:tcBorders>
            <w:vAlign w:val="center"/>
          </w:tcPr>
          <w:p w14:paraId="2CC823B7">
            <w:pPr>
              <w:pStyle w:val="98"/>
              <w:ind w:left="-105" w:right="-105"/>
              <w:rPr>
                <w:rFonts w:eastAsia="宋体"/>
                <w:color w:val="auto"/>
                <w:sz w:val="21"/>
                <w:szCs w:val="21"/>
                <w:highlight w:val="none"/>
              </w:rPr>
            </w:pPr>
            <w:r>
              <w:rPr>
                <w:rFonts w:eastAsia="宋体"/>
                <w:color w:val="auto"/>
                <w:sz w:val="21"/>
                <w:szCs w:val="21"/>
                <w:highlight w:val="none"/>
              </w:rPr>
              <w:t>6.8</w:t>
            </w:r>
          </w:p>
        </w:tc>
        <w:tc>
          <w:tcPr>
            <w:tcW w:w="686" w:type="dxa"/>
            <w:tcBorders>
              <w:top w:val="single" w:color="000000" w:sz="4" w:space="0"/>
              <w:left w:val="single" w:color="000000" w:sz="4" w:space="0"/>
              <w:bottom w:val="single" w:color="000000" w:sz="4" w:space="0"/>
              <w:right w:val="single" w:color="000000" w:sz="4" w:space="0"/>
            </w:tcBorders>
            <w:vAlign w:val="center"/>
          </w:tcPr>
          <w:p w14:paraId="46B149C9">
            <w:pPr>
              <w:pStyle w:val="98"/>
              <w:ind w:left="-105" w:right="-105"/>
              <w:rPr>
                <w:rFonts w:eastAsia="宋体"/>
                <w:color w:val="auto"/>
                <w:sz w:val="21"/>
                <w:szCs w:val="21"/>
                <w:highlight w:val="none"/>
              </w:rPr>
            </w:pPr>
            <w:r>
              <w:rPr>
                <w:rFonts w:eastAsia="宋体"/>
                <w:color w:val="auto"/>
                <w:sz w:val="21"/>
                <w:szCs w:val="21"/>
                <w:highlight w:val="none"/>
              </w:rPr>
              <w:t>4.4</w:t>
            </w:r>
          </w:p>
        </w:tc>
        <w:tc>
          <w:tcPr>
            <w:tcW w:w="700" w:type="dxa"/>
            <w:tcBorders>
              <w:top w:val="single" w:color="000000" w:sz="4" w:space="0"/>
              <w:left w:val="single" w:color="000000" w:sz="4" w:space="0"/>
              <w:bottom w:val="single" w:color="000000" w:sz="4" w:space="0"/>
              <w:right w:val="single" w:color="000000" w:sz="4" w:space="0"/>
            </w:tcBorders>
            <w:vAlign w:val="center"/>
          </w:tcPr>
          <w:p w14:paraId="4701CB38">
            <w:pPr>
              <w:pStyle w:val="98"/>
              <w:ind w:left="-105" w:right="-105"/>
              <w:rPr>
                <w:rFonts w:eastAsia="宋体"/>
                <w:color w:val="auto"/>
                <w:sz w:val="21"/>
                <w:szCs w:val="21"/>
                <w:highlight w:val="none"/>
              </w:rPr>
            </w:pPr>
            <w:r>
              <w:rPr>
                <w:rFonts w:eastAsia="宋体"/>
                <w:color w:val="auto"/>
                <w:sz w:val="21"/>
                <w:szCs w:val="21"/>
                <w:highlight w:val="none"/>
              </w:rPr>
              <w:t>3</w:t>
            </w:r>
          </w:p>
        </w:tc>
        <w:tc>
          <w:tcPr>
            <w:tcW w:w="686" w:type="dxa"/>
            <w:tcBorders>
              <w:top w:val="single" w:color="000000" w:sz="4" w:space="0"/>
              <w:left w:val="single" w:color="000000" w:sz="4" w:space="0"/>
              <w:bottom w:val="single" w:color="000000" w:sz="4" w:space="0"/>
              <w:right w:val="single" w:color="000000" w:sz="4" w:space="0"/>
            </w:tcBorders>
            <w:vAlign w:val="center"/>
          </w:tcPr>
          <w:p w14:paraId="27A6B60A">
            <w:pPr>
              <w:pStyle w:val="98"/>
              <w:ind w:left="-105" w:right="-105"/>
              <w:rPr>
                <w:rFonts w:eastAsia="宋体"/>
                <w:color w:val="auto"/>
                <w:sz w:val="21"/>
                <w:szCs w:val="21"/>
                <w:highlight w:val="none"/>
              </w:rPr>
            </w:pPr>
            <w:r>
              <w:rPr>
                <w:rFonts w:eastAsia="宋体"/>
                <w:color w:val="auto"/>
                <w:sz w:val="21"/>
                <w:szCs w:val="21"/>
                <w:highlight w:val="none"/>
              </w:rPr>
              <w:t>9.8</w:t>
            </w:r>
          </w:p>
        </w:tc>
        <w:tc>
          <w:tcPr>
            <w:tcW w:w="693" w:type="dxa"/>
            <w:tcBorders>
              <w:top w:val="single" w:color="000000" w:sz="4" w:space="0"/>
              <w:left w:val="single" w:color="000000" w:sz="4" w:space="0"/>
              <w:bottom w:val="single" w:color="000000" w:sz="4" w:space="0"/>
              <w:right w:val="nil"/>
            </w:tcBorders>
            <w:vAlign w:val="center"/>
          </w:tcPr>
          <w:p w14:paraId="0F53E9CE">
            <w:pPr>
              <w:pStyle w:val="98"/>
              <w:ind w:left="-105" w:right="-105"/>
              <w:rPr>
                <w:rFonts w:eastAsia="宋体"/>
                <w:color w:val="auto"/>
                <w:sz w:val="21"/>
                <w:szCs w:val="21"/>
                <w:highlight w:val="none"/>
              </w:rPr>
            </w:pPr>
            <w:r>
              <w:rPr>
                <w:rFonts w:eastAsia="宋体"/>
                <w:color w:val="auto"/>
                <w:sz w:val="21"/>
                <w:szCs w:val="21"/>
                <w:highlight w:val="none"/>
              </w:rPr>
              <w:t>/</w:t>
            </w:r>
          </w:p>
        </w:tc>
      </w:tr>
      <w:tr w14:paraId="68F01E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1A762B03">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19C2F105">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736A5A2E">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490285EE">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0D4B1A0B">
            <w:pPr>
              <w:pStyle w:val="98"/>
              <w:ind w:left="-105" w:right="-105"/>
              <w:rPr>
                <w:rFonts w:eastAsia="宋体"/>
                <w:color w:val="auto"/>
                <w:sz w:val="21"/>
                <w:szCs w:val="21"/>
                <w:highlight w:val="none"/>
              </w:rPr>
            </w:pPr>
            <w:r>
              <w:rPr>
                <w:rFonts w:eastAsia="宋体"/>
                <w:color w:val="auto"/>
                <w:sz w:val="21"/>
                <w:szCs w:val="21"/>
                <w:highlight w:val="none"/>
              </w:rPr>
              <w:t>2.7</w:t>
            </w:r>
          </w:p>
        </w:tc>
        <w:tc>
          <w:tcPr>
            <w:tcW w:w="688" w:type="dxa"/>
            <w:tcBorders>
              <w:top w:val="single" w:color="000000" w:sz="4" w:space="0"/>
              <w:left w:val="single" w:color="000000" w:sz="4" w:space="0"/>
              <w:bottom w:val="single" w:color="000000" w:sz="4" w:space="0"/>
              <w:right w:val="single" w:color="000000" w:sz="4" w:space="0"/>
            </w:tcBorders>
            <w:vAlign w:val="center"/>
          </w:tcPr>
          <w:p w14:paraId="772BD45C">
            <w:pPr>
              <w:pStyle w:val="98"/>
              <w:ind w:left="-105" w:right="-105"/>
              <w:rPr>
                <w:rFonts w:eastAsia="宋体"/>
                <w:color w:val="auto"/>
                <w:sz w:val="21"/>
                <w:szCs w:val="21"/>
                <w:highlight w:val="none"/>
              </w:rPr>
            </w:pPr>
            <w:r>
              <w:rPr>
                <w:rFonts w:eastAsia="宋体"/>
                <w:color w:val="auto"/>
                <w:sz w:val="21"/>
                <w:szCs w:val="21"/>
                <w:highlight w:val="none"/>
              </w:rPr>
              <w:t>3.3</w:t>
            </w:r>
          </w:p>
        </w:tc>
        <w:tc>
          <w:tcPr>
            <w:tcW w:w="687" w:type="dxa"/>
            <w:tcBorders>
              <w:top w:val="single" w:color="000000" w:sz="4" w:space="0"/>
              <w:left w:val="single" w:color="000000" w:sz="4" w:space="0"/>
              <w:bottom w:val="single" w:color="000000" w:sz="4" w:space="0"/>
              <w:right w:val="single" w:color="000000" w:sz="4" w:space="0"/>
            </w:tcBorders>
            <w:vAlign w:val="center"/>
          </w:tcPr>
          <w:p w14:paraId="261289F5">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33A1EA1C">
            <w:pPr>
              <w:pStyle w:val="98"/>
              <w:ind w:left="-105" w:right="-105"/>
              <w:rPr>
                <w:rFonts w:eastAsia="宋体"/>
                <w:color w:val="auto"/>
                <w:sz w:val="21"/>
                <w:szCs w:val="21"/>
                <w:highlight w:val="none"/>
              </w:rPr>
            </w:pPr>
            <w:r>
              <w:rPr>
                <w:rFonts w:eastAsia="宋体"/>
                <w:color w:val="auto"/>
                <w:sz w:val="21"/>
                <w:szCs w:val="21"/>
                <w:highlight w:val="none"/>
              </w:rPr>
              <w:t>3.3</w:t>
            </w:r>
          </w:p>
        </w:tc>
        <w:tc>
          <w:tcPr>
            <w:tcW w:w="687" w:type="dxa"/>
            <w:tcBorders>
              <w:top w:val="single" w:color="000000" w:sz="4" w:space="0"/>
              <w:left w:val="single" w:color="000000" w:sz="4" w:space="0"/>
              <w:bottom w:val="single" w:color="000000" w:sz="4" w:space="0"/>
              <w:right w:val="single" w:color="000000" w:sz="4" w:space="0"/>
            </w:tcBorders>
            <w:vAlign w:val="center"/>
          </w:tcPr>
          <w:p w14:paraId="2E8252E6">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32ED3D75">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74900BA3">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305B7A1F">
            <w:pPr>
              <w:pStyle w:val="98"/>
              <w:ind w:left="-105" w:right="-105"/>
              <w:rPr>
                <w:rFonts w:eastAsia="宋体"/>
                <w:color w:val="auto"/>
                <w:sz w:val="21"/>
                <w:szCs w:val="21"/>
                <w:highlight w:val="none"/>
              </w:rPr>
            </w:pPr>
            <w:r>
              <w:rPr>
                <w:rFonts w:eastAsia="宋体"/>
                <w:color w:val="auto"/>
                <w:sz w:val="21"/>
                <w:szCs w:val="21"/>
                <w:highlight w:val="none"/>
              </w:rPr>
              <w:t>1.9</w:t>
            </w:r>
          </w:p>
        </w:tc>
        <w:tc>
          <w:tcPr>
            <w:tcW w:w="684" w:type="dxa"/>
            <w:tcBorders>
              <w:top w:val="single" w:color="000000" w:sz="4" w:space="0"/>
              <w:left w:val="single" w:color="000000" w:sz="4" w:space="0"/>
              <w:bottom w:val="single" w:color="000000" w:sz="4" w:space="0"/>
              <w:right w:val="single" w:color="000000" w:sz="4" w:space="0"/>
            </w:tcBorders>
            <w:vAlign w:val="center"/>
          </w:tcPr>
          <w:p w14:paraId="27C1CE03">
            <w:pPr>
              <w:pStyle w:val="98"/>
              <w:ind w:left="-105" w:right="-105"/>
              <w:rPr>
                <w:rFonts w:eastAsia="宋体"/>
                <w:color w:val="auto"/>
                <w:sz w:val="21"/>
                <w:szCs w:val="21"/>
                <w:highlight w:val="none"/>
              </w:rPr>
            </w:pPr>
            <w:r>
              <w:rPr>
                <w:rFonts w:eastAsia="宋体"/>
                <w:color w:val="auto"/>
                <w:sz w:val="21"/>
                <w:szCs w:val="21"/>
                <w:highlight w:val="none"/>
              </w:rPr>
              <w:t>1.9</w:t>
            </w:r>
          </w:p>
        </w:tc>
        <w:tc>
          <w:tcPr>
            <w:tcW w:w="714" w:type="dxa"/>
            <w:tcBorders>
              <w:top w:val="single" w:color="000000" w:sz="4" w:space="0"/>
              <w:left w:val="single" w:color="000000" w:sz="4" w:space="0"/>
              <w:bottom w:val="single" w:color="000000" w:sz="4" w:space="0"/>
              <w:right w:val="single" w:color="000000" w:sz="4" w:space="0"/>
            </w:tcBorders>
            <w:vAlign w:val="center"/>
          </w:tcPr>
          <w:p w14:paraId="2CC85518">
            <w:pPr>
              <w:pStyle w:val="98"/>
              <w:ind w:left="-105" w:right="-105"/>
              <w:rPr>
                <w:rFonts w:eastAsia="宋体"/>
                <w:color w:val="auto"/>
                <w:sz w:val="21"/>
                <w:szCs w:val="21"/>
                <w:highlight w:val="none"/>
              </w:rPr>
            </w:pPr>
            <w:r>
              <w:rPr>
                <w:rFonts w:eastAsia="宋体"/>
                <w:color w:val="auto"/>
                <w:sz w:val="21"/>
                <w:szCs w:val="21"/>
                <w:highlight w:val="none"/>
              </w:rPr>
              <w:t>2.4</w:t>
            </w:r>
          </w:p>
        </w:tc>
        <w:tc>
          <w:tcPr>
            <w:tcW w:w="686" w:type="dxa"/>
            <w:tcBorders>
              <w:top w:val="single" w:color="000000" w:sz="4" w:space="0"/>
              <w:left w:val="single" w:color="000000" w:sz="4" w:space="0"/>
              <w:bottom w:val="single" w:color="000000" w:sz="4" w:space="0"/>
              <w:right w:val="single" w:color="000000" w:sz="4" w:space="0"/>
            </w:tcBorders>
            <w:vAlign w:val="center"/>
          </w:tcPr>
          <w:p w14:paraId="3BABDF19">
            <w:pPr>
              <w:pStyle w:val="98"/>
              <w:ind w:left="-105" w:right="-105"/>
              <w:rPr>
                <w:rFonts w:eastAsia="宋体"/>
                <w:color w:val="auto"/>
                <w:sz w:val="21"/>
                <w:szCs w:val="21"/>
                <w:highlight w:val="none"/>
              </w:rPr>
            </w:pPr>
            <w:r>
              <w:rPr>
                <w:rFonts w:eastAsia="宋体"/>
                <w:color w:val="auto"/>
                <w:sz w:val="21"/>
                <w:szCs w:val="21"/>
                <w:highlight w:val="none"/>
              </w:rPr>
              <w:t>2.6</w:t>
            </w:r>
          </w:p>
        </w:tc>
        <w:tc>
          <w:tcPr>
            <w:tcW w:w="747" w:type="dxa"/>
            <w:tcBorders>
              <w:top w:val="single" w:color="000000" w:sz="4" w:space="0"/>
              <w:left w:val="single" w:color="000000" w:sz="4" w:space="0"/>
              <w:bottom w:val="single" w:color="000000" w:sz="4" w:space="0"/>
              <w:right w:val="single" w:color="000000" w:sz="4" w:space="0"/>
            </w:tcBorders>
            <w:vAlign w:val="center"/>
          </w:tcPr>
          <w:p w14:paraId="3ED6FBDC">
            <w:pPr>
              <w:pStyle w:val="98"/>
              <w:ind w:left="-105" w:right="-105"/>
              <w:rPr>
                <w:rFonts w:eastAsia="宋体"/>
                <w:color w:val="auto"/>
                <w:sz w:val="21"/>
                <w:szCs w:val="21"/>
                <w:highlight w:val="none"/>
              </w:rPr>
            </w:pPr>
            <w:r>
              <w:rPr>
                <w:rFonts w:eastAsia="宋体"/>
                <w:color w:val="auto"/>
                <w:sz w:val="21"/>
                <w:szCs w:val="21"/>
                <w:highlight w:val="none"/>
              </w:rPr>
              <w:t>3.7</w:t>
            </w:r>
          </w:p>
        </w:tc>
        <w:tc>
          <w:tcPr>
            <w:tcW w:w="686" w:type="dxa"/>
            <w:tcBorders>
              <w:top w:val="single" w:color="000000" w:sz="4" w:space="0"/>
              <w:left w:val="single" w:color="000000" w:sz="4" w:space="0"/>
              <w:bottom w:val="single" w:color="000000" w:sz="4" w:space="0"/>
              <w:right w:val="single" w:color="000000" w:sz="4" w:space="0"/>
            </w:tcBorders>
            <w:vAlign w:val="center"/>
          </w:tcPr>
          <w:p w14:paraId="4FFA90A3">
            <w:pPr>
              <w:pStyle w:val="98"/>
              <w:ind w:left="-105" w:right="-105"/>
              <w:rPr>
                <w:rFonts w:eastAsia="宋体"/>
                <w:color w:val="auto"/>
                <w:sz w:val="21"/>
                <w:szCs w:val="21"/>
                <w:highlight w:val="none"/>
              </w:rPr>
            </w:pPr>
            <w:r>
              <w:rPr>
                <w:rFonts w:eastAsia="宋体"/>
                <w:color w:val="auto"/>
                <w:sz w:val="21"/>
                <w:szCs w:val="21"/>
                <w:highlight w:val="none"/>
              </w:rPr>
              <w:t>2.8</w:t>
            </w:r>
          </w:p>
        </w:tc>
        <w:tc>
          <w:tcPr>
            <w:tcW w:w="700" w:type="dxa"/>
            <w:tcBorders>
              <w:top w:val="single" w:color="000000" w:sz="4" w:space="0"/>
              <w:left w:val="single" w:color="000000" w:sz="4" w:space="0"/>
              <w:bottom w:val="single" w:color="000000" w:sz="4" w:space="0"/>
              <w:right w:val="single" w:color="000000" w:sz="4" w:space="0"/>
            </w:tcBorders>
            <w:vAlign w:val="center"/>
          </w:tcPr>
          <w:p w14:paraId="0173A1AE">
            <w:pPr>
              <w:pStyle w:val="98"/>
              <w:ind w:left="-105" w:right="-105"/>
              <w:rPr>
                <w:rFonts w:eastAsia="宋体"/>
                <w:color w:val="auto"/>
                <w:sz w:val="21"/>
                <w:szCs w:val="21"/>
                <w:highlight w:val="none"/>
              </w:rPr>
            </w:pPr>
            <w:r>
              <w:rPr>
                <w:rFonts w:eastAsia="宋体"/>
                <w:color w:val="auto"/>
                <w:sz w:val="21"/>
                <w:szCs w:val="21"/>
                <w:highlight w:val="none"/>
              </w:rPr>
              <w:t>1.8</w:t>
            </w:r>
          </w:p>
        </w:tc>
        <w:tc>
          <w:tcPr>
            <w:tcW w:w="686" w:type="dxa"/>
            <w:tcBorders>
              <w:top w:val="single" w:color="000000" w:sz="4" w:space="0"/>
              <w:left w:val="single" w:color="000000" w:sz="4" w:space="0"/>
              <w:bottom w:val="single" w:color="000000" w:sz="4" w:space="0"/>
              <w:right w:val="single" w:color="000000" w:sz="4" w:space="0"/>
            </w:tcBorders>
            <w:vAlign w:val="center"/>
          </w:tcPr>
          <w:p w14:paraId="073BC76F">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0D41B82F">
            <w:pPr>
              <w:pStyle w:val="98"/>
              <w:ind w:left="-105" w:right="-105"/>
              <w:rPr>
                <w:rFonts w:eastAsia="宋体"/>
                <w:color w:val="auto"/>
                <w:sz w:val="21"/>
                <w:szCs w:val="21"/>
                <w:highlight w:val="none"/>
              </w:rPr>
            </w:pPr>
            <w:r>
              <w:rPr>
                <w:rFonts w:eastAsia="宋体"/>
                <w:color w:val="auto"/>
                <w:sz w:val="21"/>
                <w:szCs w:val="21"/>
                <w:highlight w:val="none"/>
              </w:rPr>
              <w:t>2.68</w:t>
            </w:r>
          </w:p>
        </w:tc>
      </w:tr>
      <w:tr w14:paraId="00ADBE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4"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58922652">
            <w:pPr>
              <w:pStyle w:val="98"/>
              <w:ind w:left="-105" w:right="-105"/>
              <w:rPr>
                <w:rFonts w:eastAsia="宋体"/>
                <w:color w:val="auto"/>
                <w:sz w:val="21"/>
                <w:szCs w:val="21"/>
                <w:highlight w:val="none"/>
              </w:rPr>
            </w:pPr>
            <w:r>
              <w:rPr>
                <w:rFonts w:eastAsia="宋体"/>
                <w:color w:val="auto"/>
                <w:sz w:val="21"/>
                <w:szCs w:val="21"/>
                <w:highlight w:val="none"/>
              </w:rPr>
              <w:t>6月</w:t>
            </w:r>
          </w:p>
        </w:tc>
        <w:tc>
          <w:tcPr>
            <w:tcW w:w="687" w:type="dxa"/>
            <w:tcBorders>
              <w:top w:val="single" w:color="000000" w:sz="4" w:space="0"/>
              <w:left w:val="single" w:color="000000" w:sz="4" w:space="0"/>
              <w:bottom w:val="single" w:color="000000" w:sz="4" w:space="0"/>
              <w:right w:val="single" w:color="000000" w:sz="4" w:space="0"/>
            </w:tcBorders>
            <w:vAlign w:val="center"/>
          </w:tcPr>
          <w:p w14:paraId="49C4D7E0">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055C04E4">
            <w:pPr>
              <w:pStyle w:val="98"/>
              <w:ind w:left="-105" w:right="-105"/>
              <w:rPr>
                <w:rFonts w:eastAsia="宋体"/>
                <w:color w:val="auto"/>
                <w:sz w:val="21"/>
                <w:szCs w:val="21"/>
                <w:highlight w:val="none"/>
              </w:rPr>
            </w:pPr>
            <w:r>
              <w:rPr>
                <w:rFonts w:eastAsia="宋体"/>
                <w:color w:val="auto"/>
                <w:sz w:val="21"/>
                <w:szCs w:val="21"/>
                <w:highlight w:val="none"/>
              </w:rPr>
              <w:t>3.6</w:t>
            </w:r>
          </w:p>
        </w:tc>
        <w:tc>
          <w:tcPr>
            <w:tcW w:w="687" w:type="dxa"/>
            <w:tcBorders>
              <w:top w:val="single" w:color="000000" w:sz="4" w:space="0"/>
              <w:left w:val="single" w:color="000000" w:sz="4" w:space="0"/>
              <w:bottom w:val="single" w:color="000000" w:sz="4" w:space="0"/>
              <w:right w:val="single" w:color="000000" w:sz="4" w:space="0"/>
            </w:tcBorders>
            <w:vAlign w:val="center"/>
          </w:tcPr>
          <w:p w14:paraId="61818865">
            <w:pPr>
              <w:pStyle w:val="98"/>
              <w:ind w:left="-105" w:right="-105"/>
              <w:rPr>
                <w:rFonts w:eastAsia="宋体"/>
                <w:color w:val="auto"/>
                <w:sz w:val="21"/>
                <w:szCs w:val="21"/>
                <w:highlight w:val="none"/>
              </w:rPr>
            </w:pPr>
            <w:r>
              <w:rPr>
                <w:rFonts w:eastAsia="宋体"/>
                <w:color w:val="auto"/>
                <w:sz w:val="21"/>
                <w:szCs w:val="21"/>
                <w:highlight w:val="none"/>
              </w:rPr>
              <w:t>1.6</w:t>
            </w:r>
          </w:p>
        </w:tc>
        <w:tc>
          <w:tcPr>
            <w:tcW w:w="687" w:type="dxa"/>
            <w:tcBorders>
              <w:top w:val="single" w:color="000000" w:sz="4" w:space="0"/>
              <w:left w:val="single" w:color="000000" w:sz="4" w:space="0"/>
              <w:bottom w:val="single" w:color="000000" w:sz="4" w:space="0"/>
              <w:right w:val="single" w:color="000000" w:sz="4" w:space="0"/>
            </w:tcBorders>
            <w:vAlign w:val="center"/>
          </w:tcPr>
          <w:p w14:paraId="77D3D300">
            <w:pPr>
              <w:pStyle w:val="98"/>
              <w:ind w:left="-105" w:right="-105"/>
              <w:rPr>
                <w:rFonts w:eastAsia="宋体"/>
                <w:color w:val="auto"/>
                <w:sz w:val="21"/>
                <w:szCs w:val="21"/>
                <w:highlight w:val="none"/>
              </w:rPr>
            </w:pPr>
            <w:r>
              <w:rPr>
                <w:rFonts w:eastAsia="宋体"/>
                <w:color w:val="auto"/>
                <w:sz w:val="21"/>
                <w:szCs w:val="21"/>
                <w:highlight w:val="none"/>
              </w:rPr>
              <w:t>3</w:t>
            </w:r>
          </w:p>
        </w:tc>
        <w:tc>
          <w:tcPr>
            <w:tcW w:w="688" w:type="dxa"/>
            <w:tcBorders>
              <w:top w:val="single" w:color="000000" w:sz="4" w:space="0"/>
              <w:left w:val="single" w:color="000000" w:sz="4" w:space="0"/>
              <w:bottom w:val="single" w:color="000000" w:sz="4" w:space="0"/>
              <w:right w:val="single" w:color="000000" w:sz="4" w:space="0"/>
            </w:tcBorders>
            <w:vAlign w:val="center"/>
          </w:tcPr>
          <w:p w14:paraId="04BAAEBB">
            <w:pPr>
              <w:pStyle w:val="98"/>
              <w:ind w:left="-105" w:right="-105"/>
              <w:rPr>
                <w:rFonts w:eastAsia="宋体"/>
                <w:color w:val="auto"/>
                <w:sz w:val="21"/>
                <w:szCs w:val="21"/>
                <w:highlight w:val="none"/>
              </w:rPr>
            </w:pPr>
            <w:r>
              <w:rPr>
                <w:rFonts w:eastAsia="宋体"/>
                <w:color w:val="auto"/>
                <w:sz w:val="21"/>
                <w:szCs w:val="21"/>
                <w:highlight w:val="none"/>
              </w:rPr>
              <w:t>4.8</w:t>
            </w:r>
          </w:p>
        </w:tc>
        <w:tc>
          <w:tcPr>
            <w:tcW w:w="687" w:type="dxa"/>
            <w:tcBorders>
              <w:top w:val="single" w:color="000000" w:sz="4" w:space="0"/>
              <w:left w:val="single" w:color="000000" w:sz="4" w:space="0"/>
              <w:bottom w:val="single" w:color="000000" w:sz="4" w:space="0"/>
              <w:right w:val="single" w:color="000000" w:sz="4" w:space="0"/>
            </w:tcBorders>
            <w:vAlign w:val="center"/>
          </w:tcPr>
          <w:p w14:paraId="4FE7A01E">
            <w:pPr>
              <w:pStyle w:val="98"/>
              <w:ind w:left="-105" w:right="-105"/>
              <w:rPr>
                <w:rFonts w:eastAsia="宋体"/>
                <w:color w:val="auto"/>
                <w:sz w:val="21"/>
                <w:szCs w:val="21"/>
                <w:highlight w:val="none"/>
              </w:rPr>
            </w:pPr>
            <w:r>
              <w:rPr>
                <w:rFonts w:eastAsia="宋体"/>
                <w:color w:val="auto"/>
                <w:sz w:val="21"/>
                <w:szCs w:val="21"/>
                <w:highlight w:val="none"/>
              </w:rPr>
              <w:t>12</w:t>
            </w:r>
          </w:p>
        </w:tc>
        <w:tc>
          <w:tcPr>
            <w:tcW w:w="687" w:type="dxa"/>
            <w:tcBorders>
              <w:top w:val="single" w:color="000000" w:sz="4" w:space="0"/>
              <w:left w:val="single" w:color="000000" w:sz="4" w:space="0"/>
              <w:bottom w:val="single" w:color="000000" w:sz="4" w:space="0"/>
              <w:right w:val="single" w:color="000000" w:sz="4" w:space="0"/>
            </w:tcBorders>
            <w:vAlign w:val="center"/>
          </w:tcPr>
          <w:p w14:paraId="7C2C9B71">
            <w:pPr>
              <w:pStyle w:val="98"/>
              <w:ind w:left="-105" w:right="-105"/>
              <w:rPr>
                <w:rFonts w:eastAsia="宋体"/>
                <w:color w:val="auto"/>
                <w:sz w:val="21"/>
                <w:szCs w:val="21"/>
                <w:highlight w:val="none"/>
              </w:rPr>
            </w:pPr>
            <w:r>
              <w:rPr>
                <w:rFonts w:eastAsia="宋体"/>
                <w:color w:val="auto"/>
                <w:sz w:val="21"/>
                <w:szCs w:val="21"/>
                <w:highlight w:val="none"/>
              </w:rPr>
              <w:t>19.6</w:t>
            </w:r>
          </w:p>
        </w:tc>
        <w:tc>
          <w:tcPr>
            <w:tcW w:w="687" w:type="dxa"/>
            <w:tcBorders>
              <w:top w:val="single" w:color="000000" w:sz="4" w:space="0"/>
              <w:left w:val="single" w:color="000000" w:sz="4" w:space="0"/>
              <w:bottom w:val="single" w:color="000000" w:sz="4" w:space="0"/>
              <w:right w:val="single" w:color="000000" w:sz="4" w:space="0"/>
            </w:tcBorders>
            <w:vAlign w:val="center"/>
          </w:tcPr>
          <w:p w14:paraId="2EF0C66D">
            <w:pPr>
              <w:pStyle w:val="98"/>
              <w:ind w:left="-105" w:right="-105"/>
              <w:rPr>
                <w:rFonts w:eastAsia="宋体"/>
                <w:color w:val="auto"/>
                <w:sz w:val="21"/>
                <w:szCs w:val="21"/>
                <w:highlight w:val="none"/>
              </w:rPr>
            </w:pPr>
            <w:r>
              <w:rPr>
                <w:rFonts w:eastAsia="宋体"/>
                <w:color w:val="auto"/>
                <w:sz w:val="21"/>
                <w:szCs w:val="21"/>
                <w:highlight w:val="none"/>
              </w:rPr>
              <w:t>14.6</w:t>
            </w:r>
          </w:p>
        </w:tc>
        <w:tc>
          <w:tcPr>
            <w:tcW w:w="687" w:type="dxa"/>
            <w:tcBorders>
              <w:top w:val="single" w:color="000000" w:sz="4" w:space="0"/>
              <w:left w:val="single" w:color="000000" w:sz="4" w:space="0"/>
              <w:bottom w:val="single" w:color="000000" w:sz="4" w:space="0"/>
              <w:right w:val="single" w:color="000000" w:sz="4" w:space="0"/>
            </w:tcBorders>
            <w:vAlign w:val="center"/>
          </w:tcPr>
          <w:p w14:paraId="69B35988">
            <w:pPr>
              <w:pStyle w:val="98"/>
              <w:ind w:left="-105" w:right="-105"/>
              <w:rPr>
                <w:rFonts w:eastAsia="宋体"/>
                <w:color w:val="auto"/>
                <w:sz w:val="21"/>
                <w:szCs w:val="21"/>
                <w:highlight w:val="none"/>
              </w:rPr>
            </w:pPr>
            <w:r>
              <w:rPr>
                <w:rFonts w:eastAsia="宋体"/>
                <w:color w:val="auto"/>
                <w:sz w:val="21"/>
                <w:szCs w:val="21"/>
                <w:highlight w:val="none"/>
              </w:rPr>
              <w:t>6.4</w:t>
            </w:r>
          </w:p>
        </w:tc>
        <w:tc>
          <w:tcPr>
            <w:tcW w:w="687" w:type="dxa"/>
            <w:tcBorders>
              <w:top w:val="single" w:color="000000" w:sz="4" w:space="0"/>
              <w:left w:val="single" w:color="000000" w:sz="4" w:space="0"/>
              <w:bottom w:val="single" w:color="000000" w:sz="4" w:space="0"/>
              <w:right w:val="single" w:color="000000" w:sz="4" w:space="0"/>
            </w:tcBorders>
            <w:vAlign w:val="center"/>
          </w:tcPr>
          <w:p w14:paraId="02150288">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13E4FBDD">
            <w:pPr>
              <w:pStyle w:val="98"/>
              <w:ind w:left="-105" w:right="-105"/>
              <w:rPr>
                <w:rFonts w:eastAsia="宋体"/>
                <w:color w:val="auto"/>
                <w:sz w:val="21"/>
                <w:szCs w:val="21"/>
                <w:highlight w:val="none"/>
              </w:rPr>
            </w:pPr>
            <w:r>
              <w:rPr>
                <w:rFonts w:eastAsia="宋体"/>
                <w:color w:val="auto"/>
                <w:sz w:val="21"/>
                <w:szCs w:val="21"/>
                <w:highlight w:val="none"/>
              </w:rPr>
              <w:t>5.4</w:t>
            </w:r>
          </w:p>
        </w:tc>
        <w:tc>
          <w:tcPr>
            <w:tcW w:w="684" w:type="dxa"/>
            <w:tcBorders>
              <w:top w:val="single" w:color="000000" w:sz="4" w:space="0"/>
              <w:left w:val="single" w:color="000000" w:sz="4" w:space="0"/>
              <w:bottom w:val="single" w:color="000000" w:sz="4" w:space="0"/>
              <w:right w:val="single" w:color="000000" w:sz="4" w:space="0"/>
            </w:tcBorders>
            <w:vAlign w:val="center"/>
          </w:tcPr>
          <w:p w14:paraId="0ECC270B">
            <w:pPr>
              <w:pStyle w:val="98"/>
              <w:ind w:left="-105" w:right="-105"/>
              <w:rPr>
                <w:rFonts w:eastAsia="宋体"/>
                <w:color w:val="auto"/>
                <w:sz w:val="21"/>
                <w:szCs w:val="21"/>
                <w:highlight w:val="none"/>
              </w:rPr>
            </w:pPr>
            <w:r>
              <w:rPr>
                <w:rFonts w:eastAsia="宋体"/>
                <w:color w:val="auto"/>
                <w:sz w:val="21"/>
                <w:szCs w:val="21"/>
                <w:highlight w:val="none"/>
              </w:rPr>
              <w:t>2.8</w:t>
            </w:r>
          </w:p>
        </w:tc>
        <w:tc>
          <w:tcPr>
            <w:tcW w:w="714" w:type="dxa"/>
            <w:tcBorders>
              <w:top w:val="single" w:color="000000" w:sz="4" w:space="0"/>
              <w:left w:val="single" w:color="000000" w:sz="4" w:space="0"/>
              <w:bottom w:val="single" w:color="000000" w:sz="4" w:space="0"/>
              <w:right w:val="single" w:color="000000" w:sz="4" w:space="0"/>
            </w:tcBorders>
            <w:vAlign w:val="center"/>
          </w:tcPr>
          <w:p w14:paraId="45A32710">
            <w:pPr>
              <w:pStyle w:val="98"/>
              <w:ind w:left="-105" w:right="-105"/>
              <w:rPr>
                <w:rFonts w:eastAsia="宋体"/>
                <w:color w:val="auto"/>
                <w:sz w:val="21"/>
                <w:szCs w:val="21"/>
                <w:highlight w:val="none"/>
              </w:rPr>
            </w:pPr>
            <w:r>
              <w:rPr>
                <w:rFonts w:eastAsia="宋体"/>
                <w:color w:val="auto"/>
                <w:sz w:val="21"/>
                <w:szCs w:val="21"/>
                <w:highlight w:val="none"/>
              </w:rPr>
              <w:t>3</w:t>
            </w:r>
          </w:p>
        </w:tc>
        <w:tc>
          <w:tcPr>
            <w:tcW w:w="686" w:type="dxa"/>
            <w:tcBorders>
              <w:top w:val="single" w:color="000000" w:sz="4" w:space="0"/>
              <w:left w:val="single" w:color="000000" w:sz="4" w:space="0"/>
              <w:bottom w:val="single" w:color="000000" w:sz="4" w:space="0"/>
              <w:right w:val="single" w:color="000000" w:sz="4" w:space="0"/>
            </w:tcBorders>
            <w:vAlign w:val="center"/>
          </w:tcPr>
          <w:p w14:paraId="5C432785">
            <w:pPr>
              <w:pStyle w:val="98"/>
              <w:ind w:left="-105" w:right="-105"/>
              <w:rPr>
                <w:rFonts w:eastAsia="宋体"/>
                <w:color w:val="auto"/>
                <w:sz w:val="21"/>
                <w:szCs w:val="21"/>
                <w:highlight w:val="none"/>
              </w:rPr>
            </w:pPr>
            <w:r>
              <w:rPr>
                <w:rFonts w:eastAsia="宋体"/>
                <w:color w:val="auto"/>
                <w:sz w:val="21"/>
                <w:szCs w:val="21"/>
                <w:highlight w:val="none"/>
              </w:rPr>
              <w:t>1.8</w:t>
            </w:r>
          </w:p>
        </w:tc>
        <w:tc>
          <w:tcPr>
            <w:tcW w:w="747" w:type="dxa"/>
            <w:tcBorders>
              <w:top w:val="single" w:color="000000" w:sz="4" w:space="0"/>
              <w:left w:val="single" w:color="000000" w:sz="4" w:space="0"/>
              <w:bottom w:val="single" w:color="000000" w:sz="4" w:space="0"/>
              <w:right w:val="single" w:color="000000" w:sz="4" w:space="0"/>
            </w:tcBorders>
            <w:vAlign w:val="center"/>
          </w:tcPr>
          <w:p w14:paraId="0DFCE438">
            <w:pPr>
              <w:pStyle w:val="98"/>
              <w:ind w:left="-105" w:right="-105"/>
              <w:rPr>
                <w:rFonts w:eastAsia="宋体"/>
                <w:color w:val="auto"/>
                <w:sz w:val="21"/>
                <w:szCs w:val="21"/>
                <w:highlight w:val="none"/>
              </w:rPr>
            </w:pPr>
            <w:r>
              <w:rPr>
                <w:rFonts w:eastAsia="宋体"/>
                <w:color w:val="auto"/>
                <w:sz w:val="21"/>
                <w:szCs w:val="21"/>
                <w:highlight w:val="none"/>
              </w:rPr>
              <w:t>3</w:t>
            </w:r>
          </w:p>
        </w:tc>
        <w:tc>
          <w:tcPr>
            <w:tcW w:w="686" w:type="dxa"/>
            <w:tcBorders>
              <w:top w:val="single" w:color="000000" w:sz="4" w:space="0"/>
              <w:left w:val="single" w:color="000000" w:sz="4" w:space="0"/>
              <w:bottom w:val="single" w:color="000000" w:sz="4" w:space="0"/>
              <w:right w:val="single" w:color="000000" w:sz="4" w:space="0"/>
            </w:tcBorders>
            <w:vAlign w:val="center"/>
          </w:tcPr>
          <w:p w14:paraId="4538F84B">
            <w:pPr>
              <w:pStyle w:val="98"/>
              <w:ind w:left="-105" w:right="-105"/>
              <w:rPr>
                <w:rFonts w:eastAsia="宋体"/>
                <w:color w:val="auto"/>
                <w:sz w:val="21"/>
                <w:szCs w:val="21"/>
                <w:highlight w:val="none"/>
              </w:rPr>
            </w:pPr>
            <w:r>
              <w:rPr>
                <w:rFonts w:eastAsia="宋体"/>
                <w:color w:val="auto"/>
                <w:sz w:val="21"/>
                <w:szCs w:val="21"/>
                <w:highlight w:val="none"/>
              </w:rPr>
              <w:t>2</w:t>
            </w:r>
          </w:p>
        </w:tc>
        <w:tc>
          <w:tcPr>
            <w:tcW w:w="700" w:type="dxa"/>
            <w:tcBorders>
              <w:top w:val="single" w:color="000000" w:sz="4" w:space="0"/>
              <w:left w:val="single" w:color="000000" w:sz="4" w:space="0"/>
              <w:bottom w:val="single" w:color="000000" w:sz="4" w:space="0"/>
              <w:right w:val="single" w:color="000000" w:sz="4" w:space="0"/>
            </w:tcBorders>
            <w:vAlign w:val="center"/>
          </w:tcPr>
          <w:p w14:paraId="648C1603">
            <w:pPr>
              <w:pStyle w:val="98"/>
              <w:ind w:left="-105" w:right="-105"/>
              <w:rPr>
                <w:rFonts w:eastAsia="宋体"/>
                <w:color w:val="auto"/>
                <w:sz w:val="21"/>
                <w:szCs w:val="21"/>
                <w:highlight w:val="none"/>
              </w:rPr>
            </w:pPr>
            <w:r>
              <w:rPr>
                <w:rFonts w:eastAsia="宋体"/>
                <w:color w:val="auto"/>
                <w:sz w:val="21"/>
                <w:szCs w:val="21"/>
                <w:highlight w:val="none"/>
              </w:rPr>
              <w:t>2</w:t>
            </w:r>
          </w:p>
        </w:tc>
        <w:tc>
          <w:tcPr>
            <w:tcW w:w="686" w:type="dxa"/>
            <w:tcBorders>
              <w:top w:val="single" w:color="000000" w:sz="4" w:space="0"/>
              <w:left w:val="single" w:color="000000" w:sz="4" w:space="0"/>
              <w:bottom w:val="single" w:color="000000" w:sz="4" w:space="0"/>
              <w:right w:val="single" w:color="000000" w:sz="4" w:space="0"/>
            </w:tcBorders>
            <w:vAlign w:val="center"/>
          </w:tcPr>
          <w:p w14:paraId="5BEEA1F5">
            <w:pPr>
              <w:pStyle w:val="98"/>
              <w:ind w:left="-105" w:right="-105"/>
              <w:rPr>
                <w:rFonts w:eastAsia="宋体"/>
                <w:color w:val="auto"/>
                <w:sz w:val="21"/>
                <w:szCs w:val="21"/>
                <w:highlight w:val="none"/>
              </w:rPr>
            </w:pPr>
            <w:r>
              <w:rPr>
                <w:rFonts w:eastAsia="宋体"/>
                <w:color w:val="auto"/>
                <w:sz w:val="21"/>
                <w:szCs w:val="21"/>
                <w:highlight w:val="none"/>
              </w:rPr>
              <w:t>11</w:t>
            </w:r>
          </w:p>
        </w:tc>
        <w:tc>
          <w:tcPr>
            <w:tcW w:w="693" w:type="dxa"/>
            <w:tcBorders>
              <w:top w:val="single" w:color="000000" w:sz="4" w:space="0"/>
              <w:left w:val="single" w:color="000000" w:sz="4" w:space="0"/>
              <w:bottom w:val="single" w:color="000000" w:sz="4" w:space="0"/>
              <w:right w:val="nil"/>
            </w:tcBorders>
            <w:vAlign w:val="center"/>
          </w:tcPr>
          <w:p w14:paraId="4581A7AD">
            <w:pPr>
              <w:pStyle w:val="98"/>
              <w:ind w:left="-105" w:right="-105"/>
              <w:rPr>
                <w:rFonts w:eastAsia="宋体"/>
                <w:color w:val="auto"/>
                <w:sz w:val="21"/>
                <w:szCs w:val="21"/>
                <w:highlight w:val="none"/>
              </w:rPr>
            </w:pPr>
            <w:r>
              <w:rPr>
                <w:rFonts w:eastAsia="宋体"/>
                <w:color w:val="auto"/>
                <w:sz w:val="21"/>
                <w:szCs w:val="21"/>
                <w:highlight w:val="none"/>
              </w:rPr>
              <w:t>/</w:t>
            </w:r>
          </w:p>
        </w:tc>
      </w:tr>
      <w:tr w14:paraId="77FA82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5D706BEC">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29FD2544">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26BA0452">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6177E01A">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48678C13">
            <w:pPr>
              <w:pStyle w:val="98"/>
              <w:ind w:left="-105" w:right="-105"/>
              <w:rPr>
                <w:rFonts w:eastAsia="宋体"/>
                <w:color w:val="auto"/>
                <w:sz w:val="21"/>
                <w:szCs w:val="21"/>
                <w:highlight w:val="none"/>
              </w:rPr>
            </w:pPr>
            <w:r>
              <w:rPr>
                <w:rFonts w:eastAsia="宋体"/>
                <w:color w:val="auto"/>
                <w:sz w:val="21"/>
                <w:szCs w:val="21"/>
                <w:highlight w:val="none"/>
              </w:rPr>
              <w:t>2.7</w:t>
            </w:r>
          </w:p>
        </w:tc>
        <w:tc>
          <w:tcPr>
            <w:tcW w:w="688" w:type="dxa"/>
            <w:tcBorders>
              <w:top w:val="single" w:color="000000" w:sz="4" w:space="0"/>
              <w:left w:val="single" w:color="000000" w:sz="4" w:space="0"/>
              <w:bottom w:val="single" w:color="000000" w:sz="4" w:space="0"/>
              <w:right w:val="single" w:color="000000" w:sz="4" w:space="0"/>
            </w:tcBorders>
            <w:vAlign w:val="center"/>
          </w:tcPr>
          <w:p w14:paraId="22563B06">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5B95FED3">
            <w:pPr>
              <w:pStyle w:val="98"/>
              <w:ind w:left="-105" w:right="-105"/>
              <w:rPr>
                <w:rFonts w:eastAsia="宋体"/>
                <w:color w:val="auto"/>
                <w:sz w:val="21"/>
                <w:szCs w:val="21"/>
                <w:highlight w:val="none"/>
              </w:rPr>
            </w:pPr>
            <w:r>
              <w:rPr>
                <w:rFonts w:eastAsia="宋体"/>
                <w:color w:val="auto"/>
                <w:sz w:val="21"/>
                <w:szCs w:val="21"/>
                <w:highlight w:val="none"/>
              </w:rPr>
              <w:t>2.69</w:t>
            </w:r>
          </w:p>
        </w:tc>
        <w:tc>
          <w:tcPr>
            <w:tcW w:w="687" w:type="dxa"/>
            <w:tcBorders>
              <w:top w:val="single" w:color="000000" w:sz="4" w:space="0"/>
              <w:left w:val="single" w:color="000000" w:sz="4" w:space="0"/>
              <w:bottom w:val="single" w:color="000000" w:sz="4" w:space="0"/>
              <w:right w:val="single" w:color="000000" w:sz="4" w:space="0"/>
            </w:tcBorders>
            <w:vAlign w:val="center"/>
          </w:tcPr>
          <w:p w14:paraId="41C2F637">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1295EA5A">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70C24956">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63474F6F">
            <w:pPr>
              <w:pStyle w:val="98"/>
              <w:ind w:left="-105" w:right="-105"/>
              <w:rPr>
                <w:rFonts w:eastAsia="宋体"/>
                <w:color w:val="auto"/>
                <w:sz w:val="21"/>
                <w:szCs w:val="21"/>
                <w:highlight w:val="none"/>
              </w:rPr>
            </w:pPr>
            <w:r>
              <w:rPr>
                <w:rFonts w:eastAsia="宋体"/>
                <w:color w:val="auto"/>
                <w:sz w:val="21"/>
                <w:szCs w:val="21"/>
                <w:highlight w:val="none"/>
              </w:rPr>
              <w:t>2.3</w:t>
            </w:r>
          </w:p>
        </w:tc>
        <w:tc>
          <w:tcPr>
            <w:tcW w:w="687" w:type="dxa"/>
            <w:tcBorders>
              <w:top w:val="single" w:color="000000" w:sz="4" w:space="0"/>
              <w:left w:val="single" w:color="000000" w:sz="4" w:space="0"/>
              <w:bottom w:val="single" w:color="000000" w:sz="4" w:space="0"/>
              <w:right w:val="single" w:color="000000" w:sz="4" w:space="0"/>
            </w:tcBorders>
            <w:vAlign w:val="center"/>
          </w:tcPr>
          <w:p w14:paraId="5F80ADDD">
            <w:pPr>
              <w:pStyle w:val="98"/>
              <w:ind w:left="-105" w:right="-105"/>
              <w:rPr>
                <w:rFonts w:eastAsia="宋体"/>
                <w:color w:val="auto"/>
                <w:sz w:val="21"/>
                <w:szCs w:val="21"/>
                <w:highlight w:val="none"/>
              </w:rPr>
            </w:pPr>
            <w:r>
              <w:rPr>
                <w:rFonts w:eastAsia="宋体"/>
                <w:color w:val="auto"/>
                <w:sz w:val="21"/>
                <w:szCs w:val="21"/>
                <w:highlight w:val="none"/>
              </w:rPr>
              <w:t>2.7</w:t>
            </w:r>
          </w:p>
        </w:tc>
        <w:tc>
          <w:tcPr>
            <w:tcW w:w="684" w:type="dxa"/>
            <w:tcBorders>
              <w:top w:val="single" w:color="000000" w:sz="4" w:space="0"/>
              <w:left w:val="single" w:color="000000" w:sz="4" w:space="0"/>
              <w:bottom w:val="single" w:color="000000" w:sz="4" w:space="0"/>
              <w:right w:val="single" w:color="000000" w:sz="4" w:space="0"/>
            </w:tcBorders>
            <w:vAlign w:val="center"/>
          </w:tcPr>
          <w:p w14:paraId="0F44B251">
            <w:pPr>
              <w:pStyle w:val="98"/>
              <w:ind w:left="-105" w:right="-105"/>
              <w:rPr>
                <w:rFonts w:eastAsia="宋体"/>
                <w:color w:val="auto"/>
                <w:sz w:val="21"/>
                <w:szCs w:val="21"/>
                <w:highlight w:val="none"/>
              </w:rPr>
            </w:pPr>
            <w:r>
              <w:rPr>
                <w:rFonts w:eastAsia="宋体"/>
                <w:color w:val="auto"/>
                <w:sz w:val="21"/>
                <w:szCs w:val="21"/>
                <w:highlight w:val="none"/>
              </w:rPr>
              <w:t>1.8</w:t>
            </w:r>
          </w:p>
        </w:tc>
        <w:tc>
          <w:tcPr>
            <w:tcW w:w="714" w:type="dxa"/>
            <w:tcBorders>
              <w:top w:val="single" w:color="000000" w:sz="4" w:space="0"/>
              <w:left w:val="single" w:color="000000" w:sz="4" w:space="0"/>
              <w:bottom w:val="single" w:color="000000" w:sz="4" w:space="0"/>
              <w:right w:val="single" w:color="000000" w:sz="4" w:space="0"/>
            </w:tcBorders>
            <w:vAlign w:val="center"/>
          </w:tcPr>
          <w:p w14:paraId="7970AF7B">
            <w:pPr>
              <w:pStyle w:val="98"/>
              <w:ind w:left="-105" w:right="-105"/>
              <w:rPr>
                <w:rFonts w:eastAsia="宋体"/>
                <w:color w:val="auto"/>
                <w:sz w:val="21"/>
                <w:szCs w:val="21"/>
                <w:highlight w:val="none"/>
              </w:rPr>
            </w:pPr>
            <w:r>
              <w:rPr>
                <w:rFonts w:eastAsia="宋体"/>
                <w:color w:val="auto"/>
                <w:sz w:val="21"/>
                <w:szCs w:val="21"/>
                <w:highlight w:val="none"/>
              </w:rPr>
              <w:t>2.4</w:t>
            </w:r>
          </w:p>
        </w:tc>
        <w:tc>
          <w:tcPr>
            <w:tcW w:w="686" w:type="dxa"/>
            <w:tcBorders>
              <w:top w:val="single" w:color="000000" w:sz="4" w:space="0"/>
              <w:left w:val="single" w:color="000000" w:sz="4" w:space="0"/>
              <w:bottom w:val="single" w:color="000000" w:sz="4" w:space="0"/>
              <w:right w:val="single" w:color="000000" w:sz="4" w:space="0"/>
            </w:tcBorders>
            <w:vAlign w:val="center"/>
          </w:tcPr>
          <w:p w14:paraId="493EB853">
            <w:pPr>
              <w:pStyle w:val="98"/>
              <w:ind w:left="-105" w:right="-105"/>
              <w:rPr>
                <w:rFonts w:eastAsia="宋体"/>
                <w:color w:val="auto"/>
                <w:sz w:val="21"/>
                <w:szCs w:val="21"/>
                <w:highlight w:val="none"/>
              </w:rPr>
            </w:pPr>
            <w:r>
              <w:rPr>
                <w:rFonts w:eastAsia="宋体"/>
                <w:color w:val="auto"/>
                <w:sz w:val="21"/>
                <w:szCs w:val="21"/>
                <w:highlight w:val="none"/>
              </w:rPr>
              <w:t>2.4</w:t>
            </w:r>
          </w:p>
        </w:tc>
        <w:tc>
          <w:tcPr>
            <w:tcW w:w="747" w:type="dxa"/>
            <w:tcBorders>
              <w:top w:val="single" w:color="000000" w:sz="4" w:space="0"/>
              <w:left w:val="single" w:color="000000" w:sz="4" w:space="0"/>
              <w:bottom w:val="single" w:color="000000" w:sz="4" w:space="0"/>
              <w:right w:val="single" w:color="000000" w:sz="4" w:space="0"/>
            </w:tcBorders>
            <w:vAlign w:val="center"/>
          </w:tcPr>
          <w:p w14:paraId="1D11D8E6">
            <w:pPr>
              <w:pStyle w:val="98"/>
              <w:ind w:left="-105" w:right="-105"/>
              <w:rPr>
                <w:rFonts w:eastAsia="宋体"/>
                <w:color w:val="auto"/>
                <w:sz w:val="21"/>
                <w:szCs w:val="21"/>
                <w:highlight w:val="none"/>
              </w:rPr>
            </w:pPr>
            <w:r>
              <w:rPr>
                <w:rFonts w:eastAsia="宋体"/>
                <w:color w:val="auto"/>
                <w:sz w:val="21"/>
                <w:szCs w:val="21"/>
                <w:highlight w:val="none"/>
              </w:rPr>
              <w:t>3.2</w:t>
            </w:r>
          </w:p>
        </w:tc>
        <w:tc>
          <w:tcPr>
            <w:tcW w:w="686" w:type="dxa"/>
            <w:tcBorders>
              <w:top w:val="single" w:color="000000" w:sz="4" w:space="0"/>
              <w:left w:val="single" w:color="000000" w:sz="4" w:space="0"/>
              <w:bottom w:val="single" w:color="000000" w:sz="4" w:space="0"/>
              <w:right w:val="single" w:color="000000" w:sz="4" w:space="0"/>
            </w:tcBorders>
            <w:vAlign w:val="center"/>
          </w:tcPr>
          <w:p w14:paraId="12FBF0BD">
            <w:pPr>
              <w:pStyle w:val="98"/>
              <w:ind w:left="-105" w:right="-105"/>
              <w:rPr>
                <w:rFonts w:eastAsia="宋体"/>
                <w:color w:val="auto"/>
                <w:sz w:val="21"/>
                <w:szCs w:val="21"/>
                <w:highlight w:val="none"/>
              </w:rPr>
            </w:pPr>
            <w:r>
              <w:rPr>
                <w:rFonts w:eastAsia="宋体"/>
                <w:color w:val="auto"/>
                <w:sz w:val="21"/>
                <w:szCs w:val="21"/>
                <w:highlight w:val="none"/>
              </w:rPr>
              <w:t>2.1</w:t>
            </w:r>
          </w:p>
        </w:tc>
        <w:tc>
          <w:tcPr>
            <w:tcW w:w="700" w:type="dxa"/>
            <w:tcBorders>
              <w:top w:val="single" w:color="000000" w:sz="4" w:space="0"/>
              <w:left w:val="single" w:color="000000" w:sz="4" w:space="0"/>
              <w:bottom w:val="single" w:color="000000" w:sz="4" w:space="0"/>
              <w:right w:val="single" w:color="000000" w:sz="4" w:space="0"/>
            </w:tcBorders>
            <w:vAlign w:val="center"/>
          </w:tcPr>
          <w:p w14:paraId="08F54860">
            <w:pPr>
              <w:pStyle w:val="98"/>
              <w:ind w:left="-105" w:right="-105"/>
              <w:rPr>
                <w:rFonts w:eastAsia="宋体"/>
                <w:color w:val="auto"/>
                <w:sz w:val="21"/>
                <w:szCs w:val="21"/>
                <w:highlight w:val="none"/>
              </w:rPr>
            </w:pPr>
            <w:r>
              <w:rPr>
                <w:rFonts w:eastAsia="宋体"/>
                <w:color w:val="auto"/>
                <w:sz w:val="21"/>
                <w:szCs w:val="21"/>
                <w:highlight w:val="none"/>
              </w:rPr>
              <w:t>2.7</w:t>
            </w:r>
          </w:p>
        </w:tc>
        <w:tc>
          <w:tcPr>
            <w:tcW w:w="686" w:type="dxa"/>
            <w:tcBorders>
              <w:top w:val="single" w:color="000000" w:sz="4" w:space="0"/>
              <w:left w:val="single" w:color="000000" w:sz="4" w:space="0"/>
              <w:bottom w:val="single" w:color="000000" w:sz="4" w:space="0"/>
              <w:right w:val="single" w:color="000000" w:sz="4" w:space="0"/>
            </w:tcBorders>
            <w:vAlign w:val="center"/>
          </w:tcPr>
          <w:p w14:paraId="5B420D82">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4694416D">
            <w:pPr>
              <w:pStyle w:val="98"/>
              <w:ind w:left="-105" w:right="-105"/>
              <w:rPr>
                <w:rFonts w:eastAsia="宋体"/>
                <w:color w:val="auto"/>
                <w:sz w:val="21"/>
                <w:szCs w:val="21"/>
                <w:highlight w:val="none"/>
              </w:rPr>
            </w:pPr>
            <w:r>
              <w:rPr>
                <w:rFonts w:eastAsia="宋体"/>
                <w:color w:val="auto"/>
                <w:sz w:val="21"/>
                <w:szCs w:val="21"/>
                <w:highlight w:val="none"/>
              </w:rPr>
              <w:t>2.55</w:t>
            </w:r>
          </w:p>
        </w:tc>
      </w:tr>
      <w:tr w14:paraId="0F8C4E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5BD0AF13">
            <w:pPr>
              <w:pStyle w:val="98"/>
              <w:ind w:left="-105" w:right="-105"/>
              <w:rPr>
                <w:rFonts w:eastAsia="宋体"/>
                <w:color w:val="auto"/>
                <w:sz w:val="21"/>
                <w:szCs w:val="21"/>
                <w:highlight w:val="none"/>
              </w:rPr>
            </w:pPr>
            <w:r>
              <w:rPr>
                <w:rFonts w:eastAsia="宋体"/>
                <w:color w:val="auto"/>
                <w:sz w:val="21"/>
                <w:szCs w:val="21"/>
                <w:highlight w:val="none"/>
              </w:rPr>
              <w:t>7月</w:t>
            </w:r>
          </w:p>
        </w:tc>
        <w:tc>
          <w:tcPr>
            <w:tcW w:w="687" w:type="dxa"/>
            <w:tcBorders>
              <w:top w:val="single" w:color="000000" w:sz="4" w:space="0"/>
              <w:left w:val="single" w:color="000000" w:sz="4" w:space="0"/>
              <w:bottom w:val="single" w:color="000000" w:sz="4" w:space="0"/>
              <w:right w:val="single" w:color="000000" w:sz="4" w:space="0"/>
            </w:tcBorders>
            <w:vAlign w:val="center"/>
          </w:tcPr>
          <w:p w14:paraId="3514C1A0">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4CF9FDA7">
            <w:pPr>
              <w:pStyle w:val="98"/>
              <w:ind w:left="-105" w:right="-105"/>
              <w:rPr>
                <w:rFonts w:eastAsia="宋体"/>
                <w:color w:val="auto"/>
                <w:sz w:val="21"/>
                <w:szCs w:val="21"/>
                <w:highlight w:val="none"/>
              </w:rPr>
            </w:pPr>
            <w:r>
              <w:rPr>
                <w:rFonts w:eastAsia="宋体"/>
                <w:color w:val="auto"/>
                <w:sz w:val="21"/>
                <w:szCs w:val="21"/>
                <w:highlight w:val="none"/>
              </w:rPr>
              <w:t>1.8</w:t>
            </w:r>
          </w:p>
        </w:tc>
        <w:tc>
          <w:tcPr>
            <w:tcW w:w="687" w:type="dxa"/>
            <w:tcBorders>
              <w:top w:val="single" w:color="000000" w:sz="4" w:space="0"/>
              <w:left w:val="single" w:color="000000" w:sz="4" w:space="0"/>
              <w:bottom w:val="single" w:color="000000" w:sz="4" w:space="0"/>
              <w:right w:val="single" w:color="000000" w:sz="4" w:space="0"/>
            </w:tcBorders>
            <w:vAlign w:val="center"/>
          </w:tcPr>
          <w:p w14:paraId="5B24FCD9">
            <w:pPr>
              <w:pStyle w:val="98"/>
              <w:ind w:left="-105" w:right="-105"/>
              <w:rPr>
                <w:rFonts w:eastAsia="宋体"/>
                <w:color w:val="auto"/>
                <w:sz w:val="21"/>
                <w:szCs w:val="21"/>
                <w:highlight w:val="none"/>
              </w:rPr>
            </w:pPr>
            <w:r>
              <w:rPr>
                <w:rFonts w:eastAsia="宋体"/>
                <w:color w:val="auto"/>
                <w:sz w:val="21"/>
                <w:szCs w:val="21"/>
                <w:highlight w:val="none"/>
              </w:rPr>
              <w:t>1.2</w:t>
            </w:r>
          </w:p>
        </w:tc>
        <w:tc>
          <w:tcPr>
            <w:tcW w:w="687" w:type="dxa"/>
            <w:tcBorders>
              <w:top w:val="single" w:color="000000" w:sz="4" w:space="0"/>
              <w:left w:val="single" w:color="000000" w:sz="4" w:space="0"/>
              <w:bottom w:val="single" w:color="000000" w:sz="4" w:space="0"/>
              <w:right w:val="single" w:color="000000" w:sz="4" w:space="0"/>
            </w:tcBorders>
            <w:vAlign w:val="center"/>
          </w:tcPr>
          <w:p w14:paraId="6C19CDB8">
            <w:pPr>
              <w:pStyle w:val="98"/>
              <w:ind w:left="-105" w:right="-105"/>
              <w:rPr>
                <w:rFonts w:eastAsia="宋体"/>
                <w:color w:val="auto"/>
                <w:sz w:val="21"/>
                <w:szCs w:val="21"/>
                <w:highlight w:val="none"/>
              </w:rPr>
            </w:pPr>
            <w:r>
              <w:rPr>
                <w:rFonts w:eastAsia="宋体"/>
                <w:color w:val="auto"/>
                <w:sz w:val="21"/>
                <w:szCs w:val="21"/>
                <w:highlight w:val="none"/>
              </w:rPr>
              <w:t>2.8</w:t>
            </w:r>
          </w:p>
        </w:tc>
        <w:tc>
          <w:tcPr>
            <w:tcW w:w="688" w:type="dxa"/>
            <w:tcBorders>
              <w:top w:val="single" w:color="000000" w:sz="4" w:space="0"/>
              <w:left w:val="single" w:color="000000" w:sz="4" w:space="0"/>
              <w:bottom w:val="single" w:color="000000" w:sz="4" w:space="0"/>
              <w:right w:val="single" w:color="000000" w:sz="4" w:space="0"/>
            </w:tcBorders>
            <w:vAlign w:val="center"/>
          </w:tcPr>
          <w:p w14:paraId="1FF6F8E4">
            <w:pPr>
              <w:pStyle w:val="98"/>
              <w:ind w:left="-105" w:right="-105"/>
              <w:rPr>
                <w:rFonts w:eastAsia="宋体"/>
                <w:color w:val="auto"/>
                <w:sz w:val="21"/>
                <w:szCs w:val="21"/>
                <w:highlight w:val="none"/>
              </w:rPr>
            </w:pPr>
            <w:r>
              <w:rPr>
                <w:rFonts w:eastAsia="宋体"/>
                <w:color w:val="auto"/>
                <w:sz w:val="21"/>
                <w:szCs w:val="21"/>
                <w:highlight w:val="none"/>
              </w:rPr>
              <w:t>4.2</w:t>
            </w:r>
          </w:p>
        </w:tc>
        <w:tc>
          <w:tcPr>
            <w:tcW w:w="687" w:type="dxa"/>
            <w:tcBorders>
              <w:top w:val="single" w:color="000000" w:sz="4" w:space="0"/>
              <w:left w:val="single" w:color="000000" w:sz="4" w:space="0"/>
              <w:bottom w:val="single" w:color="000000" w:sz="4" w:space="0"/>
              <w:right w:val="single" w:color="000000" w:sz="4" w:space="0"/>
            </w:tcBorders>
            <w:vAlign w:val="center"/>
          </w:tcPr>
          <w:p w14:paraId="02D8708F">
            <w:pPr>
              <w:pStyle w:val="98"/>
              <w:ind w:left="-105" w:right="-105"/>
              <w:rPr>
                <w:rFonts w:eastAsia="宋体"/>
                <w:color w:val="auto"/>
                <w:sz w:val="21"/>
                <w:szCs w:val="21"/>
                <w:highlight w:val="none"/>
              </w:rPr>
            </w:pPr>
            <w:r>
              <w:rPr>
                <w:rFonts w:eastAsia="宋体"/>
                <w:color w:val="auto"/>
                <w:sz w:val="21"/>
                <w:szCs w:val="21"/>
                <w:highlight w:val="none"/>
              </w:rPr>
              <w:t>7.6</w:t>
            </w:r>
          </w:p>
        </w:tc>
        <w:tc>
          <w:tcPr>
            <w:tcW w:w="687" w:type="dxa"/>
            <w:tcBorders>
              <w:top w:val="single" w:color="000000" w:sz="4" w:space="0"/>
              <w:left w:val="single" w:color="000000" w:sz="4" w:space="0"/>
              <w:bottom w:val="single" w:color="000000" w:sz="4" w:space="0"/>
              <w:right w:val="single" w:color="000000" w:sz="4" w:space="0"/>
            </w:tcBorders>
            <w:vAlign w:val="center"/>
          </w:tcPr>
          <w:p w14:paraId="585E9EDF">
            <w:pPr>
              <w:pStyle w:val="98"/>
              <w:ind w:left="-105" w:right="-105"/>
              <w:rPr>
                <w:rFonts w:eastAsia="宋体"/>
                <w:color w:val="auto"/>
                <w:sz w:val="21"/>
                <w:szCs w:val="21"/>
                <w:highlight w:val="none"/>
              </w:rPr>
            </w:pPr>
            <w:r>
              <w:rPr>
                <w:rFonts w:eastAsia="宋体"/>
                <w:color w:val="auto"/>
                <w:sz w:val="21"/>
                <w:szCs w:val="21"/>
                <w:highlight w:val="none"/>
              </w:rPr>
              <w:t>14.8</w:t>
            </w:r>
          </w:p>
        </w:tc>
        <w:tc>
          <w:tcPr>
            <w:tcW w:w="687" w:type="dxa"/>
            <w:tcBorders>
              <w:top w:val="single" w:color="000000" w:sz="4" w:space="0"/>
              <w:left w:val="single" w:color="000000" w:sz="4" w:space="0"/>
              <w:bottom w:val="single" w:color="000000" w:sz="4" w:space="0"/>
              <w:right w:val="single" w:color="000000" w:sz="4" w:space="0"/>
            </w:tcBorders>
            <w:vAlign w:val="center"/>
          </w:tcPr>
          <w:p w14:paraId="23F23D0F">
            <w:pPr>
              <w:pStyle w:val="98"/>
              <w:ind w:left="-105" w:right="-105"/>
              <w:rPr>
                <w:rFonts w:eastAsia="宋体"/>
                <w:color w:val="auto"/>
                <w:sz w:val="21"/>
                <w:szCs w:val="21"/>
                <w:highlight w:val="none"/>
              </w:rPr>
            </w:pPr>
            <w:r>
              <w:rPr>
                <w:rFonts w:eastAsia="宋体"/>
                <w:color w:val="auto"/>
                <w:sz w:val="21"/>
                <w:szCs w:val="21"/>
                <w:highlight w:val="none"/>
              </w:rPr>
              <w:t>15</w:t>
            </w:r>
          </w:p>
        </w:tc>
        <w:tc>
          <w:tcPr>
            <w:tcW w:w="687" w:type="dxa"/>
            <w:tcBorders>
              <w:top w:val="single" w:color="000000" w:sz="4" w:space="0"/>
              <w:left w:val="single" w:color="000000" w:sz="4" w:space="0"/>
              <w:bottom w:val="single" w:color="000000" w:sz="4" w:space="0"/>
              <w:right w:val="single" w:color="000000" w:sz="4" w:space="0"/>
            </w:tcBorders>
            <w:vAlign w:val="center"/>
          </w:tcPr>
          <w:p w14:paraId="513B25EB">
            <w:pPr>
              <w:pStyle w:val="98"/>
              <w:ind w:left="-105" w:right="-105"/>
              <w:rPr>
                <w:rFonts w:eastAsia="宋体"/>
                <w:color w:val="auto"/>
                <w:sz w:val="21"/>
                <w:szCs w:val="21"/>
                <w:highlight w:val="none"/>
              </w:rPr>
            </w:pPr>
            <w:r>
              <w:rPr>
                <w:rFonts w:eastAsia="宋体"/>
                <w:color w:val="auto"/>
                <w:sz w:val="21"/>
                <w:szCs w:val="21"/>
                <w:highlight w:val="none"/>
              </w:rPr>
              <w:t>11.2</w:t>
            </w:r>
          </w:p>
        </w:tc>
        <w:tc>
          <w:tcPr>
            <w:tcW w:w="687" w:type="dxa"/>
            <w:tcBorders>
              <w:top w:val="single" w:color="000000" w:sz="4" w:space="0"/>
              <w:left w:val="single" w:color="000000" w:sz="4" w:space="0"/>
              <w:bottom w:val="single" w:color="000000" w:sz="4" w:space="0"/>
              <w:right w:val="single" w:color="000000" w:sz="4" w:space="0"/>
            </w:tcBorders>
            <w:vAlign w:val="center"/>
          </w:tcPr>
          <w:p w14:paraId="421E1A0C">
            <w:pPr>
              <w:pStyle w:val="98"/>
              <w:ind w:left="-105" w:right="-105"/>
              <w:rPr>
                <w:rFonts w:eastAsia="宋体"/>
                <w:color w:val="auto"/>
                <w:sz w:val="21"/>
                <w:szCs w:val="21"/>
                <w:highlight w:val="none"/>
              </w:rPr>
            </w:pPr>
            <w:r>
              <w:rPr>
                <w:rFonts w:eastAsia="宋体"/>
                <w:color w:val="auto"/>
                <w:sz w:val="21"/>
                <w:szCs w:val="21"/>
                <w:highlight w:val="none"/>
              </w:rPr>
              <w:t>9</w:t>
            </w:r>
          </w:p>
        </w:tc>
        <w:tc>
          <w:tcPr>
            <w:tcW w:w="687" w:type="dxa"/>
            <w:tcBorders>
              <w:top w:val="single" w:color="000000" w:sz="4" w:space="0"/>
              <w:left w:val="single" w:color="000000" w:sz="4" w:space="0"/>
              <w:bottom w:val="single" w:color="000000" w:sz="4" w:space="0"/>
              <w:right w:val="single" w:color="000000" w:sz="4" w:space="0"/>
            </w:tcBorders>
            <w:vAlign w:val="center"/>
          </w:tcPr>
          <w:p w14:paraId="7A5AE04C">
            <w:pPr>
              <w:pStyle w:val="98"/>
              <w:ind w:left="-105" w:right="-105"/>
              <w:rPr>
                <w:rFonts w:eastAsia="宋体"/>
                <w:color w:val="auto"/>
                <w:sz w:val="21"/>
                <w:szCs w:val="21"/>
                <w:highlight w:val="none"/>
              </w:rPr>
            </w:pPr>
            <w:r>
              <w:rPr>
                <w:rFonts w:eastAsia="宋体"/>
                <w:color w:val="auto"/>
                <w:sz w:val="21"/>
                <w:szCs w:val="21"/>
                <w:highlight w:val="none"/>
              </w:rPr>
              <w:t>3.8</w:t>
            </w:r>
          </w:p>
        </w:tc>
        <w:tc>
          <w:tcPr>
            <w:tcW w:w="684" w:type="dxa"/>
            <w:tcBorders>
              <w:top w:val="single" w:color="000000" w:sz="4" w:space="0"/>
              <w:left w:val="single" w:color="000000" w:sz="4" w:space="0"/>
              <w:bottom w:val="single" w:color="000000" w:sz="4" w:space="0"/>
              <w:right w:val="single" w:color="000000" w:sz="4" w:space="0"/>
            </w:tcBorders>
            <w:vAlign w:val="center"/>
          </w:tcPr>
          <w:p w14:paraId="3733DD76">
            <w:pPr>
              <w:pStyle w:val="98"/>
              <w:ind w:left="-105" w:right="-105"/>
              <w:rPr>
                <w:rFonts w:eastAsia="宋体"/>
                <w:color w:val="auto"/>
                <w:sz w:val="21"/>
                <w:szCs w:val="21"/>
                <w:highlight w:val="none"/>
              </w:rPr>
            </w:pPr>
            <w:r>
              <w:rPr>
                <w:rFonts w:eastAsia="宋体"/>
                <w:color w:val="auto"/>
                <w:sz w:val="21"/>
                <w:szCs w:val="21"/>
                <w:highlight w:val="none"/>
              </w:rPr>
              <w:t>3.2</w:t>
            </w:r>
          </w:p>
        </w:tc>
        <w:tc>
          <w:tcPr>
            <w:tcW w:w="714" w:type="dxa"/>
            <w:tcBorders>
              <w:top w:val="single" w:color="000000" w:sz="4" w:space="0"/>
              <w:left w:val="single" w:color="000000" w:sz="4" w:space="0"/>
              <w:bottom w:val="single" w:color="000000" w:sz="4" w:space="0"/>
              <w:right w:val="single" w:color="000000" w:sz="4" w:space="0"/>
            </w:tcBorders>
            <w:vAlign w:val="center"/>
          </w:tcPr>
          <w:p w14:paraId="024AF143">
            <w:pPr>
              <w:pStyle w:val="98"/>
              <w:ind w:left="-105" w:right="-105"/>
              <w:rPr>
                <w:rFonts w:eastAsia="宋体"/>
                <w:color w:val="auto"/>
                <w:sz w:val="21"/>
                <w:szCs w:val="21"/>
                <w:highlight w:val="none"/>
              </w:rPr>
            </w:pPr>
            <w:r>
              <w:rPr>
                <w:rFonts w:eastAsia="宋体"/>
                <w:color w:val="auto"/>
                <w:sz w:val="21"/>
                <w:szCs w:val="21"/>
                <w:highlight w:val="none"/>
              </w:rPr>
              <w:t>4.8</w:t>
            </w:r>
          </w:p>
        </w:tc>
        <w:tc>
          <w:tcPr>
            <w:tcW w:w="686" w:type="dxa"/>
            <w:tcBorders>
              <w:top w:val="single" w:color="000000" w:sz="4" w:space="0"/>
              <w:left w:val="single" w:color="000000" w:sz="4" w:space="0"/>
              <w:bottom w:val="single" w:color="000000" w:sz="4" w:space="0"/>
              <w:right w:val="single" w:color="000000" w:sz="4" w:space="0"/>
            </w:tcBorders>
            <w:vAlign w:val="center"/>
          </w:tcPr>
          <w:p w14:paraId="30DD69E2">
            <w:pPr>
              <w:pStyle w:val="98"/>
              <w:ind w:left="-105" w:right="-105"/>
              <w:rPr>
                <w:rFonts w:eastAsia="宋体"/>
                <w:color w:val="auto"/>
                <w:sz w:val="21"/>
                <w:szCs w:val="21"/>
                <w:highlight w:val="none"/>
              </w:rPr>
            </w:pPr>
            <w:r>
              <w:rPr>
                <w:rFonts w:eastAsia="宋体"/>
                <w:color w:val="auto"/>
                <w:sz w:val="21"/>
                <w:szCs w:val="21"/>
                <w:highlight w:val="none"/>
              </w:rPr>
              <w:t>3.8</w:t>
            </w:r>
          </w:p>
        </w:tc>
        <w:tc>
          <w:tcPr>
            <w:tcW w:w="747" w:type="dxa"/>
            <w:tcBorders>
              <w:top w:val="single" w:color="000000" w:sz="4" w:space="0"/>
              <w:left w:val="single" w:color="000000" w:sz="4" w:space="0"/>
              <w:bottom w:val="single" w:color="000000" w:sz="4" w:space="0"/>
              <w:right w:val="single" w:color="000000" w:sz="4" w:space="0"/>
            </w:tcBorders>
            <w:vAlign w:val="center"/>
          </w:tcPr>
          <w:p w14:paraId="38014473">
            <w:pPr>
              <w:pStyle w:val="98"/>
              <w:ind w:left="-105" w:right="-105"/>
              <w:rPr>
                <w:rFonts w:eastAsia="宋体"/>
                <w:color w:val="auto"/>
                <w:sz w:val="21"/>
                <w:szCs w:val="21"/>
                <w:highlight w:val="none"/>
              </w:rPr>
            </w:pPr>
            <w:r>
              <w:rPr>
                <w:rFonts w:eastAsia="宋体"/>
                <w:color w:val="auto"/>
                <w:sz w:val="21"/>
                <w:szCs w:val="21"/>
                <w:highlight w:val="none"/>
              </w:rPr>
              <w:t>1.6</w:t>
            </w:r>
          </w:p>
        </w:tc>
        <w:tc>
          <w:tcPr>
            <w:tcW w:w="686" w:type="dxa"/>
            <w:tcBorders>
              <w:top w:val="single" w:color="000000" w:sz="4" w:space="0"/>
              <w:left w:val="single" w:color="000000" w:sz="4" w:space="0"/>
              <w:bottom w:val="single" w:color="000000" w:sz="4" w:space="0"/>
              <w:right w:val="single" w:color="000000" w:sz="4" w:space="0"/>
            </w:tcBorders>
            <w:vAlign w:val="center"/>
          </w:tcPr>
          <w:p w14:paraId="45178EFC">
            <w:pPr>
              <w:pStyle w:val="98"/>
              <w:ind w:left="-105" w:right="-105"/>
              <w:rPr>
                <w:rFonts w:eastAsia="宋体"/>
                <w:color w:val="auto"/>
                <w:sz w:val="21"/>
                <w:szCs w:val="21"/>
                <w:highlight w:val="none"/>
              </w:rPr>
            </w:pPr>
            <w:r>
              <w:rPr>
                <w:rFonts w:eastAsia="宋体"/>
                <w:color w:val="auto"/>
                <w:sz w:val="21"/>
                <w:szCs w:val="21"/>
                <w:highlight w:val="none"/>
              </w:rPr>
              <w:t>2.6</w:t>
            </w:r>
          </w:p>
        </w:tc>
        <w:tc>
          <w:tcPr>
            <w:tcW w:w="700" w:type="dxa"/>
            <w:tcBorders>
              <w:top w:val="single" w:color="000000" w:sz="4" w:space="0"/>
              <w:left w:val="single" w:color="000000" w:sz="4" w:space="0"/>
              <w:bottom w:val="single" w:color="000000" w:sz="4" w:space="0"/>
              <w:right w:val="single" w:color="000000" w:sz="4" w:space="0"/>
            </w:tcBorders>
            <w:vAlign w:val="center"/>
          </w:tcPr>
          <w:p w14:paraId="4CC8D187">
            <w:pPr>
              <w:pStyle w:val="98"/>
              <w:ind w:left="-105" w:right="-105"/>
              <w:rPr>
                <w:rFonts w:eastAsia="宋体"/>
                <w:color w:val="auto"/>
                <w:sz w:val="21"/>
                <w:szCs w:val="21"/>
                <w:highlight w:val="none"/>
              </w:rPr>
            </w:pPr>
            <w:r>
              <w:rPr>
                <w:rFonts w:eastAsia="宋体"/>
                <w:color w:val="auto"/>
                <w:sz w:val="21"/>
                <w:szCs w:val="21"/>
                <w:highlight w:val="none"/>
              </w:rPr>
              <w:t>1.4</w:t>
            </w:r>
          </w:p>
        </w:tc>
        <w:tc>
          <w:tcPr>
            <w:tcW w:w="686" w:type="dxa"/>
            <w:tcBorders>
              <w:top w:val="single" w:color="000000" w:sz="4" w:space="0"/>
              <w:left w:val="single" w:color="000000" w:sz="4" w:space="0"/>
              <w:bottom w:val="single" w:color="000000" w:sz="4" w:space="0"/>
              <w:right w:val="single" w:color="000000" w:sz="4" w:space="0"/>
            </w:tcBorders>
            <w:vAlign w:val="center"/>
          </w:tcPr>
          <w:p w14:paraId="04D71387">
            <w:pPr>
              <w:pStyle w:val="98"/>
              <w:ind w:left="-105" w:right="-105"/>
              <w:rPr>
                <w:rFonts w:eastAsia="宋体"/>
                <w:color w:val="auto"/>
                <w:sz w:val="21"/>
                <w:szCs w:val="21"/>
                <w:highlight w:val="none"/>
              </w:rPr>
            </w:pPr>
            <w:r>
              <w:rPr>
                <w:rFonts w:eastAsia="宋体"/>
                <w:color w:val="auto"/>
                <w:sz w:val="21"/>
                <w:szCs w:val="21"/>
                <w:highlight w:val="none"/>
              </w:rPr>
              <w:t>11.4</w:t>
            </w:r>
          </w:p>
        </w:tc>
        <w:tc>
          <w:tcPr>
            <w:tcW w:w="693" w:type="dxa"/>
            <w:tcBorders>
              <w:top w:val="single" w:color="000000" w:sz="4" w:space="0"/>
              <w:left w:val="single" w:color="000000" w:sz="4" w:space="0"/>
              <w:bottom w:val="single" w:color="000000" w:sz="4" w:space="0"/>
              <w:right w:val="nil"/>
            </w:tcBorders>
            <w:vAlign w:val="center"/>
          </w:tcPr>
          <w:p w14:paraId="67F03B54">
            <w:pPr>
              <w:pStyle w:val="98"/>
              <w:ind w:left="-105" w:right="-105"/>
              <w:rPr>
                <w:rFonts w:eastAsia="宋体"/>
                <w:color w:val="auto"/>
                <w:sz w:val="21"/>
                <w:szCs w:val="21"/>
                <w:highlight w:val="none"/>
              </w:rPr>
            </w:pPr>
            <w:r>
              <w:rPr>
                <w:rFonts w:eastAsia="宋体"/>
                <w:color w:val="auto"/>
                <w:sz w:val="21"/>
                <w:szCs w:val="21"/>
                <w:highlight w:val="none"/>
              </w:rPr>
              <w:t>/</w:t>
            </w:r>
          </w:p>
        </w:tc>
      </w:tr>
      <w:tr w14:paraId="3C9CEE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49994873">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49827086">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521244C7">
            <w:pPr>
              <w:pStyle w:val="98"/>
              <w:ind w:left="-105" w:right="-105"/>
              <w:rPr>
                <w:rFonts w:eastAsia="宋体"/>
                <w:color w:val="auto"/>
                <w:sz w:val="21"/>
                <w:szCs w:val="21"/>
                <w:highlight w:val="none"/>
              </w:rPr>
            </w:pPr>
            <w:r>
              <w:rPr>
                <w:rFonts w:eastAsia="宋体"/>
                <w:color w:val="auto"/>
                <w:sz w:val="21"/>
                <w:szCs w:val="21"/>
                <w:highlight w:val="none"/>
              </w:rPr>
              <w:t>1.7</w:t>
            </w:r>
          </w:p>
        </w:tc>
        <w:tc>
          <w:tcPr>
            <w:tcW w:w="687" w:type="dxa"/>
            <w:tcBorders>
              <w:top w:val="single" w:color="000000" w:sz="4" w:space="0"/>
              <w:left w:val="single" w:color="000000" w:sz="4" w:space="0"/>
              <w:bottom w:val="single" w:color="000000" w:sz="4" w:space="0"/>
              <w:right w:val="single" w:color="000000" w:sz="4" w:space="0"/>
            </w:tcBorders>
            <w:vAlign w:val="center"/>
          </w:tcPr>
          <w:p w14:paraId="5C3BCA71">
            <w:pPr>
              <w:pStyle w:val="98"/>
              <w:ind w:left="-105" w:right="-105"/>
              <w:rPr>
                <w:rFonts w:eastAsia="宋体"/>
                <w:color w:val="auto"/>
                <w:sz w:val="21"/>
                <w:szCs w:val="21"/>
                <w:highlight w:val="none"/>
              </w:rPr>
            </w:pPr>
            <w:r>
              <w:rPr>
                <w:rFonts w:eastAsia="宋体"/>
                <w:color w:val="auto"/>
                <w:sz w:val="21"/>
                <w:szCs w:val="21"/>
                <w:highlight w:val="none"/>
              </w:rPr>
              <w:t>2</w:t>
            </w:r>
          </w:p>
        </w:tc>
        <w:tc>
          <w:tcPr>
            <w:tcW w:w="687" w:type="dxa"/>
            <w:tcBorders>
              <w:top w:val="single" w:color="000000" w:sz="4" w:space="0"/>
              <w:left w:val="single" w:color="000000" w:sz="4" w:space="0"/>
              <w:bottom w:val="single" w:color="000000" w:sz="4" w:space="0"/>
              <w:right w:val="single" w:color="000000" w:sz="4" w:space="0"/>
            </w:tcBorders>
            <w:vAlign w:val="center"/>
          </w:tcPr>
          <w:p w14:paraId="103109F4">
            <w:pPr>
              <w:pStyle w:val="98"/>
              <w:ind w:left="-105" w:right="-105"/>
              <w:rPr>
                <w:rFonts w:eastAsia="宋体"/>
                <w:color w:val="auto"/>
                <w:sz w:val="21"/>
                <w:szCs w:val="21"/>
                <w:highlight w:val="none"/>
              </w:rPr>
            </w:pPr>
            <w:r>
              <w:rPr>
                <w:rFonts w:eastAsia="宋体"/>
                <w:color w:val="auto"/>
                <w:sz w:val="21"/>
                <w:szCs w:val="21"/>
                <w:highlight w:val="none"/>
              </w:rPr>
              <w:t>2.5</w:t>
            </w:r>
          </w:p>
        </w:tc>
        <w:tc>
          <w:tcPr>
            <w:tcW w:w="688" w:type="dxa"/>
            <w:tcBorders>
              <w:top w:val="single" w:color="000000" w:sz="4" w:space="0"/>
              <w:left w:val="single" w:color="000000" w:sz="4" w:space="0"/>
              <w:bottom w:val="single" w:color="000000" w:sz="4" w:space="0"/>
              <w:right w:val="single" w:color="000000" w:sz="4" w:space="0"/>
            </w:tcBorders>
            <w:vAlign w:val="center"/>
          </w:tcPr>
          <w:p w14:paraId="32D97678">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70D69F60">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0A9AB9C2">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56CB04B0">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13BC0411">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55F2EF05">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75093A5F">
            <w:pPr>
              <w:pStyle w:val="98"/>
              <w:ind w:left="-105" w:right="-105"/>
              <w:rPr>
                <w:rFonts w:eastAsia="宋体"/>
                <w:color w:val="auto"/>
                <w:sz w:val="21"/>
                <w:szCs w:val="21"/>
                <w:highlight w:val="none"/>
              </w:rPr>
            </w:pPr>
            <w:r>
              <w:rPr>
                <w:rFonts w:eastAsia="宋体"/>
                <w:color w:val="auto"/>
                <w:sz w:val="21"/>
                <w:szCs w:val="21"/>
                <w:highlight w:val="none"/>
              </w:rPr>
              <w:t>2</w:t>
            </w:r>
          </w:p>
        </w:tc>
        <w:tc>
          <w:tcPr>
            <w:tcW w:w="684" w:type="dxa"/>
            <w:tcBorders>
              <w:top w:val="single" w:color="000000" w:sz="4" w:space="0"/>
              <w:left w:val="single" w:color="000000" w:sz="4" w:space="0"/>
              <w:bottom w:val="single" w:color="000000" w:sz="4" w:space="0"/>
              <w:right w:val="single" w:color="000000" w:sz="4" w:space="0"/>
            </w:tcBorders>
            <w:vAlign w:val="center"/>
          </w:tcPr>
          <w:p w14:paraId="755B47BF">
            <w:pPr>
              <w:pStyle w:val="98"/>
              <w:ind w:left="-105" w:right="-105"/>
              <w:rPr>
                <w:rFonts w:eastAsia="宋体"/>
                <w:color w:val="auto"/>
                <w:sz w:val="21"/>
                <w:szCs w:val="21"/>
                <w:highlight w:val="none"/>
              </w:rPr>
            </w:pPr>
            <w:r>
              <w:rPr>
                <w:rFonts w:eastAsia="宋体"/>
                <w:color w:val="auto"/>
                <w:sz w:val="21"/>
                <w:szCs w:val="21"/>
                <w:highlight w:val="none"/>
              </w:rPr>
              <w:t>2.1</w:t>
            </w:r>
          </w:p>
        </w:tc>
        <w:tc>
          <w:tcPr>
            <w:tcW w:w="714" w:type="dxa"/>
            <w:tcBorders>
              <w:top w:val="single" w:color="000000" w:sz="4" w:space="0"/>
              <w:left w:val="single" w:color="000000" w:sz="4" w:space="0"/>
              <w:bottom w:val="single" w:color="000000" w:sz="4" w:space="0"/>
              <w:right w:val="single" w:color="000000" w:sz="4" w:space="0"/>
            </w:tcBorders>
            <w:vAlign w:val="center"/>
          </w:tcPr>
          <w:p w14:paraId="68E62B4A">
            <w:pPr>
              <w:pStyle w:val="98"/>
              <w:ind w:left="-105" w:right="-105"/>
              <w:rPr>
                <w:rFonts w:eastAsia="宋体"/>
                <w:color w:val="auto"/>
                <w:sz w:val="21"/>
                <w:szCs w:val="21"/>
                <w:highlight w:val="none"/>
              </w:rPr>
            </w:pPr>
            <w:r>
              <w:rPr>
                <w:rFonts w:eastAsia="宋体"/>
                <w:color w:val="auto"/>
                <w:sz w:val="21"/>
                <w:szCs w:val="21"/>
                <w:highlight w:val="none"/>
              </w:rPr>
              <w:t>3.3</w:t>
            </w:r>
          </w:p>
        </w:tc>
        <w:tc>
          <w:tcPr>
            <w:tcW w:w="686" w:type="dxa"/>
            <w:tcBorders>
              <w:top w:val="single" w:color="000000" w:sz="4" w:space="0"/>
              <w:left w:val="single" w:color="000000" w:sz="4" w:space="0"/>
              <w:bottom w:val="single" w:color="000000" w:sz="4" w:space="0"/>
              <w:right w:val="single" w:color="000000" w:sz="4" w:space="0"/>
            </w:tcBorders>
            <w:vAlign w:val="center"/>
          </w:tcPr>
          <w:p w14:paraId="338473AD">
            <w:pPr>
              <w:pStyle w:val="98"/>
              <w:ind w:left="-105" w:right="-105"/>
              <w:rPr>
                <w:rFonts w:eastAsia="宋体"/>
                <w:color w:val="auto"/>
                <w:sz w:val="21"/>
                <w:szCs w:val="21"/>
                <w:highlight w:val="none"/>
              </w:rPr>
            </w:pPr>
            <w:r>
              <w:rPr>
                <w:rFonts w:eastAsia="宋体"/>
                <w:color w:val="auto"/>
                <w:sz w:val="21"/>
                <w:szCs w:val="21"/>
                <w:highlight w:val="none"/>
              </w:rPr>
              <w:t>3.6</w:t>
            </w:r>
          </w:p>
        </w:tc>
        <w:tc>
          <w:tcPr>
            <w:tcW w:w="747" w:type="dxa"/>
            <w:tcBorders>
              <w:top w:val="single" w:color="000000" w:sz="4" w:space="0"/>
              <w:left w:val="single" w:color="000000" w:sz="4" w:space="0"/>
              <w:bottom w:val="single" w:color="000000" w:sz="4" w:space="0"/>
              <w:right w:val="single" w:color="000000" w:sz="4" w:space="0"/>
            </w:tcBorders>
            <w:vAlign w:val="center"/>
          </w:tcPr>
          <w:p w14:paraId="5A5F542F">
            <w:pPr>
              <w:pStyle w:val="98"/>
              <w:ind w:left="-105" w:right="-105"/>
              <w:rPr>
                <w:rFonts w:eastAsia="宋体"/>
                <w:color w:val="auto"/>
                <w:sz w:val="21"/>
                <w:szCs w:val="21"/>
                <w:highlight w:val="none"/>
              </w:rPr>
            </w:pPr>
            <w:r>
              <w:rPr>
                <w:rFonts w:eastAsia="宋体"/>
                <w:color w:val="auto"/>
                <w:sz w:val="21"/>
                <w:szCs w:val="21"/>
                <w:highlight w:val="none"/>
              </w:rPr>
              <w:t>2.9</w:t>
            </w:r>
          </w:p>
        </w:tc>
        <w:tc>
          <w:tcPr>
            <w:tcW w:w="686" w:type="dxa"/>
            <w:tcBorders>
              <w:top w:val="single" w:color="000000" w:sz="4" w:space="0"/>
              <w:left w:val="single" w:color="000000" w:sz="4" w:space="0"/>
              <w:bottom w:val="single" w:color="000000" w:sz="4" w:space="0"/>
              <w:right w:val="single" w:color="000000" w:sz="4" w:space="0"/>
            </w:tcBorders>
            <w:vAlign w:val="center"/>
          </w:tcPr>
          <w:p w14:paraId="2741D8BE">
            <w:pPr>
              <w:pStyle w:val="98"/>
              <w:ind w:left="-105" w:right="-105"/>
              <w:rPr>
                <w:rFonts w:eastAsia="宋体"/>
                <w:color w:val="auto"/>
                <w:sz w:val="21"/>
                <w:szCs w:val="21"/>
                <w:highlight w:val="none"/>
              </w:rPr>
            </w:pPr>
            <w:r>
              <w:rPr>
                <w:rFonts w:eastAsia="宋体"/>
                <w:color w:val="auto"/>
                <w:sz w:val="21"/>
                <w:szCs w:val="21"/>
                <w:highlight w:val="none"/>
              </w:rPr>
              <w:t>2.2</w:t>
            </w:r>
          </w:p>
        </w:tc>
        <w:tc>
          <w:tcPr>
            <w:tcW w:w="700" w:type="dxa"/>
            <w:tcBorders>
              <w:top w:val="single" w:color="000000" w:sz="4" w:space="0"/>
              <w:left w:val="single" w:color="000000" w:sz="4" w:space="0"/>
              <w:bottom w:val="single" w:color="000000" w:sz="4" w:space="0"/>
              <w:right w:val="single" w:color="000000" w:sz="4" w:space="0"/>
            </w:tcBorders>
            <w:vAlign w:val="center"/>
          </w:tcPr>
          <w:p w14:paraId="1794666A">
            <w:pPr>
              <w:pStyle w:val="98"/>
              <w:ind w:left="-105" w:right="-105"/>
              <w:rPr>
                <w:rFonts w:eastAsia="宋体"/>
                <w:color w:val="auto"/>
                <w:sz w:val="21"/>
                <w:szCs w:val="21"/>
                <w:highlight w:val="none"/>
              </w:rPr>
            </w:pPr>
            <w:r>
              <w:rPr>
                <w:rFonts w:eastAsia="宋体"/>
                <w:color w:val="auto"/>
                <w:sz w:val="21"/>
                <w:szCs w:val="21"/>
                <w:highlight w:val="none"/>
              </w:rPr>
              <w:t>2.4</w:t>
            </w:r>
          </w:p>
        </w:tc>
        <w:tc>
          <w:tcPr>
            <w:tcW w:w="686" w:type="dxa"/>
            <w:tcBorders>
              <w:top w:val="single" w:color="000000" w:sz="4" w:space="0"/>
              <w:left w:val="single" w:color="000000" w:sz="4" w:space="0"/>
              <w:bottom w:val="single" w:color="000000" w:sz="4" w:space="0"/>
              <w:right w:val="single" w:color="000000" w:sz="4" w:space="0"/>
            </w:tcBorders>
            <w:vAlign w:val="center"/>
          </w:tcPr>
          <w:p w14:paraId="197B4AD8">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0043FAFA">
            <w:pPr>
              <w:pStyle w:val="98"/>
              <w:ind w:left="-105" w:right="-105"/>
              <w:rPr>
                <w:rFonts w:eastAsia="宋体"/>
                <w:color w:val="auto"/>
                <w:sz w:val="21"/>
                <w:szCs w:val="21"/>
                <w:highlight w:val="none"/>
              </w:rPr>
            </w:pPr>
            <w:r>
              <w:rPr>
                <w:rFonts w:eastAsia="宋体"/>
                <w:color w:val="auto"/>
                <w:sz w:val="21"/>
                <w:szCs w:val="21"/>
                <w:highlight w:val="none"/>
              </w:rPr>
              <w:t>2.58</w:t>
            </w:r>
          </w:p>
        </w:tc>
      </w:tr>
      <w:tr w14:paraId="4AECAA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6D3CED6B">
            <w:pPr>
              <w:pStyle w:val="98"/>
              <w:ind w:left="-105" w:right="-105"/>
              <w:rPr>
                <w:rFonts w:eastAsia="宋体"/>
                <w:color w:val="auto"/>
                <w:sz w:val="21"/>
                <w:szCs w:val="21"/>
                <w:highlight w:val="none"/>
              </w:rPr>
            </w:pPr>
            <w:r>
              <w:rPr>
                <w:rFonts w:eastAsia="宋体"/>
                <w:color w:val="auto"/>
                <w:sz w:val="21"/>
                <w:szCs w:val="21"/>
                <w:highlight w:val="none"/>
              </w:rPr>
              <w:t>8月</w:t>
            </w:r>
          </w:p>
        </w:tc>
        <w:tc>
          <w:tcPr>
            <w:tcW w:w="687" w:type="dxa"/>
            <w:tcBorders>
              <w:top w:val="single" w:color="000000" w:sz="4" w:space="0"/>
              <w:left w:val="single" w:color="000000" w:sz="4" w:space="0"/>
              <w:bottom w:val="single" w:color="000000" w:sz="4" w:space="0"/>
              <w:right w:val="single" w:color="000000" w:sz="4" w:space="0"/>
            </w:tcBorders>
            <w:vAlign w:val="center"/>
          </w:tcPr>
          <w:p w14:paraId="58F60855">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3AE274BE">
            <w:pPr>
              <w:pStyle w:val="98"/>
              <w:ind w:left="-105" w:right="-105"/>
              <w:rPr>
                <w:rFonts w:eastAsia="宋体"/>
                <w:color w:val="auto"/>
                <w:sz w:val="21"/>
                <w:szCs w:val="21"/>
                <w:highlight w:val="none"/>
              </w:rPr>
            </w:pPr>
            <w:r>
              <w:rPr>
                <w:rFonts w:eastAsia="宋体"/>
                <w:color w:val="auto"/>
                <w:sz w:val="21"/>
                <w:szCs w:val="21"/>
                <w:highlight w:val="none"/>
              </w:rPr>
              <w:t>5.4</w:t>
            </w:r>
          </w:p>
        </w:tc>
        <w:tc>
          <w:tcPr>
            <w:tcW w:w="687" w:type="dxa"/>
            <w:tcBorders>
              <w:top w:val="single" w:color="000000" w:sz="4" w:space="0"/>
              <w:left w:val="single" w:color="000000" w:sz="4" w:space="0"/>
              <w:bottom w:val="single" w:color="000000" w:sz="4" w:space="0"/>
              <w:right w:val="single" w:color="000000" w:sz="4" w:space="0"/>
            </w:tcBorders>
            <w:vAlign w:val="center"/>
          </w:tcPr>
          <w:p w14:paraId="1D76B120">
            <w:pPr>
              <w:pStyle w:val="98"/>
              <w:ind w:left="-105" w:right="-105"/>
              <w:rPr>
                <w:rFonts w:eastAsia="宋体"/>
                <w:color w:val="auto"/>
                <w:sz w:val="21"/>
                <w:szCs w:val="21"/>
                <w:highlight w:val="none"/>
              </w:rPr>
            </w:pPr>
            <w:r>
              <w:rPr>
                <w:rFonts w:eastAsia="宋体"/>
                <w:color w:val="auto"/>
                <w:sz w:val="21"/>
                <w:szCs w:val="21"/>
                <w:highlight w:val="none"/>
              </w:rPr>
              <w:t>4</w:t>
            </w:r>
          </w:p>
        </w:tc>
        <w:tc>
          <w:tcPr>
            <w:tcW w:w="687" w:type="dxa"/>
            <w:tcBorders>
              <w:top w:val="single" w:color="000000" w:sz="4" w:space="0"/>
              <w:left w:val="single" w:color="000000" w:sz="4" w:space="0"/>
              <w:bottom w:val="single" w:color="000000" w:sz="4" w:space="0"/>
              <w:right w:val="single" w:color="000000" w:sz="4" w:space="0"/>
            </w:tcBorders>
            <w:vAlign w:val="center"/>
          </w:tcPr>
          <w:p w14:paraId="5A55CA39">
            <w:pPr>
              <w:pStyle w:val="98"/>
              <w:ind w:left="-105" w:right="-105"/>
              <w:rPr>
                <w:rFonts w:eastAsia="宋体"/>
                <w:color w:val="auto"/>
                <w:sz w:val="21"/>
                <w:szCs w:val="21"/>
                <w:highlight w:val="none"/>
              </w:rPr>
            </w:pPr>
            <w:r>
              <w:rPr>
                <w:rFonts w:eastAsia="宋体"/>
                <w:color w:val="auto"/>
                <w:sz w:val="21"/>
                <w:szCs w:val="21"/>
                <w:highlight w:val="none"/>
              </w:rPr>
              <w:t>9.6</w:t>
            </w:r>
          </w:p>
        </w:tc>
        <w:tc>
          <w:tcPr>
            <w:tcW w:w="688" w:type="dxa"/>
            <w:tcBorders>
              <w:top w:val="single" w:color="000000" w:sz="4" w:space="0"/>
              <w:left w:val="single" w:color="000000" w:sz="4" w:space="0"/>
              <w:bottom w:val="single" w:color="000000" w:sz="4" w:space="0"/>
              <w:right w:val="single" w:color="000000" w:sz="4" w:space="0"/>
            </w:tcBorders>
            <w:vAlign w:val="center"/>
          </w:tcPr>
          <w:p w14:paraId="48BC41E6">
            <w:pPr>
              <w:pStyle w:val="98"/>
              <w:ind w:left="-105" w:right="-105"/>
              <w:rPr>
                <w:rFonts w:eastAsia="宋体"/>
                <w:color w:val="auto"/>
                <w:sz w:val="21"/>
                <w:szCs w:val="21"/>
                <w:highlight w:val="none"/>
              </w:rPr>
            </w:pPr>
            <w:r>
              <w:rPr>
                <w:rFonts w:eastAsia="宋体"/>
                <w:color w:val="auto"/>
                <w:sz w:val="21"/>
                <w:szCs w:val="21"/>
                <w:highlight w:val="none"/>
              </w:rPr>
              <w:t>7.4</w:t>
            </w:r>
          </w:p>
        </w:tc>
        <w:tc>
          <w:tcPr>
            <w:tcW w:w="687" w:type="dxa"/>
            <w:tcBorders>
              <w:top w:val="single" w:color="000000" w:sz="4" w:space="0"/>
              <w:left w:val="single" w:color="000000" w:sz="4" w:space="0"/>
              <w:bottom w:val="single" w:color="000000" w:sz="4" w:space="0"/>
              <w:right w:val="single" w:color="000000" w:sz="4" w:space="0"/>
            </w:tcBorders>
            <w:vAlign w:val="center"/>
          </w:tcPr>
          <w:p w14:paraId="44E7A674">
            <w:pPr>
              <w:pStyle w:val="98"/>
              <w:ind w:left="-105" w:right="-105"/>
              <w:rPr>
                <w:rFonts w:eastAsia="宋体"/>
                <w:color w:val="auto"/>
                <w:sz w:val="21"/>
                <w:szCs w:val="21"/>
                <w:highlight w:val="none"/>
              </w:rPr>
            </w:pPr>
            <w:r>
              <w:rPr>
                <w:rFonts w:eastAsia="宋体"/>
                <w:color w:val="auto"/>
                <w:sz w:val="21"/>
                <w:szCs w:val="21"/>
                <w:highlight w:val="none"/>
              </w:rPr>
              <w:t>10.2</w:t>
            </w:r>
          </w:p>
        </w:tc>
        <w:tc>
          <w:tcPr>
            <w:tcW w:w="687" w:type="dxa"/>
            <w:tcBorders>
              <w:top w:val="single" w:color="000000" w:sz="4" w:space="0"/>
              <w:left w:val="single" w:color="000000" w:sz="4" w:space="0"/>
              <w:bottom w:val="single" w:color="000000" w:sz="4" w:space="0"/>
              <w:right w:val="single" w:color="000000" w:sz="4" w:space="0"/>
            </w:tcBorders>
            <w:vAlign w:val="center"/>
          </w:tcPr>
          <w:p w14:paraId="6DD77D22">
            <w:pPr>
              <w:pStyle w:val="98"/>
              <w:ind w:left="-105" w:right="-105"/>
              <w:rPr>
                <w:rFonts w:eastAsia="宋体"/>
                <w:color w:val="auto"/>
                <w:sz w:val="21"/>
                <w:szCs w:val="21"/>
                <w:highlight w:val="none"/>
              </w:rPr>
            </w:pPr>
            <w:r>
              <w:rPr>
                <w:rFonts w:eastAsia="宋体"/>
                <w:color w:val="auto"/>
                <w:sz w:val="21"/>
                <w:szCs w:val="21"/>
                <w:highlight w:val="none"/>
              </w:rPr>
              <w:t>11.2</w:t>
            </w:r>
          </w:p>
        </w:tc>
        <w:tc>
          <w:tcPr>
            <w:tcW w:w="687" w:type="dxa"/>
            <w:tcBorders>
              <w:top w:val="single" w:color="000000" w:sz="4" w:space="0"/>
              <w:left w:val="single" w:color="000000" w:sz="4" w:space="0"/>
              <w:bottom w:val="single" w:color="000000" w:sz="4" w:space="0"/>
              <w:right w:val="single" w:color="000000" w:sz="4" w:space="0"/>
            </w:tcBorders>
            <w:vAlign w:val="center"/>
          </w:tcPr>
          <w:p w14:paraId="64FD8D39">
            <w:pPr>
              <w:pStyle w:val="98"/>
              <w:ind w:left="-105" w:right="-105"/>
              <w:rPr>
                <w:rFonts w:eastAsia="宋体"/>
                <w:color w:val="auto"/>
                <w:sz w:val="21"/>
                <w:szCs w:val="21"/>
                <w:highlight w:val="none"/>
              </w:rPr>
            </w:pPr>
            <w:r>
              <w:rPr>
                <w:rFonts w:eastAsia="宋体"/>
                <w:color w:val="auto"/>
                <w:sz w:val="21"/>
                <w:szCs w:val="21"/>
                <w:highlight w:val="none"/>
              </w:rPr>
              <w:t>12.4</w:t>
            </w:r>
          </w:p>
        </w:tc>
        <w:tc>
          <w:tcPr>
            <w:tcW w:w="687" w:type="dxa"/>
            <w:tcBorders>
              <w:top w:val="single" w:color="000000" w:sz="4" w:space="0"/>
              <w:left w:val="single" w:color="000000" w:sz="4" w:space="0"/>
              <w:bottom w:val="single" w:color="000000" w:sz="4" w:space="0"/>
              <w:right w:val="single" w:color="000000" w:sz="4" w:space="0"/>
            </w:tcBorders>
            <w:vAlign w:val="center"/>
          </w:tcPr>
          <w:p w14:paraId="00FB8E7C">
            <w:pPr>
              <w:pStyle w:val="98"/>
              <w:ind w:left="-105" w:right="-105"/>
              <w:rPr>
                <w:rFonts w:eastAsia="宋体"/>
                <w:color w:val="auto"/>
                <w:sz w:val="21"/>
                <w:szCs w:val="21"/>
                <w:highlight w:val="none"/>
              </w:rPr>
            </w:pPr>
            <w:r>
              <w:rPr>
                <w:rFonts w:eastAsia="宋体"/>
                <w:color w:val="auto"/>
                <w:sz w:val="21"/>
                <w:szCs w:val="21"/>
                <w:highlight w:val="none"/>
              </w:rPr>
              <w:t>6</w:t>
            </w:r>
          </w:p>
        </w:tc>
        <w:tc>
          <w:tcPr>
            <w:tcW w:w="687" w:type="dxa"/>
            <w:tcBorders>
              <w:top w:val="single" w:color="000000" w:sz="4" w:space="0"/>
              <w:left w:val="single" w:color="000000" w:sz="4" w:space="0"/>
              <w:bottom w:val="single" w:color="000000" w:sz="4" w:space="0"/>
              <w:right w:val="single" w:color="000000" w:sz="4" w:space="0"/>
            </w:tcBorders>
            <w:vAlign w:val="center"/>
          </w:tcPr>
          <w:p w14:paraId="7A2EA618">
            <w:pPr>
              <w:pStyle w:val="98"/>
              <w:ind w:left="-105" w:right="-105"/>
              <w:rPr>
                <w:rFonts w:eastAsia="宋体"/>
                <w:color w:val="auto"/>
                <w:sz w:val="21"/>
                <w:szCs w:val="21"/>
                <w:highlight w:val="none"/>
              </w:rPr>
            </w:pPr>
            <w:r>
              <w:rPr>
                <w:rFonts w:eastAsia="宋体"/>
                <w:color w:val="auto"/>
                <w:sz w:val="21"/>
                <w:szCs w:val="21"/>
                <w:highlight w:val="none"/>
              </w:rPr>
              <w:t>4.2</w:t>
            </w:r>
          </w:p>
        </w:tc>
        <w:tc>
          <w:tcPr>
            <w:tcW w:w="687" w:type="dxa"/>
            <w:tcBorders>
              <w:top w:val="single" w:color="000000" w:sz="4" w:space="0"/>
              <w:left w:val="single" w:color="000000" w:sz="4" w:space="0"/>
              <w:bottom w:val="single" w:color="000000" w:sz="4" w:space="0"/>
              <w:right w:val="single" w:color="000000" w:sz="4" w:space="0"/>
            </w:tcBorders>
            <w:vAlign w:val="center"/>
          </w:tcPr>
          <w:p w14:paraId="586561EE">
            <w:pPr>
              <w:pStyle w:val="98"/>
              <w:ind w:left="-105" w:right="-105"/>
              <w:rPr>
                <w:rFonts w:eastAsia="宋体"/>
                <w:color w:val="auto"/>
                <w:sz w:val="21"/>
                <w:szCs w:val="21"/>
                <w:highlight w:val="none"/>
              </w:rPr>
            </w:pPr>
            <w:r>
              <w:rPr>
                <w:rFonts w:eastAsia="宋体"/>
                <w:color w:val="auto"/>
                <w:sz w:val="21"/>
                <w:szCs w:val="21"/>
                <w:highlight w:val="none"/>
              </w:rPr>
              <w:t>2.2</w:t>
            </w:r>
          </w:p>
        </w:tc>
        <w:tc>
          <w:tcPr>
            <w:tcW w:w="684" w:type="dxa"/>
            <w:tcBorders>
              <w:top w:val="single" w:color="000000" w:sz="4" w:space="0"/>
              <w:left w:val="single" w:color="000000" w:sz="4" w:space="0"/>
              <w:bottom w:val="single" w:color="000000" w:sz="4" w:space="0"/>
              <w:right w:val="single" w:color="000000" w:sz="4" w:space="0"/>
            </w:tcBorders>
            <w:vAlign w:val="center"/>
          </w:tcPr>
          <w:p w14:paraId="3DED090A">
            <w:pPr>
              <w:pStyle w:val="98"/>
              <w:ind w:left="-105" w:right="-105"/>
              <w:rPr>
                <w:rFonts w:eastAsia="宋体"/>
                <w:color w:val="auto"/>
                <w:sz w:val="21"/>
                <w:szCs w:val="21"/>
                <w:highlight w:val="none"/>
              </w:rPr>
            </w:pPr>
            <w:r>
              <w:rPr>
                <w:rFonts w:eastAsia="宋体"/>
                <w:color w:val="auto"/>
                <w:sz w:val="21"/>
                <w:szCs w:val="21"/>
                <w:highlight w:val="none"/>
              </w:rPr>
              <w:t>2.6</w:t>
            </w:r>
          </w:p>
        </w:tc>
        <w:tc>
          <w:tcPr>
            <w:tcW w:w="714" w:type="dxa"/>
            <w:tcBorders>
              <w:top w:val="single" w:color="000000" w:sz="4" w:space="0"/>
              <w:left w:val="single" w:color="000000" w:sz="4" w:space="0"/>
              <w:bottom w:val="single" w:color="000000" w:sz="4" w:space="0"/>
              <w:right w:val="single" w:color="000000" w:sz="4" w:space="0"/>
            </w:tcBorders>
            <w:vAlign w:val="center"/>
          </w:tcPr>
          <w:p w14:paraId="0910529F">
            <w:pPr>
              <w:pStyle w:val="98"/>
              <w:ind w:left="-105" w:right="-105"/>
              <w:rPr>
                <w:rFonts w:eastAsia="宋体"/>
                <w:color w:val="auto"/>
                <w:sz w:val="21"/>
                <w:szCs w:val="21"/>
                <w:highlight w:val="none"/>
              </w:rPr>
            </w:pPr>
            <w:r>
              <w:rPr>
                <w:rFonts w:eastAsia="宋体"/>
                <w:color w:val="auto"/>
                <w:sz w:val="21"/>
                <w:szCs w:val="21"/>
                <w:highlight w:val="none"/>
              </w:rPr>
              <w:t>2</w:t>
            </w:r>
          </w:p>
        </w:tc>
        <w:tc>
          <w:tcPr>
            <w:tcW w:w="686" w:type="dxa"/>
            <w:tcBorders>
              <w:top w:val="single" w:color="000000" w:sz="4" w:space="0"/>
              <w:left w:val="single" w:color="000000" w:sz="4" w:space="0"/>
              <w:bottom w:val="single" w:color="000000" w:sz="4" w:space="0"/>
              <w:right w:val="single" w:color="000000" w:sz="4" w:space="0"/>
            </w:tcBorders>
            <w:vAlign w:val="center"/>
          </w:tcPr>
          <w:p w14:paraId="3282CEF6">
            <w:pPr>
              <w:pStyle w:val="98"/>
              <w:ind w:left="-105" w:right="-105"/>
              <w:rPr>
                <w:rFonts w:eastAsia="宋体"/>
                <w:color w:val="auto"/>
                <w:sz w:val="21"/>
                <w:szCs w:val="21"/>
                <w:highlight w:val="none"/>
              </w:rPr>
            </w:pPr>
            <w:r>
              <w:rPr>
                <w:rFonts w:eastAsia="宋体"/>
                <w:color w:val="auto"/>
                <w:sz w:val="21"/>
                <w:szCs w:val="21"/>
                <w:highlight w:val="none"/>
              </w:rPr>
              <w:t>3.8</w:t>
            </w:r>
          </w:p>
        </w:tc>
        <w:tc>
          <w:tcPr>
            <w:tcW w:w="747" w:type="dxa"/>
            <w:tcBorders>
              <w:top w:val="single" w:color="000000" w:sz="4" w:space="0"/>
              <w:left w:val="single" w:color="000000" w:sz="4" w:space="0"/>
              <w:bottom w:val="single" w:color="000000" w:sz="4" w:space="0"/>
              <w:right w:val="single" w:color="000000" w:sz="4" w:space="0"/>
            </w:tcBorders>
            <w:vAlign w:val="center"/>
          </w:tcPr>
          <w:p w14:paraId="67312580">
            <w:pPr>
              <w:pStyle w:val="98"/>
              <w:ind w:left="-105" w:right="-105"/>
              <w:rPr>
                <w:rFonts w:eastAsia="宋体"/>
                <w:color w:val="auto"/>
                <w:sz w:val="21"/>
                <w:szCs w:val="21"/>
                <w:highlight w:val="none"/>
              </w:rPr>
            </w:pPr>
            <w:r>
              <w:rPr>
                <w:rFonts w:eastAsia="宋体"/>
                <w:color w:val="auto"/>
                <w:sz w:val="21"/>
                <w:szCs w:val="21"/>
                <w:highlight w:val="none"/>
              </w:rPr>
              <w:t>4.8</w:t>
            </w:r>
          </w:p>
        </w:tc>
        <w:tc>
          <w:tcPr>
            <w:tcW w:w="686" w:type="dxa"/>
            <w:tcBorders>
              <w:top w:val="single" w:color="000000" w:sz="4" w:space="0"/>
              <w:left w:val="single" w:color="000000" w:sz="4" w:space="0"/>
              <w:bottom w:val="single" w:color="000000" w:sz="4" w:space="0"/>
              <w:right w:val="single" w:color="000000" w:sz="4" w:space="0"/>
            </w:tcBorders>
            <w:vAlign w:val="center"/>
          </w:tcPr>
          <w:p w14:paraId="10575047">
            <w:pPr>
              <w:pStyle w:val="98"/>
              <w:ind w:left="-105" w:right="-105"/>
              <w:rPr>
                <w:rFonts w:eastAsia="宋体"/>
                <w:color w:val="auto"/>
                <w:sz w:val="21"/>
                <w:szCs w:val="21"/>
                <w:highlight w:val="none"/>
              </w:rPr>
            </w:pPr>
            <w:r>
              <w:rPr>
                <w:rFonts w:eastAsia="宋体"/>
                <w:color w:val="auto"/>
                <w:sz w:val="21"/>
                <w:szCs w:val="21"/>
                <w:highlight w:val="none"/>
              </w:rPr>
              <w:t>4.8</w:t>
            </w:r>
          </w:p>
        </w:tc>
        <w:tc>
          <w:tcPr>
            <w:tcW w:w="700" w:type="dxa"/>
            <w:tcBorders>
              <w:top w:val="single" w:color="000000" w:sz="4" w:space="0"/>
              <w:left w:val="single" w:color="000000" w:sz="4" w:space="0"/>
              <w:bottom w:val="single" w:color="000000" w:sz="4" w:space="0"/>
              <w:right w:val="single" w:color="000000" w:sz="4" w:space="0"/>
            </w:tcBorders>
            <w:vAlign w:val="center"/>
          </w:tcPr>
          <w:p w14:paraId="02CFA2D0">
            <w:pPr>
              <w:pStyle w:val="98"/>
              <w:ind w:left="-105" w:right="-105"/>
              <w:rPr>
                <w:rFonts w:eastAsia="宋体"/>
                <w:color w:val="auto"/>
                <w:sz w:val="21"/>
                <w:szCs w:val="21"/>
                <w:highlight w:val="none"/>
              </w:rPr>
            </w:pPr>
            <w:r>
              <w:rPr>
                <w:rFonts w:eastAsia="宋体"/>
                <w:color w:val="auto"/>
                <w:sz w:val="21"/>
                <w:szCs w:val="21"/>
                <w:highlight w:val="none"/>
              </w:rPr>
              <w:t>11.8</w:t>
            </w:r>
          </w:p>
        </w:tc>
        <w:tc>
          <w:tcPr>
            <w:tcW w:w="686" w:type="dxa"/>
            <w:tcBorders>
              <w:top w:val="single" w:color="000000" w:sz="4" w:space="0"/>
              <w:left w:val="single" w:color="000000" w:sz="4" w:space="0"/>
              <w:bottom w:val="single" w:color="000000" w:sz="4" w:space="0"/>
              <w:right w:val="single" w:color="000000" w:sz="4" w:space="0"/>
            </w:tcBorders>
            <w:vAlign w:val="center"/>
          </w:tcPr>
          <w:p w14:paraId="61A581D9">
            <w:pPr>
              <w:pStyle w:val="98"/>
              <w:ind w:left="-105" w:right="-105"/>
              <w:rPr>
                <w:rFonts w:eastAsia="宋体"/>
                <w:color w:val="auto"/>
                <w:sz w:val="21"/>
                <w:szCs w:val="21"/>
                <w:highlight w:val="none"/>
              </w:rPr>
            </w:pPr>
            <w:r>
              <w:rPr>
                <w:rFonts w:eastAsia="宋体"/>
                <w:color w:val="auto"/>
                <w:sz w:val="21"/>
                <w:szCs w:val="21"/>
                <w:highlight w:val="none"/>
              </w:rPr>
              <w:t>8</w:t>
            </w:r>
          </w:p>
        </w:tc>
        <w:tc>
          <w:tcPr>
            <w:tcW w:w="693" w:type="dxa"/>
            <w:tcBorders>
              <w:top w:val="single" w:color="000000" w:sz="4" w:space="0"/>
              <w:left w:val="single" w:color="000000" w:sz="4" w:space="0"/>
              <w:bottom w:val="single" w:color="000000" w:sz="4" w:space="0"/>
              <w:right w:val="nil"/>
            </w:tcBorders>
            <w:vAlign w:val="center"/>
          </w:tcPr>
          <w:p w14:paraId="48F2D3F6">
            <w:pPr>
              <w:pStyle w:val="98"/>
              <w:ind w:left="-105" w:right="-105"/>
              <w:rPr>
                <w:rFonts w:eastAsia="宋体"/>
                <w:color w:val="auto"/>
                <w:sz w:val="21"/>
                <w:szCs w:val="21"/>
                <w:highlight w:val="none"/>
              </w:rPr>
            </w:pPr>
            <w:r>
              <w:rPr>
                <w:rFonts w:eastAsia="宋体"/>
                <w:color w:val="auto"/>
                <w:sz w:val="21"/>
                <w:szCs w:val="21"/>
                <w:highlight w:val="none"/>
              </w:rPr>
              <w:t>/</w:t>
            </w:r>
          </w:p>
        </w:tc>
      </w:tr>
      <w:tr w14:paraId="18DCB8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146A8108">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595B6F29">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7215D05F">
            <w:pPr>
              <w:pStyle w:val="98"/>
              <w:ind w:left="-105" w:right="-105"/>
              <w:rPr>
                <w:rFonts w:eastAsia="宋体"/>
                <w:color w:val="auto"/>
                <w:sz w:val="21"/>
                <w:szCs w:val="21"/>
                <w:highlight w:val="none"/>
              </w:rPr>
            </w:pPr>
            <w:r>
              <w:rPr>
                <w:rFonts w:eastAsia="宋体"/>
                <w:color w:val="auto"/>
                <w:sz w:val="21"/>
                <w:szCs w:val="21"/>
                <w:highlight w:val="none"/>
              </w:rPr>
              <w:t>2.1</w:t>
            </w:r>
          </w:p>
        </w:tc>
        <w:tc>
          <w:tcPr>
            <w:tcW w:w="687" w:type="dxa"/>
            <w:tcBorders>
              <w:top w:val="single" w:color="000000" w:sz="4" w:space="0"/>
              <w:left w:val="single" w:color="000000" w:sz="4" w:space="0"/>
              <w:bottom w:val="single" w:color="000000" w:sz="4" w:space="0"/>
              <w:right w:val="single" w:color="000000" w:sz="4" w:space="0"/>
            </w:tcBorders>
            <w:vAlign w:val="center"/>
          </w:tcPr>
          <w:p w14:paraId="7391D6B0">
            <w:pPr>
              <w:pStyle w:val="98"/>
              <w:ind w:left="-105" w:right="-105"/>
              <w:rPr>
                <w:rFonts w:eastAsia="宋体"/>
                <w:color w:val="auto"/>
                <w:sz w:val="21"/>
                <w:szCs w:val="21"/>
                <w:highlight w:val="none"/>
              </w:rPr>
            </w:pPr>
            <w:r>
              <w:rPr>
                <w:rFonts w:eastAsia="宋体"/>
                <w:color w:val="auto"/>
                <w:sz w:val="21"/>
                <w:szCs w:val="21"/>
                <w:highlight w:val="none"/>
              </w:rPr>
              <w:t>1.9</w:t>
            </w:r>
          </w:p>
        </w:tc>
        <w:tc>
          <w:tcPr>
            <w:tcW w:w="687" w:type="dxa"/>
            <w:tcBorders>
              <w:top w:val="single" w:color="000000" w:sz="4" w:space="0"/>
              <w:left w:val="single" w:color="000000" w:sz="4" w:space="0"/>
              <w:bottom w:val="single" w:color="000000" w:sz="4" w:space="0"/>
              <w:right w:val="single" w:color="000000" w:sz="4" w:space="0"/>
            </w:tcBorders>
            <w:vAlign w:val="center"/>
          </w:tcPr>
          <w:p w14:paraId="14634B07">
            <w:pPr>
              <w:pStyle w:val="98"/>
              <w:ind w:left="-105" w:right="-105"/>
              <w:rPr>
                <w:rFonts w:eastAsia="宋体"/>
                <w:color w:val="auto"/>
                <w:sz w:val="21"/>
                <w:szCs w:val="21"/>
                <w:highlight w:val="none"/>
              </w:rPr>
            </w:pPr>
            <w:r>
              <w:rPr>
                <w:rFonts w:eastAsia="宋体"/>
                <w:color w:val="auto"/>
                <w:sz w:val="21"/>
                <w:szCs w:val="21"/>
                <w:highlight w:val="none"/>
              </w:rPr>
              <w:t>2.6</w:t>
            </w:r>
          </w:p>
        </w:tc>
        <w:tc>
          <w:tcPr>
            <w:tcW w:w="688" w:type="dxa"/>
            <w:tcBorders>
              <w:top w:val="single" w:color="000000" w:sz="4" w:space="0"/>
              <w:left w:val="single" w:color="000000" w:sz="4" w:space="0"/>
              <w:bottom w:val="single" w:color="000000" w:sz="4" w:space="0"/>
              <w:right w:val="single" w:color="000000" w:sz="4" w:space="0"/>
            </w:tcBorders>
            <w:vAlign w:val="center"/>
          </w:tcPr>
          <w:p w14:paraId="019E07A0">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4475A8BA">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7566B3C5">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49B3033E">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03C66E60">
            <w:pPr>
              <w:pStyle w:val="98"/>
              <w:ind w:left="-105" w:right="-105"/>
              <w:rPr>
                <w:rFonts w:eastAsia="宋体"/>
                <w:color w:val="auto"/>
                <w:sz w:val="21"/>
                <w:szCs w:val="21"/>
                <w:highlight w:val="none"/>
              </w:rPr>
            </w:pPr>
            <w:r>
              <w:rPr>
                <w:rFonts w:eastAsia="宋体"/>
                <w:color w:val="auto"/>
                <w:sz w:val="21"/>
                <w:szCs w:val="21"/>
                <w:highlight w:val="none"/>
              </w:rPr>
              <w:t>2</w:t>
            </w:r>
          </w:p>
        </w:tc>
        <w:tc>
          <w:tcPr>
            <w:tcW w:w="687" w:type="dxa"/>
            <w:tcBorders>
              <w:top w:val="single" w:color="000000" w:sz="4" w:space="0"/>
              <w:left w:val="single" w:color="000000" w:sz="4" w:space="0"/>
              <w:bottom w:val="single" w:color="000000" w:sz="4" w:space="0"/>
              <w:right w:val="single" w:color="000000" w:sz="4" w:space="0"/>
            </w:tcBorders>
            <w:vAlign w:val="center"/>
          </w:tcPr>
          <w:p w14:paraId="22670873">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20119DA1">
            <w:pPr>
              <w:pStyle w:val="98"/>
              <w:ind w:left="-105" w:right="-105"/>
              <w:rPr>
                <w:rFonts w:eastAsia="宋体"/>
                <w:color w:val="auto"/>
                <w:sz w:val="21"/>
                <w:szCs w:val="21"/>
                <w:highlight w:val="none"/>
              </w:rPr>
            </w:pPr>
            <w:r>
              <w:rPr>
                <w:rFonts w:eastAsia="宋体"/>
                <w:color w:val="auto"/>
                <w:sz w:val="21"/>
                <w:szCs w:val="21"/>
                <w:highlight w:val="none"/>
              </w:rPr>
              <w:t>1.9</w:t>
            </w:r>
          </w:p>
        </w:tc>
        <w:tc>
          <w:tcPr>
            <w:tcW w:w="684" w:type="dxa"/>
            <w:tcBorders>
              <w:top w:val="single" w:color="000000" w:sz="4" w:space="0"/>
              <w:left w:val="single" w:color="000000" w:sz="4" w:space="0"/>
              <w:bottom w:val="single" w:color="000000" w:sz="4" w:space="0"/>
              <w:right w:val="single" w:color="000000" w:sz="4" w:space="0"/>
            </w:tcBorders>
            <w:vAlign w:val="center"/>
          </w:tcPr>
          <w:p w14:paraId="7970D3FC">
            <w:pPr>
              <w:pStyle w:val="98"/>
              <w:ind w:left="-105" w:right="-105"/>
              <w:rPr>
                <w:rFonts w:eastAsia="宋体"/>
                <w:color w:val="auto"/>
                <w:sz w:val="21"/>
                <w:szCs w:val="21"/>
                <w:highlight w:val="none"/>
              </w:rPr>
            </w:pPr>
            <w:r>
              <w:rPr>
                <w:rFonts w:eastAsia="宋体"/>
                <w:color w:val="auto"/>
                <w:sz w:val="21"/>
                <w:szCs w:val="21"/>
                <w:highlight w:val="none"/>
              </w:rPr>
              <w:t>2.1</w:t>
            </w:r>
          </w:p>
        </w:tc>
        <w:tc>
          <w:tcPr>
            <w:tcW w:w="714" w:type="dxa"/>
            <w:tcBorders>
              <w:top w:val="single" w:color="000000" w:sz="4" w:space="0"/>
              <w:left w:val="single" w:color="000000" w:sz="4" w:space="0"/>
              <w:bottom w:val="single" w:color="000000" w:sz="4" w:space="0"/>
              <w:right w:val="single" w:color="000000" w:sz="4" w:space="0"/>
            </w:tcBorders>
            <w:vAlign w:val="center"/>
          </w:tcPr>
          <w:p w14:paraId="04A4CC43">
            <w:pPr>
              <w:pStyle w:val="98"/>
              <w:ind w:left="-105" w:right="-105"/>
              <w:rPr>
                <w:rFonts w:eastAsia="宋体"/>
                <w:color w:val="auto"/>
                <w:sz w:val="21"/>
                <w:szCs w:val="21"/>
                <w:highlight w:val="none"/>
              </w:rPr>
            </w:pPr>
            <w:r>
              <w:rPr>
                <w:rFonts w:eastAsia="宋体"/>
                <w:color w:val="auto"/>
                <w:sz w:val="21"/>
                <w:szCs w:val="21"/>
                <w:highlight w:val="none"/>
              </w:rPr>
              <w:t>3.8</w:t>
            </w:r>
          </w:p>
        </w:tc>
        <w:tc>
          <w:tcPr>
            <w:tcW w:w="686" w:type="dxa"/>
            <w:tcBorders>
              <w:top w:val="single" w:color="000000" w:sz="4" w:space="0"/>
              <w:left w:val="single" w:color="000000" w:sz="4" w:space="0"/>
              <w:bottom w:val="single" w:color="000000" w:sz="4" w:space="0"/>
              <w:right w:val="single" w:color="000000" w:sz="4" w:space="0"/>
            </w:tcBorders>
            <w:vAlign w:val="center"/>
          </w:tcPr>
          <w:p w14:paraId="37B52FBE">
            <w:pPr>
              <w:pStyle w:val="98"/>
              <w:ind w:left="-105" w:right="-105"/>
              <w:rPr>
                <w:rFonts w:eastAsia="宋体"/>
                <w:color w:val="auto"/>
                <w:sz w:val="21"/>
                <w:szCs w:val="21"/>
                <w:highlight w:val="none"/>
              </w:rPr>
            </w:pPr>
            <w:r>
              <w:rPr>
                <w:rFonts w:eastAsia="宋体"/>
                <w:color w:val="auto"/>
                <w:sz w:val="21"/>
                <w:szCs w:val="21"/>
                <w:highlight w:val="none"/>
              </w:rPr>
              <w:t>3.8</w:t>
            </w:r>
          </w:p>
        </w:tc>
        <w:tc>
          <w:tcPr>
            <w:tcW w:w="747" w:type="dxa"/>
            <w:tcBorders>
              <w:top w:val="single" w:color="000000" w:sz="4" w:space="0"/>
              <w:left w:val="single" w:color="000000" w:sz="4" w:space="0"/>
              <w:bottom w:val="single" w:color="000000" w:sz="4" w:space="0"/>
              <w:right w:val="single" w:color="000000" w:sz="4" w:space="0"/>
            </w:tcBorders>
            <w:vAlign w:val="center"/>
          </w:tcPr>
          <w:p w14:paraId="0175975D">
            <w:pPr>
              <w:pStyle w:val="98"/>
              <w:ind w:left="-105" w:right="-105"/>
              <w:rPr>
                <w:rFonts w:eastAsia="宋体"/>
                <w:color w:val="auto"/>
                <w:sz w:val="21"/>
                <w:szCs w:val="21"/>
                <w:highlight w:val="none"/>
              </w:rPr>
            </w:pPr>
            <w:r>
              <w:rPr>
                <w:rFonts w:eastAsia="宋体"/>
                <w:color w:val="auto"/>
                <w:sz w:val="21"/>
                <w:szCs w:val="21"/>
                <w:highlight w:val="none"/>
              </w:rPr>
              <w:t>3.2</w:t>
            </w:r>
          </w:p>
        </w:tc>
        <w:tc>
          <w:tcPr>
            <w:tcW w:w="686" w:type="dxa"/>
            <w:tcBorders>
              <w:top w:val="single" w:color="000000" w:sz="4" w:space="0"/>
              <w:left w:val="single" w:color="000000" w:sz="4" w:space="0"/>
              <w:bottom w:val="single" w:color="000000" w:sz="4" w:space="0"/>
              <w:right w:val="single" w:color="000000" w:sz="4" w:space="0"/>
            </w:tcBorders>
            <w:vAlign w:val="center"/>
          </w:tcPr>
          <w:p w14:paraId="7958B669">
            <w:pPr>
              <w:pStyle w:val="98"/>
              <w:ind w:left="-105" w:right="-105"/>
              <w:rPr>
                <w:rFonts w:eastAsia="宋体"/>
                <w:color w:val="auto"/>
                <w:sz w:val="21"/>
                <w:szCs w:val="21"/>
                <w:highlight w:val="none"/>
              </w:rPr>
            </w:pPr>
            <w:r>
              <w:rPr>
                <w:rFonts w:eastAsia="宋体"/>
                <w:color w:val="auto"/>
                <w:sz w:val="21"/>
                <w:szCs w:val="21"/>
                <w:highlight w:val="none"/>
              </w:rPr>
              <w:t>2.4</w:t>
            </w:r>
          </w:p>
        </w:tc>
        <w:tc>
          <w:tcPr>
            <w:tcW w:w="700" w:type="dxa"/>
            <w:tcBorders>
              <w:top w:val="single" w:color="000000" w:sz="4" w:space="0"/>
              <w:left w:val="single" w:color="000000" w:sz="4" w:space="0"/>
              <w:bottom w:val="single" w:color="000000" w:sz="4" w:space="0"/>
              <w:right w:val="single" w:color="000000" w:sz="4" w:space="0"/>
            </w:tcBorders>
            <w:vAlign w:val="center"/>
          </w:tcPr>
          <w:p w14:paraId="1C1C3782">
            <w:pPr>
              <w:pStyle w:val="98"/>
              <w:ind w:left="-105" w:right="-105"/>
              <w:rPr>
                <w:rFonts w:eastAsia="宋体"/>
                <w:color w:val="auto"/>
                <w:sz w:val="21"/>
                <w:szCs w:val="21"/>
                <w:highlight w:val="none"/>
              </w:rPr>
            </w:pPr>
            <w:r>
              <w:rPr>
                <w:rFonts w:eastAsia="宋体"/>
                <w:color w:val="auto"/>
                <w:sz w:val="21"/>
                <w:szCs w:val="21"/>
                <w:highlight w:val="none"/>
              </w:rPr>
              <w:t>2.6</w:t>
            </w:r>
          </w:p>
        </w:tc>
        <w:tc>
          <w:tcPr>
            <w:tcW w:w="686" w:type="dxa"/>
            <w:tcBorders>
              <w:top w:val="single" w:color="000000" w:sz="4" w:space="0"/>
              <w:left w:val="single" w:color="000000" w:sz="4" w:space="0"/>
              <w:bottom w:val="single" w:color="000000" w:sz="4" w:space="0"/>
              <w:right w:val="single" w:color="000000" w:sz="4" w:space="0"/>
            </w:tcBorders>
            <w:vAlign w:val="center"/>
          </w:tcPr>
          <w:p w14:paraId="77796371">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68F0D780">
            <w:pPr>
              <w:pStyle w:val="98"/>
              <w:ind w:left="-105" w:right="-105"/>
              <w:rPr>
                <w:rFonts w:eastAsia="宋体"/>
                <w:color w:val="auto"/>
                <w:sz w:val="21"/>
                <w:szCs w:val="21"/>
                <w:highlight w:val="none"/>
              </w:rPr>
            </w:pPr>
            <w:r>
              <w:rPr>
                <w:rFonts w:eastAsia="宋体"/>
                <w:color w:val="auto"/>
                <w:sz w:val="21"/>
                <w:szCs w:val="21"/>
                <w:highlight w:val="none"/>
              </w:rPr>
              <w:t>2.68</w:t>
            </w:r>
          </w:p>
        </w:tc>
      </w:tr>
      <w:tr w14:paraId="59B3D3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5"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73EBD5D0">
            <w:pPr>
              <w:pStyle w:val="98"/>
              <w:ind w:left="-105" w:right="-105"/>
              <w:rPr>
                <w:rFonts w:eastAsia="宋体"/>
                <w:color w:val="auto"/>
                <w:sz w:val="21"/>
                <w:szCs w:val="21"/>
                <w:highlight w:val="none"/>
              </w:rPr>
            </w:pPr>
            <w:r>
              <w:rPr>
                <w:rFonts w:eastAsia="宋体"/>
                <w:color w:val="auto"/>
                <w:sz w:val="21"/>
                <w:szCs w:val="21"/>
                <w:highlight w:val="none"/>
              </w:rPr>
              <w:t>9月</w:t>
            </w:r>
          </w:p>
        </w:tc>
        <w:tc>
          <w:tcPr>
            <w:tcW w:w="687" w:type="dxa"/>
            <w:tcBorders>
              <w:top w:val="single" w:color="000000" w:sz="4" w:space="0"/>
              <w:left w:val="single" w:color="000000" w:sz="4" w:space="0"/>
              <w:bottom w:val="single" w:color="000000" w:sz="4" w:space="0"/>
              <w:right w:val="single" w:color="000000" w:sz="4" w:space="0"/>
            </w:tcBorders>
            <w:vAlign w:val="center"/>
          </w:tcPr>
          <w:p w14:paraId="3D77B12D">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6911D74E">
            <w:pPr>
              <w:pStyle w:val="98"/>
              <w:ind w:left="-105" w:right="-105"/>
              <w:rPr>
                <w:rFonts w:eastAsia="宋体"/>
                <w:color w:val="auto"/>
                <w:sz w:val="21"/>
                <w:szCs w:val="21"/>
                <w:highlight w:val="none"/>
              </w:rPr>
            </w:pPr>
            <w:r>
              <w:rPr>
                <w:rFonts w:eastAsia="宋体"/>
                <w:color w:val="auto"/>
                <w:sz w:val="21"/>
                <w:szCs w:val="21"/>
                <w:highlight w:val="none"/>
              </w:rPr>
              <w:t>9.4</w:t>
            </w:r>
          </w:p>
        </w:tc>
        <w:tc>
          <w:tcPr>
            <w:tcW w:w="687" w:type="dxa"/>
            <w:tcBorders>
              <w:top w:val="single" w:color="000000" w:sz="4" w:space="0"/>
              <w:left w:val="single" w:color="000000" w:sz="4" w:space="0"/>
              <w:bottom w:val="single" w:color="000000" w:sz="4" w:space="0"/>
              <w:right w:val="single" w:color="000000" w:sz="4" w:space="0"/>
            </w:tcBorders>
            <w:vAlign w:val="center"/>
          </w:tcPr>
          <w:p w14:paraId="46E6DAC4">
            <w:pPr>
              <w:pStyle w:val="98"/>
              <w:ind w:left="-105" w:right="-105"/>
              <w:rPr>
                <w:rFonts w:eastAsia="宋体"/>
                <w:color w:val="auto"/>
                <w:sz w:val="21"/>
                <w:szCs w:val="21"/>
                <w:highlight w:val="none"/>
              </w:rPr>
            </w:pPr>
            <w:r>
              <w:rPr>
                <w:rFonts w:eastAsia="宋体"/>
                <w:color w:val="auto"/>
                <w:sz w:val="21"/>
                <w:szCs w:val="21"/>
                <w:highlight w:val="none"/>
              </w:rPr>
              <w:t>6.4</w:t>
            </w:r>
          </w:p>
        </w:tc>
        <w:tc>
          <w:tcPr>
            <w:tcW w:w="687" w:type="dxa"/>
            <w:tcBorders>
              <w:top w:val="single" w:color="000000" w:sz="4" w:space="0"/>
              <w:left w:val="single" w:color="000000" w:sz="4" w:space="0"/>
              <w:bottom w:val="single" w:color="000000" w:sz="4" w:space="0"/>
              <w:right w:val="single" w:color="000000" w:sz="4" w:space="0"/>
            </w:tcBorders>
            <w:vAlign w:val="center"/>
          </w:tcPr>
          <w:p w14:paraId="63FDF265">
            <w:pPr>
              <w:pStyle w:val="98"/>
              <w:ind w:left="-105" w:right="-105"/>
              <w:rPr>
                <w:rFonts w:eastAsia="宋体"/>
                <w:color w:val="auto"/>
                <w:sz w:val="21"/>
                <w:szCs w:val="21"/>
                <w:highlight w:val="none"/>
              </w:rPr>
            </w:pPr>
            <w:r>
              <w:rPr>
                <w:rFonts w:eastAsia="宋体"/>
                <w:color w:val="auto"/>
                <w:sz w:val="21"/>
                <w:szCs w:val="21"/>
                <w:highlight w:val="none"/>
              </w:rPr>
              <w:t>12.6</w:t>
            </w:r>
          </w:p>
        </w:tc>
        <w:tc>
          <w:tcPr>
            <w:tcW w:w="688" w:type="dxa"/>
            <w:tcBorders>
              <w:top w:val="single" w:color="000000" w:sz="4" w:space="0"/>
              <w:left w:val="single" w:color="000000" w:sz="4" w:space="0"/>
              <w:bottom w:val="single" w:color="000000" w:sz="4" w:space="0"/>
              <w:right w:val="single" w:color="000000" w:sz="4" w:space="0"/>
            </w:tcBorders>
            <w:vAlign w:val="center"/>
          </w:tcPr>
          <w:p w14:paraId="2D5209AF">
            <w:pPr>
              <w:pStyle w:val="98"/>
              <w:ind w:left="-105" w:right="-105"/>
              <w:rPr>
                <w:rFonts w:eastAsia="宋体"/>
                <w:color w:val="auto"/>
                <w:sz w:val="21"/>
                <w:szCs w:val="21"/>
                <w:highlight w:val="none"/>
              </w:rPr>
            </w:pPr>
            <w:r>
              <w:rPr>
                <w:rFonts w:eastAsia="宋体"/>
                <w:color w:val="auto"/>
                <w:sz w:val="21"/>
                <w:szCs w:val="21"/>
                <w:highlight w:val="none"/>
              </w:rPr>
              <w:t>10</w:t>
            </w:r>
          </w:p>
        </w:tc>
        <w:tc>
          <w:tcPr>
            <w:tcW w:w="687" w:type="dxa"/>
            <w:tcBorders>
              <w:top w:val="single" w:color="000000" w:sz="4" w:space="0"/>
              <w:left w:val="single" w:color="000000" w:sz="4" w:space="0"/>
              <w:bottom w:val="single" w:color="000000" w:sz="4" w:space="0"/>
              <w:right w:val="single" w:color="000000" w:sz="4" w:space="0"/>
            </w:tcBorders>
            <w:vAlign w:val="center"/>
          </w:tcPr>
          <w:p w14:paraId="0862232F">
            <w:pPr>
              <w:pStyle w:val="98"/>
              <w:ind w:left="-105" w:right="-105"/>
              <w:rPr>
                <w:rFonts w:eastAsia="宋体"/>
                <w:color w:val="auto"/>
                <w:sz w:val="21"/>
                <w:szCs w:val="21"/>
                <w:highlight w:val="none"/>
              </w:rPr>
            </w:pPr>
            <w:r>
              <w:rPr>
                <w:rFonts w:eastAsia="宋体"/>
                <w:color w:val="auto"/>
                <w:sz w:val="21"/>
                <w:szCs w:val="21"/>
                <w:highlight w:val="none"/>
              </w:rPr>
              <w:t>9.4</w:t>
            </w:r>
          </w:p>
        </w:tc>
        <w:tc>
          <w:tcPr>
            <w:tcW w:w="687" w:type="dxa"/>
            <w:tcBorders>
              <w:top w:val="single" w:color="000000" w:sz="4" w:space="0"/>
              <w:left w:val="single" w:color="000000" w:sz="4" w:space="0"/>
              <w:bottom w:val="single" w:color="000000" w:sz="4" w:space="0"/>
              <w:right w:val="single" w:color="000000" w:sz="4" w:space="0"/>
            </w:tcBorders>
            <w:vAlign w:val="center"/>
          </w:tcPr>
          <w:p w14:paraId="10E47D5A">
            <w:pPr>
              <w:pStyle w:val="98"/>
              <w:ind w:left="-105" w:right="-105"/>
              <w:rPr>
                <w:rFonts w:eastAsia="宋体"/>
                <w:color w:val="auto"/>
                <w:sz w:val="21"/>
                <w:szCs w:val="21"/>
                <w:highlight w:val="none"/>
              </w:rPr>
            </w:pPr>
            <w:r>
              <w:rPr>
                <w:rFonts w:eastAsia="宋体"/>
                <w:color w:val="auto"/>
                <w:sz w:val="21"/>
                <w:szCs w:val="21"/>
                <w:highlight w:val="none"/>
              </w:rPr>
              <w:t>9.4</w:t>
            </w:r>
          </w:p>
        </w:tc>
        <w:tc>
          <w:tcPr>
            <w:tcW w:w="687" w:type="dxa"/>
            <w:tcBorders>
              <w:top w:val="single" w:color="000000" w:sz="4" w:space="0"/>
              <w:left w:val="single" w:color="000000" w:sz="4" w:space="0"/>
              <w:bottom w:val="single" w:color="000000" w:sz="4" w:space="0"/>
              <w:right w:val="single" w:color="000000" w:sz="4" w:space="0"/>
            </w:tcBorders>
            <w:vAlign w:val="center"/>
          </w:tcPr>
          <w:p w14:paraId="347F22E0">
            <w:pPr>
              <w:pStyle w:val="98"/>
              <w:ind w:left="-105" w:right="-105"/>
              <w:rPr>
                <w:rFonts w:eastAsia="宋体"/>
                <w:color w:val="auto"/>
                <w:sz w:val="21"/>
                <w:szCs w:val="21"/>
                <w:highlight w:val="none"/>
              </w:rPr>
            </w:pPr>
            <w:r>
              <w:rPr>
                <w:rFonts w:eastAsia="宋体"/>
                <w:color w:val="auto"/>
                <w:sz w:val="21"/>
                <w:szCs w:val="21"/>
                <w:highlight w:val="none"/>
              </w:rPr>
              <w:t>7.4</w:t>
            </w:r>
          </w:p>
        </w:tc>
        <w:tc>
          <w:tcPr>
            <w:tcW w:w="687" w:type="dxa"/>
            <w:tcBorders>
              <w:top w:val="single" w:color="000000" w:sz="4" w:space="0"/>
              <w:left w:val="single" w:color="000000" w:sz="4" w:space="0"/>
              <w:bottom w:val="single" w:color="000000" w:sz="4" w:space="0"/>
              <w:right w:val="single" w:color="000000" w:sz="4" w:space="0"/>
            </w:tcBorders>
            <w:vAlign w:val="center"/>
          </w:tcPr>
          <w:p w14:paraId="5EC358FF">
            <w:pPr>
              <w:pStyle w:val="98"/>
              <w:ind w:left="-105" w:right="-105"/>
              <w:rPr>
                <w:rFonts w:eastAsia="宋体"/>
                <w:color w:val="auto"/>
                <w:sz w:val="21"/>
                <w:szCs w:val="21"/>
                <w:highlight w:val="none"/>
              </w:rPr>
            </w:pPr>
            <w:r>
              <w:rPr>
                <w:rFonts w:eastAsia="宋体"/>
                <w:color w:val="auto"/>
                <w:sz w:val="21"/>
                <w:szCs w:val="21"/>
                <w:highlight w:val="none"/>
              </w:rPr>
              <w:t>1.6</w:t>
            </w:r>
          </w:p>
        </w:tc>
        <w:tc>
          <w:tcPr>
            <w:tcW w:w="687" w:type="dxa"/>
            <w:tcBorders>
              <w:top w:val="single" w:color="000000" w:sz="4" w:space="0"/>
              <w:left w:val="single" w:color="000000" w:sz="4" w:space="0"/>
              <w:bottom w:val="single" w:color="000000" w:sz="4" w:space="0"/>
              <w:right w:val="single" w:color="000000" w:sz="4" w:space="0"/>
            </w:tcBorders>
            <w:vAlign w:val="center"/>
          </w:tcPr>
          <w:p w14:paraId="575C4953">
            <w:pPr>
              <w:pStyle w:val="98"/>
              <w:ind w:left="-105" w:right="-105"/>
              <w:rPr>
                <w:rFonts w:eastAsia="宋体"/>
                <w:color w:val="auto"/>
                <w:sz w:val="21"/>
                <w:szCs w:val="21"/>
                <w:highlight w:val="none"/>
              </w:rPr>
            </w:pPr>
            <w:r>
              <w:rPr>
                <w:rFonts w:eastAsia="宋体"/>
                <w:color w:val="auto"/>
                <w:sz w:val="21"/>
                <w:szCs w:val="21"/>
                <w:highlight w:val="none"/>
              </w:rPr>
              <w:t>1.6</w:t>
            </w:r>
          </w:p>
        </w:tc>
        <w:tc>
          <w:tcPr>
            <w:tcW w:w="687" w:type="dxa"/>
            <w:tcBorders>
              <w:top w:val="single" w:color="000000" w:sz="4" w:space="0"/>
              <w:left w:val="single" w:color="000000" w:sz="4" w:space="0"/>
              <w:bottom w:val="single" w:color="000000" w:sz="4" w:space="0"/>
              <w:right w:val="single" w:color="000000" w:sz="4" w:space="0"/>
            </w:tcBorders>
            <w:vAlign w:val="center"/>
          </w:tcPr>
          <w:p w14:paraId="6C5A60ED">
            <w:pPr>
              <w:pStyle w:val="98"/>
              <w:ind w:left="-105" w:right="-105"/>
              <w:rPr>
                <w:rFonts w:eastAsia="宋体"/>
                <w:color w:val="auto"/>
                <w:sz w:val="21"/>
                <w:szCs w:val="21"/>
                <w:highlight w:val="none"/>
              </w:rPr>
            </w:pPr>
            <w:r>
              <w:rPr>
                <w:rFonts w:eastAsia="宋体"/>
                <w:color w:val="auto"/>
                <w:sz w:val="21"/>
                <w:szCs w:val="21"/>
                <w:highlight w:val="none"/>
              </w:rPr>
              <w:t>1</w:t>
            </w:r>
          </w:p>
        </w:tc>
        <w:tc>
          <w:tcPr>
            <w:tcW w:w="684" w:type="dxa"/>
            <w:tcBorders>
              <w:top w:val="single" w:color="000000" w:sz="4" w:space="0"/>
              <w:left w:val="single" w:color="000000" w:sz="4" w:space="0"/>
              <w:bottom w:val="single" w:color="000000" w:sz="4" w:space="0"/>
              <w:right w:val="single" w:color="000000" w:sz="4" w:space="0"/>
            </w:tcBorders>
            <w:vAlign w:val="center"/>
          </w:tcPr>
          <w:p w14:paraId="0CEA6035">
            <w:pPr>
              <w:pStyle w:val="98"/>
              <w:ind w:left="-105" w:right="-105"/>
              <w:rPr>
                <w:rFonts w:eastAsia="宋体"/>
                <w:color w:val="auto"/>
                <w:sz w:val="21"/>
                <w:szCs w:val="21"/>
                <w:highlight w:val="none"/>
              </w:rPr>
            </w:pPr>
            <w:r>
              <w:rPr>
                <w:rFonts w:eastAsia="宋体"/>
                <w:color w:val="auto"/>
                <w:sz w:val="21"/>
                <w:szCs w:val="21"/>
                <w:highlight w:val="none"/>
              </w:rPr>
              <w:t>1.2</w:t>
            </w:r>
          </w:p>
        </w:tc>
        <w:tc>
          <w:tcPr>
            <w:tcW w:w="714" w:type="dxa"/>
            <w:tcBorders>
              <w:top w:val="single" w:color="000000" w:sz="4" w:space="0"/>
              <w:left w:val="single" w:color="000000" w:sz="4" w:space="0"/>
              <w:bottom w:val="single" w:color="000000" w:sz="4" w:space="0"/>
              <w:right w:val="single" w:color="000000" w:sz="4" w:space="0"/>
            </w:tcBorders>
            <w:vAlign w:val="center"/>
          </w:tcPr>
          <w:p w14:paraId="28B6198C">
            <w:pPr>
              <w:pStyle w:val="98"/>
              <w:ind w:left="-105" w:right="-105"/>
              <w:rPr>
                <w:rFonts w:eastAsia="宋体"/>
                <w:color w:val="auto"/>
                <w:sz w:val="21"/>
                <w:szCs w:val="21"/>
                <w:highlight w:val="none"/>
              </w:rPr>
            </w:pPr>
            <w:r>
              <w:rPr>
                <w:rFonts w:eastAsia="宋体"/>
                <w:color w:val="auto"/>
                <w:sz w:val="21"/>
                <w:szCs w:val="21"/>
                <w:highlight w:val="none"/>
              </w:rPr>
              <w:t>1.4</w:t>
            </w:r>
          </w:p>
        </w:tc>
        <w:tc>
          <w:tcPr>
            <w:tcW w:w="686" w:type="dxa"/>
            <w:tcBorders>
              <w:top w:val="single" w:color="000000" w:sz="4" w:space="0"/>
              <w:left w:val="single" w:color="000000" w:sz="4" w:space="0"/>
              <w:bottom w:val="single" w:color="000000" w:sz="4" w:space="0"/>
              <w:right w:val="single" w:color="000000" w:sz="4" w:space="0"/>
            </w:tcBorders>
            <w:vAlign w:val="center"/>
          </w:tcPr>
          <w:p w14:paraId="0FB175A9">
            <w:pPr>
              <w:pStyle w:val="98"/>
              <w:ind w:left="-105" w:right="-105"/>
              <w:rPr>
                <w:rFonts w:eastAsia="宋体"/>
                <w:color w:val="auto"/>
                <w:sz w:val="21"/>
                <w:szCs w:val="21"/>
                <w:highlight w:val="none"/>
              </w:rPr>
            </w:pPr>
            <w:r>
              <w:rPr>
                <w:rFonts w:eastAsia="宋体"/>
                <w:color w:val="auto"/>
                <w:sz w:val="21"/>
                <w:szCs w:val="21"/>
                <w:highlight w:val="none"/>
              </w:rPr>
              <w:t>3.4</w:t>
            </w:r>
          </w:p>
        </w:tc>
        <w:tc>
          <w:tcPr>
            <w:tcW w:w="747" w:type="dxa"/>
            <w:tcBorders>
              <w:top w:val="single" w:color="000000" w:sz="4" w:space="0"/>
              <w:left w:val="single" w:color="000000" w:sz="4" w:space="0"/>
              <w:bottom w:val="single" w:color="000000" w:sz="4" w:space="0"/>
              <w:right w:val="single" w:color="000000" w:sz="4" w:space="0"/>
            </w:tcBorders>
            <w:vAlign w:val="center"/>
          </w:tcPr>
          <w:p w14:paraId="76833C3A">
            <w:pPr>
              <w:pStyle w:val="98"/>
              <w:ind w:left="-105" w:right="-105"/>
              <w:rPr>
                <w:rFonts w:eastAsia="宋体"/>
                <w:color w:val="auto"/>
                <w:sz w:val="21"/>
                <w:szCs w:val="21"/>
                <w:highlight w:val="none"/>
              </w:rPr>
            </w:pPr>
            <w:r>
              <w:rPr>
                <w:rFonts w:eastAsia="宋体"/>
                <w:color w:val="auto"/>
                <w:sz w:val="21"/>
                <w:szCs w:val="21"/>
                <w:highlight w:val="none"/>
              </w:rPr>
              <w:t>4.2</w:t>
            </w:r>
          </w:p>
        </w:tc>
        <w:tc>
          <w:tcPr>
            <w:tcW w:w="686" w:type="dxa"/>
            <w:tcBorders>
              <w:top w:val="single" w:color="000000" w:sz="4" w:space="0"/>
              <w:left w:val="single" w:color="000000" w:sz="4" w:space="0"/>
              <w:bottom w:val="single" w:color="000000" w:sz="4" w:space="0"/>
              <w:right w:val="single" w:color="000000" w:sz="4" w:space="0"/>
            </w:tcBorders>
            <w:vAlign w:val="center"/>
          </w:tcPr>
          <w:p w14:paraId="273609CD">
            <w:pPr>
              <w:pStyle w:val="98"/>
              <w:ind w:left="-105" w:right="-105"/>
              <w:rPr>
                <w:rFonts w:eastAsia="宋体"/>
                <w:color w:val="auto"/>
                <w:sz w:val="21"/>
                <w:szCs w:val="21"/>
                <w:highlight w:val="none"/>
              </w:rPr>
            </w:pPr>
            <w:r>
              <w:rPr>
                <w:rFonts w:eastAsia="宋体"/>
                <w:color w:val="auto"/>
                <w:sz w:val="21"/>
                <w:szCs w:val="21"/>
                <w:highlight w:val="none"/>
              </w:rPr>
              <w:t>4.4</w:t>
            </w:r>
          </w:p>
        </w:tc>
        <w:tc>
          <w:tcPr>
            <w:tcW w:w="700" w:type="dxa"/>
            <w:tcBorders>
              <w:top w:val="single" w:color="000000" w:sz="4" w:space="0"/>
              <w:left w:val="single" w:color="000000" w:sz="4" w:space="0"/>
              <w:bottom w:val="single" w:color="000000" w:sz="4" w:space="0"/>
              <w:right w:val="single" w:color="000000" w:sz="4" w:space="0"/>
            </w:tcBorders>
            <w:vAlign w:val="center"/>
          </w:tcPr>
          <w:p w14:paraId="2CB33259">
            <w:pPr>
              <w:pStyle w:val="98"/>
              <w:ind w:left="-105" w:right="-105"/>
              <w:rPr>
                <w:rFonts w:eastAsia="宋体"/>
                <w:color w:val="auto"/>
                <w:sz w:val="21"/>
                <w:szCs w:val="21"/>
                <w:highlight w:val="none"/>
              </w:rPr>
            </w:pPr>
            <w:r>
              <w:rPr>
                <w:rFonts w:eastAsia="宋体"/>
                <w:color w:val="auto"/>
                <w:sz w:val="21"/>
                <w:szCs w:val="21"/>
                <w:highlight w:val="none"/>
              </w:rPr>
              <w:t>4.4</w:t>
            </w:r>
          </w:p>
        </w:tc>
        <w:tc>
          <w:tcPr>
            <w:tcW w:w="686" w:type="dxa"/>
            <w:tcBorders>
              <w:top w:val="single" w:color="000000" w:sz="4" w:space="0"/>
              <w:left w:val="single" w:color="000000" w:sz="4" w:space="0"/>
              <w:bottom w:val="single" w:color="000000" w:sz="4" w:space="0"/>
              <w:right w:val="single" w:color="000000" w:sz="4" w:space="0"/>
            </w:tcBorders>
            <w:vAlign w:val="center"/>
          </w:tcPr>
          <w:p w14:paraId="697426C1">
            <w:pPr>
              <w:pStyle w:val="98"/>
              <w:ind w:left="-105" w:right="-105"/>
              <w:rPr>
                <w:rFonts w:eastAsia="宋体"/>
                <w:color w:val="auto"/>
                <w:sz w:val="21"/>
                <w:szCs w:val="21"/>
                <w:highlight w:val="none"/>
              </w:rPr>
            </w:pPr>
            <w:r>
              <w:rPr>
                <w:rFonts w:eastAsia="宋体"/>
                <w:color w:val="auto"/>
                <w:sz w:val="21"/>
                <w:szCs w:val="21"/>
                <w:highlight w:val="none"/>
              </w:rPr>
              <w:t>12</w:t>
            </w:r>
          </w:p>
        </w:tc>
        <w:tc>
          <w:tcPr>
            <w:tcW w:w="693" w:type="dxa"/>
            <w:tcBorders>
              <w:top w:val="single" w:color="000000" w:sz="4" w:space="0"/>
              <w:left w:val="single" w:color="000000" w:sz="4" w:space="0"/>
              <w:bottom w:val="single" w:color="000000" w:sz="4" w:space="0"/>
              <w:right w:val="nil"/>
            </w:tcBorders>
            <w:vAlign w:val="center"/>
          </w:tcPr>
          <w:p w14:paraId="49BCFD85">
            <w:pPr>
              <w:pStyle w:val="98"/>
              <w:ind w:left="-105" w:right="-105"/>
              <w:rPr>
                <w:rFonts w:eastAsia="宋体"/>
                <w:color w:val="auto"/>
                <w:sz w:val="21"/>
                <w:szCs w:val="21"/>
                <w:highlight w:val="none"/>
              </w:rPr>
            </w:pPr>
            <w:r>
              <w:rPr>
                <w:rFonts w:eastAsia="宋体"/>
                <w:color w:val="auto"/>
                <w:sz w:val="21"/>
                <w:szCs w:val="21"/>
                <w:highlight w:val="none"/>
              </w:rPr>
              <w:t>/</w:t>
            </w:r>
          </w:p>
        </w:tc>
      </w:tr>
      <w:tr w14:paraId="375524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00E9BF9E">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2500BCE6">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44BEB0CC">
            <w:pPr>
              <w:pStyle w:val="98"/>
              <w:ind w:left="-105" w:right="-105"/>
              <w:rPr>
                <w:rFonts w:eastAsia="宋体"/>
                <w:color w:val="auto"/>
                <w:sz w:val="21"/>
                <w:szCs w:val="21"/>
                <w:highlight w:val="none"/>
              </w:rPr>
            </w:pPr>
            <w:r>
              <w:rPr>
                <w:rFonts w:eastAsia="宋体"/>
                <w:color w:val="auto"/>
                <w:sz w:val="21"/>
                <w:szCs w:val="21"/>
                <w:highlight w:val="none"/>
              </w:rPr>
              <w:t>0.4</w:t>
            </w:r>
          </w:p>
        </w:tc>
        <w:tc>
          <w:tcPr>
            <w:tcW w:w="687" w:type="dxa"/>
            <w:tcBorders>
              <w:top w:val="single" w:color="000000" w:sz="4" w:space="0"/>
              <w:left w:val="single" w:color="000000" w:sz="4" w:space="0"/>
              <w:bottom w:val="single" w:color="000000" w:sz="4" w:space="0"/>
              <w:right w:val="single" w:color="000000" w:sz="4" w:space="0"/>
            </w:tcBorders>
            <w:vAlign w:val="center"/>
          </w:tcPr>
          <w:p w14:paraId="2AA79646">
            <w:pPr>
              <w:pStyle w:val="98"/>
              <w:ind w:left="-105" w:right="-105"/>
              <w:rPr>
                <w:rFonts w:eastAsia="宋体"/>
                <w:color w:val="auto"/>
                <w:sz w:val="21"/>
                <w:szCs w:val="21"/>
                <w:highlight w:val="none"/>
              </w:rPr>
            </w:pPr>
            <w:r>
              <w:rPr>
                <w:rFonts w:eastAsia="宋体"/>
                <w:color w:val="auto"/>
                <w:sz w:val="21"/>
                <w:szCs w:val="21"/>
                <w:highlight w:val="none"/>
              </w:rPr>
              <w:t>2.3</w:t>
            </w:r>
          </w:p>
        </w:tc>
        <w:tc>
          <w:tcPr>
            <w:tcW w:w="687" w:type="dxa"/>
            <w:tcBorders>
              <w:top w:val="single" w:color="000000" w:sz="4" w:space="0"/>
              <w:left w:val="single" w:color="000000" w:sz="4" w:space="0"/>
              <w:bottom w:val="single" w:color="000000" w:sz="4" w:space="0"/>
              <w:right w:val="single" w:color="000000" w:sz="4" w:space="0"/>
            </w:tcBorders>
            <w:vAlign w:val="center"/>
          </w:tcPr>
          <w:p w14:paraId="383E009A">
            <w:pPr>
              <w:pStyle w:val="98"/>
              <w:ind w:left="-105" w:right="-105"/>
              <w:rPr>
                <w:rFonts w:eastAsia="宋体"/>
                <w:color w:val="auto"/>
                <w:sz w:val="21"/>
                <w:szCs w:val="21"/>
                <w:highlight w:val="none"/>
              </w:rPr>
            </w:pPr>
            <w:r>
              <w:rPr>
                <w:rFonts w:eastAsia="宋体"/>
                <w:color w:val="auto"/>
                <w:sz w:val="21"/>
                <w:szCs w:val="21"/>
                <w:highlight w:val="none"/>
              </w:rPr>
              <w:t>2.8</w:t>
            </w:r>
          </w:p>
        </w:tc>
        <w:tc>
          <w:tcPr>
            <w:tcW w:w="688" w:type="dxa"/>
            <w:tcBorders>
              <w:top w:val="single" w:color="000000" w:sz="4" w:space="0"/>
              <w:left w:val="single" w:color="000000" w:sz="4" w:space="0"/>
              <w:bottom w:val="single" w:color="000000" w:sz="4" w:space="0"/>
              <w:right w:val="single" w:color="000000" w:sz="4" w:space="0"/>
            </w:tcBorders>
            <w:vAlign w:val="center"/>
          </w:tcPr>
          <w:p w14:paraId="32C46F61">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04BBCB84">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553BCEDD">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683F9AE7">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3AA31171">
            <w:pPr>
              <w:pStyle w:val="98"/>
              <w:ind w:left="-105" w:right="-105"/>
              <w:rPr>
                <w:rFonts w:eastAsia="宋体"/>
                <w:color w:val="auto"/>
                <w:sz w:val="21"/>
                <w:szCs w:val="21"/>
                <w:highlight w:val="none"/>
              </w:rPr>
            </w:pPr>
            <w:r>
              <w:rPr>
                <w:rFonts w:eastAsia="宋体"/>
                <w:color w:val="auto"/>
                <w:sz w:val="21"/>
                <w:szCs w:val="21"/>
                <w:highlight w:val="none"/>
              </w:rPr>
              <w:t>1.5</w:t>
            </w:r>
          </w:p>
        </w:tc>
        <w:tc>
          <w:tcPr>
            <w:tcW w:w="687" w:type="dxa"/>
            <w:tcBorders>
              <w:top w:val="single" w:color="000000" w:sz="4" w:space="0"/>
              <w:left w:val="single" w:color="000000" w:sz="4" w:space="0"/>
              <w:bottom w:val="single" w:color="000000" w:sz="4" w:space="0"/>
              <w:right w:val="single" w:color="000000" w:sz="4" w:space="0"/>
            </w:tcBorders>
            <w:vAlign w:val="center"/>
          </w:tcPr>
          <w:p w14:paraId="50964827">
            <w:pPr>
              <w:pStyle w:val="98"/>
              <w:ind w:left="-105" w:right="-105"/>
              <w:rPr>
                <w:rFonts w:eastAsia="宋体"/>
                <w:color w:val="auto"/>
                <w:sz w:val="21"/>
                <w:szCs w:val="21"/>
                <w:highlight w:val="none"/>
              </w:rPr>
            </w:pPr>
            <w:r>
              <w:rPr>
                <w:rFonts w:eastAsia="宋体"/>
                <w:color w:val="auto"/>
                <w:sz w:val="21"/>
                <w:szCs w:val="21"/>
                <w:highlight w:val="none"/>
              </w:rPr>
              <w:t>2.1</w:t>
            </w:r>
          </w:p>
        </w:tc>
        <w:tc>
          <w:tcPr>
            <w:tcW w:w="687" w:type="dxa"/>
            <w:tcBorders>
              <w:top w:val="single" w:color="000000" w:sz="4" w:space="0"/>
              <w:left w:val="single" w:color="000000" w:sz="4" w:space="0"/>
              <w:bottom w:val="single" w:color="000000" w:sz="4" w:space="0"/>
              <w:right w:val="single" w:color="000000" w:sz="4" w:space="0"/>
            </w:tcBorders>
            <w:vAlign w:val="center"/>
          </w:tcPr>
          <w:p w14:paraId="0B50EB2D">
            <w:pPr>
              <w:pStyle w:val="98"/>
              <w:ind w:left="-105" w:right="-105"/>
              <w:rPr>
                <w:rFonts w:eastAsia="宋体"/>
                <w:color w:val="auto"/>
                <w:sz w:val="21"/>
                <w:szCs w:val="21"/>
                <w:highlight w:val="none"/>
              </w:rPr>
            </w:pPr>
            <w:r>
              <w:rPr>
                <w:rFonts w:eastAsia="宋体"/>
                <w:color w:val="auto"/>
                <w:sz w:val="21"/>
                <w:szCs w:val="21"/>
                <w:highlight w:val="none"/>
              </w:rPr>
              <w:t>1.2</w:t>
            </w:r>
          </w:p>
        </w:tc>
        <w:tc>
          <w:tcPr>
            <w:tcW w:w="684" w:type="dxa"/>
            <w:tcBorders>
              <w:top w:val="single" w:color="000000" w:sz="4" w:space="0"/>
              <w:left w:val="single" w:color="000000" w:sz="4" w:space="0"/>
              <w:bottom w:val="single" w:color="000000" w:sz="4" w:space="0"/>
              <w:right w:val="single" w:color="000000" w:sz="4" w:space="0"/>
            </w:tcBorders>
            <w:vAlign w:val="center"/>
          </w:tcPr>
          <w:p w14:paraId="58501B2F">
            <w:pPr>
              <w:pStyle w:val="98"/>
              <w:ind w:left="-105" w:right="-105"/>
              <w:rPr>
                <w:rFonts w:eastAsia="宋体"/>
                <w:color w:val="auto"/>
                <w:sz w:val="21"/>
                <w:szCs w:val="21"/>
                <w:highlight w:val="none"/>
              </w:rPr>
            </w:pPr>
            <w:r>
              <w:rPr>
                <w:rFonts w:eastAsia="宋体"/>
                <w:color w:val="auto"/>
                <w:sz w:val="21"/>
                <w:szCs w:val="21"/>
                <w:highlight w:val="none"/>
              </w:rPr>
              <w:t>1</w:t>
            </w:r>
          </w:p>
        </w:tc>
        <w:tc>
          <w:tcPr>
            <w:tcW w:w="714" w:type="dxa"/>
            <w:tcBorders>
              <w:top w:val="single" w:color="000000" w:sz="4" w:space="0"/>
              <w:left w:val="single" w:color="000000" w:sz="4" w:space="0"/>
              <w:bottom w:val="single" w:color="000000" w:sz="4" w:space="0"/>
              <w:right w:val="single" w:color="000000" w:sz="4" w:space="0"/>
            </w:tcBorders>
            <w:vAlign w:val="center"/>
          </w:tcPr>
          <w:p w14:paraId="79940383">
            <w:pPr>
              <w:pStyle w:val="98"/>
              <w:ind w:left="-105" w:right="-105"/>
              <w:rPr>
                <w:rFonts w:eastAsia="宋体"/>
                <w:color w:val="auto"/>
                <w:sz w:val="21"/>
                <w:szCs w:val="21"/>
                <w:highlight w:val="none"/>
              </w:rPr>
            </w:pPr>
            <w:r>
              <w:rPr>
                <w:rFonts w:eastAsia="宋体"/>
                <w:color w:val="auto"/>
                <w:sz w:val="21"/>
                <w:szCs w:val="21"/>
                <w:highlight w:val="none"/>
              </w:rPr>
              <w:t>3.4</w:t>
            </w:r>
          </w:p>
        </w:tc>
        <w:tc>
          <w:tcPr>
            <w:tcW w:w="686" w:type="dxa"/>
            <w:tcBorders>
              <w:top w:val="single" w:color="000000" w:sz="4" w:space="0"/>
              <w:left w:val="single" w:color="000000" w:sz="4" w:space="0"/>
              <w:bottom w:val="single" w:color="000000" w:sz="4" w:space="0"/>
              <w:right w:val="single" w:color="000000" w:sz="4" w:space="0"/>
            </w:tcBorders>
            <w:vAlign w:val="center"/>
          </w:tcPr>
          <w:p w14:paraId="165BB996">
            <w:pPr>
              <w:pStyle w:val="98"/>
              <w:ind w:left="-105" w:right="-105"/>
              <w:rPr>
                <w:rFonts w:eastAsia="宋体"/>
                <w:color w:val="auto"/>
                <w:sz w:val="21"/>
                <w:szCs w:val="21"/>
                <w:highlight w:val="none"/>
              </w:rPr>
            </w:pPr>
            <w:r>
              <w:rPr>
                <w:rFonts w:eastAsia="宋体"/>
                <w:color w:val="auto"/>
                <w:sz w:val="21"/>
                <w:szCs w:val="21"/>
                <w:highlight w:val="none"/>
              </w:rPr>
              <w:t>3</w:t>
            </w:r>
          </w:p>
        </w:tc>
        <w:tc>
          <w:tcPr>
            <w:tcW w:w="747" w:type="dxa"/>
            <w:tcBorders>
              <w:top w:val="single" w:color="000000" w:sz="4" w:space="0"/>
              <w:left w:val="single" w:color="000000" w:sz="4" w:space="0"/>
              <w:bottom w:val="single" w:color="000000" w:sz="4" w:space="0"/>
              <w:right w:val="single" w:color="000000" w:sz="4" w:space="0"/>
            </w:tcBorders>
            <w:vAlign w:val="center"/>
          </w:tcPr>
          <w:p w14:paraId="6481097D">
            <w:pPr>
              <w:pStyle w:val="98"/>
              <w:ind w:left="-105" w:right="-105"/>
              <w:rPr>
                <w:rFonts w:eastAsia="宋体"/>
                <w:color w:val="auto"/>
                <w:sz w:val="21"/>
                <w:szCs w:val="21"/>
                <w:highlight w:val="none"/>
              </w:rPr>
            </w:pPr>
            <w:r>
              <w:rPr>
                <w:rFonts w:eastAsia="宋体"/>
                <w:color w:val="auto"/>
                <w:sz w:val="21"/>
                <w:szCs w:val="21"/>
                <w:highlight w:val="none"/>
              </w:rPr>
              <w:t>3.2</w:t>
            </w:r>
          </w:p>
        </w:tc>
        <w:tc>
          <w:tcPr>
            <w:tcW w:w="686" w:type="dxa"/>
            <w:tcBorders>
              <w:top w:val="single" w:color="000000" w:sz="4" w:space="0"/>
              <w:left w:val="single" w:color="000000" w:sz="4" w:space="0"/>
              <w:bottom w:val="single" w:color="000000" w:sz="4" w:space="0"/>
              <w:right w:val="single" w:color="000000" w:sz="4" w:space="0"/>
            </w:tcBorders>
            <w:vAlign w:val="center"/>
          </w:tcPr>
          <w:p w14:paraId="4DD19BA6">
            <w:pPr>
              <w:pStyle w:val="98"/>
              <w:ind w:left="-105" w:right="-105"/>
              <w:rPr>
                <w:rFonts w:eastAsia="宋体"/>
                <w:color w:val="auto"/>
                <w:sz w:val="21"/>
                <w:szCs w:val="21"/>
                <w:highlight w:val="none"/>
              </w:rPr>
            </w:pPr>
            <w:r>
              <w:rPr>
                <w:rFonts w:eastAsia="宋体"/>
                <w:color w:val="auto"/>
                <w:sz w:val="21"/>
                <w:szCs w:val="21"/>
                <w:highlight w:val="none"/>
              </w:rPr>
              <w:t>2.2</w:t>
            </w:r>
          </w:p>
        </w:tc>
        <w:tc>
          <w:tcPr>
            <w:tcW w:w="700" w:type="dxa"/>
            <w:tcBorders>
              <w:top w:val="single" w:color="000000" w:sz="4" w:space="0"/>
              <w:left w:val="single" w:color="000000" w:sz="4" w:space="0"/>
              <w:bottom w:val="single" w:color="000000" w:sz="4" w:space="0"/>
              <w:right w:val="single" w:color="000000" w:sz="4" w:space="0"/>
            </w:tcBorders>
            <w:vAlign w:val="center"/>
          </w:tcPr>
          <w:p w14:paraId="20149DC7">
            <w:pPr>
              <w:pStyle w:val="98"/>
              <w:ind w:left="-105" w:right="-105"/>
              <w:rPr>
                <w:rFonts w:eastAsia="宋体"/>
                <w:color w:val="auto"/>
                <w:sz w:val="21"/>
                <w:szCs w:val="21"/>
                <w:highlight w:val="none"/>
              </w:rPr>
            </w:pPr>
            <w:r>
              <w:rPr>
                <w:rFonts w:eastAsia="宋体"/>
                <w:color w:val="auto"/>
                <w:sz w:val="21"/>
                <w:szCs w:val="21"/>
                <w:highlight w:val="none"/>
              </w:rPr>
              <w:t>2.4</w:t>
            </w:r>
          </w:p>
        </w:tc>
        <w:tc>
          <w:tcPr>
            <w:tcW w:w="686" w:type="dxa"/>
            <w:tcBorders>
              <w:top w:val="single" w:color="000000" w:sz="4" w:space="0"/>
              <w:left w:val="single" w:color="000000" w:sz="4" w:space="0"/>
              <w:bottom w:val="single" w:color="000000" w:sz="4" w:space="0"/>
              <w:right w:val="single" w:color="000000" w:sz="4" w:space="0"/>
            </w:tcBorders>
            <w:vAlign w:val="center"/>
          </w:tcPr>
          <w:p w14:paraId="4F6BCA49">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29BF0F52">
            <w:pPr>
              <w:pStyle w:val="98"/>
              <w:ind w:left="-105" w:right="-105"/>
              <w:rPr>
                <w:rFonts w:eastAsia="宋体"/>
                <w:color w:val="auto"/>
                <w:sz w:val="21"/>
                <w:szCs w:val="21"/>
                <w:highlight w:val="none"/>
              </w:rPr>
            </w:pPr>
            <w:r>
              <w:rPr>
                <w:rFonts w:eastAsia="宋体"/>
                <w:color w:val="auto"/>
                <w:sz w:val="21"/>
                <w:szCs w:val="21"/>
                <w:highlight w:val="none"/>
              </w:rPr>
              <w:t>2.39</w:t>
            </w:r>
          </w:p>
        </w:tc>
      </w:tr>
      <w:tr w14:paraId="180C92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5EA890CF">
            <w:pPr>
              <w:pStyle w:val="98"/>
              <w:ind w:left="-105" w:right="-105"/>
              <w:rPr>
                <w:rFonts w:eastAsia="宋体"/>
                <w:color w:val="auto"/>
                <w:sz w:val="21"/>
                <w:szCs w:val="21"/>
                <w:highlight w:val="none"/>
              </w:rPr>
            </w:pPr>
            <w:r>
              <w:rPr>
                <w:rFonts w:eastAsia="宋体"/>
                <w:color w:val="auto"/>
                <w:sz w:val="21"/>
                <w:szCs w:val="21"/>
                <w:highlight w:val="none"/>
              </w:rPr>
              <w:t>10月</w:t>
            </w:r>
          </w:p>
        </w:tc>
        <w:tc>
          <w:tcPr>
            <w:tcW w:w="687" w:type="dxa"/>
            <w:tcBorders>
              <w:top w:val="single" w:color="000000" w:sz="4" w:space="0"/>
              <w:left w:val="single" w:color="000000" w:sz="4" w:space="0"/>
              <w:bottom w:val="single" w:color="000000" w:sz="4" w:space="0"/>
              <w:right w:val="single" w:color="000000" w:sz="4" w:space="0"/>
            </w:tcBorders>
            <w:vAlign w:val="center"/>
          </w:tcPr>
          <w:p w14:paraId="004C947C">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73BC6983">
            <w:pPr>
              <w:pStyle w:val="98"/>
              <w:ind w:left="-105" w:right="-105"/>
              <w:rPr>
                <w:rFonts w:eastAsia="宋体"/>
                <w:color w:val="auto"/>
                <w:sz w:val="21"/>
                <w:szCs w:val="21"/>
                <w:highlight w:val="none"/>
              </w:rPr>
            </w:pPr>
            <w:r>
              <w:rPr>
                <w:rFonts w:eastAsia="宋体"/>
                <w:color w:val="auto"/>
                <w:sz w:val="21"/>
                <w:szCs w:val="21"/>
                <w:highlight w:val="none"/>
              </w:rPr>
              <w:t>11.4</w:t>
            </w:r>
          </w:p>
        </w:tc>
        <w:tc>
          <w:tcPr>
            <w:tcW w:w="687" w:type="dxa"/>
            <w:tcBorders>
              <w:top w:val="single" w:color="000000" w:sz="4" w:space="0"/>
              <w:left w:val="single" w:color="000000" w:sz="4" w:space="0"/>
              <w:bottom w:val="single" w:color="000000" w:sz="4" w:space="0"/>
              <w:right w:val="single" w:color="000000" w:sz="4" w:space="0"/>
            </w:tcBorders>
            <w:vAlign w:val="center"/>
          </w:tcPr>
          <w:p w14:paraId="28073A1C">
            <w:pPr>
              <w:pStyle w:val="98"/>
              <w:ind w:left="-105" w:right="-105"/>
              <w:rPr>
                <w:rFonts w:eastAsia="宋体"/>
                <w:color w:val="auto"/>
                <w:sz w:val="21"/>
                <w:szCs w:val="21"/>
                <w:highlight w:val="none"/>
              </w:rPr>
            </w:pPr>
            <w:r>
              <w:rPr>
                <w:rFonts w:eastAsia="宋体"/>
                <w:color w:val="auto"/>
                <w:sz w:val="21"/>
                <w:szCs w:val="21"/>
                <w:highlight w:val="none"/>
              </w:rPr>
              <w:t>5.2</w:t>
            </w:r>
          </w:p>
        </w:tc>
        <w:tc>
          <w:tcPr>
            <w:tcW w:w="687" w:type="dxa"/>
            <w:tcBorders>
              <w:top w:val="single" w:color="000000" w:sz="4" w:space="0"/>
              <w:left w:val="single" w:color="000000" w:sz="4" w:space="0"/>
              <w:bottom w:val="single" w:color="000000" w:sz="4" w:space="0"/>
              <w:right w:val="single" w:color="000000" w:sz="4" w:space="0"/>
            </w:tcBorders>
            <w:vAlign w:val="center"/>
          </w:tcPr>
          <w:p w14:paraId="341AC6B8">
            <w:pPr>
              <w:pStyle w:val="98"/>
              <w:ind w:left="-105" w:right="-105"/>
              <w:rPr>
                <w:rFonts w:eastAsia="宋体"/>
                <w:color w:val="auto"/>
                <w:sz w:val="21"/>
                <w:szCs w:val="21"/>
                <w:highlight w:val="none"/>
              </w:rPr>
            </w:pPr>
            <w:r>
              <w:rPr>
                <w:rFonts w:eastAsia="宋体"/>
                <w:color w:val="auto"/>
                <w:sz w:val="21"/>
                <w:szCs w:val="21"/>
                <w:highlight w:val="none"/>
              </w:rPr>
              <w:t>12.4</w:t>
            </w:r>
          </w:p>
        </w:tc>
        <w:tc>
          <w:tcPr>
            <w:tcW w:w="688" w:type="dxa"/>
            <w:tcBorders>
              <w:top w:val="single" w:color="000000" w:sz="4" w:space="0"/>
              <w:left w:val="single" w:color="000000" w:sz="4" w:space="0"/>
              <w:bottom w:val="single" w:color="000000" w:sz="4" w:space="0"/>
              <w:right w:val="single" w:color="000000" w:sz="4" w:space="0"/>
            </w:tcBorders>
            <w:vAlign w:val="center"/>
          </w:tcPr>
          <w:p w14:paraId="65F4FB9C">
            <w:pPr>
              <w:pStyle w:val="98"/>
              <w:ind w:left="-105" w:right="-105"/>
              <w:rPr>
                <w:rFonts w:eastAsia="宋体"/>
                <w:color w:val="auto"/>
                <w:sz w:val="21"/>
                <w:szCs w:val="21"/>
                <w:highlight w:val="none"/>
              </w:rPr>
            </w:pPr>
            <w:r>
              <w:rPr>
                <w:rFonts w:eastAsia="宋体"/>
                <w:color w:val="auto"/>
                <w:sz w:val="21"/>
                <w:szCs w:val="21"/>
                <w:highlight w:val="none"/>
              </w:rPr>
              <w:t>5.4</w:t>
            </w:r>
          </w:p>
        </w:tc>
        <w:tc>
          <w:tcPr>
            <w:tcW w:w="687" w:type="dxa"/>
            <w:tcBorders>
              <w:top w:val="single" w:color="000000" w:sz="4" w:space="0"/>
              <w:left w:val="single" w:color="000000" w:sz="4" w:space="0"/>
              <w:bottom w:val="single" w:color="000000" w:sz="4" w:space="0"/>
              <w:right w:val="single" w:color="000000" w:sz="4" w:space="0"/>
            </w:tcBorders>
            <w:vAlign w:val="center"/>
          </w:tcPr>
          <w:p w14:paraId="795E7787">
            <w:pPr>
              <w:pStyle w:val="98"/>
              <w:ind w:left="-105" w:right="-105"/>
              <w:rPr>
                <w:rFonts w:eastAsia="宋体"/>
                <w:color w:val="auto"/>
                <w:sz w:val="21"/>
                <w:szCs w:val="21"/>
                <w:highlight w:val="none"/>
              </w:rPr>
            </w:pPr>
            <w:r>
              <w:rPr>
                <w:rFonts w:eastAsia="宋体"/>
                <w:color w:val="auto"/>
                <w:sz w:val="21"/>
                <w:szCs w:val="21"/>
                <w:highlight w:val="none"/>
              </w:rPr>
              <w:t>5.4</w:t>
            </w:r>
          </w:p>
        </w:tc>
        <w:tc>
          <w:tcPr>
            <w:tcW w:w="687" w:type="dxa"/>
            <w:tcBorders>
              <w:top w:val="single" w:color="000000" w:sz="4" w:space="0"/>
              <w:left w:val="single" w:color="000000" w:sz="4" w:space="0"/>
              <w:bottom w:val="single" w:color="000000" w:sz="4" w:space="0"/>
              <w:right w:val="single" w:color="000000" w:sz="4" w:space="0"/>
            </w:tcBorders>
            <w:vAlign w:val="center"/>
          </w:tcPr>
          <w:p w14:paraId="06042789">
            <w:pPr>
              <w:pStyle w:val="98"/>
              <w:ind w:left="-105" w:right="-105"/>
              <w:rPr>
                <w:rFonts w:eastAsia="宋体"/>
                <w:color w:val="auto"/>
                <w:sz w:val="21"/>
                <w:szCs w:val="21"/>
                <w:highlight w:val="none"/>
              </w:rPr>
            </w:pPr>
            <w:r>
              <w:rPr>
                <w:rFonts w:eastAsia="宋体"/>
                <w:color w:val="auto"/>
                <w:sz w:val="21"/>
                <w:szCs w:val="21"/>
                <w:highlight w:val="none"/>
              </w:rPr>
              <w:t>7</w:t>
            </w:r>
          </w:p>
        </w:tc>
        <w:tc>
          <w:tcPr>
            <w:tcW w:w="687" w:type="dxa"/>
            <w:tcBorders>
              <w:top w:val="single" w:color="000000" w:sz="4" w:space="0"/>
              <w:left w:val="single" w:color="000000" w:sz="4" w:space="0"/>
              <w:bottom w:val="single" w:color="000000" w:sz="4" w:space="0"/>
              <w:right w:val="single" w:color="000000" w:sz="4" w:space="0"/>
            </w:tcBorders>
            <w:vAlign w:val="center"/>
          </w:tcPr>
          <w:p w14:paraId="23AF3A72">
            <w:pPr>
              <w:pStyle w:val="98"/>
              <w:ind w:left="-105" w:right="-105"/>
              <w:rPr>
                <w:rFonts w:eastAsia="宋体"/>
                <w:color w:val="auto"/>
                <w:sz w:val="21"/>
                <w:szCs w:val="21"/>
                <w:highlight w:val="none"/>
              </w:rPr>
            </w:pPr>
            <w:r>
              <w:rPr>
                <w:rFonts w:eastAsia="宋体"/>
                <w:color w:val="auto"/>
                <w:sz w:val="21"/>
                <w:szCs w:val="21"/>
                <w:highlight w:val="none"/>
              </w:rPr>
              <w:t>6</w:t>
            </w:r>
          </w:p>
        </w:tc>
        <w:tc>
          <w:tcPr>
            <w:tcW w:w="687" w:type="dxa"/>
            <w:tcBorders>
              <w:top w:val="single" w:color="000000" w:sz="4" w:space="0"/>
              <w:left w:val="single" w:color="000000" w:sz="4" w:space="0"/>
              <w:bottom w:val="single" w:color="000000" w:sz="4" w:space="0"/>
              <w:right w:val="single" w:color="000000" w:sz="4" w:space="0"/>
            </w:tcBorders>
            <w:vAlign w:val="center"/>
          </w:tcPr>
          <w:p w14:paraId="4918F461">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08CD27A8">
            <w:pPr>
              <w:pStyle w:val="98"/>
              <w:ind w:left="-105" w:right="-105"/>
              <w:rPr>
                <w:rFonts w:eastAsia="宋体"/>
                <w:color w:val="auto"/>
                <w:sz w:val="21"/>
                <w:szCs w:val="21"/>
                <w:highlight w:val="none"/>
              </w:rPr>
            </w:pPr>
            <w:r>
              <w:rPr>
                <w:rFonts w:eastAsia="宋体"/>
                <w:color w:val="auto"/>
                <w:sz w:val="21"/>
                <w:szCs w:val="21"/>
                <w:highlight w:val="none"/>
              </w:rPr>
              <w:t>1.6</w:t>
            </w:r>
          </w:p>
        </w:tc>
        <w:tc>
          <w:tcPr>
            <w:tcW w:w="687" w:type="dxa"/>
            <w:tcBorders>
              <w:top w:val="single" w:color="000000" w:sz="4" w:space="0"/>
              <w:left w:val="single" w:color="000000" w:sz="4" w:space="0"/>
              <w:bottom w:val="single" w:color="000000" w:sz="4" w:space="0"/>
              <w:right w:val="single" w:color="000000" w:sz="4" w:space="0"/>
            </w:tcBorders>
            <w:vAlign w:val="center"/>
          </w:tcPr>
          <w:p w14:paraId="47EDB959">
            <w:pPr>
              <w:pStyle w:val="98"/>
              <w:ind w:left="-105" w:right="-105"/>
              <w:rPr>
                <w:rFonts w:eastAsia="宋体"/>
                <w:color w:val="auto"/>
                <w:sz w:val="21"/>
                <w:szCs w:val="21"/>
                <w:highlight w:val="none"/>
              </w:rPr>
            </w:pPr>
            <w:r>
              <w:rPr>
                <w:rFonts w:eastAsia="宋体"/>
                <w:color w:val="auto"/>
                <w:sz w:val="21"/>
                <w:szCs w:val="21"/>
                <w:highlight w:val="none"/>
              </w:rPr>
              <w:t>0.4</w:t>
            </w:r>
          </w:p>
        </w:tc>
        <w:tc>
          <w:tcPr>
            <w:tcW w:w="684" w:type="dxa"/>
            <w:tcBorders>
              <w:top w:val="single" w:color="000000" w:sz="4" w:space="0"/>
              <w:left w:val="single" w:color="000000" w:sz="4" w:space="0"/>
              <w:bottom w:val="single" w:color="000000" w:sz="4" w:space="0"/>
              <w:right w:val="single" w:color="000000" w:sz="4" w:space="0"/>
            </w:tcBorders>
            <w:vAlign w:val="center"/>
          </w:tcPr>
          <w:p w14:paraId="6D5A82AD">
            <w:pPr>
              <w:pStyle w:val="98"/>
              <w:ind w:left="-105" w:right="-105"/>
              <w:rPr>
                <w:rFonts w:eastAsia="宋体"/>
                <w:color w:val="auto"/>
                <w:sz w:val="21"/>
                <w:szCs w:val="21"/>
                <w:highlight w:val="none"/>
              </w:rPr>
            </w:pPr>
            <w:r>
              <w:rPr>
                <w:rFonts w:eastAsia="宋体"/>
                <w:color w:val="auto"/>
                <w:sz w:val="21"/>
                <w:szCs w:val="21"/>
                <w:highlight w:val="none"/>
              </w:rPr>
              <w:t>1</w:t>
            </w:r>
          </w:p>
        </w:tc>
        <w:tc>
          <w:tcPr>
            <w:tcW w:w="714" w:type="dxa"/>
            <w:tcBorders>
              <w:top w:val="single" w:color="000000" w:sz="4" w:space="0"/>
              <w:left w:val="single" w:color="000000" w:sz="4" w:space="0"/>
              <w:bottom w:val="single" w:color="000000" w:sz="4" w:space="0"/>
              <w:right w:val="single" w:color="000000" w:sz="4" w:space="0"/>
            </w:tcBorders>
            <w:vAlign w:val="center"/>
          </w:tcPr>
          <w:p w14:paraId="10054B85">
            <w:pPr>
              <w:pStyle w:val="98"/>
              <w:ind w:left="-105" w:right="-105"/>
              <w:rPr>
                <w:rFonts w:eastAsia="宋体"/>
                <w:color w:val="auto"/>
                <w:sz w:val="21"/>
                <w:szCs w:val="21"/>
                <w:highlight w:val="none"/>
              </w:rPr>
            </w:pPr>
            <w:r>
              <w:rPr>
                <w:rFonts w:eastAsia="宋体"/>
                <w:color w:val="auto"/>
                <w:sz w:val="21"/>
                <w:szCs w:val="21"/>
                <w:highlight w:val="none"/>
              </w:rPr>
              <w:t>1.2</w:t>
            </w:r>
          </w:p>
        </w:tc>
        <w:tc>
          <w:tcPr>
            <w:tcW w:w="686" w:type="dxa"/>
            <w:tcBorders>
              <w:top w:val="single" w:color="000000" w:sz="4" w:space="0"/>
              <w:left w:val="single" w:color="000000" w:sz="4" w:space="0"/>
              <w:bottom w:val="single" w:color="000000" w:sz="4" w:space="0"/>
              <w:right w:val="single" w:color="000000" w:sz="4" w:space="0"/>
            </w:tcBorders>
            <w:vAlign w:val="center"/>
          </w:tcPr>
          <w:p w14:paraId="00466704">
            <w:pPr>
              <w:pStyle w:val="98"/>
              <w:ind w:left="-105" w:right="-105"/>
              <w:rPr>
                <w:rFonts w:eastAsia="宋体"/>
                <w:color w:val="auto"/>
                <w:sz w:val="21"/>
                <w:szCs w:val="21"/>
                <w:highlight w:val="none"/>
              </w:rPr>
            </w:pPr>
            <w:r>
              <w:rPr>
                <w:rFonts w:eastAsia="宋体"/>
                <w:color w:val="auto"/>
                <w:sz w:val="21"/>
                <w:szCs w:val="21"/>
                <w:highlight w:val="none"/>
              </w:rPr>
              <w:t>2.4</w:t>
            </w:r>
          </w:p>
        </w:tc>
        <w:tc>
          <w:tcPr>
            <w:tcW w:w="747" w:type="dxa"/>
            <w:tcBorders>
              <w:top w:val="single" w:color="000000" w:sz="4" w:space="0"/>
              <w:left w:val="single" w:color="000000" w:sz="4" w:space="0"/>
              <w:bottom w:val="single" w:color="000000" w:sz="4" w:space="0"/>
              <w:right w:val="single" w:color="000000" w:sz="4" w:space="0"/>
            </w:tcBorders>
            <w:vAlign w:val="center"/>
          </w:tcPr>
          <w:p w14:paraId="53751B53">
            <w:pPr>
              <w:pStyle w:val="98"/>
              <w:ind w:left="-105" w:right="-105"/>
              <w:rPr>
                <w:rFonts w:eastAsia="宋体"/>
                <w:color w:val="auto"/>
                <w:sz w:val="21"/>
                <w:szCs w:val="21"/>
                <w:highlight w:val="none"/>
              </w:rPr>
            </w:pPr>
            <w:r>
              <w:rPr>
                <w:rFonts w:eastAsia="宋体"/>
                <w:color w:val="auto"/>
                <w:sz w:val="21"/>
                <w:szCs w:val="21"/>
                <w:highlight w:val="none"/>
              </w:rPr>
              <w:t>7.6</w:t>
            </w:r>
          </w:p>
        </w:tc>
        <w:tc>
          <w:tcPr>
            <w:tcW w:w="686" w:type="dxa"/>
            <w:tcBorders>
              <w:top w:val="single" w:color="000000" w:sz="4" w:space="0"/>
              <w:left w:val="single" w:color="000000" w:sz="4" w:space="0"/>
              <w:bottom w:val="single" w:color="000000" w:sz="4" w:space="0"/>
              <w:right w:val="single" w:color="000000" w:sz="4" w:space="0"/>
            </w:tcBorders>
            <w:vAlign w:val="center"/>
          </w:tcPr>
          <w:p w14:paraId="52E05F3A">
            <w:pPr>
              <w:pStyle w:val="98"/>
              <w:ind w:left="-105" w:right="-105"/>
              <w:rPr>
                <w:rFonts w:eastAsia="宋体"/>
                <w:color w:val="auto"/>
                <w:sz w:val="21"/>
                <w:szCs w:val="21"/>
                <w:highlight w:val="none"/>
              </w:rPr>
            </w:pPr>
            <w:r>
              <w:rPr>
                <w:rFonts w:eastAsia="宋体"/>
                <w:color w:val="auto"/>
                <w:sz w:val="21"/>
                <w:szCs w:val="21"/>
                <w:highlight w:val="none"/>
              </w:rPr>
              <w:t>10</w:t>
            </w:r>
          </w:p>
        </w:tc>
        <w:tc>
          <w:tcPr>
            <w:tcW w:w="700" w:type="dxa"/>
            <w:tcBorders>
              <w:top w:val="single" w:color="000000" w:sz="4" w:space="0"/>
              <w:left w:val="single" w:color="000000" w:sz="4" w:space="0"/>
              <w:bottom w:val="single" w:color="000000" w:sz="4" w:space="0"/>
              <w:right w:val="single" w:color="000000" w:sz="4" w:space="0"/>
            </w:tcBorders>
            <w:vAlign w:val="center"/>
          </w:tcPr>
          <w:p w14:paraId="26F4C875">
            <w:pPr>
              <w:pStyle w:val="98"/>
              <w:ind w:left="-105" w:right="-105"/>
              <w:rPr>
                <w:rFonts w:eastAsia="宋体"/>
                <w:color w:val="auto"/>
                <w:sz w:val="21"/>
                <w:szCs w:val="21"/>
                <w:highlight w:val="none"/>
              </w:rPr>
            </w:pPr>
            <w:r>
              <w:rPr>
                <w:rFonts w:eastAsia="宋体"/>
                <w:color w:val="auto"/>
                <w:sz w:val="21"/>
                <w:szCs w:val="21"/>
                <w:highlight w:val="none"/>
              </w:rPr>
              <w:t>6.6</w:t>
            </w:r>
          </w:p>
        </w:tc>
        <w:tc>
          <w:tcPr>
            <w:tcW w:w="686" w:type="dxa"/>
            <w:tcBorders>
              <w:top w:val="single" w:color="000000" w:sz="4" w:space="0"/>
              <w:left w:val="single" w:color="000000" w:sz="4" w:space="0"/>
              <w:bottom w:val="single" w:color="000000" w:sz="4" w:space="0"/>
              <w:right w:val="single" w:color="000000" w:sz="4" w:space="0"/>
            </w:tcBorders>
            <w:vAlign w:val="center"/>
          </w:tcPr>
          <w:p w14:paraId="711A2D03">
            <w:pPr>
              <w:pStyle w:val="98"/>
              <w:ind w:left="-105" w:right="-105"/>
              <w:rPr>
                <w:rFonts w:eastAsia="宋体"/>
                <w:color w:val="auto"/>
                <w:sz w:val="21"/>
                <w:szCs w:val="21"/>
                <w:highlight w:val="none"/>
              </w:rPr>
            </w:pPr>
            <w:r>
              <w:rPr>
                <w:rFonts w:eastAsia="宋体"/>
                <w:color w:val="auto"/>
                <w:sz w:val="21"/>
                <w:szCs w:val="21"/>
                <w:highlight w:val="none"/>
              </w:rPr>
              <w:t>12.6</w:t>
            </w:r>
          </w:p>
        </w:tc>
        <w:tc>
          <w:tcPr>
            <w:tcW w:w="693" w:type="dxa"/>
            <w:tcBorders>
              <w:top w:val="single" w:color="000000" w:sz="4" w:space="0"/>
              <w:left w:val="single" w:color="000000" w:sz="4" w:space="0"/>
              <w:bottom w:val="single" w:color="000000" w:sz="4" w:space="0"/>
              <w:right w:val="nil"/>
            </w:tcBorders>
            <w:vAlign w:val="center"/>
          </w:tcPr>
          <w:p w14:paraId="0F03C222">
            <w:pPr>
              <w:pStyle w:val="98"/>
              <w:ind w:left="-105" w:right="-105"/>
              <w:rPr>
                <w:rFonts w:eastAsia="宋体"/>
                <w:color w:val="auto"/>
                <w:sz w:val="21"/>
                <w:szCs w:val="21"/>
                <w:highlight w:val="none"/>
              </w:rPr>
            </w:pPr>
            <w:r>
              <w:rPr>
                <w:rFonts w:eastAsia="宋体"/>
                <w:color w:val="auto"/>
                <w:sz w:val="21"/>
                <w:szCs w:val="21"/>
                <w:highlight w:val="none"/>
              </w:rPr>
              <w:t>/</w:t>
            </w:r>
          </w:p>
        </w:tc>
      </w:tr>
      <w:tr w14:paraId="6F89A5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7CD243A1">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4C73FD14">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6048A72D">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0E32B55D">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72E9F1F6">
            <w:pPr>
              <w:pStyle w:val="98"/>
              <w:ind w:left="-105" w:right="-105"/>
              <w:rPr>
                <w:rFonts w:eastAsia="宋体"/>
                <w:color w:val="auto"/>
                <w:sz w:val="21"/>
                <w:szCs w:val="21"/>
                <w:highlight w:val="none"/>
              </w:rPr>
            </w:pPr>
            <w:r>
              <w:rPr>
                <w:rFonts w:eastAsia="宋体"/>
                <w:color w:val="auto"/>
                <w:sz w:val="21"/>
                <w:szCs w:val="21"/>
                <w:highlight w:val="none"/>
              </w:rPr>
              <w:t>2.8</w:t>
            </w:r>
          </w:p>
        </w:tc>
        <w:tc>
          <w:tcPr>
            <w:tcW w:w="688" w:type="dxa"/>
            <w:tcBorders>
              <w:top w:val="single" w:color="000000" w:sz="4" w:space="0"/>
              <w:left w:val="single" w:color="000000" w:sz="4" w:space="0"/>
              <w:bottom w:val="single" w:color="000000" w:sz="4" w:space="0"/>
              <w:right w:val="single" w:color="000000" w:sz="4" w:space="0"/>
            </w:tcBorders>
            <w:vAlign w:val="center"/>
          </w:tcPr>
          <w:p w14:paraId="0A48F298">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28765BF0">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0461AD2E">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551E201F">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1A22763A">
            <w:pPr>
              <w:pStyle w:val="98"/>
              <w:ind w:left="-105" w:right="-105"/>
              <w:rPr>
                <w:rFonts w:eastAsia="宋体"/>
                <w:color w:val="auto"/>
                <w:sz w:val="21"/>
                <w:szCs w:val="21"/>
                <w:highlight w:val="none"/>
              </w:rPr>
            </w:pPr>
            <w:r>
              <w:rPr>
                <w:rFonts w:eastAsia="宋体"/>
                <w:color w:val="auto"/>
                <w:sz w:val="21"/>
                <w:szCs w:val="21"/>
                <w:highlight w:val="none"/>
              </w:rPr>
              <w:t>2.4</w:t>
            </w:r>
          </w:p>
        </w:tc>
        <w:tc>
          <w:tcPr>
            <w:tcW w:w="687" w:type="dxa"/>
            <w:tcBorders>
              <w:top w:val="single" w:color="000000" w:sz="4" w:space="0"/>
              <w:left w:val="single" w:color="000000" w:sz="4" w:space="0"/>
              <w:bottom w:val="single" w:color="000000" w:sz="4" w:space="0"/>
              <w:right w:val="single" w:color="000000" w:sz="4" w:space="0"/>
            </w:tcBorders>
            <w:vAlign w:val="center"/>
          </w:tcPr>
          <w:p w14:paraId="13234A2C">
            <w:pPr>
              <w:pStyle w:val="98"/>
              <w:ind w:left="-105" w:right="-105"/>
              <w:rPr>
                <w:rFonts w:eastAsia="宋体"/>
                <w:color w:val="auto"/>
                <w:sz w:val="21"/>
                <w:szCs w:val="21"/>
                <w:highlight w:val="none"/>
              </w:rPr>
            </w:pPr>
            <w:r>
              <w:rPr>
                <w:rFonts w:eastAsia="宋体"/>
                <w:color w:val="auto"/>
                <w:sz w:val="21"/>
                <w:szCs w:val="21"/>
                <w:highlight w:val="none"/>
              </w:rPr>
              <w:t>1.9</w:t>
            </w:r>
          </w:p>
        </w:tc>
        <w:tc>
          <w:tcPr>
            <w:tcW w:w="687" w:type="dxa"/>
            <w:tcBorders>
              <w:top w:val="single" w:color="000000" w:sz="4" w:space="0"/>
              <w:left w:val="single" w:color="000000" w:sz="4" w:space="0"/>
              <w:bottom w:val="single" w:color="000000" w:sz="4" w:space="0"/>
              <w:right w:val="single" w:color="000000" w:sz="4" w:space="0"/>
            </w:tcBorders>
            <w:vAlign w:val="center"/>
          </w:tcPr>
          <w:p w14:paraId="2FD7FEA6">
            <w:pPr>
              <w:pStyle w:val="98"/>
              <w:ind w:left="-105" w:right="-105"/>
              <w:rPr>
                <w:rFonts w:eastAsia="宋体"/>
                <w:color w:val="auto"/>
                <w:sz w:val="21"/>
                <w:szCs w:val="21"/>
                <w:highlight w:val="none"/>
              </w:rPr>
            </w:pPr>
            <w:r>
              <w:rPr>
                <w:rFonts w:eastAsia="宋体"/>
                <w:color w:val="auto"/>
                <w:sz w:val="21"/>
                <w:szCs w:val="21"/>
                <w:highlight w:val="none"/>
              </w:rPr>
              <w:t>1</w:t>
            </w:r>
          </w:p>
        </w:tc>
        <w:tc>
          <w:tcPr>
            <w:tcW w:w="684" w:type="dxa"/>
            <w:tcBorders>
              <w:top w:val="single" w:color="000000" w:sz="4" w:space="0"/>
              <w:left w:val="single" w:color="000000" w:sz="4" w:space="0"/>
              <w:bottom w:val="single" w:color="000000" w:sz="4" w:space="0"/>
              <w:right w:val="single" w:color="000000" w:sz="4" w:space="0"/>
            </w:tcBorders>
            <w:vAlign w:val="center"/>
          </w:tcPr>
          <w:p w14:paraId="14BB9A58">
            <w:pPr>
              <w:pStyle w:val="98"/>
              <w:ind w:left="-105" w:right="-105"/>
              <w:rPr>
                <w:rFonts w:eastAsia="宋体"/>
                <w:color w:val="auto"/>
                <w:sz w:val="21"/>
                <w:szCs w:val="21"/>
                <w:highlight w:val="none"/>
              </w:rPr>
            </w:pPr>
            <w:r>
              <w:rPr>
                <w:rFonts w:eastAsia="宋体"/>
                <w:color w:val="auto"/>
                <w:sz w:val="21"/>
                <w:szCs w:val="21"/>
                <w:highlight w:val="none"/>
              </w:rPr>
              <w:t>1.3</w:t>
            </w:r>
          </w:p>
        </w:tc>
        <w:tc>
          <w:tcPr>
            <w:tcW w:w="714" w:type="dxa"/>
            <w:tcBorders>
              <w:top w:val="single" w:color="000000" w:sz="4" w:space="0"/>
              <w:left w:val="single" w:color="000000" w:sz="4" w:space="0"/>
              <w:bottom w:val="single" w:color="000000" w:sz="4" w:space="0"/>
              <w:right w:val="single" w:color="000000" w:sz="4" w:space="0"/>
            </w:tcBorders>
            <w:vAlign w:val="center"/>
          </w:tcPr>
          <w:p w14:paraId="1B03A109">
            <w:pPr>
              <w:pStyle w:val="98"/>
              <w:ind w:left="-105" w:right="-105"/>
              <w:rPr>
                <w:rFonts w:eastAsia="宋体"/>
                <w:color w:val="auto"/>
                <w:sz w:val="21"/>
                <w:szCs w:val="21"/>
                <w:highlight w:val="none"/>
              </w:rPr>
            </w:pPr>
            <w:r>
              <w:rPr>
                <w:rFonts w:eastAsia="宋体"/>
                <w:color w:val="auto"/>
                <w:sz w:val="21"/>
                <w:szCs w:val="21"/>
                <w:highlight w:val="none"/>
              </w:rPr>
              <w:t>1.5</w:t>
            </w:r>
          </w:p>
        </w:tc>
        <w:tc>
          <w:tcPr>
            <w:tcW w:w="686" w:type="dxa"/>
            <w:tcBorders>
              <w:top w:val="single" w:color="000000" w:sz="4" w:space="0"/>
              <w:left w:val="single" w:color="000000" w:sz="4" w:space="0"/>
              <w:bottom w:val="single" w:color="000000" w:sz="4" w:space="0"/>
              <w:right w:val="single" w:color="000000" w:sz="4" w:space="0"/>
            </w:tcBorders>
            <w:vAlign w:val="center"/>
          </w:tcPr>
          <w:p w14:paraId="7849DF95">
            <w:pPr>
              <w:pStyle w:val="98"/>
              <w:ind w:left="-105" w:right="-105"/>
              <w:rPr>
                <w:rFonts w:eastAsia="宋体"/>
                <w:color w:val="auto"/>
                <w:sz w:val="21"/>
                <w:szCs w:val="21"/>
                <w:highlight w:val="none"/>
              </w:rPr>
            </w:pPr>
            <w:r>
              <w:rPr>
                <w:rFonts w:eastAsia="宋体"/>
                <w:color w:val="auto"/>
                <w:sz w:val="21"/>
                <w:szCs w:val="21"/>
                <w:highlight w:val="none"/>
              </w:rPr>
              <w:t>4.4</w:t>
            </w:r>
          </w:p>
        </w:tc>
        <w:tc>
          <w:tcPr>
            <w:tcW w:w="747" w:type="dxa"/>
            <w:tcBorders>
              <w:top w:val="single" w:color="000000" w:sz="4" w:space="0"/>
              <w:left w:val="single" w:color="000000" w:sz="4" w:space="0"/>
              <w:bottom w:val="single" w:color="000000" w:sz="4" w:space="0"/>
              <w:right w:val="single" w:color="000000" w:sz="4" w:space="0"/>
            </w:tcBorders>
            <w:vAlign w:val="center"/>
          </w:tcPr>
          <w:p w14:paraId="775EB308">
            <w:pPr>
              <w:pStyle w:val="98"/>
              <w:ind w:left="-105" w:right="-105"/>
              <w:rPr>
                <w:rFonts w:eastAsia="宋体"/>
                <w:color w:val="auto"/>
                <w:sz w:val="21"/>
                <w:szCs w:val="21"/>
                <w:highlight w:val="none"/>
              </w:rPr>
            </w:pPr>
            <w:r>
              <w:rPr>
                <w:rFonts w:eastAsia="宋体"/>
                <w:color w:val="auto"/>
                <w:sz w:val="21"/>
                <w:szCs w:val="21"/>
                <w:highlight w:val="none"/>
              </w:rPr>
              <w:t>3.5</w:t>
            </w:r>
          </w:p>
        </w:tc>
        <w:tc>
          <w:tcPr>
            <w:tcW w:w="686" w:type="dxa"/>
            <w:tcBorders>
              <w:top w:val="single" w:color="000000" w:sz="4" w:space="0"/>
              <w:left w:val="single" w:color="000000" w:sz="4" w:space="0"/>
              <w:bottom w:val="single" w:color="000000" w:sz="4" w:space="0"/>
              <w:right w:val="single" w:color="000000" w:sz="4" w:space="0"/>
            </w:tcBorders>
            <w:vAlign w:val="center"/>
          </w:tcPr>
          <w:p w14:paraId="5CDE162A">
            <w:pPr>
              <w:pStyle w:val="98"/>
              <w:ind w:left="-105" w:right="-105"/>
              <w:rPr>
                <w:rFonts w:eastAsia="宋体"/>
                <w:color w:val="auto"/>
                <w:sz w:val="21"/>
                <w:szCs w:val="21"/>
                <w:highlight w:val="none"/>
              </w:rPr>
            </w:pPr>
            <w:r>
              <w:rPr>
                <w:rFonts w:eastAsia="宋体"/>
                <w:color w:val="auto"/>
                <w:sz w:val="21"/>
                <w:szCs w:val="21"/>
                <w:highlight w:val="none"/>
              </w:rPr>
              <w:t>2.6</w:t>
            </w:r>
          </w:p>
        </w:tc>
        <w:tc>
          <w:tcPr>
            <w:tcW w:w="700" w:type="dxa"/>
            <w:tcBorders>
              <w:top w:val="single" w:color="000000" w:sz="4" w:space="0"/>
              <w:left w:val="single" w:color="000000" w:sz="4" w:space="0"/>
              <w:bottom w:val="single" w:color="000000" w:sz="4" w:space="0"/>
              <w:right w:val="single" w:color="000000" w:sz="4" w:space="0"/>
            </w:tcBorders>
            <w:vAlign w:val="center"/>
          </w:tcPr>
          <w:p w14:paraId="6BDF01EA">
            <w:pPr>
              <w:pStyle w:val="98"/>
              <w:ind w:left="-105" w:right="-105"/>
              <w:rPr>
                <w:rFonts w:eastAsia="宋体"/>
                <w:color w:val="auto"/>
                <w:sz w:val="21"/>
                <w:szCs w:val="21"/>
                <w:highlight w:val="none"/>
              </w:rPr>
            </w:pPr>
            <w:r>
              <w:rPr>
                <w:rFonts w:eastAsia="宋体"/>
                <w:color w:val="auto"/>
                <w:sz w:val="21"/>
                <w:szCs w:val="21"/>
                <w:highlight w:val="none"/>
              </w:rPr>
              <w:t>2.2</w:t>
            </w:r>
          </w:p>
        </w:tc>
        <w:tc>
          <w:tcPr>
            <w:tcW w:w="686" w:type="dxa"/>
            <w:tcBorders>
              <w:top w:val="single" w:color="000000" w:sz="4" w:space="0"/>
              <w:left w:val="single" w:color="000000" w:sz="4" w:space="0"/>
              <w:bottom w:val="single" w:color="000000" w:sz="4" w:space="0"/>
              <w:right w:val="single" w:color="000000" w:sz="4" w:space="0"/>
            </w:tcBorders>
            <w:vAlign w:val="center"/>
          </w:tcPr>
          <w:p w14:paraId="07DF541D">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397163AE">
            <w:pPr>
              <w:pStyle w:val="98"/>
              <w:ind w:left="-105" w:right="-105"/>
              <w:rPr>
                <w:rFonts w:eastAsia="宋体"/>
                <w:color w:val="auto"/>
                <w:sz w:val="21"/>
                <w:szCs w:val="21"/>
                <w:highlight w:val="none"/>
              </w:rPr>
            </w:pPr>
            <w:r>
              <w:rPr>
                <w:rFonts w:eastAsia="宋体"/>
                <w:color w:val="auto"/>
                <w:sz w:val="21"/>
                <w:szCs w:val="21"/>
                <w:highlight w:val="none"/>
              </w:rPr>
              <w:t>2.51</w:t>
            </w:r>
          </w:p>
        </w:tc>
      </w:tr>
      <w:tr w14:paraId="03A5BB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0949E782">
            <w:pPr>
              <w:pStyle w:val="98"/>
              <w:ind w:left="-105" w:right="-105"/>
              <w:rPr>
                <w:rFonts w:eastAsia="宋体"/>
                <w:color w:val="auto"/>
                <w:sz w:val="21"/>
                <w:szCs w:val="21"/>
                <w:highlight w:val="none"/>
              </w:rPr>
            </w:pPr>
            <w:r>
              <w:rPr>
                <w:rFonts w:eastAsia="宋体"/>
                <w:color w:val="auto"/>
                <w:sz w:val="21"/>
                <w:szCs w:val="21"/>
                <w:highlight w:val="none"/>
              </w:rPr>
              <w:t>11月</w:t>
            </w:r>
          </w:p>
        </w:tc>
        <w:tc>
          <w:tcPr>
            <w:tcW w:w="687" w:type="dxa"/>
            <w:tcBorders>
              <w:top w:val="single" w:color="000000" w:sz="4" w:space="0"/>
              <w:left w:val="single" w:color="000000" w:sz="4" w:space="0"/>
              <w:bottom w:val="single" w:color="000000" w:sz="4" w:space="0"/>
              <w:right w:val="single" w:color="000000" w:sz="4" w:space="0"/>
            </w:tcBorders>
            <w:vAlign w:val="center"/>
          </w:tcPr>
          <w:p w14:paraId="66330A82">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447B3AC1">
            <w:pPr>
              <w:pStyle w:val="98"/>
              <w:ind w:left="-105" w:right="-105"/>
              <w:rPr>
                <w:rFonts w:eastAsia="宋体"/>
                <w:color w:val="auto"/>
                <w:sz w:val="21"/>
                <w:szCs w:val="21"/>
                <w:highlight w:val="none"/>
              </w:rPr>
            </w:pPr>
            <w:r>
              <w:rPr>
                <w:rFonts w:eastAsia="宋体"/>
                <w:color w:val="auto"/>
                <w:sz w:val="21"/>
                <w:szCs w:val="21"/>
                <w:highlight w:val="none"/>
              </w:rPr>
              <w:t>8.2</w:t>
            </w:r>
          </w:p>
        </w:tc>
        <w:tc>
          <w:tcPr>
            <w:tcW w:w="687" w:type="dxa"/>
            <w:tcBorders>
              <w:top w:val="single" w:color="000000" w:sz="4" w:space="0"/>
              <w:left w:val="single" w:color="000000" w:sz="4" w:space="0"/>
              <w:bottom w:val="single" w:color="000000" w:sz="4" w:space="0"/>
              <w:right w:val="single" w:color="000000" w:sz="4" w:space="0"/>
            </w:tcBorders>
            <w:vAlign w:val="center"/>
          </w:tcPr>
          <w:p w14:paraId="7C8B59D2">
            <w:pPr>
              <w:pStyle w:val="98"/>
              <w:ind w:left="-105" w:right="-105"/>
              <w:rPr>
                <w:rFonts w:eastAsia="宋体"/>
                <w:color w:val="auto"/>
                <w:sz w:val="21"/>
                <w:szCs w:val="21"/>
                <w:highlight w:val="none"/>
              </w:rPr>
            </w:pPr>
            <w:r>
              <w:rPr>
                <w:rFonts w:eastAsia="宋体"/>
                <w:color w:val="auto"/>
                <w:sz w:val="21"/>
                <w:szCs w:val="21"/>
                <w:highlight w:val="none"/>
              </w:rPr>
              <w:t>5.4</w:t>
            </w:r>
          </w:p>
        </w:tc>
        <w:tc>
          <w:tcPr>
            <w:tcW w:w="687" w:type="dxa"/>
            <w:tcBorders>
              <w:top w:val="single" w:color="000000" w:sz="4" w:space="0"/>
              <w:left w:val="single" w:color="000000" w:sz="4" w:space="0"/>
              <w:bottom w:val="single" w:color="000000" w:sz="4" w:space="0"/>
              <w:right w:val="single" w:color="000000" w:sz="4" w:space="0"/>
            </w:tcBorders>
            <w:vAlign w:val="center"/>
          </w:tcPr>
          <w:p w14:paraId="18C4462A">
            <w:pPr>
              <w:pStyle w:val="98"/>
              <w:ind w:left="-105" w:right="-105"/>
              <w:rPr>
                <w:rFonts w:eastAsia="宋体"/>
                <w:color w:val="auto"/>
                <w:sz w:val="21"/>
                <w:szCs w:val="21"/>
                <w:highlight w:val="none"/>
              </w:rPr>
            </w:pPr>
            <w:r>
              <w:rPr>
                <w:rFonts w:eastAsia="宋体"/>
                <w:color w:val="auto"/>
                <w:sz w:val="21"/>
                <w:szCs w:val="21"/>
                <w:highlight w:val="none"/>
              </w:rPr>
              <w:t>5.4</w:t>
            </w:r>
          </w:p>
        </w:tc>
        <w:tc>
          <w:tcPr>
            <w:tcW w:w="688" w:type="dxa"/>
            <w:tcBorders>
              <w:top w:val="single" w:color="000000" w:sz="4" w:space="0"/>
              <w:left w:val="single" w:color="000000" w:sz="4" w:space="0"/>
              <w:bottom w:val="single" w:color="000000" w:sz="4" w:space="0"/>
              <w:right w:val="single" w:color="000000" w:sz="4" w:space="0"/>
            </w:tcBorders>
            <w:vAlign w:val="center"/>
          </w:tcPr>
          <w:p w14:paraId="1A975CFE">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6D67DEB1">
            <w:pPr>
              <w:pStyle w:val="98"/>
              <w:ind w:left="-105" w:right="-105"/>
              <w:rPr>
                <w:rFonts w:eastAsia="宋体"/>
                <w:color w:val="auto"/>
                <w:sz w:val="21"/>
                <w:szCs w:val="21"/>
                <w:highlight w:val="none"/>
              </w:rPr>
            </w:pPr>
            <w:r>
              <w:rPr>
                <w:rFonts w:eastAsia="宋体"/>
                <w:color w:val="auto"/>
                <w:sz w:val="21"/>
                <w:szCs w:val="21"/>
                <w:highlight w:val="none"/>
              </w:rPr>
              <w:t>4</w:t>
            </w:r>
          </w:p>
        </w:tc>
        <w:tc>
          <w:tcPr>
            <w:tcW w:w="687" w:type="dxa"/>
            <w:tcBorders>
              <w:top w:val="single" w:color="000000" w:sz="4" w:space="0"/>
              <w:left w:val="single" w:color="000000" w:sz="4" w:space="0"/>
              <w:bottom w:val="single" w:color="000000" w:sz="4" w:space="0"/>
              <w:right w:val="single" w:color="000000" w:sz="4" w:space="0"/>
            </w:tcBorders>
            <w:vAlign w:val="center"/>
          </w:tcPr>
          <w:p w14:paraId="6C5F4652">
            <w:pPr>
              <w:pStyle w:val="98"/>
              <w:ind w:left="-105" w:right="-105"/>
              <w:rPr>
                <w:rFonts w:eastAsia="宋体"/>
                <w:color w:val="auto"/>
                <w:sz w:val="21"/>
                <w:szCs w:val="21"/>
                <w:highlight w:val="none"/>
              </w:rPr>
            </w:pPr>
            <w:r>
              <w:rPr>
                <w:rFonts w:eastAsia="宋体"/>
                <w:color w:val="auto"/>
                <w:sz w:val="21"/>
                <w:szCs w:val="21"/>
                <w:highlight w:val="none"/>
              </w:rPr>
              <w:t>9.2</w:t>
            </w:r>
          </w:p>
        </w:tc>
        <w:tc>
          <w:tcPr>
            <w:tcW w:w="687" w:type="dxa"/>
            <w:tcBorders>
              <w:top w:val="single" w:color="000000" w:sz="4" w:space="0"/>
              <w:left w:val="single" w:color="000000" w:sz="4" w:space="0"/>
              <w:bottom w:val="single" w:color="000000" w:sz="4" w:space="0"/>
              <w:right w:val="single" w:color="000000" w:sz="4" w:space="0"/>
            </w:tcBorders>
            <w:vAlign w:val="center"/>
          </w:tcPr>
          <w:p w14:paraId="311FDA1A">
            <w:pPr>
              <w:pStyle w:val="98"/>
              <w:ind w:left="-105" w:right="-105"/>
              <w:rPr>
                <w:rFonts w:eastAsia="宋体"/>
                <w:color w:val="auto"/>
                <w:sz w:val="21"/>
                <w:szCs w:val="21"/>
                <w:highlight w:val="none"/>
              </w:rPr>
            </w:pPr>
            <w:r>
              <w:rPr>
                <w:rFonts w:eastAsia="宋体"/>
                <w:color w:val="auto"/>
                <w:sz w:val="21"/>
                <w:szCs w:val="21"/>
                <w:highlight w:val="none"/>
              </w:rPr>
              <w:t>8.2</w:t>
            </w:r>
          </w:p>
        </w:tc>
        <w:tc>
          <w:tcPr>
            <w:tcW w:w="687" w:type="dxa"/>
            <w:tcBorders>
              <w:top w:val="single" w:color="000000" w:sz="4" w:space="0"/>
              <w:left w:val="single" w:color="000000" w:sz="4" w:space="0"/>
              <w:bottom w:val="single" w:color="000000" w:sz="4" w:space="0"/>
              <w:right w:val="single" w:color="000000" w:sz="4" w:space="0"/>
            </w:tcBorders>
            <w:vAlign w:val="center"/>
          </w:tcPr>
          <w:p w14:paraId="77A08E19">
            <w:pPr>
              <w:pStyle w:val="98"/>
              <w:ind w:left="-105" w:right="-105"/>
              <w:rPr>
                <w:rFonts w:eastAsia="宋体"/>
                <w:color w:val="auto"/>
                <w:sz w:val="21"/>
                <w:szCs w:val="21"/>
                <w:highlight w:val="none"/>
              </w:rPr>
            </w:pPr>
            <w:r>
              <w:rPr>
                <w:rFonts w:eastAsia="宋体"/>
                <w:color w:val="auto"/>
                <w:sz w:val="21"/>
                <w:szCs w:val="21"/>
                <w:highlight w:val="none"/>
              </w:rPr>
              <w:t>3.6</w:t>
            </w:r>
          </w:p>
        </w:tc>
        <w:tc>
          <w:tcPr>
            <w:tcW w:w="687" w:type="dxa"/>
            <w:tcBorders>
              <w:top w:val="single" w:color="000000" w:sz="4" w:space="0"/>
              <w:left w:val="single" w:color="000000" w:sz="4" w:space="0"/>
              <w:bottom w:val="single" w:color="000000" w:sz="4" w:space="0"/>
              <w:right w:val="single" w:color="000000" w:sz="4" w:space="0"/>
            </w:tcBorders>
            <w:vAlign w:val="center"/>
          </w:tcPr>
          <w:p w14:paraId="198AAA8F">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bottom w:val="single" w:color="000000" w:sz="4" w:space="0"/>
              <w:right w:val="single" w:color="000000" w:sz="4" w:space="0"/>
            </w:tcBorders>
            <w:vAlign w:val="center"/>
          </w:tcPr>
          <w:p w14:paraId="4BFBA86B">
            <w:pPr>
              <w:pStyle w:val="98"/>
              <w:ind w:left="-105" w:right="-105"/>
              <w:rPr>
                <w:rFonts w:eastAsia="宋体"/>
                <w:color w:val="auto"/>
                <w:sz w:val="21"/>
                <w:szCs w:val="21"/>
                <w:highlight w:val="none"/>
              </w:rPr>
            </w:pPr>
            <w:r>
              <w:rPr>
                <w:rFonts w:eastAsia="宋体"/>
                <w:color w:val="auto"/>
                <w:sz w:val="21"/>
                <w:szCs w:val="21"/>
                <w:highlight w:val="none"/>
              </w:rPr>
              <w:t>2.6</w:t>
            </w:r>
          </w:p>
        </w:tc>
        <w:tc>
          <w:tcPr>
            <w:tcW w:w="684" w:type="dxa"/>
            <w:tcBorders>
              <w:top w:val="single" w:color="000000" w:sz="4" w:space="0"/>
              <w:left w:val="single" w:color="000000" w:sz="4" w:space="0"/>
              <w:bottom w:val="single" w:color="000000" w:sz="4" w:space="0"/>
              <w:right w:val="single" w:color="000000" w:sz="4" w:space="0"/>
            </w:tcBorders>
            <w:vAlign w:val="center"/>
          </w:tcPr>
          <w:p w14:paraId="050BD7BE">
            <w:pPr>
              <w:pStyle w:val="98"/>
              <w:ind w:left="-105" w:right="-105"/>
              <w:rPr>
                <w:rFonts w:eastAsia="宋体"/>
                <w:color w:val="auto"/>
                <w:sz w:val="21"/>
                <w:szCs w:val="21"/>
                <w:highlight w:val="none"/>
              </w:rPr>
            </w:pPr>
            <w:r>
              <w:rPr>
                <w:rFonts w:eastAsia="宋体"/>
                <w:color w:val="auto"/>
                <w:sz w:val="21"/>
                <w:szCs w:val="21"/>
                <w:highlight w:val="none"/>
              </w:rPr>
              <w:t>2</w:t>
            </w:r>
          </w:p>
        </w:tc>
        <w:tc>
          <w:tcPr>
            <w:tcW w:w="714" w:type="dxa"/>
            <w:tcBorders>
              <w:top w:val="single" w:color="000000" w:sz="4" w:space="0"/>
              <w:left w:val="single" w:color="000000" w:sz="4" w:space="0"/>
              <w:bottom w:val="single" w:color="000000" w:sz="4" w:space="0"/>
              <w:right w:val="single" w:color="000000" w:sz="4" w:space="0"/>
            </w:tcBorders>
            <w:vAlign w:val="center"/>
          </w:tcPr>
          <w:p w14:paraId="27C493AC">
            <w:pPr>
              <w:pStyle w:val="98"/>
              <w:ind w:left="-105" w:right="-105"/>
              <w:rPr>
                <w:rFonts w:eastAsia="宋体"/>
                <w:color w:val="auto"/>
                <w:sz w:val="21"/>
                <w:szCs w:val="21"/>
                <w:highlight w:val="none"/>
              </w:rPr>
            </w:pPr>
            <w:r>
              <w:rPr>
                <w:rFonts w:eastAsia="宋体"/>
                <w:color w:val="auto"/>
                <w:sz w:val="21"/>
                <w:szCs w:val="21"/>
                <w:highlight w:val="none"/>
              </w:rPr>
              <w:t>0.8</w:t>
            </w:r>
          </w:p>
        </w:tc>
        <w:tc>
          <w:tcPr>
            <w:tcW w:w="686" w:type="dxa"/>
            <w:tcBorders>
              <w:top w:val="single" w:color="000000" w:sz="4" w:space="0"/>
              <w:left w:val="single" w:color="000000" w:sz="4" w:space="0"/>
              <w:bottom w:val="single" w:color="000000" w:sz="4" w:space="0"/>
              <w:right w:val="single" w:color="000000" w:sz="4" w:space="0"/>
            </w:tcBorders>
            <w:vAlign w:val="center"/>
          </w:tcPr>
          <w:p w14:paraId="57969AED">
            <w:pPr>
              <w:pStyle w:val="98"/>
              <w:ind w:left="-105" w:right="-105"/>
              <w:rPr>
                <w:rFonts w:eastAsia="宋体"/>
                <w:color w:val="auto"/>
                <w:sz w:val="21"/>
                <w:szCs w:val="21"/>
                <w:highlight w:val="none"/>
              </w:rPr>
            </w:pPr>
            <w:r>
              <w:rPr>
                <w:rFonts w:eastAsia="宋体"/>
                <w:color w:val="auto"/>
                <w:sz w:val="21"/>
                <w:szCs w:val="21"/>
                <w:highlight w:val="none"/>
              </w:rPr>
              <w:t>4.6</w:t>
            </w:r>
          </w:p>
        </w:tc>
        <w:tc>
          <w:tcPr>
            <w:tcW w:w="747" w:type="dxa"/>
            <w:tcBorders>
              <w:top w:val="single" w:color="000000" w:sz="4" w:space="0"/>
              <w:left w:val="single" w:color="000000" w:sz="4" w:space="0"/>
              <w:bottom w:val="single" w:color="000000" w:sz="4" w:space="0"/>
              <w:right w:val="single" w:color="000000" w:sz="4" w:space="0"/>
            </w:tcBorders>
            <w:vAlign w:val="center"/>
          </w:tcPr>
          <w:p w14:paraId="1514E8A3">
            <w:pPr>
              <w:pStyle w:val="98"/>
              <w:ind w:left="-105" w:right="-105"/>
              <w:rPr>
                <w:rFonts w:eastAsia="宋体"/>
                <w:color w:val="auto"/>
                <w:sz w:val="21"/>
                <w:szCs w:val="21"/>
                <w:highlight w:val="none"/>
              </w:rPr>
            </w:pPr>
            <w:r>
              <w:rPr>
                <w:rFonts w:eastAsia="宋体"/>
                <w:color w:val="auto"/>
                <w:sz w:val="21"/>
                <w:szCs w:val="21"/>
                <w:highlight w:val="none"/>
              </w:rPr>
              <w:t>10.2</w:t>
            </w:r>
          </w:p>
        </w:tc>
        <w:tc>
          <w:tcPr>
            <w:tcW w:w="686" w:type="dxa"/>
            <w:tcBorders>
              <w:top w:val="single" w:color="000000" w:sz="4" w:space="0"/>
              <w:left w:val="single" w:color="000000" w:sz="4" w:space="0"/>
              <w:bottom w:val="single" w:color="000000" w:sz="4" w:space="0"/>
              <w:right w:val="single" w:color="000000" w:sz="4" w:space="0"/>
            </w:tcBorders>
            <w:vAlign w:val="center"/>
          </w:tcPr>
          <w:p w14:paraId="5D5DE877">
            <w:pPr>
              <w:pStyle w:val="98"/>
              <w:ind w:left="-105" w:right="-105"/>
              <w:rPr>
                <w:rFonts w:eastAsia="宋体"/>
                <w:color w:val="auto"/>
                <w:sz w:val="21"/>
                <w:szCs w:val="21"/>
                <w:highlight w:val="none"/>
              </w:rPr>
            </w:pPr>
            <w:r>
              <w:rPr>
                <w:rFonts w:eastAsia="宋体"/>
                <w:color w:val="auto"/>
                <w:sz w:val="21"/>
                <w:szCs w:val="21"/>
                <w:highlight w:val="none"/>
              </w:rPr>
              <w:t>6</w:t>
            </w:r>
          </w:p>
        </w:tc>
        <w:tc>
          <w:tcPr>
            <w:tcW w:w="700" w:type="dxa"/>
            <w:tcBorders>
              <w:top w:val="single" w:color="000000" w:sz="4" w:space="0"/>
              <w:left w:val="single" w:color="000000" w:sz="4" w:space="0"/>
              <w:bottom w:val="single" w:color="000000" w:sz="4" w:space="0"/>
              <w:right w:val="single" w:color="000000" w:sz="4" w:space="0"/>
            </w:tcBorders>
            <w:vAlign w:val="center"/>
          </w:tcPr>
          <w:p w14:paraId="6E5AA1C8">
            <w:pPr>
              <w:pStyle w:val="98"/>
              <w:ind w:left="-105" w:right="-105"/>
              <w:rPr>
                <w:rFonts w:eastAsia="宋体"/>
                <w:color w:val="auto"/>
                <w:sz w:val="21"/>
                <w:szCs w:val="21"/>
                <w:highlight w:val="none"/>
              </w:rPr>
            </w:pPr>
            <w:r>
              <w:rPr>
                <w:rFonts w:eastAsia="宋体"/>
                <w:color w:val="auto"/>
                <w:sz w:val="21"/>
                <w:szCs w:val="21"/>
                <w:highlight w:val="none"/>
              </w:rPr>
              <w:t>5.8</w:t>
            </w:r>
          </w:p>
        </w:tc>
        <w:tc>
          <w:tcPr>
            <w:tcW w:w="686" w:type="dxa"/>
            <w:tcBorders>
              <w:top w:val="single" w:color="000000" w:sz="4" w:space="0"/>
              <w:left w:val="single" w:color="000000" w:sz="4" w:space="0"/>
              <w:bottom w:val="single" w:color="000000" w:sz="4" w:space="0"/>
              <w:right w:val="single" w:color="000000" w:sz="4" w:space="0"/>
            </w:tcBorders>
            <w:vAlign w:val="center"/>
          </w:tcPr>
          <w:p w14:paraId="7EFC2E9F">
            <w:pPr>
              <w:pStyle w:val="98"/>
              <w:ind w:left="-105" w:right="-105"/>
              <w:rPr>
                <w:rFonts w:eastAsia="宋体"/>
                <w:color w:val="auto"/>
                <w:sz w:val="21"/>
                <w:szCs w:val="21"/>
                <w:highlight w:val="none"/>
              </w:rPr>
            </w:pPr>
            <w:r>
              <w:rPr>
                <w:rFonts w:eastAsia="宋体"/>
                <w:color w:val="auto"/>
                <w:sz w:val="21"/>
                <w:szCs w:val="21"/>
                <w:highlight w:val="none"/>
              </w:rPr>
              <w:t>17.4</w:t>
            </w:r>
          </w:p>
        </w:tc>
        <w:tc>
          <w:tcPr>
            <w:tcW w:w="693" w:type="dxa"/>
            <w:tcBorders>
              <w:top w:val="single" w:color="000000" w:sz="4" w:space="0"/>
              <w:left w:val="single" w:color="000000" w:sz="4" w:space="0"/>
              <w:bottom w:val="single" w:color="000000" w:sz="4" w:space="0"/>
              <w:right w:val="nil"/>
            </w:tcBorders>
            <w:vAlign w:val="center"/>
          </w:tcPr>
          <w:p w14:paraId="670C103B">
            <w:pPr>
              <w:pStyle w:val="98"/>
              <w:ind w:left="-105" w:right="-105"/>
              <w:rPr>
                <w:rFonts w:eastAsia="宋体"/>
                <w:color w:val="auto"/>
                <w:sz w:val="21"/>
                <w:szCs w:val="21"/>
                <w:highlight w:val="none"/>
              </w:rPr>
            </w:pPr>
            <w:r>
              <w:rPr>
                <w:rFonts w:eastAsia="宋体"/>
                <w:color w:val="auto"/>
                <w:sz w:val="21"/>
                <w:szCs w:val="21"/>
                <w:highlight w:val="none"/>
              </w:rPr>
              <w:t>/</w:t>
            </w:r>
          </w:p>
        </w:tc>
      </w:tr>
      <w:tr w14:paraId="7714AF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10204ACC">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7B404B1E">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50EC1608">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4AFF5DAB">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4B0AC52F">
            <w:pPr>
              <w:pStyle w:val="98"/>
              <w:ind w:left="-105" w:right="-105"/>
              <w:rPr>
                <w:rFonts w:eastAsia="宋体"/>
                <w:color w:val="auto"/>
                <w:sz w:val="21"/>
                <w:szCs w:val="21"/>
                <w:highlight w:val="none"/>
              </w:rPr>
            </w:pPr>
            <w:r>
              <w:rPr>
                <w:rFonts w:eastAsia="宋体"/>
                <w:color w:val="auto"/>
                <w:sz w:val="21"/>
                <w:szCs w:val="21"/>
                <w:highlight w:val="none"/>
              </w:rPr>
              <w:t>2.4</w:t>
            </w:r>
          </w:p>
        </w:tc>
        <w:tc>
          <w:tcPr>
            <w:tcW w:w="688" w:type="dxa"/>
            <w:tcBorders>
              <w:top w:val="single" w:color="000000" w:sz="4" w:space="0"/>
              <w:left w:val="single" w:color="000000" w:sz="4" w:space="0"/>
              <w:bottom w:val="single" w:color="000000" w:sz="4" w:space="0"/>
              <w:right w:val="single" w:color="000000" w:sz="4" w:space="0"/>
            </w:tcBorders>
            <w:vAlign w:val="center"/>
          </w:tcPr>
          <w:p w14:paraId="435241C5">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bottom w:val="single" w:color="000000" w:sz="4" w:space="0"/>
              <w:right w:val="single" w:color="000000" w:sz="4" w:space="0"/>
            </w:tcBorders>
            <w:vAlign w:val="center"/>
          </w:tcPr>
          <w:p w14:paraId="55D10AC5">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3BFC6AEB">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3E659E24">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2D768102">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bottom w:val="single" w:color="000000" w:sz="4" w:space="0"/>
              <w:right w:val="single" w:color="000000" w:sz="4" w:space="0"/>
            </w:tcBorders>
            <w:vAlign w:val="center"/>
          </w:tcPr>
          <w:p w14:paraId="6A583360">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238D9D5E">
            <w:pPr>
              <w:pStyle w:val="98"/>
              <w:ind w:left="-105" w:right="-105"/>
              <w:rPr>
                <w:rFonts w:eastAsia="宋体"/>
                <w:color w:val="auto"/>
                <w:sz w:val="21"/>
                <w:szCs w:val="21"/>
                <w:highlight w:val="none"/>
              </w:rPr>
            </w:pPr>
            <w:r>
              <w:rPr>
                <w:rFonts w:eastAsia="宋体"/>
                <w:color w:val="auto"/>
                <w:sz w:val="21"/>
                <w:szCs w:val="21"/>
                <w:highlight w:val="none"/>
              </w:rPr>
              <w:t>2.2</w:t>
            </w:r>
          </w:p>
        </w:tc>
        <w:tc>
          <w:tcPr>
            <w:tcW w:w="684" w:type="dxa"/>
            <w:tcBorders>
              <w:top w:val="single" w:color="000000" w:sz="4" w:space="0"/>
              <w:left w:val="single" w:color="000000" w:sz="4" w:space="0"/>
              <w:bottom w:val="single" w:color="000000" w:sz="4" w:space="0"/>
              <w:right w:val="single" w:color="000000" w:sz="4" w:space="0"/>
            </w:tcBorders>
            <w:vAlign w:val="center"/>
          </w:tcPr>
          <w:p w14:paraId="6F685A8B">
            <w:pPr>
              <w:pStyle w:val="98"/>
              <w:ind w:left="-105" w:right="-105"/>
              <w:rPr>
                <w:rFonts w:eastAsia="宋体"/>
                <w:color w:val="auto"/>
                <w:sz w:val="21"/>
                <w:szCs w:val="21"/>
                <w:highlight w:val="none"/>
              </w:rPr>
            </w:pPr>
            <w:r>
              <w:rPr>
                <w:rFonts w:eastAsia="宋体"/>
                <w:color w:val="auto"/>
                <w:sz w:val="21"/>
                <w:szCs w:val="21"/>
                <w:highlight w:val="none"/>
              </w:rPr>
              <w:t>1.5</w:t>
            </w:r>
          </w:p>
        </w:tc>
        <w:tc>
          <w:tcPr>
            <w:tcW w:w="714" w:type="dxa"/>
            <w:tcBorders>
              <w:top w:val="single" w:color="000000" w:sz="4" w:space="0"/>
              <w:left w:val="single" w:color="000000" w:sz="4" w:space="0"/>
              <w:bottom w:val="single" w:color="000000" w:sz="4" w:space="0"/>
              <w:right w:val="single" w:color="000000" w:sz="4" w:space="0"/>
            </w:tcBorders>
            <w:vAlign w:val="center"/>
          </w:tcPr>
          <w:p w14:paraId="4C3F19C8">
            <w:pPr>
              <w:pStyle w:val="98"/>
              <w:ind w:left="-105" w:right="-105"/>
              <w:rPr>
                <w:rFonts w:eastAsia="宋体"/>
                <w:color w:val="auto"/>
                <w:sz w:val="21"/>
                <w:szCs w:val="21"/>
                <w:highlight w:val="none"/>
              </w:rPr>
            </w:pPr>
            <w:r>
              <w:rPr>
                <w:rFonts w:eastAsia="宋体"/>
                <w:color w:val="auto"/>
                <w:sz w:val="21"/>
                <w:szCs w:val="21"/>
                <w:highlight w:val="none"/>
              </w:rPr>
              <w:t>1.2</w:t>
            </w:r>
          </w:p>
        </w:tc>
        <w:tc>
          <w:tcPr>
            <w:tcW w:w="686" w:type="dxa"/>
            <w:tcBorders>
              <w:top w:val="single" w:color="000000" w:sz="4" w:space="0"/>
              <w:left w:val="single" w:color="000000" w:sz="4" w:space="0"/>
              <w:bottom w:val="single" w:color="000000" w:sz="4" w:space="0"/>
              <w:right w:val="single" w:color="000000" w:sz="4" w:space="0"/>
            </w:tcBorders>
            <w:vAlign w:val="center"/>
          </w:tcPr>
          <w:p w14:paraId="46562018">
            <w:pPr>
              <w:pStyle w:val="98"/>
              <w:ind w:left="-105" w:right="-105"/>
              <w:rPr>
                <w:rFonts w:eastAsia="宋体"/>
                <w:color w:val="auto"/>
                <w:sz w:val="21"/>
                <w:szCs w:val="21"/>
                <w:highlight w:val="none"/>
              </w:rPr>
            </w:pPr>
            <w:r>
              <w:rPr>
                <w:rFonts w:eastAsia="宋体"/>
                <w:color w:val="auto"/>
                <w:sz w:val="21"/>
                <w:szCs w:val="21"/>
                <w:highlight w:val="none"/>
              </w:rPr>
              <w:t>3.1</w:t>
            </w:r>
          </w:p>
        </w:tc>
        <w:tc>
          <w:tcPr>
            <w:tcW w:w="747" w:type="dxa"/>
            <w:tcBorders>
              <w:top w:val="single" w:color="000000" w:sz="4" w:space="0"/>
              <w:left w:val="single" w:color="000000" w:sz="4" w:space="0"/>
              <w:bottom w:val="single" w:color="000000" w:sz="4" w:space="0"/>
              <w:right w:val="single" w:color="000000" w:sz="4" w:space="0"/>
            </w:tcBorders>
            <w:vAlign w:val="center"/>
          </w:tcPr>
          <w:p w14:paraId="69C59BD7">
            <w:pPr>
              <w:pStyle w:val="98"/>
              <w:ind w:left="-105" w:right="-105"/>
              <w:rPr>
                <w:rFonts w:eastAsia="宋体"/>
                <w:color w:val="auto"/>
                <w:sz w:val="21"/>
                <w:szCs w:val="21"/>
                <w:highlight w:val="none"/>
              </w:rPr>
            </w:pPr>
            <w:r>
              <w:rPr>
                <w:rFonts w:eastAsia="宋体"/>
                <w:color w:val="auto"/>
                <w:sz w:val="21"/>
                <w:szCs w:val="21"/>
                <w:highlight w:val="none"/>
              </w:rPr>
              <w:t>4.2</w:t>
            </w:r>
          </w:p>
        </w:tc>
        <w:tc>
          <w:tcPr>
            <w:tcW w:w="686" w:type="dxa"/>
            <w:tcBorders>
              <w:top w:val="single" w:color="000000" w:sz="4" w:space="0"/>
              <w:left w:val="single" w:color="000000" w:sz="4" w:space="0"/>
              <w:bottom w:val="single" w:color="000000" w:sz="4" w:space="0"/>
              <w:right w:val="single" w:color="000000" w:sz="4" w:space="0"/>
            </w:tcBorders>
            <w:vAlign w:val="center"/>
          </w:tcPr>
          <w:p w14:paraId="0BD3E31E">
            <w:pPr>
              <w:pStyle w:val="98"/>
              <w:ind w:left="-105" w:right="-105"/>
              <w:rPr>
                <w:rFonts w:eastAsia="宋体"/>
                <w:color w:val="auto"/>
                <w:sz w:val="21"/>
                <w:szCs w:val="21"/>
                <w:highlight w:val="none"/>
              </w:rPr>
            </w:pPr>
            <w:r>
              <w:rPr>
                <w:rFonts w:eastAsia="宋体"/>
                <w:color w:val="auto"/>
                <w:sz w:val="21"/>
                <w:szCs w:val="21"/>
                <w:highlight w:val="none"/>
              </w:rPr>
              <w:t>3.5</w:t>
            </w:r>
          </w:p>
        </w:tc>
        <w:tc>
          <w:tcPr>
            <w:tcW w:w="700" w:type="dxa"/>
            <w:tcBorders>
              <w:top w:val="single" w:color="000000" w:sz="4" w:space="0"/>
              <w:left w:val="single" w:color="000000" w:sz="4" w:space="0"/>
              <w:bottom w:val="single" w:color="000000" w:sz="4" w:space="0"/>
              <w:right w:val="single" w:color="000000" w:sz="4" w:space="0"/>
            </w:tcBorders>
            <w:vAlign w:val="center"/>
          </w:tcPr>
          <w:p w14:paraId="1B9E166D">
            <w:pPr>
              <w:pStyle w:val="98"/>
              <w:ind w:left="-105" w:right="-105"/>
              <w:rPr>
                <w:rFonts w:eastAsia="宋体"/>
                <w:color w:val="auto"/>
                <w:sz w:val="21"/>
                <w:szCs w:val="21"/>
                <w:highlight w:val="none"/>
              </w:rPr>
            </w:pPr>
            <w:r>
              <w:rPr>
                <w:rFonts w:eastAsia="宋体"/>
                <w:color w:val="auto"/>
                <w:sz w:val="21"/>
                <w:szCs w:val="21"/>
                <w:highlight w:val="none"/>
              </w:rPr>
              <w:t>2.7</w:t>
            </w:r>
          </w:p>
        </w:tc>
        <w:tc>
          <w:tcPr>
            <w:tcW w:w="686" w:type="dxa"/>
            <w:tcBorders>
              <w:top w:val="single" w:color="000000" w:sz="4" w:space="0"/>
              <w:left w:val="single" w:color="000000" w:sz="4" w:space="0"/>
              <w:bottom w:val="single" w:color="000000" w:sz="4" w:space="0"/>
              <w:right w:val="single" w:color="000000" w:sz="4" w:space="0"/>
            </w:tcBorders>
            <w:vAlign w:val="center"/>
          </w:tcPr>
          <w:p w14:paraId="5F5140D2">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368DD550">
            <w:pPr>
              <w:pStyle w:val="98"/>
              <w:ind w:left="-105" w:right="-105"/>
              <w:rPr>
                <w:rFonts w:eastAsia="宋体"/>
                <w:color w:val="auto"/>
                <w:sz w:val="21"/>
                <w:szCs w:val="21"/>
                <w:highlight w:val="none"/>
              </w:rPr>
            </w:pPr>
            <w:r>
              <w:rPr>
                <w:rFonts w:eastAsia="宋体"/>
                <w:color w:val="auto"/>
                <w:sz w:val="21"/>
                <w:szCs w:val="21"/>
                <w:highlight w:val="none"/>
              </w:rPr>
              <w:t>2.68</w:t>
            </w:r>
          </w:p>
        </w:tc>
      </w:tr>
      <w:tr w14:paraId="133F5D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5" w:hRule="atLeast"/>
          <w:jc w:val="center"/>
        </w:trPr>
        <w:tc>
          <w:tcPr>
            <w:tcW w:w="688" w:type="dxa"/>
            <w:vMerge w:val="restart"/>
            <w:tcBorders>
              <w:top w:val="single" w:color="000000" w:sz="4" w:space="0"/>
              <w:left w:val="nil"/>
              <w:bottom w:val="single" w:color="000000" w:sz="4" w:space="0"/>
              <w:right w:val="single" w:color="000000" w:sz="4" w:space="0"/>
            </w:tcBorders>
            <w:vAlign w:val="center"/>
          </w:tcPr>
          <w:p w14:paraId="5B0B742B">
            <w:pPr>
              <w:pStyle w:val="98"/>
              <w:ind w:left="-105" w:right="-105"/>
              <w:rPr>
                <w:rFonts w:eastAsia="宋体"/>
                <w:color w:val="auto"/>
                <w:sz w:val="21"/>
                <w:szCs w:val="21"/>
                <w:highlight w:val="none"/>
              </w:rPr>
            </w:pPr>
            <w:r>
              <w:rPr>
                <w:rFonts w:eastAsia="宋体"/>
                <w:color w:val="auto"/>
                <w:sz w:val="21"/>
                <w:szCs w:val="21"/>
                <w:highlight w:val="none"/>
              </w:rPr>
              <w:t>12月</w:t>
            </w:r>
          </w:p>
        </w:tc>
        <w:tc>
          <w:tcPr>
            <w:tcW w:w="687" w:type="dxa"/>
            <w:tcBorders>
              <w:top w:val="single" w:color="000000" w:sz="4" w:space="0"/>
              <w:left w:val="single" w:color="000000" w:sz="4" w:space="0"/>
              <w:bottom w:val="single" w:color="000000" w:sz="4" w:space="0"/>
              <w:right w:val="single" w:color="000000" w:sz="4" w:space="0"/>
            </w:tcBorders>
            <w:vAlign w:val="center"/>
          </w:tcPr>
          <w:p w14:paraId="3E305A54">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11D17B0D">
            <w:pPr>
              <w:pStyle w:val="98"/>
              <w:ind w:left="-105" w:right="-105"/>
              <w:rPr>
                <w:rFonts w:eastAsia="宋体"/>
                <w:color w:val="auto"/>
                <w:sz w:val="21"/>
                <w:szCs w:val="21"/>
                <w:highlight w:val="none"/>
              </w:rPr>
            </w:pPr>
            <w:r>
              <w:rPr>
                <w:rFonts w:eastAsia="宋体"/>
                <w:color w:val="auto"/>
                <w:sz w:val="21"/>
                <w:szCs w:val="21"/>
                <w:highlight w:val="none"/>
              </w:rPr>
              <w:t>12.4</w:t>
            </w:r>
          </w:p>
        </w:tc>
        <w:tc>
          <w:tcPr>
            <w:tcW w:w="687" w:type="dxa"/>
            <w:tcBorders>
              <w:top w:val="single" w:color="000000" w:sz="4" w:space="0"/>
              <w:left w:val="single" w:color="000000" w:sz="4" w:space="0"/>
              <w:bottom w:val="single" w:color="000000" w:sz="4" w:space="0"/>
              <w:right w:val="single" w:color="000000" w:sz="4" w:space="0"/>
            </w:tcBorders>
            <w:vAlign w:val="center"/>
          </w:tcPr>
          <w:p w14:paraId="211D22CC">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0FFBEC8F">
            <w:pPr>
              <w:pStyle w:val="98"/>
              <w:ind w:left="-105" w:right="-105"/>
              <w:rPr>
                <w:rFonts w:eastAsia="宋体"/>
                <w:color w:val="auto"/>
                <w:sz w:val="21"/>
                <w:szCs w:val="21"/>
                <w:highlight w:val="none"/>
              </w:rPr>
            </w:pPr>
            <w:r>
              <w:rPr>
                <w:rFonts w:eastAsia="宋体"/>
                <w:color w:val="auto"/>
                <w:sz w:val="21"/>
                <w:szCs w:val="21"/>
                <w:highlight w:val="none"/>
              </w:rPr>
              <w:t>7</w:t>
            </w:r>
          </w:p>
        </w:tc>
        <w:tc>
          <w:tcPr>
            <w:tcW w:w="688" w:type="dxa"/>
            <w:tcBorders>
              <w:top w:val="single" w:color="000000" w:sz="4" w:space="0"/>
              <w:left w:val="single" w:color="000000" w:sz="4" w:space="0"/>
              <w:bottom w:val="single" w:color="000000" w:sz="4" w:space="0"/>
              <w:right w:val="single" w:color="000000" w:sz="4" w:space="0"/>
            </w:tcBorders>
            <w:vAlign w:val="center"/>
          </w:tcPr>
          <w:p w14:paraId="56D4F672">
            <w:pPr>
              <w:pStyle w:val="98"/>
              <w:ind w:left="-105" w:right="-105"/>
              <w:rPr>
                <w:rFonts w:eastAsia="宋体"/>
                <w:color w:val="auto"/>
                <w:sz w:val="21"/>
                <w:szCs w:val="21"/>
                <w:highlight w:val="none"/>
              </w:rPr>
            </w:pPr>
            <w:r>
              <w:rPr>
                <w:rFonts w:eastAsia="宋体"/>
                <w:color w:val="auto"/>
                <w:sz w:val="21"/>
                <w:szCs w:val="21"/>
                <w:highlight w:val="none"/>
              </w:rPr>
              <w:t>3.8</w:t>
            </w:r>
          </w:p>
        </w:tc>
        <w:tc>
          <w:tcPr>
            <w:tcW w:w="687" w:type="dxa"/>
            <w:tcBorders>
              <w:top w:val="single" w:color="000000" w:sz="4" w:space="0"/>
              <w:left w:val="single" w:color="000000" w:sz="4" w:space="0"/>
              <w:bottom w:val="single" w:color="000000" w:sz="4" w:space="0"/>
              <w:right w:val="single" w:color="000000" w:sz="4" w:space="0"/>
            </w:tcBorders>
            <w:vAlign w:val="center"/>
          </w:tcPr>
          <w:p w14:paraId="6168229B">
            <w:pPr>
              <w:pStyle w:val="98"/>
              <w:ind w:left="-105" w:right="-105"/>
              <w:rPr>
                <w:rFonts w:eastAsia="宋体"/>
                <w:color w:val="auto"/>
                <w:sz w:val="21"/>
                <w:szCs w:val="21"/>
                <w:highlight w:val="none"/>
              </w:rPr>
            </w:pPr>
            <w:r>
              <w:rPr>
                <w:rFonts w:eastAsia="宋体"/>
                <w:color w:val="auto"/>
                <w:sz w:val="21"/>
                <w:szCs w:val="21"/>
                <w:highlight w:val="none"/>
              </w:rPr>
              <w:t>3.8</w:t>
            </w:r>
          </w:p>
        </w:tc>
        <w:tc>
          <w:tcPr>
            <w:tcW w:w="687" w:type="dxa"/>
            <w:tcBorders>
              <w:top w:val="single" w:color="000000" w:sz="4" w:space="0"/>
              <w:left w:val="single" w:color="000000" w:sz="4" w:space="0"/>
              <w:bottom w:val="single" w:color="000000" w:sz="4" w:space="0"/>
              <w:right w:val="single" w:color="000000" w:sz="4" w:space="0"/>
            </w:tcBorders>
            <w:vAlign w:val="center"/>
          </w:tcPr>
          <w:p w14:paraId="470EFB4C">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616D4853">
            <w:pPr>
              <w:pStyle w:val="98"/>
              <w:ind w:left="-105" w:right="-105"/>
              <w:rPr>
                <w:rFonts w:eastAsia="宋体"/>
                <w:color w:val="auto"/>
                <w:sz w:val="21"/>
                <w:szCs w:val="21"/>
                <w:highlight w:val="none"/>
              </w:rPr>
            </w:pPr>
            <w:r>
              <w:rPr>
                <w:rFonts w:eastAsia="宋体"/>
                <w:color w:val="auto"/>
                <w:sz w:val="21"/>
                <w:szCs w:val="21"/>
                <w:highlight w:val="none"/>
              </w:rPr>
              <w:t>5.6</w:t>
            </w:r>
          </w:p>
        </w:tc>
        <w:tc>
          <w:tcPr>
            <w:tcW w:w="687" w:type="dxa"/>
            <w:tcBorders>
              <w:top w:val="single" w:color="000000" w:sz="4" w:space="0"/>
              <w:left w:val="single" w:color="000000" w:sz="4" w:space="0"/>
              <w:bottom w:val="single" w:color="000000" w:sz="4" w:space="0"/>
              <w:right w:val="single" w:color="000000" w:sz="4" w:space="0"/>
            </w:tcBorders>
            <w:vAlign w:val="center"/>
          </w:tcPr>
          <w:p w14:paraId="0DA59737">
            <w:pPr>
              <w:pStyle w:val="98"/>
              <w:ind w:left="-105" w:right="-105"/>
              <w:rPr>
                <w:rFonts w:eastAsia="宋体"/>
                <w:color w:val="auto"/>
                <w:sz w:val="21"/>
                <w:szCs w:val="21"/>
                <w:highlight w:val="none"/>
              </w:rPr>
            </w:pPr>
            <w:r>
              <w:rPr>
                <w:rFonts w:eastAsia="宋体"/>
                <w:color w:val="auto"/>
                <w:sz w:val="21"/>
                <w:szCs w:val="21"/>
                <w:highlight w:val="none"/>
              </w:rPr>
              <w:t>4</w:t>
            </w:r>
          </w:p>
        </w:tc>
        <w:tc>
          <w:tcPr>
            <w:tcW w:w="687" w:type="dxa"/>
            <w:tcBorders>
              <w:top w:val="single" w:color="000000" w:sz="4" w:space="0"/>
              <w:left w:val="single" w:color="000000" w:sz="4" w:space="0"/>
              <w:bottom w:val="single" w:color="000000" w:sz="4" w:space="0"/>
              <w:right w:val="single" w:color="000000" w:sz="4" w:space="0"/>
            </w:tcBorders>
            <w:vAlign w:val="center"/>
          </w:tcPr>
          <w:p w14:paraId="1A8A9C97">
            <w:pPr>
              <w:pStyle w:val="98"/>
              <w:ind w:left="-105" w:right="-105"/>
              <w:rPr>
                <w:rFonts w:eastAsia="宋体"/>
                <w:color w:val="auto"/>
                <w:sz w:val="21"/>
                <w:szCs w:val="21"/>
                <w:highlight w:val="none"/>
              </w:rPr>
            </w:pPr>
            <w:r>
              <w:rPr>
                <w:rFonts w:eastAsia="宋体"/>
                <w:color w:val="auto"/>
                <w:sz w:val="21"/>
                <w:szCs w:val="21"/>
                <w:highlight w:val="none"/>
              </w:rPr>
              <w:t>1.6</w:t>
            </w:r>
          </w:p>
        </w:tc>
        <w:tc>
          <w:tcPr>
            <w:tcW w:w="687" w:type="dxa"/>
            <w:tcBorders>
              <w:top w:val="single" w:color="000000" w:sz="4" w:space="0"/>
              <w:left w:val="single" w:color="000000" w:sz="4" w:space="0"/>
              <w:bottom w:val="single" w:color="000000" w:sz="4" w:space="0"/>
              <w:right w:val="single" w:color="000000" w:sz="4" w:space="0"/>
            </w:tcBorders>
            <w:vAlign w:val="center"/>
          </w:tcPr>
          <w:p w14:paraId="79C463BF">
            <w:pPr>
              <w:pStyle w:val="98"/>
              <w:ind w:left="-105" w:right="-105"/>
              <w:rPr>
                <w:rFonts w:eastAsia="宋体"/>
                <w:color w:val="auto"/>
                <w:sz w:val="21"/>
                <w:szCs w:val="21"/>
                <w:highlight w:val="none"/>
              </w:rPr>
            </w:pPr>
            <w:r>
              <w:rPr>
                <w:rFonts w:eastAsia="宋体"/>
                <w:color w:val="auto"/>
                <w:sz w:val="21"/>
                <w:szCs w:val="21"/>
                <w:highlight w:val="none"/>
              </w:rPr>
              <w:t>2.6</w:t>
            </w:r>
          </w:p>
        </w:tc>
        <w:tc>
          <w:tcPr>
            <w:tcW w:w="684" w:type="dxa"/>
            <w:tcBorders>
              <w:top w:val="single" w:color="000000" w:sz="4" w:space="0"/>
              <w:left w:val="single" w:color="000000" w:sz="4" w:space="0"/>
              <w:bottom w:val="single" w:color="000000" w:sz="4" w:space="0"/>
              <w:right w:val="single" w:color="000000" w:sz="4" w:space="0"/>
            </w:tcBorders>
            <w:vAlign w:val="center"/>
          </w:tcPr>
          <w:p w14:paraId="35601F2F">
            <w:pPr>
              <w:pStyle w:val="98"/>
              <w:ind w:left="-105" w:right="-105"/>
              <w:rPr>
                <w:rFonts w:eastAsia="宋体"/>
                <w:color w:val="auto"/>
                <w:sz w:val="21"/>
                <w:szCs w:val="21"/>
                <w:highlight w:val="none"/>
              </w:rPr>
            </w:pPr>
            <w:r>
              <w:rPr>
                <w:rFonts w:eastAsia="宋体"/>
                <w:color w:val="auto"/>
                <w:sz w:val="21"/>
                <w:szCs w:val="21"/>
                <w:highlight w:val="none"/>
              </w:rPr>
              <w:t>1.2</w:t>
            </w:r>
          </w:p>
        </w:tc>
        <w:tc>
          <w:tcPr>
            <w:tcW w:w="714" w:type="dxa"/>
            <w:tcBorders>
              <w:top w:val="single" w:color="000000" w:sz="4" w:space="0"/>
              <w:left w:val="single" w:color="000000" w:sz="4" w:space="0"/>
              <w:bottom w:val="single" w:color="000000" w:sz="4" w:space="0"/>
              <w:right w:val="single" w:color="000000" w:sz="4" w:space="0"/>
            </w:tcBorders>
            <w:vAlign w:val="center"/>
          </w:tcPr>
          <w:p w14:paraId="0399FACF">
            <w:pPr>
              <w:pStyle w:val="98"/>
              <w:ind w:left="-105" w:right="-105"/>
              <w:rPr>
                <w:rFonts w:eastAsia="宋体"/>
                <w:color w:val="auto"/>
                <w:sz w:val="21"/>
                <w:szCs w:val="21"/>
                <w:highlight w:val="none"/>
              </w:rPr>
            </w:pPr>
            <w:r>
              <w:rPr>
                <w:rFonts w:eastAsia="宋体"/>
                <w:color w:val="auto"/>
                <w:sz w:val="21"/>
                <w:szCs w:val="21"/>
                <w:highlight w:val="none"/>
              </w:rPr>
              <w:t>1.4</w:t>
            </w:r>
          </w:p>
        </w:tc>
        <w:tc>
          <w:tcPr>
            <w:tcW w:w="686" w:type="dxa"/>
            <w:tcBorders>
              <w:top w:val="single" w:color="000000" w:sz="4" w:space="0"/>
              <w:left w:val="single" w:color="000000" w:sz="4" w:space="0"/>
              <w:bottom w:val="single" w:color="000000" w:sz="4" w:space="0"/>
              <w:right w:val="single" w:color="000000" w:sz="4" w:space="0"/>
            </w:tcBorders>
            <w:vAlign w:val="center"/>
          </w:tcPr>
          <w:p w14:paraId="1418D348">
            <w:pPr>
              <w:pStyle w:val="98"/>
              <w:ind w:left="-105" w:right="-105"/>
              <w:rPr>
                <w:rFonts w:eastAsia="宋体"/>
                <w:color w:val="auto"/>
                <w:sz w:val="21"/>
                <w:szCs w:val="21"/>
                <w:highlight w:val="none"/>
              </w:rPr>
            </w:pPr>
            <w:r>
              <w:rPr>
                <w:rFonts w:eastAsia="宋体"/>
                <w:color w:val="auto"/>
                <w:sz w:val="21"/>
                <w:szCs w:val="21"/>
                <w:highlight w:val="none"/>
              </w:rPr>
              <w:t>4.2</w:t>
            </w:r>
          </w:p>
        </w:tc>
        <w:tc>
          <w:tcPr>
            <w:tcW w:w="747" w:type="dxa"/>
            <w:tcBorders>
              <w:top w:val="single" w:color="000000" w:sz="4" w:space="0"/>
              <w:left w:val="single" w:color="000000" w:sz="4" w:space="0"/>
              <w:bottom w:val="single" w:color="000000" w:sz="4" w:space="0"/>
              <w:right w:val="single" w:color="000000" w:sz="4" w:space="0"/>
            </w:tcBorders>
            <w:vAlign w:val="center"/>
          </w:tcPr>
          <w:p w14:paraId="559BE564">
            <w:pPr>
              <w:pStyle w:val="98"/>
              <w:ind w:left="-105" w:right="-105"/>
              <w:rPr>
                <w:rFonts w:eastAsia="宋体"/>
                <w:color w:val="auto"/>
                <w:sz w:val="21"/>
                <w:szCs w:val="21"/>
                <w:highlight w:val="none"/>
              </w:rPr>
            </w:pPr>
            <w:r>
              <w:rPr>
                <w:rFonts w:eastAsia="宋体"/>
                <w:color w:val="auto"/>
                <w:sz w:val="21"/>
                <w:szCs w:val="21"/>
                <w:highlight w:val="none"/>
              </w:rPr>
              <w:t>11.4</w:t>
            </w:r>
          </w:p>
        </w:tc>
        <w:tc>
          <w:tcPr>
            <w:tcW w:w="686" w:type="dxa"/>
            <w:tcBorders>
              <w:top w:val="single" w:color="000000" w:sz="4" w:space="0"/>
              <w:left w:val="single" w:color="000000" w:sz="4" w:space="0"/>
              <w:bottom w:val="single" w:color="000000" w:sz="4" w:space="0"/>
              <w:right w:val="single" w:color="000000" w:sz="4" w:space="0"/>
            </w:tcBorders>
            <w:vAlign w:val="center"/>
          </w:tcPr>
          <w:p w14:paraId="715A7482">
            <w:pPr>
              <w:pStyle w:val="98"/>
              <w:ind w:left="-105" w:right="-105"/>
              <w:rPr>
                <w:rFonts w:eastAsia="宋体"/>
                <w:color w:val="auto"/>
                <w:sz w:val="21"/>
                <w:szCs w:val="21"/>
                <w:highlight w:val="none"/>
              </w:rPr>
            </w:pPr>
            <w:r>
              <w:rPr>
                <w:rFonts w:eastAsia="宋体"/>
                <w:color w:val="auto"/>
                <w:sz w:val="21"/>
                <w:szCs w:val="21"/>
                <w:highlight w:val="none"/>
              </w:rPr>
              <w:t>8.2</w:t>
            </w:r>
          </w:p>
        </w:tc>
        <w:tc>
          <w:tcPr>
            <w:tcW w:w="700" w:type="dxa"/>
            <w:tcBorders>
              <w:top w:val="single" w:color="000000" w:sz="4" w:space="0"/>
              <w:left w:val="single" w:color="000000" w:sz="4" w:space="0"/>
              <w:bottom w:val="single" w:color="000000" w:sz="4" w:space="0"/>
              <w:right w:val="single" w:color="000000" w:sz="4" w:space="0"/>
            </w:tcBorders>
            <w:vAlign w:val="center"/>
          </w:tcPr>
          <w:p w14:paraId="457A15EA">
            <w:pPr>
              <w:pStyle w:val="98"/>
              <w:ind w:left="-105" w:right="-105"/>
              <w:rPr>
                <w:rFonts w:eastAsia="宋体"/>
                <w:color w:val="auto"/>
                <w:sz w:val="21"/>
                <w:szCs w:val="21"/>
                <w:highlight w:val="none"/>
              </w:rPr>
            </w:pPr>
            <w:r>
              <w:rPr>
                <w:rFonts w:eastAsia="宋体"/>
                <w:color w:val="auto"/>
                <w:sz w:val="21"/>
                <w:szCs w:val="21"/>
                <w:highlight w:val="none"/>
              </w:rPr>
              <w:t>7.4</w:t>
            </w:r>
          </w:p>
        </w:tc>
        <w:tc>
          <w:tcPr>
            <w:tcW w:w="686" w:type="dxa"/>
            <w:tcBorders>
              <w:top w:val="single" w:color="000000" w:sz="4" w:space="0"/>
              <w:left w:val="single" w:color="000000" w:sz="4" w:space="0"/>
              <w:bottom w:val="single" w:color="000000" w:sz="4" w:space="0"/>
              <w:right w:val="single" w:color="000000" w:sz="4" w:space="0"/>
            </w:tcBorders>
            <w:vAlign w:val="center"/>
          </w:tcPr>
          <w:p w14:paraId="31075F2F">
            <w:pPr>
              <w:pStyle w:val="98"/>
              <w:ind w:left="-105" w:right="-105"/>
              <w:rPr>
                <w:rFonts w:eastAsia="宋体"/>
                <w:color w:val="auto"/>
                <w:sz w:val="21"/>
                <w:szCs w:val="21"/>
                <w:highlight w:val="none"/>
              </w:rPr>
            </w:pPr>
            <w:r>
              <w:rPr>
                <w:rFonts w:eastAsia="宋体"/>
                <w:color w:val="auto"/>
                <w:sz w:val="21"/>
                <w:szCs w:val="21"/>
                <w:highlight w:val="none"/>
              </w:rPr>
              <w:t>15</w:t>
            </w:r>
          </w:p>
        </w:tc>
        <w:tc>
          <w:tcPr>
            <w:tcW w:w="693" w:type="dxa"/>
            <w:tcBorders>
              <w:top w:val="single" w:color="000000" w:sz="4" w:space="0"/>
              <w:left w:val="single" w:color="000000" w:sz="4" w:space="0"/>
              <w:bottom w:val="single" w:color="000000" w:sz="4" w:space="0"/>
              <w:right w:val="nil"/>
            </w:tcBorders>
            <w:vAlign w:val="center"/>
          </w:tcPr>
          <w:p w14:paraId="01D28F35">
            <w:pPr>
              <w:pStyle w:val="98"/>
              <w:ind w:left="-105" w:right="-105"/>
              <w:rPr>
                <w:rFonts w:eastAsia="宋体"/>
                <w:color w:val="auto"/>
                <w:sz w:val="21"/>
                <w:szCs w:val="21"/>
                <w:highlight w:val="none"/>
              </w:rPr>
            </w:pPr>
            <w:r>
              <w:rPr>
                <w:rFonts w:eastAsia="宋体"/>
                <w:color w:val="auto"/>
                <w:sz w:val="21"/>
                <w:szCs w:val="21"/>
                <w:highlight w:val="none"/>
              </w:rPr>
              <w:t>/</w:t>
            </w:r>
          </w:p>
        </w:tc>
      </w:tr>
      <w:tr w14:paraId="615A49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32" w:hRule="atLeast"/>
          <w:jc w:val="center"/>
        </w:trPr>
        <w:tc>
          <w:tcPr>
            <w:tcW w:w="688" w:type="dxa"/>
            <w:vMerge w:val="continue"/>
            <w:tcBorders>
              <w:top w:val="nil"/>
              <w:left w:val="nil"/>
              <w:bottom w:val="single" w:color="000000" w:sz="4" w:space="0"/>
              <w:right w:val="single" w:color="000000" w:sz="4" w:space="0"/>
            </w:tcBorders>
            <w:vAlign w:val="center"/>
          </w:tcPr>
          <w:p w14:paraId="4F4FDC26">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7401AF1D">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bottom w:val="single" w:color="000000" w:sz="4" w:space="0"/>
              <w:right w:val="single" w:color="000000" w:sz="4" w:space="0"/>
            </w:tcBorders>
            <w:vAlign w:val="center"/>
          </w:tcPr>
          <w:p w14:paraId="18ECDFE8">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bottom w:val="single" w:color="000000" w:sz="4" w:space="0"/>
              <w:right w:val="single" w:color="000000" w:sz="4" w:space="0"/>
            </w:tcBorders>
            <w:vAlign w:val="center"/>
          </w:tcPr>
          <w:p w14:paraId="1C87676D">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bottom w:val="single" w:color="000000" w:sz="4" w:space="0"/>
              <w:right w:val="single" w:color="000000" w:sz="4" w:space="0"/>
            </w:tcBorders>
            <w:vAlign w:val="center"/>
          </w:tcPr>
          <w:p w14:paraId="4F00F5CE">
            <w:pPr>
              <w:pStyle w:val="98"/>
              <w:ind w:left="-105" w:right="-105"/>
              <w:rPr>
                <w:rFonts w:eastAsia="宋体"/>
                <w:color w:val="auto"/>
                <w:sz w:val="21"/>
                <w:szCs w:val="21"/>
                <w:highlight w:val="none"/>
              </w:rPr>
            </w:pPr>
            <w:r>
              <w:rPr>
                <w:rFonts w:eastAsia="宋体"/>
                <w:color w:val="auto"/>
                <w:sz w:val="21"/>
                <w:szCs w:val="21"/>
                <w:highlight w:val="none"/>
              </w:rPr>
              <w:t>2.9</w:t>
            </w:r>
          </w:p>
        </w:tc>
        <w:tc>
          <w:tcPr>
            <w:tcW w:w="688" w:type="dxa"/>
            <w:tcBorders>
              <w:top w:val="single" w:color="000000" w:sz="4" w:space="0"/>
              <w:left w:val="single" w:color="000000" w:sz="4" w:space="0"/>
              <w:bottom w:val="single" w:color="000000" w:sz="4" w:space="0"/>
              <w:right w:val="single" w:color="000000" w:sz="4" w:space="0"/>
            </w:tcBorders>
            <w:vAlign w:val="center"/>
          </w:tcPr>
          <w:p w14:paraId="5E030A70">
            <w:pPr>
              <w:pStyle w:val="98"/>
              <w:ind w:left="-105" w:right="-105"/>
              <w:rPr>
                <w:rFonts w:eastAsia="宋体"/>
                <w:color w:val="auto"/>
                <w:sz w:val="21"/>
                <w:szCs w:val="21"/>
                <w:highlight w:val="none"/>
              </w:rPr>
            </w:pPr>
            <w:r>
              <w:rPr>
                <w:rFonts w:eastAsia="宋体"/>
                <w:color w:val="auto"/>
                <w:sz w:val="21"/>
                <w:szCs w:val="21"/>
                <w:highlight w:val="none"/>
              </w:rPr>
              <w:t>3.1</w:t>
            </w:r>
          </w:p>
        </w:tc>
        <w:tc>
          <w:tcPr>
            <w:tcW w:w="687" w:type="dxa"/>
            <w:tcBorders>
              <w:top w:val="single" w:color="000000" w:sz="4" w:space="0"/>
              <w:left w:val="single" w:color="000000" w:sz="4" w:space="0"/>
              <w:bottom w:val="single" w:color="000000" w:sz="4" w:space="0"/>
              <w:right w:val="single" w:color="000000" w:sz="4" w:space="0"/>
            </w:tcBorders>
            <w:vAlign w:val="center"/>
          </w:tcPr>
          <w:p w14:paraId="78A375C2">
            <w:pPr>
              <w:pStyle w:val="98"/>
              <w:ind w:left="-105" w:right="-105"/>
              <w:rPr>
                <w:rFonts w:eastAsia="宋体"/>
                <w:color w:val="auto"/>
                <w:sz w:val="21"/>
                <w:szCs w:val="21"/>
                <w:highlight w:val="none"/>
              </w:rPr>
            </w:pPr>
            <w:r>
              <w:rPr>
                <w:rFonts w:eastAsia="宋体"/>
                <w:color w:val="auto"/>
                <w:sz w:val="21"/>
                <w:szCs w:val="21"/>
                <w:highlight w:val="none"/>
              </w:rPr>
              <w:t>2.2</w:t>
            </w:r>
          </w:p>
        </w:tc>
        <w:tc>
          <w:tcPr>
            <w:tcW w:w="687" w:type="dxa"/>
            <w:tcBorders>
              <w:top w:val="single" w:color="000000" w:sz="4" w:space="0"/>
              <w:left w:val="single" w:color="000000" w:sz="4" w:space="0"/>
              <w:bottom w:val="single" w:color="000000" w:sz="4" w:space="0"/>
              <w:right w:val="single" w:color="000000" w:sz="4" w:space="0"/>
            </w:tcBorders>
            <w:vAlign w:val="center"/>
          </w:tcPr>
          <w:p w14:paraId="2ED2C387">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0B42D877">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227927EE">
            <w:pPr>
              <w:pStyle w:val="98"/>
              <w:ind w:left="-105" w:right="-105"/>
              <w:rPr>
                <w:rFonts w:eastAsia="宋体"/>
                <w:color w:val="auto"/>
                <w:sz w:val="21"/>
                <w:szCs w:val="21"/>
                <w:highlight w:val="none"/>
              </w:rPr>
            </w:pPr>
            <w:r>
              <w:rPr>
                <w:rFonts w:eastAsia="宋体"/>
                <w:color w:val="auto"/>
                <w:sz w:val="21"/>
                <w:szCs w:val="21"/>
                <w:highlight w:val="none"/>
              </w:rPr>
              <w:t>2.2</w:t>
            </w:r>
          </w:p>
        </w:tc>
        <w:tc>
          <w:tcPr>
            <w:tcW w:w="687" w:type="dxa"/>
            <w:tcBorders>
              <w:top w:val="single" w:color="000000" w:sz="4" w:space="0"/>
              <w:left w:val="single" w:color="000000" w:sz="4" w:space="0"/>
              <w:bottom w:val="single" w:color="000000" w:sz="4" w:space="0"/>
              <w:right w:val="single" w:color="000000" w:sz="4" w:space="0"/>
            </w:tcBorders>
            <w:vAlign w:val="center"/>
          </w:tcPr>
          <w:p w14:paraId="6CBA91EF">
            <w:pPr>
              <w:pStyle w:val="98"/>
              <w:ind w:left="-105" w:right="-105"/>
              <w:rPr>
                <w:rFonts w:eastAsia="宋体"/>
                <w:color w:val="auto"/>
                <w:sz w:val="21"/>
                <w:szCs w:val="21"/>
                <w:highlight w:val="none"/>
              </w:rPr>
            </w:pPr>
            <w:r>
              <w:rPr>
                <w:rFonts w:eastAsia="宋体"/>
                <w:color w:val="auto"/>
                <w:sz w:val="21"/>
                <w:szCs w:val="21"/>
                <w:highlight w:val="none"/>
              </w:rPr>
              <w:t>2.6</w:t>
            </w:r>
          </w:p>
        </w:tc>
        <w:tc>
          <w:tcPr>
            <w:tcW w:w="687" w:type="dxa"/>
            <w:tcBorders>
              <w:top w:val="single" w:color="000000" w:sz="4" w:space="0"/>
              <w:left w:val="single" w:color="000000" w:sz="4" w:space="0"/>
              <w:bottom w:val="single" w:color="000000" w:sz="4" w:space="0"/>
              <w:right w:val="single" w:color="000000" w:sz="4" w:space="0"/>
            </w:tcBorders>
            <w:vAlign w:val="center"/>
          </w:tcPr>
          <w:p w14:paraId="1DA3DC97">
            <w:pPr>
              <w:pStyle w:val="98"/>
              <w:ind w:left="-105" w:right="-105"/>
              <w:rPr>
                <w:rFonts w:eastAsia="宋体"/>
                <w:color w:val="auto"/>
                <w:sz w:val="21"/>
                <w:szCs w:val="21"/>
                <w:highlight w:val="none"/>
              </w:rPr>
            </w:pPr>
            <w:r>
              <w:rPr>
                <w:rFonts w:eastAsia="宋体"/>
                <w:color w:val="auto"/>
                <w:sz w:val="21"/>
                <w:szCs w:val="21"/>
                <w:highlight w:val="none"/>
              </w:rPr>
              <w:t>2.7</w:t>
            </w:r>
          </w:p>
        </w:tc>
        <w:tc>
          <w:tcPr>
            <w:tcW w:w="684" w:type="dxa"/>
            <w:tcBorders>
              <w:top w:val="single" w:color="000000" w:sz="4" w:space="0"/>
              <w:left w:val="single" w:color="000000" w:sz="4" w:space="0"/>
              <w:bottom w:val="single" w:color="000000" w:sz="4" w:space="0"/>
              <w:right w:val="single" w:color="000000" w:sz="4" w:space="0"/>
            </w:tcBorders>
            <w:vAlign w:val="center"/>
          </w:tcPr>
          <w:p w14:paraId="60B848D7">
            <w:pPr>
              <w:pStyle w:val="98"/>
              <w:ind w:left="-105" w:right="-105"/>
              <w:rPr>
                <w:rFonts w:eastAsia="宋体"/>
                <w:color w:val="auto"/>
                <w:sz w:val="21"/>
                <w:szCs w:val="21"/>
                <w:highlight w:val="none"/>
              </w:rPr>
            </w:pPr>
            <w:r>
              <w:rPr>
                <w:rFonts w:eastAsia="宋体"/>
                <w:color w:val="auto"/>
                <w:sz w:val="21"/>
                <w:szCs w:val="21"/>
                <w:highlight w:val="none"/>
              </w:rPr>
              <w:t>1.2</w:t>
            </w:r>
          </w:p>
        </w:tc>
        <w:tc>
          <w:tcPr>
            <w:tcW w:w="714" w:type="dxa"/>
            <w:tcBorders>
              <w:top w:val="single" w:color="000000" w:sz="4" w:space="0"/>
              <w:left w:val="single" w:color="000000" w:sz="4" w:space="0"/>
              <w:bottom w:val="single" w:color="000000" w:sz="4" w:space="0"/>
              <w:right w:val="single" w:color="000000" w:sz="4" w:space="0"/>
            </w:tcBorders>
            <w:vAlign w:val="center"/>
          </w:tcPr>
          <w:p w14:paraId="7F13FBC1">
            <w:pPr>
              <w:pStyle w:val="98"/>
              <w:ind w:left="-105" w:right="-105"/>
              <w:rPr>
                <w:rFonts w:eastAsia="宋体"/>
                <w:color w:val="auto"/>
                <w:sz w:val="21"/>
                <w:szCs w:val="21"/>
                <w:highlight w:val="none"/>
              </w:rPr>
            </w:pPr>
            <w:r>
              <w:rPr>
                <w:rFonts w:eastAsia="宋体"/>
                <w:color w:val="auto"/>
                <w:sz w:val="21"/>
                <w:szCs w:val="21"/>
                <w:highlight w:val="none"/>
              </w:rPr>
              <w:t>3.7</w:t>
            </w:r>
          </w:p>
        </w:tc>
        <w:tc>
          <w:tcPr>
            <w:tcW w:w="686" w:type="dxa"/>
            <w:tcBorders>
              <w:top w:val="single" w:color="000000" w:sz="4" w:space="0"/>
              <w:left w:val="single" w:color="000000" w:sz="4" w:space="0"/>
              <w:bottom w:val="single" w:color="000000" w:sz="4" w:space="0"/>
              <w:right w:val="single" w:color="000000" w:sz="4" w:space="0"/>
            </w:tcBorders>
            <w:vAlign w:val="center"/>
          </w:tcPr>
          <w:p w14:paraId="469B6E81">
            <w:pPr>
              <w:pStyle w:val="98"/>
              <w:ind w:left="-105" w:right="-105"/>
              <w:rPr>
                <w:rFonts w:eastAsia="宋体"/>
                <w:color w:val="auto"/>
                <w:sz w:val="21"/>
                <w:szCs w:val="21"/>
                <w:highlight w:val="none"/>
              </w:rPr>
            </w:pPr>
            <w:r>
              <w:rPr>
                <w:rFonts w:eastAsia="宋体"/>
                <w:color w:val="auto"/>
                <w:sz w:val="21"/>
                <w:szCs w:val="21"/>
                <w:highlight w:val="none"/>
              </w:rPr>
              <w:t>4.3</w:t>
            </w:r>
          </w:p>
        </w:tc>
        <w:tc>
          <w:tcPr>
            <w:tcW w:w="747" w:type="dxa"/>
            <w:tcBorders>
              <w:top w:val="single" w:color="000000" w:sz="4" w:space="0"/>
              <w:left w:val="single" w:color="000000" w:sz="4" w:space="0"/>
              <w:bottom w:val="single" w:color="000000" w:sz="4" w:space="0"/>
              <w:right w:val="single" w:color="000000" w:sz="4" w:space="0"/>
            </w:tcBorders>
            <w:vAlign w:val="center"/>
          </w:tcPr>
          <w:p w14:paraId="2EECC457">
            <w:pPr>
              <w:pStyle w:val="98"/>
              <w:ind w:left="-105" w:right="-105"/>
              <w:rPr>
                <w:rFonts w:eastAsia="宋体"/>
                <w:color w:val="auto"/>
                <w:sz w:val="21"/>
                <w:szCs w:val="21"/>
                <w:highlight w:val="none"/>
              </w:rPr>
            </w:pPr>
            <w:r>
              <w:rPr>
                <w:rFonts w:eastAsia="宋体"/>
                <w:color w:val="auto"/>
                <w:sz w:val="21"/>
                <w:szCs w:val="21"/>
                <w:highlight w:val="none"/>
              </w:rPr>
              <w:t>3.5</w:t>
            </w:r>
          </w:p>
        </w:tc>
        <w:tc>
          <w:tcPr>
            <w:tcW w:w="686" w:type="dxa"/>
            <w:tcBorders>
              <w:top w:val="single" w:color="000000" w:sz="4" w:space="0"/>
              <w:left w:val="single" w:color="000000" w:sz="4" w:space="0"/>
              <w:bottom w:val="single" w:color="000000" w:sz="4" w:space="0"/>
              <w:right w:val="single" w:color="000000" w:sz="4" w:space="0"/>
            </w:tcBorders>
            <w:vAlign w:val="center"/>
          </w:tcPr>
          <w:p w14:paraId="0F6C21D8">
            <w:pPr>
              <w:pStyle w:val="98"/>
              <w:ind w:left="-105" w:right="-105"/>
              <w:rPr>
                <w:rFonts w:eastAsia="宋体"/>
                <w:color w:val="auto"/>
                <w:sz w:val="21"/>
                <w:szCs w:val="21"/>
                <w:highlight w:val="none"/>
              </w:rPr>
            </w:pPr>
            <w:r>
              <w:rPr>
                <w:rFonts w:eastAsia="宋体"/>
                <w:color w:val="auto"/>
                <w:sz w:val="21"/>
                <w:szCs w:val="21"/>
                <w:highlight w:val="none"/>
              </w:rPr>
              <w:t>3.2</w:t>
            </w:r>
          </w:p>
        </w:tc>
        <w:tc>
          <w:tcPr>
            <w:tcW w:w="700" w:type="dxa"/>
            <w:tcBorders>
              <w:top w:val="single" w:color="000000" w:sz="4" w:space="0"/>
              <w:left w:val="single" w:color="000000" w:sz="4" w:space="0"/>
              <w:bottom w:val="single" w:color="000000" w:sz="4" w:space="0"/>
              <w:right w:val="single" w:color="000000" w:sz="4" w:space="0"/>
            </w:tcBorders>
            <w:vAlign w:val="center"/>
          </w:tcPr>
          <w:p w14:paraId="4C278489">
            <w:pPr>
              <w:pStyle w:val="98"/>
              <w:ind w:left="-105" w:right="-105"/>
              <w:rPr>
                <w:rFonts w:eastAsia="宋体"/>
                <w:color w:val="auto"/>
                <w:sz w:val="21"/>
                <w:szCs w:val="21"/>
                <w:highlight w:val="none"/>
              </w:rPr>
            </w:pPr>
            <w:r>
              <w:rPr>
                <w:rFonts w:eastAsia="宋体"/>
                <w:color w:val="auto"/>
                <w:sz w:val="21"/>
                <w:szCs w:val="21"/>
                <w:highlight w:val="none"/>
              </w:rPr>
              <w:t>2.8</w:t>
            </w:r>
          </w:p>
        </w:tc>
        <w:tc>
          <w:tcPr>
            <w:tcW w:w="686" w:type="dxa"/>
            <w:tcBorders>
              <w:top w:val="single" w:color="000000" w:sz="4" w:space="0"/>
              <w:left w:val="single" w:color="000000" w:sz="4" w:space="0"/>
              <w:bottom w:val="single" w:color="000000" w:sz="4" w:space="0"/>
              <w:right w:val="single" w:color="000000" w:sz="4" w:space="0"/>
            </w:tcBorders>
            <w:vAlign w:val="center"/>
          </w:tcPr>
          <w:p w14:paraId="26E94CAB">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bottom w:val="single" w:color="000000" w:sz="4" w:space="0"/>
              <w:right w:val="nil"/>
            </w:tcBorders>
            <w:vAlign w:val="center"/>
          </w:tcPr>
          <w:p w14:paraId="4787EDB9">
            <w:pPr>
              <w:pStyle w:val="98"/>
              <w:ind w:left="-105" w:right="-105"/>
              <w:rPr>
                <w:rFonts w:eastAsia="宋体"/>
                <w:color w:val="auto"/>
                <w:sz w:val="21"/>
                <w:szCs w:val="21"/>
                <w:highlight w:val="none"/>
              </w:rPr>
            </w:pPr>
            <w:r>
              <w:rPr>
                <w:rFonts w:eastAsia="宋体"/>
                <w:color w:val="auto"/>
                <w:sz w:val="21"/>
                <w:szCs w:val="21"/>
                <w:highlight w:val="none"/>
              </w:rPr>
              <w:t>2.82</w:t>
            </w:r>
          </w:p>
        </w:tc>
      </w:tr>
      <w:tr w14:paraId="6F6CB2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22" w:hRule="atLeast"/>
          <w:jc w:val="center"/>
        </w:trPr>
        <w:tc>
          <w:tcPr>
            <w:tcW w:w="688" w:type="dxa"/>
            <w:vMerge w:val="restart"/>
            <w:tcBorders>
              <w:top w:val="single" w:color="000000" w:sz="4" w:space="0"/>
              <w:left w:val="nil"/>
              <w:right w:val="single" w:color="000000" w:sz="4" w:space="0"/>
            </w:tcBorders>
            <w:vAlign w:val="center"/>
          </w:tcPr>
          <w:p w14:paraId="4F3072A5">
            <w:pPr>
              <w:pStyle w:val="98"/>
              <w:ind w:left="-105" w:right="-105"/>
              <w:rPr>
                <w:rFonts w:eastAsia="宋体"/>
                <w:color w:val="auto"/>
                <w:sz w:val="21"/>
                <w:szCs w:val="21"/>
                <w:highlight w:val="none"/>
              </w:rPr>
            </w:pPr>
            <w:r>
              <w:rPr>
                <w:rFonts w:eastAsia="宋体"/>
                <w:color w:val="auto"/>
                <w:sz w:val="21"/>
                <w:szCs w:val="21"/>
                <w:highlight w:val="none"/>
              </w:rPr>
              <w:t>全年平均</w:t>
            </w:r>
          </w:p>
        </w:tc>
        <w:tc>
          <w:tcPr>
            <w:tcW w:w="687" w:type="dxa"/>
            <w:tcBorders>
              <w:top w:val="single" w:color="000000" w:sz="4" w:space="0"/>
              <w:left w:val="single" w:color="000000" w:sz="4" w:space="0"/>
              <w:bottom w:val="single" w:color="000000" w:sz="4" w:space="0"/>
              <w:right w:val="single" w:color="000000" w:sz="4" w:space="0"/>
            </w:tcBorders>
            <w:vAlign w:val="center"/>
          </w:tcPr>
          <w:p w14:paraId="6312A4C5">
            <w:pPr>
              <w:pStyle w:val="98"/>
              <w:ind w:left="-105" w:right="-105"/>
              <w:rPr>
                <w:rFonts w:eastAsia="宋体"/>
                <w:color w:val="auto"/>
                <w:sz w:val="21"/>
                <w:szCs w:val="21"/>
                <w:highlight w:val="none"/>
              </w:rPr>
            </w:pPr>
            <w:r>
              <w:rPr>
                <w:rFonts w:eastAsia="宋体"/>
                <w:color w:val="auto"/>
                <w:sz w:val="21"/>
                <w:szCs w:val="21"/>
                <w:highlight w:val="none"/>
              </w:rPr>
              <w:t>频率</w:t>
            </w:r>
          </w:p>
        </w:tc>
        <w:tc>
          <w:tcPr>
            <w:tcW w:w="687" w:type="dxa"/>
            <w:tcBorders>
              <w:top w:val="single" w:color="000000" w:sz="4" w:space="0"/>
              <w:left w:val="single" w:color="000000" w:sz="4" w:space="0"/>
              <w:bottom w:val="single" w:color="000000" w:sz="4" w:space="0"/>
              <w:right w:val="single" w:color="000000" w:sz="4" w:space="0"/>
            </w:tcBorders>
            <w:vAlign w:val="center"/>
          </w:tcPr>
          <w:p w14:paraId="15D38309">
            <w:pPr>
              <w:pStyle w:val="98"/>
              <w:ind w:left="-105" w:right="-105"/>
              <w:rPr>
                <w:rFonts w:eastAsia="宋体"/>
                <w:color w:val="auto"/>
                <w:sz w:val="21"/>
                <w:szCs w:val="21"/>
                <w:highlight w:val="none"/>
              </w:rPr>
            </w:pPr>
            <w:r>
              <w:rPr>
                <w:rFonts w:eastAsia="宋体"/>
                <w:color w:val="auto"/>
                <w:sz w:val="21"/>
                <w:szCs w:val="21"/>
                <w:highlight w:val="none"/>
              </w:rPr>
              <w:t>6.9</w:t>
            </w:r>
          </w:p>
        </w:tc>
        <w:tc>
          <w:tcPr>
            <w:tcW w:w="687" w:type="dxa"/>
            <w:tcBorders>
              <w:top w:val="single" w:color="000000" w:sz="4" w:space="0"/>
              <w:left w:val="single" w:color="000000" w:sz="4" w:space="0"/>
              <w:bottom w:val="single" w:color="000000" w:sz="4" w:space="0"/>
              <w:right w:val="single" w:color="000000" w:sz="4" w:space="0"/>
            </w:tcBorders>
            <w:vAlign w:val="center"/>
          </w:tcPr>
          <w:p w14:paraId="1656914D">
            <w:pPr>
              <w:pStyle w:val="98"/>
              <w:ind w:left="-105" w:right="-105"/>
              <w:rPr>
                <w:rFonts w:eastAsia="宋体"/>
                <w:color w:val="auto"/>
                <w:sz w:val="21"/>
                <w:szCs w:val="21"/>
                <w:highlight w:val="none"/>
              </w:rPr>
            </w:pPr>
            <w:r>
              <w:rPr>
                <w:rFonts w:eastAsia="宋体"/>
                <w:color w:val="auto"/>
                <w:sz w:val="21"/>
                <w:szCs w:val="21"/>
                <w:highlight w:val="none"/>
              </w:rPr>
              <w:t>4.7</w:t>
            </w:r>
          </w:p>
        </w:tc>
        <w:tc>
          <w:tcPr>
            <w:tcW w:w="687" w:type="dxa"/>
            <w:tcBorders>
              <w:top w:val="single" w:color="000000" w:sz="4" w:space="0"/>
              <w:left w:val="single" w:color="000000" w:sz="4" w:space="0"/>
              <w:bottom w:val="single" w:color="000000" w:sz="4" w:space="0"/>
              <w:right w:val="single" w:color="000000" w:sz="4" w:space="0"/>
            </w:tcBorders>
            <w:vAlign w:val="center"/>
          </w:tcPr>
          <w:p w14:paraId="51C91384">
            <w:pPr>
              <w:pStyle w:val="98"/>
              <w:ind w:left="-105" w:right="-105"/>
              <w:rPr>
                <w:rFonts w:eastAsia="宋体"/>
                <w:color w:val="auto"/>
                <w:sz w:val="21"/>
                <w:szCs w:val="21"/>
                <w:highlight w:val="none"/>
              </w:rPr>
            </w:pPr>
            <w:r>
              <w:rPr>
                <w:rFonts w:eastAsia="宋体"/>
                <w:color w:val="auto"/>
                <w:sz w:val="21"/>
                <w:szCs w:val="21"/>
                <w:highlight w:val="none"/>
              </w:rPr>
              <w:t>7</w:t>
            </w:r>
          </w:p>
        </w:tc>
        <w:tc>
          <w:tcPr>
            <w:tcW w:w="688" w:type="dxa"/>
            <w:tcBorders>
              <w:top w:val="single" w:color="000000" w:sz="4" w:space="0"/>
              <w:left w:val="single" w:color="000000" w:sz="4" w:space="0"/>
              <w:bottom w:val="single" w:color="000000" w:sz="4" w:space="0"/>
              <w:right w:val="single" w:color="000000" w:sz="4" w:space="0"/>
            </w:tcBorders>
            <w:vAlign w:val="center"/>
          </w:tcPr>
          <w:p w14:paraId="55CC16D0">
            <w:pPr>
              <w:pStyle w:val="98"/>
              <w:ind w:left="-105" w:right="-105"/>
              <w:rPr>
                <w:rFonts w:eastAsia="宋体"/>
                <w:color w:val="auto"/>
                <w:sz w:val="21"/>
                <w:szCs w:val="21"/>
                <w:highlight w:val="none"/>
              </w:rPr>
            </w:pPr>
            <w:r>
              <w:rPr>
                <w:rFonts w:eastAsia="宋体"/>
                <w:color w:val="auto"/>
                <w:sz w:val="21"/>
                <w:szCs w:val="21"/>
                <w:highlight w:val="none"/>
              </w:rPr>
              <w:t>5.7</w:t>
            </w:r>
          </w:p>
        </w:tc>
        <w:tc>
          <w:tcPr>
            <w:tcW w:w="687" w:type="dxa"/>
            <w:tcBorders>
              <w:top w:val="single" w:color="000000" w:sz="4" w:space="0"/>
              <w:left w:val="single" w:color="000000" w:sz="4" w:space="0"/>
              <w:bottom w:val="single" w:color="000000" w:sz="4" w:space="0"/>
              <w:right w:val="single" w:color="000000" w:sz="4" w:space="0"/>
            </w:tcBorders>
            <w:vAlign w:val="center"/>
          </w:tcPr>
          <w:p w14:paraId="619539E9">
            <w:pPr>
              <w:pStyle w:val="98"/>
              <w:ind w:left="-105" w:right="-105"/>
              <w:rPr>
                <w:rFonts w:eastAsia="宋体"/>
                <w:color w:val="auto"/>
                <w:sz w:val="21"/>
                <w:szCs w:val="21"/>
                <w:highlight w:val="none"/>
              </w:rPr>
            </w:pPr>
            <w:r>
              <w:rPr>
                <w:rFonts w:eastAsia="宋体"/>
                <w:color w:val="auto"/>
                <w:sz w:val="21"/>
                <w:szCs w:val="21"/>
                <w:highlight w:val="none"/>
              </w:rPr>
              <w:t>6.9</w:t>
            </w:r>
          </w:p>
        </w:tc>
        <w:tc>
          <w:tcPr>
            <w:tcW w:w="687" w:type="dxa"/>
            <w:tcBorders>
              <w:top w:val="single" w:color="000000" w:sz="4" w:space="0"/>
              <w:left w:val="single" w:color="000000" w:sz="4" w:space="0"/>
              <w:bottom w:val="single" w:color="000000" w:sz="4" w:space="0"/>
              <w:right w:val="single" w:color="000000" w:sz="4" w:space="0"/>
            </w:tcBorders>
            <w:vAlign w:val="center"/>
          </w:tcPr>
          <w:p w14:paraId="25C38F81">
            <w:pPr>
              <w:pStyle w:val="98"/>
              <w:ind w:left="-105" w:right="-105"/>
              <w:rPr>
                <w:rFonts w:eastAsia="宋体"/>
                <w:color w:val="auto"/>
                <w:sz w:val="21"/>
                <w:szCs w:val="21"/>
                <w:highlight w:val="none"/>
              </w:rPr>
            </w:pPr>
            <w:r>
              <w:rPr>
                <w:rFonts w:eastAsia="宋体"/>
                <w:color w:val="auto"/>
                <w:sz w:val="21"/>
                <w:szCs w:val="21"/>
                <w:highlight w:val="none"/>
              </w:rPr>
              <w:t>10.4</w:t>
            </w:r>
          </w:p>
        </w:tc>
        <w:tc>
          <w:tcPr>
            <w:tcW w:w="687" w:type="dxa"/>
            <w:tcBorders>
              <w:top w:val="single" w:color="000000" w:sz="4" w:space="0"/>
              <w:left w:val="single" w:color="000000" w:sz="4" w:space="0"/>
              <w:bottom w:val="single" w:color="000000" w:sz="4" w:space="0"/>
              <w:right w:val="single" w:color="000000" w:sz="4" w:space="0"/>
            </w:tcBorders>
            <w:vAlign w:val="center"/>
          </w:tcPr>
          <w:p w14:paraId="5E0CA8AB">
            <w:pPr>
              <w:pStyle w:val="98"/>
              <w:ind w:left="-105" w:right="-105"/>
              <w:rPr>
                <w:rFonts w:eastAsia="宋体"/>
                <w:color w:val="auto"/>
                <w:sz w:val="21"/>
                <w:szCs w:val="21"/>
                <w:highlight w:val="none"/>
              </w:rPr>
            </w:pPr>
            <w:r>
              <w:rPr>
                <w:rFonts w:eastAsia="宋体"/>
                <w:color w:val="auto"/>
                <w:sz w:val="21"/>
                <w:szCs w:val="21"/>
                <w:highlight w:val="none"/>
              </w:rPr>
              <w:t>9.6</w:t>
            </w:r>
          </w:p>
        </w:tc>
        <w:tc>
          <w:tcPr>
            <w:tcW w:w="687" w:type="dxa"/>
            <w:tcBorders>
              <w:top w:val="single" w:color="000000" w:sz="4" w:space="0"/>
              <w:left w:val="single" w:color="000000" w:sz="4" w:space="0"/>
              <w:bottom w:val="single" w:color="000000" w:sz="4" w:space="0"/>
              <w:right w:val="single" w:color="000000" w:sz="4" w:space="0"/>
            </w:tcBorders>
            <w:vAlign w:val="center"/>
          </w:tcPr>
          <w:p w14:paraId="345D9827">
            <w:pPr>
              <w:pStyle w:val="98"/>
              <w:ind w:left="-105" w:right="-105"/>
              <w:rPr>
                <w:rFonts w:eastAsia="宋体"/>
                <w:color w:val="auto"/>
                <w:sz w:val="21"/>
                <w:szCs w:val="21"/>
                <w:highlight w:val="none"/>
              </w:rPr>
            </w:pPr>
            <w:r>
              <w:rPr>
                <w:rFonts w:eastAsia="宋体"/>
                <w:color w:val="auto"/>
                <w:sz w:val="21"/>
                <w:szCs w:val="21"/>
                <w:highlight w:val="none"/>
              </w:rPr>
              <w:t>5.2</w:t>
            </w:r>
          </w:p>
        </w:tc>
        <w:tc>
          <w:tcPr>
            <w:tcW w:w="687" w:type="dxa"/>
            <w:tcBorders>
              <w:top w:val="single" w:color="000000" w:sz="4" w:space="0"/>
              <w:left w:val="single" w:color="000000" w:sz="4" w:space="0"/>
              <w:bottom w:val="single" w:color="000000" w:sz="4" w:space="0"/>
              <w:right w:val="single" w:color="000000" w:sz="4" w:space="0"/>
            </w:tcBorders>
            <w:vAlign w:val="center"/>
          </w:tcPr>
          <w:p w14:paraId="2FCB0F32">
            <w:pPr>
              <w:pStyle w:val="98"/>
              <w:ind w:left="-105" w:right="-105"/>
              <w:rPr>
                <w:rFonts w:eastAsia="宋体"/>
                <w:color w:val="auto"/>
                <w:sz w:val="21"/>
                <w:szCs w:val="21"/>
                <w:highlight w:val="none"/>
              </w:rPr>
            </w:pPr>
            <w:r>
              <w:rPr>
                <w:rFonts w:eastAsia="宋体"/>
                <w:color w:val="auto"/>
                <w:sz w:val="21"/>
                <w:szCs w:val="21"/>
                <w:highlight w:val="none"/>
              </w:rPr>
              <w:t>3.4</w:t>
            </w:r>
          </w:p>
        </w:tc>
        <w:tc>
          <w:tcPr>
            <w:tcW w:w="687" w:type="dxa"/>
            <w:tcBorders>
              <w:top w:val="single" w:color="000000" w:sz="4" w:space="0"/>
              <w:left w:val="single" w:color="000000" w:sz="4" w:space="0"/>
              <w:bottom w:val="single" w:color="000000" w:sz="4" w:space="0"/>
              <w:right w:val="single" w:color="000000" w:sz="4" w:space="0"/>
            </w:tcBorders>
            <w:vAlign w:val="center"/>
          </w:tcPr>
          <w:p w14:paraId="14B02B02">
            <w:pPr>
              <w:pStyle w:val="98"/>
              <w:ind w:left="-105" w:right="-105"/>
              <w:rPr>
                <w:rFonts w:eastAsia="宋体"/>
                <w:color w:val="auto"/>
                <w:sz w:val="21"/>
                <w:szCs w:val="21"/>
                <w:highlight w:val="none"/>
              </w:rPr>
            </w:pPr>
            <w:r>
              <w:rPr>
                <w:rFonts w:eastAsia="宋体"/>
                <w:color w:val="auto"/>
                <w:sz w:val="21"/>
                <w:szCs w:val="21"/>
                <w:highlight w:val="none"/>
              </w:rPr>
              <w:t>2.5</w:t>
            </w:r>
          </w:p>
        </w:tc>
        <w:tc>
          <w:tcPr>
            <w:tcW w:w="684" w:type="dxa"/>
            <w:tcBorders>
              <w:top w:val="single" w:color="000000" w:sz="4" w:space="0"/>
              <w:left w:val="single" w:color="000000" w:sz="4" w:space="0"/>
              <w:bottom w:val="single" w:color="000000" w:sz="4" w:space="0"/>
              <w:right w:val="single" w:color="000000" w:sz="4" w:space="0"/>
            </w:tcBorders>
            <w:vAlign w:val="center"/>
          </w:tcPr>
          <w:p w14:paraId="6A6CE8AE">
            <w:pPr>
              <w:pStyle w:val="98"/>
              <w:ind w:left="-105" w:right="-105"/>
              <w:rPr>
                <w:rFonts w:eastAsia="宋体"/>
                <w:color w:val="auto"/>
                <w:sz w:val="21"/>
                <w:szCs w:val="21"/>
                <w:highlight w:val="none"/>
              </w:rPr>
            </w:pPr>
            <w:r>
              <w:rPr>
                <w:rFonts w:eastAsia="宋体"/>
                <w:color w:val="auto"/>
                <w:sz w:val="21"/>
                <w:szCs w:val="21"/>
                <w:highlight w:val="none"/>
              </w:rPr>
              <w:t>2</w:t>
            </w:r>
          </w:p>
        </w:tc>
        <w:tc>
          <w:tcPr>
            <w:tcW w:w="714" w:type="dxa"/>
            <w:tcBorders>
              <w:top w:val="single" w:color="000000" w:sz="4" w:space="0"/>
              <w:left w:val="single" w:color="000000" w:sz="4" w:space="0"/>
              <w:bottom w:val="single" w:color="000000" w:sz="4" w:space="0"/>
              <w:right w:val="single" w:color="000000" w:sz="4" w:space="0"/>
            </w:tcBorders>
            <w:vAlign w:val="center"/>
          </w:tcPr>
          <w:p w14:paraId="305570B5">
            <w:pPr>
              <w:pStyle w:val="98"/>
              <w:ind w:left="-105" w:right="-105"/>
              <w:rPr>
                <w:rFonts w:eastAsia="宋体"/>
                <w:color w:val="auto"/>
                <w:sz w:val="21"/>
                <w:szCs w:val="21"/>
                <w:highlight w:val="none"/>
              </w:rPr>
            </w:pPr>
            <w:r>
              <w:rPr>
                <w:rFonts w:eastAsia="宋体"/>
                <w:color w:val="auto"/>
                <w:sz w:val="21"/>
                <w:szCs w:val="21"/>
                <w:highlight w:val="none"/>
              </w:rPr>
              <w:t>2.3</w:t>
            </w:r>
          </w:p>
        </w:tc>
        <w:tc>
          <w:tcPr>
            <w:tcW w:w="686" w:type="dxa"/>
            <w:tcBorders>
              <w:top w:val="single" w:color="000000" w:sz="4" w:space="0"/>
              <w:left w:val="single" w:color="000000" w:sz="4" w:space="0"/>
              <w:bottom w:val="single" w:color="000000" w:sz="4" w:space="0"/>
              <w:right w:val="single" w:color="000000" w:sz="4" w:space="0"/>
            </w:tcBorders>
            <w:vAlign w:val="center"/>
          </w:tcPr>
          <w:p w14:paraId="0BF94867">
            <w:pPr>
              <w:pStyle w:val="98"/>
              <w:ind w:left="-105" w:right="-105"/>
              <w:rPr>
                <w:rFonts w:eastAsia="宋体"/>
                <w:color w:val="auto"/>
                <w:sz w:val="21"/>
                <w:szCs w:val="21"/>
                <w:highlight w:val="none"/>
              </w:rPr>
            </w:pPr>
            <w:r>
              <w:rPr>
                <w:rFonts w:eastAsia="宋体"/>
                <w:color w:val="auto"/>
                <w:sz w:val="21"/>
                <w:szCs w:val="21"/>
                <w:highlight w:val="none"/>
              </w:rPr>
              <w:t>3.8</w:t>
            </w:r>
          </w:p>
        </w:tc>
        <w:tc>
          <w:tcPr>
            <w:tcW w:w="747" w:type="dxa"/>
            <w:tcBorders>
              <w:top w:val="single" w:color="000000" w:sz="4" w:space="0"/>
              <w:left w:val="single" w:color="000000" w:sz="4" w:space="0"/>
              <w:bottom w:val="single" w:color="000000" w:sz="4" w:space="0"/>
              <w:right w:val="single" w:color="000000" w:sz="4" w:space="0"/>
            </w:tcBorders>
            <w:vAlign w:val="center"/>
          </w:tcPr>
          <w:p w14:paraId="54A506DD">
            <w:pPr>
              <w:pStyle w:val="98"/>
              <w:ind w:left="-105" w:right="-105"/>
              <w:rPr>
                <w:rFonts w:eastAsia="宋体"/>
                <w:color w:val="auto"/>
                <w:sz w:val="21"/>
                <w:szCs w:val="21"/>
                <w:highlight w:val="none"/>
              </w:rPr>
            </w:pPr>
            <w:r>
              <w:rPr>
                <w:rFonts w:eastAsia="宋体"/>
                <w:color w:val="auto"/>
                <w:sz w:val="21"/>
                <w:szCs w:val="21"/>
                <w:highlight w:val="none"/>
              </w:rPr>
              <w:t>6.8</w:t>
            </w:r>
          </w:p>
        </w:tc>
        <w:tc>
          <w:tcPr>
            <w:tcW w:w="686" w:type="dxa"/>
            <w:tcBorders>
              <w:top w:val="single" w:color="000000" w:sz="4" w:space="0"/>
              <w:left w:val="single" w:color="000000" w:sz="4" w:space="0"/>
              <w:bottom w:val="single" w:color="000000" w:sz="4" w:space="0"/>
              <w:right w:val="single" w:color="000000" w:sz="4" w:space="0"/>
            </w:tcBorders>
            <w:vAlign w:val="center"/>
          </w:tcPr>
          <w:p w14:paraId="74AE3A0B">
            <w:pPr>
              <w:pStyle w:val="98"/>
              <w:ind w:left="-105" w:right="-105"/>
              <w:rPr>
                <w:rFonts w:eastAsia="宋体"/>
                <w:color w:val="auto"/>
                <w:sz w:val="21"/>
                <w:szCs w:val="21"/>
                <w:highlight w:val="none"/>
              </w:rPr>
            </w:pPr>
            <w:r>
              <w:rPr>
                <w:rFonts w:eastAsia="宋体"/>
                <w:color w:val="auto"/>
                <w:sz w:val="21"/>
                <w:szCs w:val="21"/>
                <w:highlight w:val="none"/>
              </w:rPr>
              <w:t>5.3</w:t>
            </w:r>
          </w:p>
        </w:tc>
        <w:tc>
          <w:tcPr>
            <w:tcW w:w="700" w:type="dxa"/>
            <w:tcBorders>
              <w:top w:val="single" w:color="000000" w:sz="4" w:space="0"/>
              <w:left w:val="single" w:color="000000" w:sz="4" w:space="0"/>
              <w:bottom w:val="single" w:color="000000" w:sz="4" w:space="0"/>
              <w:right w:val="single" w:color="000000" w:sz="4" w:space="0"/>
            </w:tcBorders>
            <w:vAlign w:val="center"/>
          </w:tcPr>
          <w:p w14:paraId="314DD995">
            <w:pPr>
              <w:pStyle w:val="98"/>
              <w:ind w:left="-105" w:right="-105"/>
              <w:rPr>
                <w:rFonts w:eastAsia="宋体"/>
                <w:color w:val="auto"/>
                <w:sz w:val="21"/>
                <w:szCs w:val="21"/>
                <w:highlight w:val="none"/>
              </w:rPr>
            </w:pPr>
            <w:r>
              <w:rPr>
                <w:rFonts w:eastAsia="宋体"/>
                <w:color w:val="auto"/>
                <w:sz w:val="21"/>
                <w:szCs w:val="21"/>
                <w:highlight w:val="none"/>
              </w:rPr>
              <w:t>5.4</w:t>
            </w:r>
          </w:p>
        </w:tc>
        <w:tc>
          <w:tcPr>
            <w:tcW w:w="686" w:type="dxa"/>
            <w:tcBorders>
              <w:top w:val="single" w:color="000000" w:sz="4" w:space="0"/>
              <w:left w:val="single" w:color="000000" w:sz="4" w:space="0"/>
              <w:bottom w:val="single" w:color="000000" w:sz="4" w:space="0"/>
              <w:right w:val="single" w:color="000000" w:sz="4" w:space="0"/>
            </w:tcBorders>
            <w:vAlign w:val="center"/>
          </w:tcPr>
          <w:p w14:paraId="2D662395">
            <w:pPr>
              <w:pStyle w:val="98"/>
              <w:ind w:left="-105" w:right="-105"/>
              <w:rPr>
                <w:rFonts w:eastAsia="宋体"/>
                <w:color w:val="auto"/>
                <w:sz w:val="21"/>
                <w:szCs w:val="21"/>
                <w:highlight w:val="none"/>
              </w:rPr>
            </w:pPr>
            <w:r>
              <w:rPr>
                <w:rFonts w:eastAsia="宋体"/>
                <w:color w:val="auto"/>
                <w:sz w:val="21"/>
                <w:szCs w:val="21"/>
                <w:highlight w:val="none"/>
              </w:rPr>
              <w:t>12.8</w:t>
            </w:r>
          </w:p>
        </w:tc>
        <w:tc>
          <w:tcPr>
            <w:tcW w:w="693" w:type="dxa"/>
            <w:tcBorders>
              <w:top w:val="single" w:color="000000" w:sz="4" w:space="0"/>
              <w:left w:val="single" w:color="000000" w:sz="4" w:space="0"/>
              <w:bottom w:val="single" w:color="000000" w:sz="4" w:space="0"/>
              <w:right w:val="nil"/>
            </w:tcBorders>
            <w:vAlign w:val="center"/>
          </w:tcPr>
          <w:p w14:paraId="76AAACEF">
            <w:pPr>
              <w:pStyle w:val="98"/>
              <w:ind w:left="-105" w:right="-105"/>
              <w:rPr>
                <w:rFonts w:eastAsia="宋体"/>
                <w:color w:val="auto"/>
                <w:sz w:val="21"/>
                <w:szCs w:val="21"/>
                <w:highlight w:val="none"/>
              </w:rPr>
            </w:pPr>
            <w:r>
              <w:rPr>
                <w:rFonts w:eastAsia="宋体"/>
                <w:color w:val="auto"/>
                <w:sz w:val="21"/>
                <w:szCs w:val="21"/>
                <w:highlight w:val="none"/>
              </w:rPr>
              <w:t>100</w:t>
            </w:r>
          </w:p>
        </w:tc>
      </w:tr>
      <w:tr w14:paraId="2AEAF1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gridAfter w:val="1"/>
          <w:wAfter w:w="21" w:type="dxa"/>
          <w:trHeight w:val="225" w:hRule="atLeast"/>
          <w:jc w:val="center"/>
        </w:trPr>
        <w:tc>
          <w:tcPr>
            <w:tcW w:w="688" w:type="dxa"/>
            <w:vMerge w:val="continue"/>
            <w:tcBorders>
              <w:top w:val="nil"/>
              <w:left w:val="nil"/>
              <w:right w:val="single" w:color="000000" w:sz="4" w:space="0"/>
            </w:tcBorders>
            <w:vAlign w:val="center"/>
          </w:tcPr>
          <w:p w14:paraId="73EEFA3D">
            <w:pPr>
              <w:ind w:left="-105" w:right="-105"/>
              <w:jc w:val="center"/>
              <w:rPr>
                <w:rFonts w:ascii="Times New Roman" w:hAnsi="Times New Roman"/>
                <w:color w:val="auto"/>
                <w:sz w:val="21"/>
                <w:szCs w:val="21"/>
                <w:highlight w:val="none"/>
              </w:rPr>
            </w:pPr>
          </w:p>
        </w:tc>
        <w:tc>
          <w:tcPr>
            <w:tcW w:w="687" w:type="dxa"/>
            <w:tcBorders>
              <w:top w:val="single" w:color="000000" w:sz="4" w:space="0"/>
              <w:left w:val="single" w:color="000000" w:sz="4" w:space="0"/>
              <w:right w:val="single" w:color="000000" w:sz="4" w:space="0"/>
            </w:tcBorders>
            <w:vAlign w:val="center"/>
          </w:tcPr>
          <w:p w14:paraId="6E5E5095">
            <w:pPr>
              <w:pStyle w:val="98"/>
              <w:ind w:left="-105" w:right="-105"/>
              <w:rPr>
                <w:rFonts w:eastAsia="宋体"/>
                <w:color w:val="auto"/>
                <w:sz w:val="21"/>
                <w:szCs w:val="21"/>
                <w:highlight w:val="none"/>
              </w:rPr>
            </w:pPr>
            <w:r>
              <w:rPr>
                <w:rFonts w:eastAsia="宋体"/>
                <w:color w:val="auto"/>
                <w:sz w:val="21"/>
                <w:szCs w:val="21"/>
                <w:highlight w:val="none"/>
              </w:rPr>
              <w:t>风速</w:t>
            </w:r>
          </w:p>
        </w:tc>
        <w:tc>
          <w:tcPr>
            <w:tcW w:w="687" w:type="dxa"/>
            <w:tcBorders>
              <w:top w:val="single" w:color="000000" w:sz="4" w:space="0"/>
              <w:left w:val="single" w:color="000000" w:sz="4" w:space="0"/>
              <w:right w:val="single" w:color="000000" w:sz="4" w:space="0"/>
            </w:tcBorders>
            <w:vAlign w:val="center"/>
          </w:tcPr>
          <w:p w14:paraId="337C459F">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right w:val="single" w:color="000000" w:sz="4" w:space="0"/>
            </w:tcBorders>
            <w:vAlign w:val="center"/>
          </w:tcPr>
          <w:p w14:paraId="39807E0C">
            <w:pPr>
              <w:pStyle w:val="98"/>
              <w:ind w:left="-105" w:right="-105"/>
              <w:rPr>
                <w:rFonts w:eastAsia="宋体"/>
                <w:color w:val="auto"/>
                <w:sz w:val="21"/>
                <w:szCs w:val="21"/>
                <w:highlight w:val="none"/>
              </w:rPr>
            </w:pPr>
            <w:r>
              <w:rPr>
                <w:rFonts w:eastAsia="宋体"/>
                <w:color w:val="auto"/>
                <w:sz w:val="21"/>
                <w:szCs w:val="21"/>
                <w:highlight w:val="none"/>
              </w:rPr>
              <w:t>2.8</w:t>
            </w:r>
          </w:p>
        </w:tc>
        <w:tc>
          <w:tcPr>
            <w:tcW w:w="687" w:type="dxa"/>
            <w:tcBorders>
              <w:top w:val="single" w:color="000000" w:sz="4" w:space="0"/>
              <w:left w:val="single" w:color="000000" w:sz="4" w:space="0"/>
              <w:right w:val="single" w:color="000000" w:sz="4" w:space="0"/>
            </w:tcBorders>
            <w:vAlign w:val="center"/>
          </w:tcPr>
          <w:p w14:paraId="4C05F34F">
            <w:pPr>
              <w:pStyle w:val="98"/>
              <w:ind w:left="-105" w:right="-105"/>
              <w:rPr>
                <w:rFonts w:eastAsia="宋体"/>
                <w:color w:val="auto"/>
                <w:sz w:val="21"/>
                <w:szCs w:val="21"/>
                <w:highlight w:val="none"/>
              </w:rPr>
            </w:pPr>
            <w:r>
              <w:rPr>
                <w:rFonts w:eastAsia="宋体"/>
                <w:color w:val="auto"/>
                <w:sz w:val="21"/>
                <w:szCs w:val="21"/>
                <w:highlight w:val="none"/>
              </w:rPr>
              <w:t>2.8</w:t>
            </w:r>
          </w:p>
        </w:tc>
        <w:tc>
          <w:tcPr>
            <w:tcW w:w="688" w:type="dxa"/>
            <w:tcBorders>
              <w:top w:val="single" w:color="000000" w:sz="4" w:space="0"/>
              <w:left w:val="single" w:color="000000" w:sz="4" w:space="0"/>
              <w:right w:val="single" w:color="000000" w:sz="4" w:space="0"/>
            </w:tcBorders>
            <w:vAlign w:val="center"/>
          </w:tcPr>
          <w:p w14:paraId="7B9CE735">
            <w:pPr>
              <w:pStyle w:val="98"/>
              <w:ind w:left="-105" w:right="-105"/>
              <w:rPr>
                <w:rFonts w:eastAsia="宋体"/>
                <w:color w:val="auto"/>
                <w:sz w:val="21"/>
                <w:szCs w:val="21"/>
                <w:highlight w:val="none"/>
              </w:rPr>
            </w:pPr>
            <w:r>
              <w:rPr>
                <w:rFonts w:eastAsia="宋体"/>
                <w:color w:val="auto"/>
                <w:sz w:val="21"/>
                <w:szCs w:val="21"/>
                <w:highlight w:val="none"/>
              </w:rPr>
              <w:t>2.9</w:t>
            </w:r>
          </w:p>
        </w:tc>
        <w:tc>
          <w:tcPr>
            <w:tcW w:w="687" w:type="dxa"/>
            <w:tcBorders>
              <w:top w:val="single" w:color="000000" w:sz="4" w:space="0"/>
              <w:left w:val="single" w:color="000000" w:sz="4" w:space="0"/>
              <w:right w:val="single" w:color="000000" w:sz="4" w:space="0"/>
            </w:tcBorders>
            <w:vAlign w:val="center"/>
          </w:tcPr>
          <w:p w14:paraId="65E7E8C7">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right w:val="single" w:color="000000" w:sz="4" w:space="0"/>
            </w:tcBorders>
            <w:vAlign w:val="center"/>
          </w:tcPr>
          <w:p w14:paraId="5C01C9FE">
            <w:pPr>
              <w:pStyle w:val="98"/>
              <w:ind w:left="-105" w:right="-105"/>
              <w:rPr>
                <w:rFonts w:eastAsia="宋体"/>
                <w:color w:val="auto"/>
                <w:sz w:val="21"/>
                <w:szCs w:val="21"/>
                <w:highlight w:val="none"/>
              </w:rPr>
            </w:pPr>
            <w:r>
              <w:rPr>
                <w:rFonts w:eastAsia="宋体"/>
                <w:color w:val="auto"/>
                <w:sz w:val="21"/>
                <w:szCs w:val="21"/>
                <w:highlight w:val="none"/>
              </w:rPr>
              <w:t>3</w:t>
            </w:r>
          </w:p>
        </w:tc>
        <w:tc>
          <w:tcPr>
            <w:tcW w:w="687" w:type="dxa"/>
            <w:tcBorders>
              <w:top w:val="single" w:color="000000" w:sz="4" w:space="0"/>
              <w:left w:val="single" w:color="000000" w:sz="4" w:space="0"/>
              <w:right w:val="single" w:color="000000" w:sz="4" w:space="0"/>
            </w:tcBorders>
            <w:vAlign w:val="center"/>
          </w:tcPr>
          <w:p w14:paraId="064F0BD1">
            <w:pPr>
              <w:pStyle w:val="98"/>
              <w:ind w:left="-105" w:right="-105"/>
              <w:rPr>
                <w:rFonts w:eastAsia="宋体"/>
                <w:color w:val="auto"/>
                <w:sz w:val="21"/>
                <w:szCs w:val="21"/>
                <w:highlight w:val="none"/>
              </w:rPr>
            </w:pPr>
            <w:r>
              <w:rPr>
                <w:rFonts w:eastAsia="宋体"/>
                <w:color w:val="auto"/>
                <w:sz w:val="21"/>
                <w:szCs w:val="21"/>
                <w:highlight w:val="none"/>
              </w:rPr>
              <w:t>2.7</w:t>
            </w:r>
          </w:p>
        </w:tc>
        <w:tc>
          <w:tcPr>
            <w:tcW w:w="687" w:type="dxa"/>
            <w:tcBorders>
              <w:top w:val="single" w:color="000000" w:sz="4" w:space="0"/>
              <w:left w:val="single" w:color="000000" w:sz="4" w:space="0"/>
              <w:right w:val="single" w:color="000000" w:sz="4" w:space="0"/>
            </w:tcBorders>
            <w:vAlign w:val="center"/>
          </w:tcPr>
          <w:p w14:paraId="46ECE2CC">
            <w:pPr>
              <w:pStyle w:val="98"/>
              <w:ind w:left="-105" w:right="-105"/>
              <w:rPr>
                <w:rFonts w:eastAsia="宋体"/>
                <w:color w:val="auto"/>
                <w:sz w:val="21"/>
                <w:szCs w:val="21"/>
                <w:highlight w:val="none"/>
              </w:rPr>
            </w:pPr>
            <w:r>
              <w:rPr>
                <w:rFonts w:eastAsia="宋体"/>
                <w:color w:val="auto"/>
                <w:sz w:val="21"/>
                <w:szCs w:val="21"/>
                <w:highlight w:val="none"/>
              </w:rPr>
              <w:t>2.3</w:t>
            </w:r>
          </w:p>
        </w:tc>
        <w:tc>
          <w:tcPr>
            <w:tcW w:w="687" w:type="dxa"/>
            <w:tcBorders>
              <w:top w:val="single" w:color="000000" w:sz="4" w:space="0"/>
              <w:left w:val="single" w:color="000000" w:sz="4" w:space="0"/>
              <w:right w:val="single" w:color="000000" w:sz="4" w:space="0"/>
            </w:tcBorders>
            <w:vAlign w:val="center"/>
          </w:tcPr>
          <w:p w14:paraId="06D45C5B">
            <w:pPr>
              <w:pStyle w:val="98"/>
              <w:ind w:left="-105" w:right="-105"/>
              <w:rPr>
                <w:rFonts w:eastAsia="宋体"/>
                <w:color w:val="auto"/>
                <w:sz w:val="21"/>
                <w:szCs w:val="21"/>
                <w:highlight w:val="none"/>
              </w:rPr>
            </w:pPr>
            <w:r>
              <w:rPr>
                <w:rFonts w:eastAsia="宋体"/>
                <w:color w:val="auto"/>
                <w:sz w:val="21"/>
                <w:szCs w:val="21"/>
                <w:highlight w:val="none"/>
              </w:rPr>
              <w:t>2.5</w:t>
            </w:r>
          </w:p>
        </w:tc>
        <w:tc>
          <w:tcPr>
            <w:tcW w:w="687" w:type="dxa"/>
            <w:tcBorders>
              <w:top w:val="single" w:color="000000" w:sz="4" w:space="0"/>
              <w:left w:val="single" w:color="000000" w:sz="4" w:space="0"/>
              <w:right w:val="single" w:color="000000" w:sz="4" w:space="0"/>
            </w:tcBorders>
            <w:vAlign w:val="center"/>
          </w:tcPr>
          <w:p w14:paraId="488076AE">
            <w:pPr>
              <w:pStyle w:val="98"/>
              <w:ind w:left="-105" w:right="-105"/>
              <w:rPr>
                <w:rFonts w:eastAsia="宋体"/>
                <w:color w:val="auto"/>
                <w:sz w:val="21"/>
                <w:szCs w:val="21"/>
                <w:highlight w:val="none"/>
              </w:rPr>
            </w:pPr>
            <w:r>
              <w:rPr>
                <w:rFonts w:eastAsia="宋体"/>
                <w:color w:val="auto"/>
                <w:sz w:val="21"/>
                <w:szCs w:val="21"/>
                <w:highlight w:val="none"/>
              </w:rPr>
              <w:t>2.2</w:t>
            </w:r>
          </w:p>
        </w:tc>
        <w:tc>
          <w:tcPr>
            <w:tcW w:w="684" w:type="dxa"/>
            <w:tcBorders>
              <w:top w:val="single" w:color="000000" w:sz="4" w:space="0"/>
              <w:left w:val="single" w:color="000000" w:sz="4" w:space="0"/>
              <w:right w:val="single" w:color="000000" w:sz="4" w:space="0"/>
            </w:tcBorders>
            <w:vAlign w:val="center"/>
          </w:tcPr>
          <w:p w14:paraId="7FC90237">
            <w:pPr>
              <w:pStyle w:val="98"/>
              <w:ind w:left="-105" w:right="-105"/>
              <w:rPr>
                <w:rFonts w:eastAsia="宋体"/>
                <w:color w:val="auto"/>
                <w:sz w:val="21"/>
                <w:szCs w:val="21"/>
                <w:highlight w:val="none"/>
              </w:rPr>
            </w:pPr>
            <w:r>
              <w:rPr>
                <w:rFonts w:eastAsia="宋体"/>
                <w:color w:val="auto"/>
                <w:sz w:val="21"/>
                <w:szCs w:val="21"/>
                <w:highlight w:val="none"/>
              </w:rPr>
              <w:t>1.8</w:t>
            </w:r>
          </w:p>
        </w:tc>
        <w:tc>
          <w:tcPr>
            <w:tcW w:w="714" w:type="dxa"/>
            <w:tcBorders>
              <w:top w:val="single" w:color="000000" w:sz="4" w:space="0"/>
              <w:left w:val="single" w:color="000000" w:sz="4" w:space="0"/>
              <w:right w:val="single" w:color="000000" w:sz="4" w:space="0"/>
            </w:tcBorders>
            <w:vAlign w:val="center"/>
          </w:tcPr>
          <w:p w14:paraId="5669FA87">
            <w:pPr>
              <w:pStyle w:val="98"/>
              <w:ind w:left="-105" w:right="-105"/>
              <w:rPr>
                <w:rFonts w:eastAsia="宋体"/>
                <w:color w:val="auto"/>
                <w:sz w:val="21"/>
                <w:szCs w:val="21"/>
                <w:highlight w:val="none"/>
              </w:rPr>
            </w:pPr>
            <w:r>
              <w:rPr>
                <w:rFonts w:eastAsia="宋体"/>
                <w:color w:val="auto"/>
                <w:sz w:val="21"/>
                <w:szCs w:val="21"/>
                <w:highlight w:val="none"/>
              </w:rPr>
              <w:t>2.7</w:t>
            </w:r>
          </w:p>
        </w:tc>
        <w:tc>
          <w:tcPr>
            <w:tcW w:w="686" w:type="dxa"/>
            <w:tcBorders>
              <w:top w:val="single" w:color="000000" w:sz="4" w:space="0"/>
              <w:left w:val="single" w:color="000000" w:sz="4" w:space="0"/>
              <w:right w:val="single" w:color="000000" w:sz="4" w:space="0"/>
            </w:tcBorders>
            <w:vAlign w:val="center"/>
          </w:tcPr>
          <w:p w14:paraId="67948BFC">
            <w:pPr>
              <w:pStyle w:val="98"/>
              <w:ind w:left="-105" w:right="-105"/>
              <w:rPr>
                <w:rFonts w:eastAsia="宋体"/>
                <w:color w:val="auto"/>
                <w:sz w:val="21"/>
                <w:szCs w:val="21"/>
                <w:highlight w:val="none"/>
              </w:rPr>
            </w:pPr>
            <w:r>
              <w:rPr>
                <w:rFonts w:eastAsia="宋体"/>
                <w:color w:val="auto"/>
                <w:sz w:val="21"/>
                <w:szCs w:val="21"/>
                <w:highlight w:val="none"/>
              </w:rPr>
              <w:t>3.5</w:t>
            </w:r>
          </w:p>
        </w:tc>
        <w:tc>
          <w:tcPr>
            <w:tcW w:w="747" w:type="dxa"/>
            <w:tcBorders>
              <w:top w:val="single" w:color="000000" w:sz="4" w:space="0"/>
              <w:left w:val="single" w:color="000000" w:sz="4" w:space="0"/>
              <w:right w:val="single" w:color="000000" w:sz="4" w:space="0"/>
            </w:tcBorders>
            <w:vAlign w:val="center"/>
          </w:tcPr>
          <w:p w14:paraId="15DDC14C">
            <w:pPr>
              <w:pStyle w:val="98"/>
              <w:ind w:left="-105" w:right="-105"/>
              <w:rPr>
                <w:rFonts w:eastAsia="宋体"/>
                <w:color w:val="auto"/>
                <w:sz w:val="21"/>
                <w:szCs w:val="21"/>
                <w:highlight w:val="none"/>
              </w:rPr>
            </w:pPr>
            <w:r>
              <w:rPr>
                <w:rFonts w:eastAsia="宋体"/>
                <w:color w:val="auto"/>
                <w:sz w:val="21"/>
                <w:szCs w:val="21"/>
                <w:highlight w:val="none"/>
              </w:rPr>
              <w:t>3.7</w:t>
            </w:r>
          </w:p>
        </w:tc>
        <w:tc>
          <w:tcPr>
            <w:tcW w:w="686" w:type="dxa"/>
            <w:tcBorders>
              <w:top w:val="single" w:color="000000" w:sz="4" w:space="0"/>
              <w:left w:val="single" w:color="000000" w:sz="4" w:space="0"/>
              <w:right w:val="single" w:color="000000" w:sz="4" w:space="0"/>
            </w:tcBorders>
            <w:vAlign w:val="center"/>
          </w:tcPr>
          <w:p w14:paraId="6E494BA6">
            <w:pPr>
              <w:pStyle w:val="98"/>
              <w:ind w:left="-105" w:right="-105"/>
              <w:rPr>
                <w:rFonts w:eastAsia="宋体"/>
                <w:color w:val="auto"/>
                <w:sz w:val="21"/>
                <w:szCs w:val="21"/>
                <w:highlight w:val="none"/>
              </w:rPr>
            </w:pPr>
            <w:r>
              <w:rPr>
                <w:rFonts w:eastAsia="宋体"/>
                <w:color w:val="auto"/>
                <w:sz w:val="21"/>
                <w:szCs w:val="21"/>
                <w:highlight w:val="none"/>
              </w:rPr>
              <w:t>2.8</w:t>
            </w:r>
          </w:p>
        </w:tc>
        <w:tc>
          <w:tcPr>
            <w:tcW w:w="700" w:type="dxa"/>
            <w:tcBorders>
              <w:top w:val="single" w:color="000000" w:sz="4" w:space="0"/>
              <w:left w:val="single" w:color="000000" w:sz="4" w:space="0"/>
              <w:right w:val="single" w:color="000000" w:sz="4" w:space="0"/>
            </w:tcBorders>
            <w:vAlign w:val="center"/>
          </w:tcPr>
          <w:p w14:paraId="72AEA62D">
            <w:pPr>
              <w:pStyle w:val="98"/>
              <w:ind w:left="-105" w:right="-105"/>
              <w:rPr>
                <w:rFonts w:eastAsia="宋体"/>
                <w:color w:val="auto"/>
                <w:sz w:val="21"/>
                <w:szCs w:val="21"/>
                <w:highlight w:val="none"/>
              </w:rPr>
            </w:pPr>
            <w:r>
              <w:rPr>
                <w:rFonts w:eastAsia="宋体"/>
                <w:color w:val="auto"/>
                <w:sz w:val="21"/>
                <w:szCs w:val="21"/>
                <w:highlight w:val="none"/>
              </w:rPr>
              <w:t>2.5</w:t>
            </w:r>
          </w:p>
        </w:tc>
        <w:tc>
          <w:tcPr>
            <w:tcW w:w="686" w:type="dxa"/>
            <w:tcBorders>
              <w:top w:val="single" w:color="000000" w:sz="4" w:space="0"/>
              <w:left w:val="single" w:color="000000" w:sz="4" w:space="0"/>
              <w:right w:val="single" w:color="000000" w:sz="4" w:space="0"/>
            </w:tcBorders>
            <w:vAlign w:val="center"/>
          </w:tcPr>
          <w:p w14:paraId="18502D5C">
            <w:pPr>
              <w:pStyle w:val="98"/>
              <w:ind w:left="-105" w:right="-105"/>
              <w:rPr>
                <w:rFonts w:eastAsia="宋体"/>
                <w:color w:val="auto"/>
                <w:sz w:val="21"/>
                <w:szCs w:val="21"/>
                <w:highlight w:val="none"/>
              </w:rPr>
            </w:pPr>
            <w:r>
              <w:rPr>
                <w:rFonts w:eastAsia="宋体"/>
                <w:color w:val="auto"/>
                <w:sz w:val="21"/>
                <w:szCs w:val="21"/>
                <w:highlight w:val="none"/>
              </w:rPr>
              <w:t>/</w:t>
            </w:r>
          </w:p>
        </w:tc>
        <w:tc>
          <w:tcPr>
            <w:tcW w:w="693" w:type="dxa"/>
            <w:tcBorders>
              <w:top w:val="single" w:color="000000" w:sz="4" w:space="0"/>
              <w:left w:val="single" w:color="000000" w:sz="4" w:space="0"/>
              <w:right w:val="nil"/>
            </w:tcBorders>
            <w:vAlign w:val="center"/>
          </w:tcPr>
          <w:p w14:paraId="0BCE6390">
            <w:pPr>
              <w:pStyle w:val="98"/>
              <w:ind w:left="-105" w:right="-105"/>
              <w:rPr>
                <w:rFonts w:eastAsia="宋体"/>
                <w:color w:val="auto"/>
                <w:sz w:val="21"/>
                <w:szCs w:val="21"/>
                <w:highlight w:val="none"/>
              </w:rPr>
            </w:pPr>
            <w:r>
              <w:rPr>
                <w:rFonts w:eastAsia="宋体"/>
                <w:color w:val="auto"/>
                <w:sz w:val="21"/>
                <w:szCs w:val="21"/>
                <w:highlight w:val="none"/>
              </w:rPr>
              <w:t>2.63</w:t>
            </w:r>
          </w:p>
        </w:tc>
      </w:tr>
    </w:tbl>
    <w:p w14:paraId="06E85D8B">
      <w:pPr>
        <w:spacing w:line="360" w:lineRule="auto"/>
        <w:ind w:left="-105" w:right="-105" w:firstLine="480"/>
        <w:rPr>
          <w:rFonts w:ascii="Times New Roman" w:hAnsi="Times New Roman"/>
          <w:color w:val="auto"/>
          <w:highlight w:val="none"/>
        </w:rPr>
        <w:sectPr>
          <w:pgSz w:w="16838" w:h="11906" w:orient="landscape"/>
          <w:pgMar w:top="1797" w:right="1701" w:bottom="1514" w:left="1701" w:header="851" w:footer="851" w:gutter="0"/>
          <w:pgBorders>
            <w:top w:val="none" w:sz="0" w:space="0"/>
            <w:left w:val="none" w:sz="0" w:space="0"/>
            <w:bottom w:val="none" w:sz="0" w:space="0"/>
            <w:right w:val="none" w:sz="0" w:space="0"/>
          </w:pgBorders>
          <w:cols w:space="720" w:num="1"/>
          <w:docGrid w:linePitch="498" w:charSpace="-2336"/>
        </w:sectPr>
      </w:pPr>
    </w:p>
    <w:p w14:paraId="68A16239">
      <w:pPr>
        <w:spacing w:line="360" w:lineRule="auto"/>
        <w:ind w:left="-105" w:right="-105" w:firstLine="360"/>
        <w:jc w:val="center"/>
        <w:rPr>
          <w:rFonts w:ascii="Times New Roman" w:hAnsi="Times New Roman"/>
          <w:color w:val="auto"/>
          <w:szCs w:val="22"/>
          <w:highlight w:val="none"/>
        </w:rPr>
      </w:pPr>
      <w:r>
        <w:rPr>
          <w:rFonts w:ascii="Times New Roman" w:hAnsi="Times New Roman"/>
          <w:color w:val="auto"/>
          <w:sz w:val="18"/>
          <w:szCs w:val="22"/>
          <w:highlight w:val="none"/>
        </w:rPr>
        <w:drawing>
          <wp:inline distT="0" distB="0" distL="0" distR="0">
            <wp:extent cx="3527425" cy="5711825"/>
            <wp:effectExtent l="0" t="0" r="0" b="0"/>
            <wp:docPr id="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a:picLocks noChangeAspect="1"/>
                    </pic:cNvPicPr>
                  </pic:nvPicPr>
                  <pic:blipFill>
                    <a:blip r:embed="rId47" cstate="print"/>
                    <a:stretch>
                      <a:fillRect/>
                    </a:stretch>
                  </pic:blipFill>
                  <pic:spPr>
                    <a:xfrm>
                      <a:off x="0" y="0"/>
                      <a:ext cx="3527704" cy="5712333"/>
                    </a:xfrm>
                    <a:prstGeom prst="rect">
                      <a:avLst/>
                    </a:prstGeom>
                  </pic:spPr>
                </pic:pic>
              </a:graphicData>
            </a:graphic>
          </wp:inline>
        </w:drawing>
      </w:r>
    </w:p>
    <w:p w14:paraId="3E59AEE5">
      <w:pPr>
        <w:pStyle w:val="15"/>
        <w:spacing w:line="360" w:lineRule="auto"/>
        <w:ind w:left="-105" w:right="-105" w:firstLine="482"/>
        <w:rPr>
          <w:rFonts w:eastAsia="宋体" w:cs="Times New Roman"/>
          <w:color w:val="auto"/>
          <w:sz w:val="24"/>
          <w:szCs w:val="18"/>
          <w:highlight w:val="none"/>
        </w:rPr>
      </w:pPr>
      <w:bookmarkStart w:id="367" w:name="_Ref38871502"/>
      <w:r>
        <w:rPr>
          <w:rFonts w:eastAsia="宋体" w:cs="Times New Roman"/>
          <w:color w:val="auto"/>
          <w:sz w:val="24"/>
          <w:szCs w:val="18"/>
          <w:highlight w:val="none"/>
        </w:rPr>
        <w:t>图</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图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eastAsia="宋体" w:cs="Times New Roman"/>
          <w:color w:val="auto"/>
          <w:sz w:val="24"/>
          <w:szCs w:val="18"/>
          <w:highlight w:val="none"/>
        </w:rPr>
        <w:t>无锡市年风玫瑰图</w:t>
      </w:r>
      <w:bookmarkEnd w:id="367"/>
    </w:p>
    <w:p w14:paraId="05E099FB">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68" w:name="_Toc60653547"/>
      <w:r>
        <w:rPr>
          <w:rFonts w:hint="eastAsia" w:eastAsia="宋体"/>
          <w:color w:val="auto"/>
          <w:sz w:val="28"/>
          <w:szCs w:val="28"/>
          <w:highlight w:val="none"/>
        </w:rPr>
        <w:t>6.1.2</w:t>
      </w:r>
      <w:r>
        <w:rPr>
          <w:rFonts w:eastAsia="宋体"/>
          <w:color w:val="auto"/>
          <w:sz w:val="28"/>
          <w:szCs w:val="28"/>
          <w:highlight w:val="none"/>
        </w:rPr>
        <w:t>预测模式</w:t>
      </w:r>
      <w:bookmarkEnd w:id="368"/>
    </w:p>
    <w:p w14:paraId="5912B055">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采用《环境影响评价技术导则大气环境》（HJ2.2-2018）附录A推荐模型中估算模型AERSCREEN进行预测，按照预测结果判断是否需要进一步预测分析。</w:t>
      </w:r>
    </w:p>
    <w:p w14:paraId="10B84AC8">
      <w:pPr>
        <w:spacing w:line="360" w:lineRule="auto"/>
        <w:ind w:left="-105" w:right="-105" w:firstLine="480"/>
        <w:rPr>
          <w:rFonts w:ascii="Times New Roman" w:hAnsi="Times New Roman"/>
          <w:color w:val="auto"/>
          <w:szCs w:val="22"/>
          <w:highlight w:val="none"/>
        </w:rPr>
      </w:pPr>
      <w:r>
        <w:rPr>
          <w:rFonts w:ascii="Times New Roman" w:hAnsi="Times New Roman" w:cs="Times New Roman"/>
          <w:color w:val="auto"/>
          <w:highlight w:val="none"/>
        </w:rPr>
        <w:t>估算模型参数选取详见</w:t>
      </w:r>
      <w:r>
        <w:rPr>
          <w:rFonts w:hint="eastAsia" w:ascii="Times New Roman" w:hAnsi="Times New Roman" w:cs="Times New Roman"/>
          <w:color w:val="auto"/>
          <w:highlight w:val="none"/>
        </w:rPr>
        <w:t>表</w:t>
      </w:r>
      <w:r>
        <w:rPr>
          <w:rFonts w:ascii="Times New Roman" w:hAnsi="Times New Roman" w:cs="Times New Roman"/>
          <w:color w:val="auto"/>
          <w:highlight w:val="none"/>
        </w:rPr>
        <w:t>2.4-2。</w:t>
      </w:r>
    </w:p>
    <w:p w14:paraId="7A36EED1">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69" w:name="_Toc60653548"/>
      <w:r>
        <w:rPr>
          <w:rFonts w:hint="eastAsia" w:eastAsia="宋体"/>
          <w:color w:val="auto"/>
          <w:sz w:val="28"/>
          <w:szCs w:val="28"/>
          <w:highlight w:val="none"/>
        </w:rPr>
        <w:t>6.1.3</w:t>
      </w:r>
      <w:r>
        <w:rPr>
          <w:rFonts w:eastAsia="宋体"/>
          <w:color w:val="auto"/>
          <w:sz w:val="28"/>
          <w:szCs w:val="28"/>
          <w:highlight w:val="none"/>
        </w:rPr>
        <w:t>评价等级</w:t>
      </w:r>
      <w:bookmarkEnd w:id="369"/>
    </w:p>
    <w:p w14:paraId="0FE409D2">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根据《环境影响评价技术导则大气环境》（HJ2.2-2018）的规定，大气环境评价工作分级根据项目污染物初步调查结果，分别计算项目排放污染物的最大空气质量浓度占标率Pi（第i个污染物，简称“最大浓度占标率”），及第i个污染物的地面空气质量浓度达到标准值的10%时所对应的最远距离D10%。其中Pi定义见下公式：</w:t>
      </w:r>
    </w:p>
    <w:p w14:paraId="0A6CA072">
      <w:pPr>
        <w:spacing w:after="120" w:afterLines="50" w:line="360" w:lineRule="auto"/>
        <w:ind w:left="-105" w:right="-105" w:firstLine="480"/>
        <w:rPr>
          <w:rFonts w:ascii="Times New Roman" w:hAnsi="Times New Roman"/>
          <w:color w:val="auto"/>
          <w:highlight w:val="none"/>
        </w:rPr>
      </w:pPr>
      <m:oMathPara>
        <m:oMath>
          <m:sSub>
            <m:sSubPr>
              <m:ctrlPr>
                <w:rPr>
                  <w:rFonts w:ascii="Cambria Math" w:hAnsi="Cambria Math"/>
                  <w:color w:val="auto"/>
                  <w:highlight w:val="none"/>
                </w:rPr>
              </m:ctrlPr>
            </m:sSubPr>
            <m:e>
              <m:r>
                <m:rPr/>
                <w:rPr>
                  <w:rFonts w:ascii="Cambria Math" w:hAnsi="Cambria Math"/>
                  <w:color w:val="auto"/>
                  <w:highlight w:val="none"/>
                </w:rPr>
                <m:t>P</m:t>
              </m:r>
              <m:ctrlPr>
                <w:rPr>
                  <w:rFonts w:ascii="Cambria Math" w:hAnsi="Cambria Math"/>
                  <w:color w:val="auto"/>
                  <w:highlight w:val="none"/>
                </w:rPr>
              </m:ctrlPr>
            </m:e>
            <m:sub>
              <m:r>
                <m:rPr/>
                <w:rPr>
                  <w:rFonts w:ascii="Cambria Math" w:hAnsi="Cambria Math"/>
                  <w:color w:val="auto"/>
                  <w:highlight w:val="none"/>
                </w:rPr>
                <m:t>i</m:t>
              </m:r>
              <m:ctrlPr>
                <w:rPr>
                  <w:rFonts w:ascii="Cambria Math" w:hAnsi="Cambria Math"/>
                  <w:color w:val="auto"/>
                  <w:highlight w:val="none"/>
                </w:rPr>
              </m:ctrlPr>
            </m:sub>
          </m:sSub>
          <m:r>
            <m:rPr>
              <m:sty m:val="p"/>
            </m:rPr>
            <w:rPr>
              <w:rFonts w:ascii="Cambria Math" w:hAnsi="Cambria Math"/>
              <w:color w:val="auto"/>
              <w:highlight w:val="none"/>
            </w:rPr>
            <m:t>=</m:t>
          </m:r>
          <m:f>
            <m:fPr>
              <m:ctrlPr>
                <w:rPr>
                  <w:rFonts w:ascii="Cambria Math" w:hAnsi="Cambria Math"/>
                  <w:color w:val="auto"/>
                  <w:highlight w:val="none"/>
                </w:rPr>
              </m:ctrlPr>
            </m:fPr>
            <m:num>
              <m:sSub>
                <m:sSubPr>
                  <m:ctrlPr>
                    <w:rPr>
                      <w:rFonts w:ascii="Cambria Math" w:hAnsi="Cambria Math"/>
                      <w:color w:val="auto"/>
                      <w:highlight w:val="none"/>
                    </w:rPr>
                  </m:ctrlPr>
                </m:sSubPr>
                <m:e>
                  <m:r>
                    <m:rPr/>
                    <w:rPr>
                      <w:rFonts w:ascii="Cambria Math" w:hAnsi="Cambria Math"/>
                      <w:color w:val="auto"/>
                      <w:highlight w:val="none"/>
                    </w:rPr>
                    <m:t>C</m:t>
                  </m:r>
                  <m:ctrlPr>
                    <w:rPr>
                      <w:rFonts w:ascii="Cambria Math" w:hAnsi="Cambria Math"/>
                      <w:color w:val="auto"/>
                      <w:highlight w:val="none"/>
                    </w:rPr>
                  </m:ctrlPr>
                </m:e>
                <m:sub>
                  <m:r>
                    <m:rPr/>
                    <w:rPr>
                      <w:rFonts w:ascii="Cambria Math" w:hAnsi="Cambria Math"/>
                      <w:color w:val="auto"/>
                      <w:highlight w:val="none"/>
                    </w:rPr>
                    <m:t>i</m:t>
                  </m:r>
                  <m:ctrlPr>
                    <w:rPr>
                      <w:rFonts w:ascii="Cambria Math" w:hAnsi="Cambria Math"/>
                      <w:color w:val="auto"/>
                      <w:highlight w:val="none"/>
                    </w:rPr>
                  </m:ctrlPr>
                </m:sub>
              </m:sSub>
              <m:ctrlPr>
                <w:rPr>
                  <w:rFonts w:ascii="Cambria Math" w:hAnsi="Cambria Math"/>
                  <w:color w:val="auto"/>
                  <w:highlight w:val="none"/>
                </w:rPr>
              </m:ctrlPr>
            </m:num>
            <m:den>
              <m:sSub>
                <m:sSubPr>
                  <m:ctrlPr>
                    <w:rPr>
                      <w:rFonts w:ascii="Cambria Math" w:hAnsi="Cambria Math"/>
                      <w:color w:val="auto"/>
                      <w:highlight w:val="none"/>
                    </w:rPr>
                  </m:ctrlPr>
                </m:sSubPr>
                <m:e>
                  <m:r>
                    <m:rPr/>
                    <w:rPr>
                      <w:rFonts w:ascii="Cambria Math" w:hAnsi="Cambria Math"/>
                      <w:color w:val="auto"/>
                      <w:highlight w:val="none"/>
                    </w:rPr>
                    <m:t>C</m:t>
                  </m:r>
                  <m:ctrlPr>
                    <w:rPr>
                      <w:rFonts w:ascii="Cambria Math" w:hAnsi="Cambria Math"/>
                      <w:color w:val="auto"/>
                      <w:highlight w:val="none"/>
                    </w:rPr>
                  </m:ctrlPr>
                </m:e>
                <m:sub>
                  <m:r>
                    <m:rPr>
                      <m:sty m:val="p"/>
                    </m:rPr>
                    <w:rPr>
                      <w:rFonts w:ascii="Cambria Math" w:hAnsi="Cambria Math"/>
                      <w:color w:val="auto"/>
                      <w:highlight w:val="none"/>
                    </w:rPr>
                    <m:t>0</m:t>
                  </m:r>
                  <m:r>
                    <m:rPr/>
                    <w:rPr>
                      <w:rFonts w:ascii="Cambria Math" w:hAnsi="Cambria Math"/>
                      <w:color w:val="auto"/>
                      <w:highlight w:val="none"/>
                    </w:rPr>
                    <m:t>i</m:t>
                  </m:r>
                  <m:ctrlPr>
                    <w:rPr>
                      <w:rFonts w:ascii="Cambria Math" w:hAnsi="Cambria Math"/>
                      <w:color w:val="auto"/>
                      <w:highlight w:val="none"/>
                    </w:rPr>
                  </m:ctrlPr>
                </m:sub>
              </m:sSub>
              <m:ctrlPr>
                <w:rPr>
                  <w:rFonts w:ascii="Cambria Math" w:hAnsi="Cambria Math"/>
                  <w:color w:val="auto"/>
                  <w:highlight w:val="none"/>
                </w:rPr>
              </m:ctrlPr>
            </m:den>
          </m:f>
          <m:r>
            <m:rPr>
              <m:sty m:val="p"/>
            </m:rPr>
            <w:rPr>
              <w:rFonts w:ascii="Cambria Math" w:hAnsi="Cambria Math"/>
              <w:color w:val="auto"/>
              <w:highlight w:val="none"/>
            </w:rPr>
            <m:t>×100%</m:t>
          </m:r>
        </m:oMath>
      </m:oMathPara>
    </w:p>
    <w:p w14:paraId="20CF2009">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式中：P</w:t>
      </w:r>
      <w:r>
        <w:rPr>
          <w:rFonts w:ascii="Times New Roman" w:hAnsi="Times New Roman"/>
          <w:color w:val="auto"/>
          <w:highlight w:val="none"/>
          <w:vertAlign w:val="subscript"/>
        </w:rPr>
        <w:t>i</w:t>
      </w:r>
      <w:r>
        <w:rPr>
          <w:rFonts w:ascii="Times New Roman" w:hAnsi="Times New Roman"/>
          <w:color w:val="auto"/>
          <w:highlight w:val="none"/>
        </w:rPr>
        <w:t>—第i个污染物的最大地面空气质量浓度占标率，%；</w:t>
      </w:r>
    </w:p>
    <w:p w14:paraId="7F044B34">
      <w:pPr>
        <w:spacing w:line="360" w:lineRule="auto"/>
        <w:ind w:left="1200" w:leftChars="500" w:right="-105"/>
        <w:rPr>
          <w:rFonts w:ascii="Times New Roman" w:hAnsi="Times New Roman"/>
          <w:color w:val="auto"/>
          <w:highlight w:val="none"/>
        </w:rPr>
      </w:pPr>
      <w:r>
        <w:rPr>
          <w:rFonts w:ascii="Times New Roman" w:hAnsi="Times New Roman"/>
          <w:color w:val="auto"/>
          <w:highlight w:val="none"/>
        </w:rPr>
        <w:t>C</w:t>
      </w:r>
      <w:r>
        <w:rPr>
          <w:rFonts w:ascii="Times New Roman" w:hAnsi="Times New Roman"/>
          <w:color w:val="auto"/>
          <w:highlight w:val="none"/>
          <w:vertAlign w:val="subscript"/>
        </w:rPr>
        <w:t>i</w:t>
      </w:r>
      <w:r>
        <w:rPr>
          <w:rFonts w:ascii="Times New Roman" w:hAnsi="Times New Roman"/>
          <w:color w:val="auto"/>
          <w:highlight w:val="none"/>
        </w:rPr>
        <w:t>—采用估算模型计算出的第i个污染物的最大1h地面空气质量浓度，μg/m</w:t>
      </w:r>
      <w:r>
        <w:rPr>
          <w:rFonts w:ascii="Times New Roman" w:hAnsi="Times New Roman"/>
          <w:color w:val="auto"/>
          <w:highlight w:val="none"/>
          <w:vertAlign w:val="superscript"/>
        </w:rPr>
        <w:t>3</w:t>
      </w:r>
      <w:r>
        <w:rPr>
          <w:rFonts w:ascii="Times New Roman" w:hAnsi="Times New Roman"/>
          <w:color w:val="auto"/>
          <w:highlight w:val="none"/>
        </w:rPr>
        <w:t>；</w:t>
      </w:r>
    </w:p>
    <w:p w14:paraId="66DB667D">
      <w:pPr>
        <w:spacing w:line="360" w:lineRule="auto"/>
        <w:ind w:left="-105" w:right="-105" w:firstLine="1200" w:firstLineChars="500"/>
        <w:rPr>
          <w:rFonts w:ascii="Times New Roman" w:hAnsi="Times New Roman"/>
          <w:color w:val="auto"/>
          <w:highlight w:val="none"/>
        </w:rPr>
      </w:pPr>
      <w:r>
        <w:rPr>
          <w:rFonts w:ascii="Times New Roman" w:hAnsi="Times New Roman"/>
          <w:color w:val="auto"/>
          <w:highlight w:val="none"/>
        </w:rPr>
        <w:t>C</w:t>
      </w:r>
      <w:r>
        <w:rPr>
          <w:rFonts w:ascii="Times New Roman" w:hAnsi="Times New Roman"/>
          <w:color w:val="auto"/>
          <w:highlight w:val="none"/>
          <w:vertAlign w:val="subscript"/>
        </w:rPr>
        <w:t>0i</w:t>
      </w:r>
      <w:r>
        <w:rPr>
          <w:rFonts w:ascii="Times New Roman" w:hAnsi="Times New Roman"/>
          <w:color w:val="auto"/>
          <w:highlight w:val="none"/>
        </w:rPr>
        <w:t>—第i个污染物的环境空气质量浓度标准，μg/m</w:t>
      </w:r>
      <w:r>
        <w:rPr>
          <w:rFonts w:ascii="Times New Roman" w:hAnsi="Times New Roman"/>
          <w:color w:val="auto"/>
          <w:highlight w:val="none"/>
          <w:vertAlign w:val="superscript"/>
        </w:rPr>
        <w:t>3</w:t>
      </w:r>
      <w:r>
        <w:rPr>
          <w:rFonts w:ascii="Times New Roman" w:hAnsi="Times New Roman"/>
          <w:color w:val="auto"/>
          <w:highlight w:val="none"/>
        </w:rPr>
        <w:t>。</w:t>
      </w:r>
    </w:p>
    <w:p w14:paraId="3B5320D3">
      <w:pPr>
        <w:spacing w:line="360" w:lineRule="auto"/>
        <w:ind w:left="-105" w:right="-105" w:firstLine="480"/>
        <w:jc w:val="both"/>
        <w:rPr>
          <w:rFonts w:ascii="Times New Roman" w:hAnsi="Times New Roman"/>
          <w:color w:val="auto"/>
          <w:highlight w:val="none"/>
        </w:rPr>
      </w:pPr>
      <w:r>
        <w:rPr>
          <w:rFonts w:ascii="Times New Roman" w:hAnsi="Times New Roman"/>
          <w:color w:val="auto"/>
          <w:highlight w:val="none"/>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者年平均质量浓度限值的，可分别按2倍、3倍、6倍折算为1h平均浓度限值。</w:t>
      </w:r>
    </w:p>
    <w:p w14:paraId="5D9AA67D">
      <w:pPr>
        <w:spacing w:line="360" w:lineRule="auto"/>
        <w:ind w:left="-105" w:right="-105" w:firstLine="480"/>
        <w:jc w:val="both"/>
        <w:rPr>
          <w:rFonts w:ascii="Times New Roman" w:hAnsi="Times New Roman"/>
          <w:color w:val="auto"/>
          <w:highlight w:val="none"/>
        </w:rPr>
      </w:pPr>
      <w:r>
        <w:rPr>
          <w:rFonts w:ascii="Times New Roman" w:hAnsi="Times New Roman"/>
          <w:color w:val="auto"/>
          <w:highlight w:val="none"/>
        </w:rPr>
        <w:t>大气评价工作等级按下表的分级判据进行划分，最大地面空气质量浓度占标率Pi按下述公式计算，如果污染物数i大于1，取P值中最大者Pmax：</w:t>
      </w:r>
    </w:p>
    <w:p w14:paraId="756651E8">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5</w:t>
      </w:r>
      <w:r>
        <w:rPr>
          <w:rFonts w:eastAsia="宋体" w:cs="Times New Roman"/>
          <w:color w:val="auto"/>
          <w:sz w:val="24"/>
          <w:szCs w:val="18"/>
          <w:highlight w:val="none"/>
        </w:rPr>
        <w:fldChar w:fldCharType="end"/>
      </w:r>
      <w:r>
        <w:rPr>
          <w:rFonts w:eastAsia="宋体" w:cs="Times New Roman"/>
          <w:color w:val="auto"/>
          <w:sz w:val="24"/>
          <w:szCs w:val="18"/>
          <w:highlight w:val="none"/>
        </w:rPr>
        <w:t>评价等级判别表</w:t>
      </w:r>
    </w:p>
    <w:tbl>
      <w:tblPr>
        <w:tblStyle w:val="45"/>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74"/>
        <w:gridCol w:w="4896"/>
      </w:tblGrid>
      <w:tr w14:paraId="45BD3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1" w:hRule="atLeast"/>
          <w:jc w:val="center"/>
        </w:trPr>
        <w:tc>
          <w:tcPr>
            <w:tcW w:w="4174" w:type="dxa"/>
            <w:shd w:val="clear" w:color="auto" w:fill="auto"/>
            <w:vAlign w:val="center"/>
          </w:tcPr>
          <w:p w14:paraId="67EBB142">
            <w:pPr>
              <w:pStyle w:val="118"/>
              <w:ind w:left="-105" w:right="-105"/>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评价等级</w:t>
            </w:r>
          </w:p>
        </w:tc>
        <w:tc>
          <w:tcPr>
            <w:tcW w:w="4896" w:type="dxa"/>
            <w:shd w:val="clear" w:color="auto" w:fill="auto"/>
            <w:vAlign w:val="center"/>
          </w:tcPr>
          <w:p w14:paraId="5CDA7716">
            <w:pPr>
              <w:pStyle w:val="118"/>
              <w:ind w:left="-105" w:right="-105"/>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评价工作分级判据</w:t>
            </w:r>
          </w:p>
        </w:tc>
      </w:tr>
      <w:tr w14:paraId="40C58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174" w:type="dxa"/>
            <w:vAlign w:val="center"/>
          </w:tcPr>
          <w:p w14:paraId="26AAB333">
            <w:pPr>
              <w:pStyle w:val="118"/>
              <w:ind w:left="-105" w:right="-105"/>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一级评价</w:t>
            </w:r>
          </w:p>
        </w:tc>
        <w:tc>
          <w:tcPr>
            <w:tcW w:w="4896" w:type="dxa"/>
            <w:vAlign w:val="center"/>
          </w:tcPr>
          <w:p w14:paraId="044E0391">
            <w:pPr>
              <w:pStyle w:val="118"/>
              <w:ind w:left="-105" w:right="-105"/>
              <w:rPr>
                <w:rFonts w:ascii="Times New Roman" w:hAnsi="Times New Roman" w:eastAsia="宋体"/>
                <w:color w:val="auto"/>
                <w:kern w:val="0"/>
                <w:sz w:val="21"/>
                <w:szCs w:val="21"/>
                <w:highlight w:val="none"/>
              </w:rPr>
            </w:pPr>
            <w:r>
              <w:rPr>
                <w:rFonts w:ascii="Times New Roman" w:hAnsi="Times New Roman" w:eastAsia="宋体"/>
                <w:i/>
                <w:color w:val="auto"/>
                <w:sz w:val="21"/>
                <w:szCs w:val="21"/>
                <w:highlight w:val="none"/>
              </w:rPr>
              <w:t>P</w:t>
            </w:r>
            <w:r>
              <w:rPr>
                <w:rFonts w:ascii="Times New Roman" w:hAnsi="Times New Roman" w:eastAsia="宋体"/>
                <w:i/>
                <w:color w:val="auto"/>
                <w:sz w:val="21"/>
                <w:szCs w:val="21"/>
                <w:highlight w:val="none"/>
                <w:vertAlign w:val="subscript"/>
              </w:rPr>
              <w:t>max</w:t>
            </w:r>
            <w:r>
              <w:rPr>
                <w:rFonts w:ascii="Times New Roman" w:hAnsi="Times New Roman" w:eastAsia="宋体"/>
                <w:color w:val="auto"/>
                <w:sz w:val="21"/>
                <w:szCs w:val="21"/>
                <w:highlight w:val="none"/>
              </w:rPr>
              <w:t>≥10%</w:t>
            </w:r>
          </w:p>
        </w:tc>
      </w:tr>
      <w:tr w14:paraId="080AB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174" w:type="dxa"/>
            <w:vAlign w:val="center"/>
          </w:tcPr>
          <w:p w14:paraId="3CB45AA1">
            <w:pPr>
              <w:pStyle w:val="118"/>
              <w:ind w:left="-105" w:right="-105"/>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二级评价</w:t>
            </w:r>
          </w:p>
        </w:tc>
        <w:tc>
          <w:tcPr>
            <w:tcW w:w="4896" w:type="dxa"/>
            <w:vAlign w:val="center"/>
          </w:tcPr>
          <w:p w14:paraId="4B269DA4">
            <w:pPr>
              <w:pStyle w:val="118"/>
              <w:ind w:left="-105" w:right="-105"/>
              <w:rPr>
                <w:rFonts w:ascii="Times New Roman" w:hAnsi="Times New Roman" w:eastAsia="宋体"/>
                <w:color w:val="auto"/>
                <w:kern w:val="0"/>
                <w:sz w:val="21"/>
                <w:szCs w:val="21"/>
                <w:highlight w:val="none"/>
              </w:rPr>
            </w:pPr>
            <w:r>
              <w:rPr>
                <w:rFonts w:ascii="Times New Roman" w:hAnsi="Times New Roman" w:eastAsia="宋体"/>
                <w:color w:val="auto"/>
                <w:sz w:val="21"/>
                <w:szCs w:val="21"/>
                <w:highlight w:val="none"/>
              </w:rPr>
              <w:t>1</w:t>
            </w:r>
            <w:r>
              <w:rPr>
                <w:rFonts w:ascii="Times New Roman" w:hAnsi="Times New Roman" w:eastAsia="宋体"/>
                <w:i/>
                <w:color w:val="auto"/>
                <w:sz w:val="21"/>
                <w:szCs w:val="21"/>
                <w:highlight w:val="none"/>
              </w:rPr>
              <w:t>%≤P</w:t>
            </w:r>
            <w:r>
              <w:rPr>
                <w:rFonts w:ascii="Times New Roman" w:hAnsi="Times New Roman" w:eastAsia="宋体"/>
                <w:i/>
                <w:color w:val="auto"/>
                <w:sz w:val="21"/>
                <w:szCs w:val="21"/>
                <w:highlight w:val="none"/>
                <w:vertAlign w:val="subscript"/>
              </w:rPr>
              <w:t>max</w:t>
            </w:r>
            <w:r>
              <w:rPr>
                <w:rFonts w:ascii="Times New Roman" w:hAnsi="Times New Roman" w:eastAsia="宋体"/>
                <w:color w:val="auto"/>
                <w:sz w:val="21"/>
                <w:szCs w:val="21"/>
                <w:highlight w:val="none"/>
              </w:rPr>
              <w:t>＜10%</w:t>
            </w:r>
          </w:p>
        </w:tc>
      </w:tr>
      <w:tr w14:paraId="1EDBB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174" w:type="dxa"/>
            <w:vAlign w:val="center"/>
          </w:tcPr>
          <w:p w14:paraId="793A5172">
            <w:pPr>
              <w:pStyle w:val="118"/>
              <w:ind w:left="-105" w:right="-105"/>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三级评价</w:t>
            </w:r>
          </w:p>
        </w:tc>
        <w:tc>
          <w:tcPr>
            <w:tcW w:w="4896" w:type="dxa"/>
            <w:vAlign w:val="center"/>
          </w:tcPr>
          <w:p w14:paraId="5BD9188F">
            <w:pPr>
              <w:pStyle w:val="118"/>
              <w:ind w:left="-105" w:right="-105"/>
              <w:rPr>
                <w:rFonts w:ascii="Times New Roman" w:hAnsi="Times New Roman" w:eastAsia="宋体"/>
                <w:color w:val="auto"/>
                <w:kern w:val="0"/>
                <w:sz w:val="21"/>
                <w:szCs w:val="21"/>
                <w:highlight w:val="none"/>
              </w:rPr>
            </w:pPr>
            <w:r>
              <w:rPr>
                <w:rFonts w:ascii="Times New Roman" w:hAnsi="Times New Roman" w:eastAsia="宋体"/>
                <w:i/>
                <w:color w:val="auto"/>
                <w:sz w:val="21"/>
                <w:szCs w:val="21"/>
                <w:highlight w:val="none"/>
              </w:rPr>
              <w:t>P</w:t>
            </w:r>
            <w:r>
              <w:rPr>
                <w:rFonts w:ascii="Times New Roman" w:hAnsi="Times New Roman" w:eastAsia="宋体"/>
                <w:i/>
                <w:color w:val="auto"/>
                <w:sz w:val="21"/>
                <w:szCs w:val="21"/>
                <w:highlight w:val="none"/>
                <w:vertAlign w:val="subscript"/>
              </w:rPr>
              <w:t>max</w:t>
            </w:r>
            <w:r>
              <w:rPr>
                <w:rFonts w:ascii="Times New Roman" w:hAnsi="Times New Roman" w:eastAsia="宋体"/>
                <w:color w:val="auto"/>
                <w:sz w:val="21"/>
                <w:szCs w:val="21"/>
                <w:highlight w:val="none"/>
              </w:rPr>
              <w:t>＜1%</w:t>
            </w:r>
          </w:p>
        </w:tc>
      </w:tr>
    </w:tbl>
    <w:p w14:paraId="5B6C8CC5">
      <w:pPr>
        <w:ind w:left="-105" w:right="-105"/>
        <w:rPr>
          <w:color w:val="auto"/>
          <w:highlight w:val="none"/>
        </w:rPr>
      </w:pPr>
      <w:bookmarkStart w:id="370" w:name="_Toc60653549"/>
    </w:p>
    <w:p w14:paraId="679EAB2A">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6.1.4</w:t>
      </w:r>
      <w:r>
        <w:rPr>
          <w:rFonts w:eastAsia="宋体"/>
          <w:color w:val="auto"/>
          <w:sz w:val="28"/>
          <w:szCs w:val="28"/>
          <w:highlight w:val="none"/>
        </w:rPr>
        <w:t>污染源预测参数</w:t>
      </w:r>
      <w:bookmarkEnd w:id="370"/>
    </w:p>
    <w:p w14:paraId="4CC4CA4A">
      <w:pPr>
        <w:spacing w:line="360" w:lineRule="auto"/>
        <w:ind w:left="-105" w:right="-105" w:firstLine="480"/>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olor w:val="auto"/>
          <w:highlight w:val="none"/>
        </w:rPr>
        <w:t>根据工程分析，各主要废气污染物排放参数见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_Ref38547013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6</w:t>
      </w:r>
      <w:r>
        <w:rPr>
          <w:rFonts w:ascii="Times New Roman" w:hAnsi="Times New Roman" w:cs="Times New Roman"/>
          <w:color w:val="auto"/>
          <w:highlight w:val="none"/>
        </w:rPr>
        <w:fldChar w:fldCharType="end"/>
      </w:r>
      <w:r>
        <w:rPr>
          <w:rFonts w:ascii="Times New Roman" w:hAnsi="Times New Roman" w:cs="Times New Roman"/>
          <w:color w:val="auto"/>
          <w:highlight w:val="none"/>
        </w:rPr>
        <w:t>和</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_Ref38547020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7</w:t>
      </w:r>
      <w:r>
        <w:rPr>
          <w:rFonts w:ascii="Times New Roman" w:hAnsi="Times New Roman" w:cs="Times New Roman"/>
          <w:color w:val="auto"/>
          <w:highlight w:val="none"/>
        </w:rPr>
        <w:fldChar w:fldCharType="end"/>
      </w:r>
      <w:r>
        <w:rPr>
          <w:rFonts w:ascii="Times New Roman" w:hAnsi="Times New Roman"/>
          <w:color w:val="auto"/>
          <w:highlight w:val="none"/>
        </w:rPr>
        <w:t>。</w:t>
      </w:r>
    </w:p>
    <w:p w14:paraId="3A580DF1">
      <w:pPr>
        <w:pStyle w:val="15"/>
        <w:spacing w:line="360" w:lineRule="auto"/>
        <w:ind w:left="-105" w:right="-105" w:firstLine="482"/>
        <w:rPr>
          <w:rFonts w:eastAsia="宋体" w:cs="Times New Roman"/>
          <w:b w:val="0"/>
          <w:bCs/>
          <w:color w:val="auto"/>
          <w:sz w:val="24"/>
          <w:szCs w:val="18"/>
          <w:highlight w:val="none"/>
        </w:rPr>
      </w:pPr>
      <w:bookmarkStart w:id="371" w:name="_Ref38547013"/>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w:t>
      </w:r>
      <w:r>
        <w:rPr>
          <w:rFonts w:eastAsia="宋体" w:cs="Times New Roman"/>
          <w:color w:val="auto"/>
          <w:sz w:val="24"/>
          <w:szCs w:val="18"/>
          <w:highlight w:val="none"/>
        </w:rPr>
        <w:fldChar w:fldCharType="end"/>
      </w:r>
      <w:bookmarkEnd w:id="371"/>
      <w:r>
        <w:rPr>
          <w:rFonts w:eastAsia="宋体" w:cs="Times New Roman"/>
          <w:bCs/>
          <w:color w:val="auto"/>
          <w:sz w:val="24"/>
          <w:szCs w:val="18"/>
          <w:highlight w:val="none"/>
        </w:rPr>
        <w:t>本项目点源参数表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4"/>
        <w:gridCol w:w="1301"/>
        <w:gridCol w:w="956"/>
        <w:gridCol w:w="956"/>
        <w:gridCol w:w="1337"/>
        <w:gridCol w:w="804"/>
        <w:gridCol w:w="1071"/>
        <w:gridCol w:w="1604"/>
        <w:gridCol w:w="1255"/>
        <w:gridCol w:w="1139"/>
        <w:gridCol w:w="955"/>
        <w:gridCol w:w="1310"/>
      </w:tblGrid>
      <w:tr w14:paraId="11286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5" w:hRule="atLeast"/>
          <w:jc w:val="center"/>
        </w:trPr>
        <w:tc>
          <w:tcPr>
            <w:tcW w:w="863" w:type="dxa"/>
            <w:shd w:val="clear" w:color="auto" w:fill="auto"/>
            <w:vAlign w:val="center"/>
          </w:tcPr>
          <w:p w14:paraId="5EC87594">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排气筒编号</w:t>
            </w:r>
          </w:p>
        </w:tc>
        <w:tc>
          <w:tcPr>
            <w:tcW w:w="1399" w:type="dxa"/>
            <w:shd w:val="clear" w:color="auto" w:fill="auto"/>
            <w:vAlign w:val="center"/>
          </w:tcPr>
          <w:p w14:paraId="7E12407E">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名称</w:t>
            </w:r>
          </w:p>
        </w:tc>
        <w:tc>
          <w:tcPr>
            <w:tcW w:w="1026" w:type="dxa"/>
            <w:shd w:val="clear" w:color="auto" w:fill="auto"/>
            <w:vAlign w:val="center"/>
          </w:tcPr>
          <w:p w14:paraId="188DDD05">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X坐标</w:t>
            </w:r>
          </w:p>
        </w:tc>
        <w:tc>
          <w:tcPr>
            <w:tcW w:w="1027" w:type="dxa"/>
            <w:shd w:val="clear" w:color="auto" w:fill="auto"/>
            <w:vAlign w:val="center"/>
          </w:tcPr>
          <w:p w14:paraId="2FAFA1E7">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Y坐标</w:t>
            </w:r>
          </w:p>
        </w:tc>
        <w:tc>
          <w:tcPr>
            <w:tcW w:w="1438" w:type="dxa"/>
            <w:shd w:val="clear" w:color="auto" w:fill="auto"/>
            <w:vAlign w:val="center"/>
          </w:tcPr>
          <w:p w14:paraId="062EF350">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排气筒底部海拔高度/m</w:t>
            </w:r>
          </w:p>
        </w:tc>
        <w:tc>
          <w:tcPr>
            <w:tcW w:w="863" w:type="dxa"/>
            <w:shd w:val="clear" w:color="auto" w:fill="auto"/>
            <w:vAlign w:val="center"/>
          </w:tcPr>
          <w:p w14:paraId="1A7E2A79">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排气筒高度/m</w:t>
            </w:r>
          </w:p>
        </w:tc>
        <w:tc>
          <w:tcPr>
            <w:tcW w:w="1151" w:type="dxa"/>
            <w:shd w:val="clear" w:color="auto" w:fill="auto"/>
            <w:vAlign w:val="center"/>
          </w:tcPr>
          <w:p w14:paraId="2007617B">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排气筒出口内径/m</w:t>
            </w:r>
          </w:p>
        </w:tc>
        <w:tc>
          <w:tcPr>
            <w:tcW w:w="1726" w:type="dxa"/>
            <w:shd w:val="clear" w:color="auto" w:fill="auto"/>
            <w:vAlign w:val="center"/>
          </w:tcPr>
          <w:p w14:paraId="632AF73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烟气流速/（m/s）</w:t>
            </w:r>
          </w:p>
        </w:tc>
        <w:tc>
          <w:tcPr>
            <w:tcW w:w="1349" w:type="dxa"/>
            <w:shd w:val="clear" w:color="auto" w:fill="auto"/>
            <w:vAlign w:val="center"/>
          </w:tcPr>
          <w:p w14:paraId="0879C3A0">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烟气温度/℃</w:t>
            </w:r>
          </w:p>
        </w:tc>
        <w:tc>
          <w:tcPr>
            <w:tcW w:w="1224" w:type="dxa"/>
            <w:shd w:val="clear" w:color="auto" w:fill="auto"/>
            <w:vAlign w:val="center"/>
          </w:tcPr>
          <w:p w14:paraId="285C8BE0">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年排放小时数/h</w:t>
            </w:r>
          </w:p>
        </w:tc>
        <w:tc>
          <w:tcPr>
            <w:tcW w:w="1024" w:type="dxa"/>
            <w:shd w:val="clear" w:color="auto" w:fill="auto"/>
            <w:vAlign w:val="center"/>
          </w:tcPr>
          <w:p w14:paraId="049B38F3">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排放工况</w:t>
            </w:r>
          </w:p>
        </w:tc>
        <w:tc>
          <w:tcPr>
            <w:tcW w:w="1407" w:type="dxa"/>
            <w:shd w:val="clear" w:color="auto" w:fill="auto"/>
            <w:vAlign w:val="center"/>
          </w:tcPr>
          <w:p w14:paraId="354B1A1D">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污染物排放速率/（g/s）</w:t>
            </w:r>
          </w:p>
        </w:tc>
      </w:tr>
      <w:tr w14:paraId="51910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5" w:hRule="atLeast"/>
          <w:jc w:val="center"/>
        </w:trPr>
        <w:tc>
          <w:tcPr>
            <w:tcW w:w="863" w:type="dxa"/>
            <w:vAlign w:val="center"/>
          </w:tcPr>
          <w:p w14:paraId="70127687">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DA005</w:t>
            </w:r>
          </w:p>
        </w:tc>
        <w:tc>
          <w:tcPr>
            <w:tcW w:w="1399" w:type="dxa"/>
            <w:vAlign w:val="center"/>
          </w:tcPr>
          <w:p w14:paraId="0BC2D84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026" w:type="dxa"/>
            <w:vAlign w:val="center"/>
          </w:tcPr>
          <w:p w14:paraId="443FDC5A">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75</w:t>
            </w:r>
          </w:p>
        </w:tc>
        <w:tc>
          <w:tcPr>
            <w:tcW w:w="1027" w:type="dxa"/>
            <w:vAlign w:val="center"/>
          </w:tcPr>
          <w:p w14:paraId="59D069E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122</w:t>
            </w:r>
          </w:p>
        </w:tc>
        <w:tc>
          <w:tcPr>
            <w:tcW w:w="1438" w:type="dxa"/>
            <w:vAlign w:val="center"/>
          </w:tcPr>
          <w:p w14:paraId="5D29F916">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863" w:type="dxa"/>
            <w:vAlign w:val="center"/>
          </w:tcPr>
          <w:p w14:paraId="0C6297A2">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20</w:t>
            </w:r>
          </w:p>
        </w:tc>
        <w:tc>
          <w:tcPr>
            <w:tcW w:w="1151" w:type="dxa"/>
            <w:vAlign w:val="center"/>
          </w:tcPr>
          <w:p w14:paraId="40D1E1E1">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0.7</w:t>
            </w:r>
          </w:p>
        </w:tc>
        <w:tc>
          <w:tcPr>
            <w:tcW w:w="1726" w:type="dxa"/>
            <w:vAlign w:val="center"/>
          </w:tcPr>
          <w:p w14:paraId="6C093B8A">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14.443144556</w:t>
            </w:r>
          </w:p>
        </w:tc>
        <w:tc>
          <w:tcPr>
            <w:tcW w:w="1349" w:type="dxa"/>
            <w:vAlign w:val="center"/>
          </w:tcPr>
          <w:p w14:paraId="4977EA4F">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20</w:t>
            </w:r>
          </w:p>
        </w:tc>
        <w:tc>
          <w:tcPr>
            <w:tcW w:w="1224" w:type="dxa"/>
            <w:vAlign w:val="center"/>
          </w:tcPr>
          <w:p w14:paraId="2FCF618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84</w:t>
            </w:r>
            <w:r>
              <w:rPr>
                <w:rFonts w:hint="eastAsia" w:ascii="Times New Roman" w:hAnsi="Times New Roman" w:eastAsia="宋体"/>
                <w:color w:val="auto"/>
                <w:kern w:val="0"/>
                <w:sz w:val="21"/>
                <w:szCs w:val="21"/>
                <w:highlight w:val="none"/>
              </w:rPr>
              <w:t>00</w:t>
            </w:r>
          </w:p>
        </w:tc>
        <w:tc>
          <w:tcPr>
            <w:tcW w:w="1024" w:type="dxa"/>
            <w:vAlign w:val="center"/>
          </w:tcPr>
          <w:p w14:paraId="2DA5BEC2">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407" w:type="dxa"/>
            <w:vAlign w:val="center"/>
          </w:tcPr>
          <w:p w14:paraId="53A7D44E">
            <w:pPr>
              <w:keepNext w:val="0"/>
              <w:keepLines w:val="0"/>
              <w:pageBreakBefore w:val="0"/>
              <w:kinsoku/>
              <w:wordWrap/>
              <w:overflowPunct/>
              <w:topLinePunct w:val="0"/>
              <w:autoSpaceDE/>
              <w:autoSpaceDN/>
              <w:bidi w:val="0"/>
              <w:adjustRightInd/>
              <w:snapToGrid/>
              <w:ind w:left="0" w:right="0"/>
              <w:jc w:val="center"/>
              <w:textAlignment w:val="auto"/>
              <w:rPr>
                <w:rFonts w:hint="default" w:ascii="Times New Roman" w:hAnsi="Times New Roman" w:eastAsia="等线"/>
                <w:color w:val="auto"/>
                <w:sz w:val="21"/>
                <w:szCs w:val="20"/>
                <w:highlight w:val="none"/>
                <w:lang w:val="en-US" w:eastAsia="zh-CN"/>
              </w:rPr>
            </w:pPr>
            <w:r>
              <w:rPr>
                <w:rFonts w:hint="eastAsia" w:ascii="Times New Roman" w:hAnsi="Times New Roman" w:eastAsia="等线"/>
                <w:color w:val="auto"/>
                <w:sz w:val="21"/>
                <w:szCs w:val="20"/>
                <w:highlight w:val="none"/>
                <w:lang w:val="en-US" w:eastAsia="zh-CN"/>
              </w:rPr>
              <w:t>0.0169497</w:t>
            </w:r>
          </w:p>
        </w:tc>
      </w:tr>
      <w:tr w14:paraId="2CBD9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5" w:hRule="atLeast"/>
          <w:jc w:val="center"/>
        </w:trPr>
        <w:tc>
          <w:tcPr>
            <w:tcW w:w="863" w:type="dxa"/>
            <w:vMerge w:val="restart"/>
            <w:vAlign w:val="center"/>
          </w:tcPr>
          <w:p w14:paraId="7E58B5B9">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DA006</w:t>
            </w:r>
          </w:p>
        </w:tc>
        <w:tc>
          <w:tcPr>
            <w:tcW w:w="1399" w:type="dxa"/>
            <w:vAlign w:val="center"/>
          </w:tcPr>
          <w:p w14:paraId="1E8B6B5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026" w:type="dxa"/>
            <w:vMerge w:val="restart"/>
            <w:vAlign w:val="center"/>
          </w:tcPr>
          <w:p w14:paraId="666B2A0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96</w:t>
            </w:r>
          </w:p>
        </w:tc>
        <w:tc>
          <w:tcPr>
            <w:tcW w:w="1027" w:type="dxa"/>
            <w:vMerge w:val="restart"/>
            <w:vAlign w:val="center"/>
          </w:tcPr>
          <w:p w14:paraId="0171A2B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3.5</w:t>
            </w:r>
          </w:p>
        </w:tc>
        <w:tc>
          <w:tcPr>
            <w:tcW w:w="1438" w:type="dxa"/>
            <w:vMerge w:val="restart"/>
            <w:vAlign w:val="center"/>
          </w:tcPr>
          <w:p w14:paraId="7086E319">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863" w:type="dxa"/>
            <w:vMerge w:val="restart"/>
            <w:vAlign w:val="center"/>
          </w:tcPr>
          <w:p w14:paraId="501C2F15">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15</w:t>
            </w:r>
          </w:p>
        </w:tc>
        <w:tc>
          <w:tcPr>
            <w:tcW w:w="1151" w:type="dxa"/>
            <w:vMerge w:val="restart"/>
            <w:vAlign w:val="center"/>
          </w:tcPr>
          <w:p w14:paraId="3C85B1C4">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0.32</w:t>
            </w:r>
          </w:p>
        </w:tc>
        <w:tc>
          <w:tcPr>
            <w:tcW w:w="1726" w:type="dxa"/>
            <w:vMerge w:val="restart"/>
            <w:vAlign w:val="center"/>
          </w:tcPr>
          <w:p w14:paraId="66DA1970">
            <w:pPr>
              <w:keepNext w:val="0"/>
              <w:keepLines w:val="0"/>
              <w:pageBreakBefore w:val="0"/>
              <w:kinsoku/>
              <w:wordWrap/>
              <w:overflowPunct/>
              <w:topLinePunct w:val="0"/>
              <w:autoSpaceDE/>
              <w:autoSpaceDN/>
              <w:bidi w:val="0"/>
              <w:adjustRightInd/>
              <w:snapToGrid/>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14.26483413</w:t>
            </w:r>
          </w:p>
        </w:tc>
        <w:tc>
          <w:tcPr>
            <w:tcW w:w="1349" w:type="dxa"/>
            <w:vMerge w:val="restart"/>
            <w:vAlign w:val="center"/>
          </w:tcPr>
          <w:p w14:paraId="05DF6CA0">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20</w:t>
            </w:r>
          </w:p>
        </w:tc>
        <w:tc>
          <w:tcPr>
            <w:tcW w:w="1224" w:type="dxa"/>
            <w:vMerge w:val="restart"/>
            <w:vAlign w:val="center"/>
          </w:tcPr>
          <w:p w14:paraId="70E38971">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500</w:t>
            </w:r>
          </w:p>
        </w:tc>
        <w:tc>
          <w:tcPr>
            <w:tcW w:w="1024" w:type="dxa"/>
            <w:vMerge w:val="restart"/>
            <w:vAlign w:val="center"/>
          </w:tcPr>
          <w:p w14:paraId="0D5999BC">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407" w:type="dxa"/>
            <w:vAlign w:val="center"/>
          </w:tcPr>
          <w:p w14:paraId="78579A8F">
            <w:pPr>
              <w:keepNext w:val="0"/>
              <w:keepLines w:val="0"/>
              <w:pageBreakBefore w:val="0"/>
              <w:kinsoku/>
              <w:wordWrap/>
              <w:overflowPunct/>
              <w:topLinePunct w:val="0"/>
              <w:autoSpaceDE/>
              <w:autoSpaceDN/>
              <w:bidi w:val="0"/>
              <w:adjustRightInd/>
              <w:snapToGrid/>
              <w:ind w:left="0" w:right="0"/>
              <w:jc w:val="center"/>
              <w:textAlignment w:val="auto"/>
              <w:rPr>
                <w:rFonts w:hint="default" w:ascii="Times New Roman" w:hAnsi="Times New Roman" w:eastAsia="等线"/>
                <w:color w:val="auto"/>
                <w:sz w:val="21"/>
                <w:szCs w:val="20"/>
                <w:highlight w:val="none"/>
                <w:lang w:val="en-US" w:eastAsia="zh-CN"/>
              </w:rPr>
            </w:pPr>
            <w:r>
              <w:rPr>
                <w:rFonts w:hint="eastAsia" w:ascii="Times New Roman" w:hAnsi="Times New Roman" w:eastAsia="等线"/>
                <w:color w:val="auto"/>
                <w:sz w:val="21"/>
                <w:szCs w:val="20"/>
                <w:highlight w:val="none"/>
                <w:lang w:val="en-US" w:eastAsia="zh-CN"/>
              </w:rPr>
              <w:t>0.000342878</w:t>
            </w:r>
          </w:p>
        </w:tc>
      </w:tr>
      <w:tr w14:paraId="520B0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5" w:hRule="atLeast"/>
          <w:jc w:val="center"/>
        </w:trPr>
        <w:tc>
          <w:tcPr>
            <w:tcW w:w="863" w:type="dxa"/>
            <w:vMerge w:val="continue"/>
            <w:vAlign w:val="center"/>
          </w:tcPr>
          <w:p w14:paraId="695CB77F">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sz w:val="21"/>
                <w:szCs w:val="21"/>
                <w:highlight w:val="none"/>
              </w:rPr>
            </w:pPr>
          </w:p>
        </w:tc>
        <w:tc>
          <w:tcPr>
            <w:tcW w:w="1399" w:type="dxa"/>
            <w:vAlign w:val="center"/>
          </w:tcPr>
          <w:p w14:paraId="2B15CCF4">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氮氧化物</w:t>
            </w:r>
          </w:p>
        </w:tc>
        <w:tc>
          <w:tcPr>
            <w:tcW w:w="1026" w:type="dxa"/>
            <w:vMerge w:val="continue"/>
            <w:vAlign w:val="center"/>
          </w:tcPr>
          <w:p w14:paraId="020B4412">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027" w:type="dxa"/>
            <w:vMerge w:val="continue"/>
            <w:vAlign w:val="center"/>
          </w:tcPr>
          <w:p w14:paraId="608715D6">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438" w:type="dxa"/>
            <w:vMerge w:val="continue"/>
            <w:vAlign w:val="center"/>
          </w:tcPr>
          <w:p w14:paraId="4B0CE9C8">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863" w:type="dxa"/>
            <w:vMerge w:val="continue"/>
            <w:vAlign w:val="center"/>
          </w:tcPr>
          <w:p w14:paraId="2C3C1887">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151" w:type="dxa"/>
            <w:vMerge w:val="continue"/>
            <w:vAlign w:val="center"/>
          </w:tcPr>
          <w:p w14:paraId="414B1075">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726" w:type="dxa"/>
            <w:vMerge w:val="continue"/>
            <w:vAlign w:val="center"/>
          </w:tcPr>
          <w:p w14:paraId="4BA33C60">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olor w:val="auto"/>
                <w:sz w:val="21"/>
                <w:szCs w:val="21"/>
                <w:highlight w:val="none"/>
              </w:rPr>
            </w:pPr>
          </w:p>
        </w:tc>
        <w:tc>
          <w:tcPr>
            <w:tcW w:w="1349" w:type="dxa"/>
            <w:vMerge w:val="continue"/>
            <w:vAlign w:val="center"/>
          </w:tcPr>
          <w:p w14:paraId="6B2F2CDE">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p>
        </w:tc>
        <w:tc>
          <w:tcPr>
            <w:tcW w:w="1224" w:type="dxa"/>
            <w:vMerge w:val="continue"/>
            <w:vAlign w:val="center"/>
          </w:tcPr>
          <w:p w14:paraId="29C1CCF5">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24" w:type="dxa"/>
            <w:vMerge w:val="continue"/>
            <w:vAlign w:val="center"/>
          </w:tcPr>
          <w:p w14:paraId="34B2D645">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p>
        </w:tc>
        <w:tc>
          <w:tcPr>
            <w:tcW w:w="1407" w:type="dxa"/>
            <w:vAlign w:val="center"/>
          </w:tcPr>
          <w:p w14:paraId="509AB84B">
            <w:pPr>
              <w:keepNext w:val="0"/>
              <w:keepLines w:val="0"/>
              <w:pageBreakBefore w:val="0"/>
              <w:kinsoku/>
              <w:wordWrap/>
              <w:overflowPunct/>
              <w:topLinePunct w:val="0"/>
              <w:autoSpaceDE/>
              <w:autoSpaceDN/>
              <w:bidi w:val="0"/>
              <w:adjustRightInd/>
              <w:snapToGrid/>
              <w:ind w:left="0" w:right="0"/>
              <w:jc w:val="center"/>
              <w:textAlignment w:val="auto"/>
              <w:rPr>
                <w:rFonts w:hint="default" w:ascii="Times New Roman" w:hAnsi="Times New Roman" w:eastAsia="等线"/>
                <w:color w:val="auto"/>
                <w:sz w:val="21"/>
                <w:szCs w:val="20"/>
                <w:highlight w:val="none"/>
                <w:lang w:val="en-US" w:eastAsia="zh-CN"/>
              </w:rPr>
            </w:pPr>
            <w:r>
              <w:rPr>
                <w:rFonts w:hint="eastAsia" w:ascii="Times New Roman" w:hAnsi="Times New Roman" w:eastAsia="等线"/>
                <w:color w:val="auto"/>
                <w:sz w:val="21"/>
                <w:szCs w:val="20"/>
                <w:highlight w:val="none"/>
                <w:lang w:val="en-US" w:eastAsia="zh-CN"/>
              </w:rPr>
              <w:t>0.000165</w:t>
            </w:r>
          </w:p>
        </w:tc>
      </w:tr>
    </w:tbl>
    <w:p w14:paraId="50F680E3">
      <w:pPr>
        <w:pStyle w:val="15"/>
        <w:spacing w:line="360" w:lineRule="auto"/>
        <w:ind w:left="-105" w:right="-105" w:firstLine="400"/>
        <w:jc w:val="left"/>
        <w:rPr>
          <w:rFonts w:eastAsia="宋体" w:cs="Times New Roman"/>
          <w:b w:val="0"/>
          <w:bCs/>
          <w:color w:val="auto"/>
          <w:sz w:val="20"/>
          <w:szCs w:val="13"/>
          <w:highlight w:val="none"/>
        </w:rPr>
      </w:pPr>
      <w:r>
        <w:rPr>
          <w:rFonts w:eastAsia="宋体" w:cs="Times New Roman"/>
          <w:b w:val="0"/>
          <w:bCs/>
          <w:color w:val="auto"/>
          <w:sz w:val="20"/>
          <w:szCs w:val="13"/>
          <w:highlight w:val="none"/>
        </w:rPr>
        <w:t>注：原点（0,0）取为厂界</w:t>
      </w:r>
      <w:r>
        <w:rPr>
          <w:rFonts w:hint="eastAsia" w:eastAsia="宋体" w:cs="Times New Roman"/>
          <w:b w:val="0"/>
          <w:bCs/>
          <w:color w:val="auto"/>
          <w:sz w:val="20"/>
          <w:szCs w:val="13"/>
          <w:highlight w:val="none"/>
        </w:rPr>
        <w:t>西南</w:t>
      </w:r>
      <w:r>
        <w:rPr>
          <w:rFonts w:eastAsia="宋体" w:cs="Times New Roman"/>
          <w:b w:val="0"/>
          <w:bCs/>
          <w:color w:val="auto"/>
          <w:sz w:val="20"/>
          <w:szCs w:val="13"/>
          <w:highlight w:val="none"/>
        </w:rPr>
        <w:t>角。</w:t>
      </w:r>
    </w:p>
    <w:p w14:paraId="1AC3BB65">
      <w:pPr>
        <w:pStyle w:val="15"/>
        <w:spacing w:line="360" w:lineRule="auto"/>
        <w:ind w:left="-105" w:right="-105" w:firstLine="482"/>
        <w:rPr>
          <w:rFonts w:eastAsia="宋体" w:cs="Times New Roman"/>
          <w:b w:val="0"/>
          <w:bCs/>
          <w:color w:val="auto"/>
          <w:sz w:val="24"/>
          <w:szCs w:val="18"/>
          <w:highlight w:val="none"/>
        </w:rPr>
      </w:pPr>
      <w:bookmarkStart w:id="372" w:name="_Ref3854702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w:t>
      </w:r>
      <w:r>
        <w:rPr>
          <w:rFonts w:eastAsia="宋体" w:cs="Times New Roman"/>
          <w:color w:val="auto"/>
          <w:sz w:val="24"/>
          <w:szCs w:val="18"/>
          <w:highlight w:val="none"/>
        </w:rPr>
        <w:fldChar w:fldCharType="end"/>
      </w:r>
      <w:bookmarkEnd w:id="372"/>
      <w:r>
        <w:rPr>
          <w:rFonts w:eastAsia="宋体" w:cs="Times New Roman"/>
          <w:bCs/>
          <w:color w:val="auto"/>
          <w:sz w:val="24"/>
          <w:szCs w:val="18"/>
          <w:highlight w:val="none"/>
        </w:rPr>
        <w:t>本项目面源参数表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2"/>
        <w:gridCol w:w="1089"/>
        <w:gridCol w:w="1089"/>
        <w:gridCol w:w="1092"/>
        <w:gridCol w:w="1092"/>
        <w:gridCol w:w="1094"/>
        <w:gridCol w:w="1094"/>
        <w:gridCol w:w="1093"/>
        <w:gridCol w:w="1091"/>
        <w:gridCol w:w="1091"/>
        <w:gridCol w:w="1091"/>
        <w:gridCol w:w="784"/>
        <w:gridCol w:w="1380"/>
      </w:tblGrid>
      <w:tr w14:paraId="0210B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93" w:hRule="atLeast"/>
          <w:jc w:val="center"/>
        </w:trPr>
        <w:tc>
          <w:tcPr>
            <w:tcW w:w="412" w:type="dxa"/>
            <w:shd w:val="clear" w:color="auto" w:fill="auto"/>
            <w:vAlign w:val="center"/>
          </w:tcPr>
          <w:p w14:paraId="56287571">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编号</w:t>
            </w:r>
          </w:p>
        </w:tc>
        <w:tc>
          <w:tcPr>
            <w:tcW w:w="1089" w:type="dxa"/>
            <w:vAlign w:val="center"/>
          </w:tcPr>
          <w:p w14:paraId="71ED0032">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车间楼层</w:t>
            </w:r>
          </w:p>
        </w:tc>
        <w:tc>
          <w:tcPr>
            <w:tcW w:w="1089" w:type="dxa"/>
            <w:shd w:val="clear" w:color="auto" w:fill="auto"/>
            <w:vAlign w:val="center"/>
          </w:tcPr>
          <w:p w14:paraId="35A0918B">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名称</w:t>
            </w:r>
          </w:p>
        </w:tc>
        <w:tc>
          <w:tcPr>
            <w:tcW w:w="1092" w:type="dxa"/>
            <w:shd w:val="clear" w:color="auto" w:fill="auto"/>
            <w:vAlign w:val="center"/>
          </w:tcPr>
          <w:p w14:paraId="54C93F66">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X坐标</w:t>
            </w:r>
          </w:p>
        </w:tc>
        <w:tc>
          <w:tcPr>
            <w:tcW w:w="1092" w:type="dxa"/>
            <w:shd w:val="clear" w:color="auto" w:fill="auto"/>
            <w:vAlign w:val="center"/>
          </w:tcPr>
          <w:p w14:paraId="74CEBDF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Y坐标</w:t>
            </w:r>
          </w:p>
        </w:tc>
        <w:tc>
          <w:tcPr>
            <w:tcW w:w="1094" w:type="dxa"/>
            <w:shd w:val="clear" w:color="auto" w:fill="auto"/>
            <w:vAlign w:val="center"/>
          </w:tcPr>
          <w:p w14:paraId="28AEB444">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面源海拔高度/m</w:t>
            </w:r>
          </w:p>
        </w:tc>
        <w:tc>
          <w:tcPr>
            <w:tcW w:w="1094" w:type="dxa"/>
            <w:shd w:val="clear" w:color="auto" w:fill="auto"/>
            <w:vAlign w:val="center"/>
          </w:tcPr>
          <w:p w14:paraId="5F4E8CEC">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面源长度/m</w:t>
            </w:r>
          </w:p>
        </w:tc>
        <w:tc>
          <w:tcPr>
            <w:tcW w:w="1093" w:type="dxa"/>
            <w:shd w:val="clear" w:color="auto" w:fill="auto"/>
            <w:vAlign w:val="center"/>
          </w:tcPr>
          <w:p w14:paraId="6317B65D">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面源宽度/m</w:t>
            </w:r>
          </w:p>
        </w:tc>
        <w:tc>
          <w:tcPr>
            <w:tcW w:w="1091" w:type="dxa"/>
            <w:shd w:val="clear" w:color="auto" w:fill="auto"/>
            <w:vAlign w:val="center"/>
          </w:tcPr>
          <w:p w14:paraId="4611219B">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与正北向夹角/°</w:t>
            </w:r>
          </w:p>
        </w:tc>
        <w:tc>
          <w:tcPr>
            <w:tcW w:w="1091" w:type="dxa"/>
            <w:shd w:val="clear" w:color="auto" w:fill="auto"/>
            <w:vAlign w:val="center"/>
          </w:tcPr>
          <w:p w14:paraId="22704B87">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面源有效排放高度/m</w:t>
            </w:r>
          </w:p>
        </w:tc>
        <w:tc>
          <w:tcPr>
            <w:tcW w:w="1091" w:type="dxa"/>
            <w:shd w:val="clear" w:color="auto" w:fill="auto"/>
            <w:vAlign w:val="center"/>
          </w:tcPr>
          <w:p w14:paraId="064F4D30">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年排放小时数/h</w:t>
            </w:r>
          </w:p>
        </w:tc>
        <w:tc>
          <w:tcPr>
            <w:tcW w:w="784" w:type="dxa"/>
            <w:shd w:val="clear" w:color="auto" w:fill="auto"/>
            <w:vAlign w:val="center"/>
          </w:tcPr>
          <w:p w14:paraId="63C821BE">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排放工况</w:t>
            </w:r>
          </w:p>
        </w:tc>
        <w:tc>
          <w:tcPr>
            <w:tcW w:w="1380" w:type="dxa"/>
            <w:shd w:val="clear" w:color="auto" w:fill="auto"/>
            <w:vAlign w:val="center"/>
          </w:tcPr>
          <w:p w14:paraId="469AAACE">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污染物排放速率/（g/s）</w:t>
            </w:r>
          </w:p>
        </w:tc>
      </w:tr>
      <w:tr w14:paraId="2043F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12" w:type="dxa"/>
            <w:vAlign w:val="center"/>
          </w:tcPr>
          <w:p w14:paraId="5875E584">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1089" w:type="dxa"/>
            <w:vAlign w:val="center"/>
          </w:tcPr>
          <w:p w14:paraId="6E1EF53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二工场车间</w:t>
            </w:r>
          </w:p>
        </w:tc>
        <w:tc>
          <w:tcPr>
            <w:tcW w:w="1089" w:type="dxa"/>
            <w:vAlign w:val="center"/>
          </w:tcPr>
          <w:p w14:paraId="3BB9850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092" w:type="dxa"/>
            <w:vAlign w:val="center"/>
          </w:tcPr>
          <w:p w14:paraId="51A29E4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65</w:t>
            </w:r>
          </w:p>
        </w:tc>
        <w:tc>
          <w:tcPr>
            <w:tcW w:w="1092" w:type="dxa"/>
            <w:vAlign w:val="center"/>
          </w:tcPr>
          <w:p w14:paraId="3DA2BC9E">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105</w:t>
            </w:r>
          </w:p>
        </w:tc>
        <w:tc>
          <w:tcPr>
            <w:tcW w:w="1094" w:type="dxa"/>
            <w:vAlign w:val="center"/>
          </w:tcPr>
          <w:p w14:paraId="08E64759">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1094" w:type="dxa"/>
            <w:vAlign w:val="center"/>
          </w:tcPr>
          <w:p w14:paraId="5421A8A3">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21</w:t>
            </w:r>
          </w:p>
        </w:tc>
        <w:tc>
          <w:tcPr>
            <w:tcW w:w="1093" w:type="dxa"/>
            <w:vAlign w:val="center"/>
          </w:tcPr>
          <w:p w14:paraId="2D42A3B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30</w:t>
            </w:r>
          </w:p>
        </w:tc>
        <w:tc>
          <w:tcPr>
            <w:tcW w:w="1091" w:type="dxa"/>
            <w:vAlign w:val="center"/>
          </w:tcPr>
          <w:p w14:paraId="45E036FA">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-10</w:t>
            </w:r>
          </w:p>
        </w:tc>
        <w:tc>
          <w:tcPr>
            <w:tcW w:w="1091" w:type="dxa"/>
            <w:vAlign w:val="center"/>
          </w:tcPr>
          <w:p w14:paraId="52C1FBCC">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12.4</w:t>
            </w:r>
          </w:p>
        </w:tc>
        <w:tc>
          <w:tcPr>
            <w:tcW w:w="1091" w:type="dxa"/>
            <w:vAlign w:val="center"/>
          </w:tcPr>
          <w:p w14:paraId="2DB4B7DB">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84</w:t>
            </w:r>
            <w:r>
              <w:rPr>
                <w:rFonts w:ascii="Times New Roman" w:hAnsi="Times New Roman" w:eastAsia="宋体"/>
                <w:color w:val="auto"/>
                <w:kern w:val="0"/>
                <w:sz w:val="21"/>
                <w:szCs w:val="21"/>
                <w:highlight w:val="none"/>
              </w:rPr>
              <w:t>00</w:t>
            </w:r>
          </w:p>
        </w:tc>
        <w:tc>
          <w:tcPr>
            <w:tcW w:w="784" w:type="dxa"/>
            <w:vAlign w:val="center"/>
          </w:tcPr>
          <w:p w14:paraId="0CB9BF9F">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380" w:type="dxa"/>
            <w:vAlign w:val="center"/>
          </w:tcPr>
          <w:p w14:paraId="08E2D0B7">
            <w:pPr>
              <w:keepNext w:val="0"/>
              <w:keepLines w:val="0"/>
              <w:widowControl/>
              <w:suppressLineNumbers w:val="0"/>
              <w:jc w:val="center"/>
              <w:textAlignment w:val="center"/>
              <w:rPr>
                <w:rFonts w:hint="default" w:ascii="Times New Roman" w:hAnsi="Times New Roman" w:eastAsia="等线"/>
                <w:color w:val="auto"/>
                <w:sz w:val="21"/>
                <w:szCs w:val="20"/>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0.006068122</w:t>
            </w:r>
          </w:p>
        </w:tc>
      </w:tr>
      <w:tr w14:paraId="19725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12" w:type="dxa"/>
            <w:vAlign w:val="center"/>
          </w:tcPr>
          <w:p w14:paraId="5DCF8754">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1089" w:type="dxa"/>
            <w:vMerge w:val="restart"/>
            <w:vAlign w:val="center"/>
          </w:tcPr>
          <w:p w14:paraId="331AB1E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实验室</w:t>
            </w:r>
          </w:p>
        </w:tc>
        <w:tc>
          <w:tcPr>
            <w:tcW w:w="1089" w:type="dxa"/>
            <w:vAlign w:val="center"/>
          </w:tcPr>
          <w:p w14:paraId="521631E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r>
              <w:rPr>
                <w:rFonts w:hint="eastAsia" w:ascii="Times New Roman" w:hAnsi="Times New Roman"/>
                <w:color w:val="auto"/>
                <w:sz w:val="21"/>
                <w:szCs w:val="21"/>
                <w:highlight w:val="none"/>
              </w:rPr>
              <w:t>（含甲醇）</w:t>
            </w:r>
          </w:p>
        </w:tc>
        <w:tc>
          <w:tcPr>
            <w:tcW w:w="1092" w:type="dxa"/>
            <w:vMerge w:val="restart"/>
            <w:vAlign w:val="center"/>
          </w:tcPr>
          <w:p w14:paraId="1EDF8568">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86</w:t>
            </w:r>
          </w:p>
        </w:tc>
        <w:tc>
          <w:tcPr>
            <w:tcW w:w="1092" w:type="dxa"/>
            <w:vMerge w:val="restart"/>
            <w:vAlign w:val="center"/>
          </w:tcPr>
          <w:p w14:paraId="166131E2">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0</w:t>
            </w:r>
          </w:p>
        </w:tc>
        <w:tc>
          <w:tcPr>
            <w:tcW w:w="1094" w:type="dxa"/>
            <w:vMerge w:val="restart"/>
            <w:vAlign w:val="center"/>
          </w:tcPr>
          <w:p w14:paraId="04A6811C">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1094" w:type="dxa"/>
            <w:vMerge w:val="restart"/>
            <w:vAlign w:val="center"/>
          </w:tcPr>
          <w:p w14:paraId="28790D69">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29</w:t>
            </w:r>
          </w:p>
        </w:tc>
        <w:tc>
          <w:tcPr>
            <w:tcW w:w="1093" w:type="dxa"/>
            <w:vMerge w:val="restart"/>
            <w:vAlign w:val="center"/>
          </w:tcPr>
          <w:p w14:paraId="4955B362">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12</w:t>
            </w:r>
          </w:p>
        </w:tc>
        <w:tc>
          <w:tcPr>
            <w:tcW w:w="1091" w:type="dxa"/>
            <w:vMerge w:val="restart"/>
            <w:vAlign w:val="center"/>
          </w:tcPr>
          <w:p w14:paraId="16D5995C">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-10</w:t>
            </w:r>
          </w:p>
        </w:tc>
        <w:tc>
          <w:tcPr>
            <w:tcW w:w="1091" w:type="dxa"/>
            <w:vMerge w:val="restart"/>
            <w:vAlign w:val="center"/>
          </w:tcPr>
          <w:p w14:paraId="00DCB5B7">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8.7</w:t>
            </w:r>
          </w:p>
        </w:tc>
        <w:tc>
          <w:tcPr>
            <w:tcW w:w="1091" w:type="dxa"/>
            <w:vMerge w:val="restart"/>
            <w:vAlign w:val="center"/>
          </w:tcPr>
          <w:p w14:paraId="5E73037D">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5</w:t>
            </w:r>
            <w:r>
              <w:rPr>
                <w:rFonts w:ascii="Times New Roman" w:hAnsi="Times New Roman" w:eastAsia="宋体"/>
                <w:color w:val="auto"/>
                <w:kern w:val="0"/>
                <w:sz w:val="21"/>
                <w:szCs w:val="21"/>
                <w:highlight w:val="none"/>
              </w:rPr>
              <w:t>00</w:t>
            </w:r>
          </w:p>
        </w:tc>
        <w:tc>
          <w:tcPr>
            <w:tcW w:w="784" w:type="dxa"/>
            <w:vAlign w:val="center"/>
          </w:tcPr>
          <w:p w14:paraId="3F1E19C5">
            <w:pPr>
              <w:pStyle w:val="118"/>
              <w:keepNext w:val="0"/>
              <w:keepLines w:val="0"/>
              <w:pageBreakBefore w:val="0"/>
              <w:kinsoku/>
              <w:wordWrap/>
              <w:overflowPunct/>
              <w:topLinePunct w:val="0"/>
              <w:autoSpaceDE/>
              <w:autoSpaceDN/>
              <w:bidi w:val="0"/>
              <w:adjustRightInd/>
              <w:snapToGrid/>
              <w:ind w:left="0" w:right="0"/>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380" w:type="dxa"/>
            <w:vAlign w:val="center"/>
          </w:tcPr>
          <w:p w14:paraId="40DC65CD">
            <w:pPr>
              <w:keepNext w:val="0"/>
              <w:keepLines w:val="0"/>
              <w:widowControl/>
              <w:suppressLineNumbers w:val="0"/>
              <w:jc w:val="center"/>
              <w:textAlignment w:val="center"/>
              <w:rPr>
                <w:rFonts w:ascii="Times New Roman" w:hAnsi="Times New Roman" w:eastAsia="等线"/>
                <w:color w:val="auto"/>
                <w:kern w:val="0"/>
                <w:sz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0.000717889</w:t>
            </w:r>
          </w:p>
        </w:tc>
      </w:tr>
      <w:tr w14:paraId="3380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12" w:type="dxa"/>
            <w:vAlign w:val="center"/>
          </w:tcPr>
          <w:p w14:paraId="0CDDE37D">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w:t>
            </w:r>
          </w:p>
        </w:tc>
        <w:tc>
          <w:tcPr>
            <w:tcW w:w="1089" w:type="dxa"/>
            <w:vMerge w:val="continue"/>
            <w:vAlign w:val="center"/>
          </w:tcPr>
          <w:p w14:paraId="226B7F4F">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089" w:type="dxa"/>
            <w:vAlign w:val="center"/>
          </w:tcPr>
          <w:p w14:paraId="56354541">
            <w:pPr>
              <w:keepNext w:val="0"/>
              <w:keepLines w:val="0"/>
              <w:widowControl/>
              <w:suppressLineNumbers w:val="0"/>
              <w:jc w:val="center"/>
              <w:textAlignment w:val="center"/>
              <w:rPr>
                <w:rFonts w:hint="eastAsia" w:ascii="Times New Roman" w:hAnsi="Times New Roman" w:cs="Times New Roman"/>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氮氧化物</w:t>
            </w:r>
          </w:p>
        </w:tc>
        <w:tc>
          <w:tcPr>
            <w:tcW w:w="1092" w:type="dxa"/>
            <w:vMerge w:val="continue"/>
            <w:vAlign w:val="center"/>
          </w:tcPr>
          <w:p w14:paraId="7B87A8F2">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2" w:type="dxa"/>
            <w:vMerge w:val="continue"/>
            <w:vAlign w:val="center"/>
          </w:tcPr>
          <w:p w14:paraId="5505EA72">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4" w:type="dxa"/>
            <w:vMerge w:val="continue"/>
            <w:vAlign w:val="center"/>
          </w:tcPr>
          <w:p w14:paraId="405359D6">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4" w:type="dxa"/>
            <w:vMerge w:val="continue"/>
            <w:vAlign w:val="center"/>
          </w:tcPr>
          <w:p w14:paraId="4F29E48D">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3" w:type="dxa"/>
            <w:vMerge w:val="continue"/>
            <w:vAlign w:val="center"/>
          </w:tcPr>
          <w:p w14:paraId="5D6BD52E">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1FC147DB">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78161D04">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4A5BF88B">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784" w:type="dxa"/>
            <w:vAlign w:val="center"/>
          </w:tcPr>
          <w:p w14:paraId="74B370B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380" w:type="dxa"/>
            <w:vAlign w:val="center"/>
          </w:tcPr>
          <w:p w14:paraId="04D3A770">
            <w:pPr>
              <w:keepNext w:val="0"/>
              <w:keepLines w:val="0"/>
              <w:widowControl/>
              <w:suppressLineNumbers w:val="0"/>
              <w:jc w:val="center"/>
              <w:textAlignment w:val="center"/>
              <w:rPr>
                <w:rFonts w:hint="eastAsia" w:ascii="Times New Roman" w:hAnsi="Times New Roman" w:eastAsia="等线"/>
                <w:color w:val="auto"/>
                <w:kern w:val="0"/>
                <w:sz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1.66667E-05</w:t>
            </w:r>
          </w:p>
        </w:tc>
      </w:tr>
      <w:tr w14:paraId="5331E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12" w:type="dxa"/>
            <w:vAlign w:val="center"/>
          </w:tcPr>
          <w:p w14:paraId="52DDF742">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w:t>
            </w:r>
          </w:p>
        </w:tc>
        <w:tc>
          <w:tcPr>
            <w:tcW w:w="1089" w:type="dxa"/>
            <w:vMerge w:val="continue"/>
            <w:vAlign w:val="center"/>
          </w:tcPr>
          <w:p w14:paraId="5A5C00D6">
            <w:pPr>
              <w:keepNext w:val="0"/>
              <w:keepLines w:val="0"/>
              <w:pageBreakBefore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089" w:type="dxa"/>
            <w:vAlign w:val="center"/>
          </w:tcPr>
          <w:p w14:paraId="1C5DDE22">
            <w:pPr>
              <w:keepNext w:val="0"/>
              <w:keepLines w:val="0"/>
              <w:widowControl/>
              <w:suppressLineNumbers w:val="0"/>
              <w:jc w:val="center"/>
              <w:textAlignment w:val="center"/>
              <w:rPr>
                <w:rFonts w:hint="eastAsia" w:ascii="Times New Roman" w:hAnsi="Times New Roman" w:cs="Times New Roman"/>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甲醇</w:t>
            </w:r>
          </w:p>
        </w:tc>
        <w:tc>
          <w:tcPr>
            <w:tcW w:w="1092" w:type="dxa"/>
            <w:vMerge w:val="continue"/>
            <w:vAlign w:val="center"/>
          </w:tcPr>
          <w:p w14:paraId="5C88AA79">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2" w:type="dxa"/>
            <w:vMerge w:val="continue"/>
            <w:vAlign w:val="center"/>
          </w:tcPr>
          <w:p w14:paraId="542D265E">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4" w:type="dxa"/>
            <w:vMerge w:val="continue"/>
            <w:vAlign w:val="center"/>
          </w:tcPr>
          <w:p w14:paraId="2A795D22">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4" w:type="dxa"/>
            <w:vMerge w:val="continue"/>
            <w:vAlign w:val="center"/>
          </w:tcPr>
          <w:p w14:paraId="51D90BEF">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3" w:type="dxa"/>
            <w:vMerge w:val="continue"/>
            <w:vAlign w:val="center"/>
          </w:tcPr>
          <w:p w14:paraId="750FC319">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3A29014D">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613D38CF">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1091" w:type="dxa"/>
            <w:vMerge w:val="continue"/>
            <w:vAlign w:val="center"/>
          </w:tcPr>
          <w:p w14:paraId="0D40D5A5">
            <w:pPr>
              <w:pStyle w:val="118"/>
              <w:keepNext w:val="0"/>
              <w:keepLines w:val="0"/>
              <w:pageBreakBefore w:val="0"/>
              <w:kinsoku/>
              <w:wordWrap/>
              <w:overflowPunct/>
              <w:topLinePunct w:val="0"/>
              <w:autoSpaceDE/>
              <w:autoSpaceDN/>
              <w:bidi w:val="0"/>
              <w:adjustRightInd/>
              <w:snapToGrid/>
              <w:ind w:left="0" w:right="0"/>
              <w:textAlignment w:val="auto"/>
              <w:rPr>
                <w:rFonts w:hint="eastAsia" w:ascii="Times New Roman" w:hAnsi="Times New Roman" w:eastAsia="宋体"/>
                <w:color w:val="auto"/>
                <w:kern w:val="0"/>
                <w:sz w:val="21"/>
                <w:szCs w:val="21"/>
                <w:highlight w:val="none"/>
              </w:rPr>
            </w:pPr>
          </w:p>
        </w:tc>
        <w:tc>
          <w:tcPr>
            <w:tcW w:w="784" w:type="dxa"/>
            <w:vAlign w:val="center"/>
          </w:tcPr>
          <w:p w14:paraId="36B29D7D">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正常</w:t>
            </w:r>
          </w:p>
        </w:tc>
        <w:tc>
          <w:tcPr>
            <w:tcW w:w="1380" w:type="dxa"/>
            <w:vAlign w:val="center"/>
          </w:tcPr>
          <w:p w14:paraId="4162B584">
            <w:pPr>
              <w:keepNext w:val="0"/>
              <w:keepLines w:val="0"/>
              <w:widowControl/>
              <w:suppressLineNumbers w:val="0"/>
              <w:jc w:val="center"/>
              <w:textAlignment w:val="center"/>
              <w:rPr>
                <w:rFonts w:hint="eastAsia" w:ascii="Times New Roman" w:hAnsi="Times New Roman" w:eastAsia="等线"/>
                <w:color w:val="auto"/>
                <w:kern w:val="0"/>
                <w:sz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0.000444444</w:t>
            </w:r>
          </w:p>
        </w:tc>
      </w:tr>
    </w:tbl>
    <w:p w14:paraId="4D6610CB">
      <w:pPr>
        <w:pStyle w:val="15"/>
        <w:spacing w:line="360" w:lineRule="auto"/>
        <w:ind w:left="-105" w:right="-105" w:firstLine="400"/>
        <w:jc w:val="left"/>
        <w:rPr>
          <w:rFonts w:eastAsia="宋体" w:cs="Times New Roman"/>
          <w:b w:val="0"/>
          <w:bCs/>
          <w:color w:val="auto"/>
          <w:sz w:val="20"/>
          <w:szCs w:val="13"/>
          <w:highlight w:val="none"/>
        </w:rPr>
      </w:pPr>
      <w:r>
        <w:rPr>
          <w:rFonts w:eastAsia="宋体" w:cs="Times New Roman"/>
          <w:b w:val="0"/>
          <w:bCs/>
          <w:color w:val="auto"/>
          <w:sz w:val="20"/>
          <w:szCs w:val="13"/>
          <w:highlight w:val="none"/>
        </w:rPr>
        <w:t>注：原点（0,0）取为厂界</w:t>
      </w:r>
      <w:r>
        <w:rPr>
          <w:rFonts w:hint="eastAsia" w:eastAsia="宋体" w:cs="Times New Roman"/>
          <w:b w:val="0"/>
          <w:bCs/>
          <w:color w:val="auto"/>
          <w:sz w:val="20"/>
          <w:szCs w:val="13"/>
          <w:highlight w:val="none"/>
        </w:rPr>
        <w:t>西南</w:t>
      </w:r>
      <w:r>
        <w:rPr>
          <w:rFonts w:eastAsia="宋体" w:cs="Times New Roman"/>
          <w:b w:val="0"/>
          <w:bCs/>
          <w:color w:val="auto"/>
          <w:sz w:val="20"/>
          <w:szCs w:val="13"/>
          <w:highlight w:val="none"/>
        </w:rPr>
        <w:t>角。</w:t>
      </w:r>
    </w:p>
    <w:p w14:paraId="279F1D9F">
      <w:pPr>
        <w:spacing w:line="360" w:lineRule="auto"/>
        <w:ind w:left="-105" w:right="-105" w:firstLine="480"/>
        <w:rPr>
          <w:rFonts w:ascii="Times New Roman" w:hAnsi="Times New Roman"/>
          <w:color w:val="auto"/>
          <w:highlight w:val="none"/>
        </w:rPr>
      </w:pPr>
    </w:p>
    <w:p w14:paraId="39541B13">
      <w:pPr>
        <w:spacing w:line="360" w:lineRule="auto"/>
        <w:ind w:left="-105" w:right="-105" w:firstLine="480"/>
        <w:rPr>
          <w:rFonts w:ascii="Times New Roman" w:hAnsi="Times New Roman"/>
          <w:color w:val="auto"/>
          <w:highlight w:val="none"/>
        </w:rPr>
      </w:pPr>
    </w:p>
    <w:p w14:paraId="57A867A0">
      <w:pPr>
        <w:spacing w:line="360" w:lineRule="auto"/>
        <w:ind w:left="-105" w:right="-105" w:firstLine="480"/>
        <w:rPr>
          <w:rFonts w:ascii="Times New Roman" w:hAnsi="Times New Roman"/>
          <w:color w:val="auto"/>
          <w:highlight w:val="none"/>
        </w:rPr>
        <w:sectPr>
          <w:pgSz w:w="16838" w:h="11906" w:orient="landscape"/>
          <w:pgMar w:top="1797" w:right="1701" w:bottom="1514" w:left="1701" w:header="851" w:footer="851" w:gutter="0"/>
          <w:pgBorders>
            <w:top w:val="none" w:sz="0" w:space="0"/>
            <w:left w:val="none" w:sz="0" w:space="0"/>
            <w:bottom w:val="none" w:sz="0" w:space="0"/>
            <w:right w:val="none" w:sz="0" w:space="0"/>
          </w:pgBorders>
          <w:cols w:space="720" w:num="1"/>
          <w:docGrid w:linePitch="498" w:charSpace="-2336"/>
        </w:sectPr>
      </w:pPr>
    </w:p>
    <w:p w14:paraId="505267CC">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73" w:name="_Toc60653550"/>
      <w:r>
        <w:rPr>
          <w:rFonts w:hint="eastAsia" w:eastAsia="宋体"/>
          <w:color w:val="auto"/>
          <w:sz w:val="28"/>
          <w:szCs w:val="28"/>
          <w:highlight w:val="none"/>
        </w:rPr>
        <w:t>6.1.5</w:t>
      </w:r>
      <w:r>
        <w:rPr>
          <w:rFonts w:eastAsia="宋体"/>
          <w:color w:val="auto"/>
          <w:sz w:val="28"/>
          <w:szCs w:val="28"/>
          <w:highlight w:val="none"/>
        </w:rPr>
        <w:t>预测结果分析</w:t>
      </w:r>
      <w:bookmarkEnd w:id="373"/>
    </w:p>
    <w:p w14:paraId="6FE9D58E">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选取上述污染物排放参数，经AERSCREEN估算模型估算后，点源、面源估算结果详</w:t>
      </w:r>
      <w:r>
        <w:rPr>
          <w:rFonts w:ascii="Times New Roman" w:hAnsi="Times New Roman" w:cs="Times New Roman"/>
          <w:color w:val="auto"/>
          <w:highlight w:val="none"/>
        </w:rPr>
        <w:t>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_Ref38808497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w:instrText>
      </w:r>
      <w:r>
        <w:rPr>
          <w:rFonts w:ascii="Times New Roman" w:hAnsi="Times New Roman" w:cs="Times New Roman"/>
          <w:color w:val="auto"/>
          <w:highlight w:val="none"/>
        </w:rPr>
        <w:instrText xml:space="preserve">STYLEREF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8</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_Ref38808510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10</w:t>
      </w:r>
      <w:r>
        <w:rPr>
          <w:rFonts w:ascii="Times New Roman" w:hAnsi="Times New Roman" w:cs="Times New Roman"/>
          <w:color w:val="auto"/>
          <w:highlight w:val="none"/>
        </w:rPr>
        <w:fldChar w:fldCharType="end"/>
      </w:r>
      <w:r>
        <w:rPr>
          <w:rFonts w:ascii="Times New Roman" w:hAnsi="Times New Roman"/>
          <w:color w:val="auto"/>
          <w:highlight w:val="none"/>
        </w:rPr>
        <w:t>。</w:t>
      </w:r>
      <w:bookmarkStart w:id="374" w:name="_Ref38808497"/>
      <w:bookmarkStart w:id="375" w:name="_Ref38871592"/>
    </w:p>
    <w:p w14:paraId="66B39F47">
      <w:pPr>
        <w:pStyle w:val="15"/>
        <w:spacing w:line="360" w:lineRule="auto"/>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8</w:t>
      </w:r>
      <w:r>
        <w:rPr>
          <w:rFonts w:eastAsia="宋体" w:cs="Times New Roman"/>
          <w:color w:val="auto"/>
          <w:sz w:val="24"/>
          <w:szCs w:val="18"/>
          <w:highlight w:val="none"/>
        </w:rPr>
        <w:fldChar w:fldCharType="end"/>
      </w:r>
      <w:bookmarkEnd w:id="374"/>
      <w:r>
        <w:rPr>
          <w:rFonts w:eastAsia="宋体" w:cs="Times New Roman"/>
          <w:color w:val="auto"/>
          <w:sz w:val="24"/>
          <w:szCs w:val="18"/>
          <w:highlight w:val="none"/>
        </w:rPr>
        <w:t>有组织（</w:t>
      </w:r>
      <w:r>
        <w:rPr>
          <w:rFonts w:hint="eastAsia" w:eastAsia="宋体" w:cs="Times New Roman"/>
          <w:color w:val="auto"/>
          <w:sz w:val="24"/>
          <w:szCs w:val="18"/>
          <w:highlight w:val="none"/>
        </w:rPr>
        <w:t>DA005、DA006</w:t>
      </w:r>
      <w:r>
        <w:rPr>
          <w:rFonts w:eastAsia="宋体" w:cs="Times New Roman"/>
          <w:color w:val="auto"/>
          <w:sz w:val="24"/>
          <w:szCs w:val="18"/>
          <w:highlight w:val="none"/>
        </w:rPr>
        <w:t>排气筒）排放大气污染物影响预测结果表</w:t>
      </w:r>
      <w:bookmarkEnd w:id="375"/>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3"/>
        <w:gridCol w:w="1192"/>
        <w:gridCol w:w="1193"/>
        <w:gridCol w:w="1192"/>
        <w:gridCol w:w="1192"/>
        <w:gridCol w:w="1192"/>
        <w:gridCol w:w="1190"/>
      </w:tblGrid>
      <w:tr w14:paraId="7D49C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restart"/>
            <w:vAlign w:val="center"/>
          </w:tcPr>
          <w:p w14:paraId="11ABAD9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距源中心下风向距离（m）</w:t>
            </w:r>
          </w:p>
        </w:tc>
        <w:tc>
          <w:tcPr>
            <w:tcW w:w="2385" w:type="dxa"/>
            <w:gridSpan w:val="2"/>
            <w:tcBorders>
              <w:left w:val="single" w:color="auto" w:sz="6" w:space="0"/>
            </w:tcBorders>
            <w:vAlign w:val="center"/>
          </w:tcPr>
          <w:p w14:paraId="607230C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DA005</w:t>
            </w:r>
          </w:p>
        </w:tc>
        <w:tc>
          <w:tcPr>
            <w:tcW w:w="4766" w:type="dxa"/>
            <w:gridSpan w:val="4"/>
            <w:tcBorders>
              <w:left w:val="single" w:color="auto" w:sz="6" w:space="0"/>
            </w:tcBorders>
            <w:vAlign w:val="center"/>
          </w:tcPr>
          <w:p w14:paraId="2106388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DA006</w:t>
            </w:r>
          </w:p>
        </w:tc>
      </w:tr>
      <w:tr w14:paraId="37D24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continue"/>
            <w:vAlign w:val="center"/>
          </w:tcPr>
          <w:p w14:paraId="40224F8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2385" w:type="dxa"/>
            <w:gridSpan w:val="2"/>
            <w:tcBorders>
              <w:left w:val="single" w:color="auto" w:sz="6" w:space="0"/>
              <w:right w:val="single" w:color="auto" w:sz="4" w:space="0"/>
            </w:tcBorders>
            <w:vAlign w:val="center"/>
          </w:tcPr>
          <w:p w14:paraId="6B2D4F0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w:t>
            </w:r>
          </w:p>
        </w:tc>
        <w:tc>
          <w:tcPr>
            <w:tcW w:w="2384" w:type="dxa"/>
            <w:gridSpan w:val="2"/>
            <w:tcBorders>
              <w:left w:val="single" w:color="auto" w:sz="4" w:space="0"/>
            </w:tcBorders>
            <w:vAlign w:val="center"/>
          </w:tcPr>
          <w:p w14:paraId="52A006E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w:t>
            </w:r>
          </w:p>
        </w:tc>
        <w:tc>
          <w:tcPr>
            <w:tcW w:w="2382" w:type="dxa"/>
            <w:gridSpan w:val="2"/>
            <w:tcBorders>
              <w:left w:val="single" w:color="auto" w:sz="4" w:space="0"/>
            </w:tcBorders>
            <w:vAlign w:val="center"/>
          </w:tcPr>
          <w:p w14:paraId="7BC06AF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氮氧化物</w:t>
            </w:r>
          </w:p>
        </w:tc>
      </w:tr>
      <w:tr w14:paraId="713B3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continue"/>
            <w:vAlign w:val="center"/>
          </w:tcPr>
          <w:p w14:paraId="0C34353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1192" w:type="dxa"/>
            <w:tcBorders>
              <w:left w:val="single" w:color="auto" w:sz="6" w:space="0"/>
            </w:tcBorders>
            <w:vAlign w:val="center"/>
          </w:tcPr>
          <w:p w14:paraId="5B826AF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3" w:type="dxa"/>
            <w:tcBorders>
              <w:left w:val="single" w:color="auto" w:sz="6" w:space="0"/>
            </w:tcBorders>
            <w:vAlign w:val="center"/>
          </w:tcPr>
          <w:p w14:paraId="5FE9F7A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1192" w:type="dxa"/>
            <w:tcBorders>
              <w:left w:val="single" w:color="auto" w:sz="6" w:space="0"/>
            </w:tcBorders>
            <w:vAlign w:val="center"/>
          </w:tcPr>
          <w:p w14:paraId="4C61FE6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2" w:type="dxa"/>
            <w:tcBorders>
              <w:left w:val="single" w:color="auto" w:sz="6" w:space="0"/>
            </w:tcBorders>
            <w:vAlign w:val="center"/>
          </w:tcPr>
          <w:p w14:paraId="212577D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1192" w:type="dxa"/>
            <w:tcBorders>
              <w:left w:val="single" w:color="auto" w:sz="6" w:space="0"/>
            </w:tcBorders>
            <w:vAlign w:val="center"/>
          </w:tcPr>
          <w:p w14:paraId="13302F68">
            <w:pPr>
              <w:keepNext w:val="0"/>
              <w:keepLines w:val="0"/>
              <w:pageBreakBefore w:val="0"/>
              <w:widowControl/>
              <w:kinsoku/>
              <w:wordWrap/>
              <w:overflowPunct/>
              <w:topLinePunct w:val="0"/>
              <w:autoSpaceDE/>
              <w:autoSpaceDN/>
              <w:bidi w:val="0"/>
              <w:adjustRightInd/>
              <w:snapToGrid/>
              <w:ind w:left="0" w:leftChars="0" w:right="0" w:right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0" w:type="dxa"/>
            <w:tcBorders>
              <w:left w:val="single" w:color="auto" w:sz="6" w:space="0"/>
            </w:tcBorders>
            <w:vAlign w:val="center"/>
          </w:tcPr>
          <w:p w14:paraId="7F2D5AE3">
            <w:pPr>
              <w:keepNext w:val="0"/>
              <w:keepLines w:val="0"/>
              <w:pageBreakBefore w:val="0"/>
              <w:widowControl/>
              <w:kinsoku/>
              <w:wordWrap/>
              <w:overflowPunct/>
              <w:topLinePunct w:val="0"/>
              <w:autoSpaceDE/>
              <w:autoSpaceDN/>
              <w:bidi w:val="0"/>
              <w:adjustRightInd/>
              <w:snapToGrid/>
              <w:ind w:left="0" w:leftChars="0" w:right="0" w:right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r>
      <w:tr w14:paraId="090E9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38C69E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w:t>
            </w:r>
          </w:p>
        </w:tc>
        <w:tc>
          <w:tcPr>
            <w:tcW w:w="1192" w:type="dxa"/>
            <w:tcBorders>
              <w:left w:val="single" w:color="auto" w:sz="6" w:space="0"/>
            </w:tcBorders>
            <w:vAlign w:val="center"/>
          </w:tcPr>
          <w:p w14:paraId="1683B31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0.049006</w:t>
            </w:r>
          </w:p>
        </w:tc>
        <w:tc>
          <w:tcPr>
            <w:tcW w:w="1193" w:type="dxa"/>
            <w:tcBorders>
              <w:left w:val="single" w:color="auto" w:sz="6" w:space="0"/>
            </w:tcBorders>
            <w:vAlign w:val="center"/>
          </w:tcPr>
          <w:p w14:paraId="35AC23C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3D7AB08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0.0089976</w:t>
            </w:r>
          </w:p>
        </w:tc>
        <w:tc>
          <w:tcPr>
            <w:tcW w:w="1192" w:type="dxa"/>
            <w:tcBorders>
              <w:left w:val="single" w:color="auto" w:sz="6" w:space="0"/>
            </w:tcBorders>
            <w:vAlign w:val="center"/>
          </w:tcPr>
          <w:p w14:paraId="63B89FB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9B77DA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0.00432983</w:t>
            </w:r>
          </w:p>
        </w:tc>
        <w:tc>
          <w:tcPr>
            <w:tcW w:w="1190" w:type="dxa"/>
            <w:tcBorders>
              <w:left w:val="single" w:color="auto" w:sz="6" w:space="0"/>
            </w:tcBorders>
            <w:vAlign w:val="center"/>
          </w:tcPr>
          <w:p w14:paraId="0B05209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A6AE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FB3DFB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w:t>
            </w:r>
          </w:p>
        </w:tc>
        <w:tc>
          <w:tcPr>
            <w:tcW w:w="1192" w:type="dxa"/>
            <w:tcBorders>
              <w:left w:val="single" w:color="auto" w:sz="6" w:space="0"/>
            </w:tcBorders>
            <w:vAlign w:val="center"/>
          </w:tcPr>
          <w:p w14:paraId="426B2FF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1.3047</w:t>
            </w:r>
          </w:p>
        </w:tc>
        <w:tc>
          <w:tcPr>
            <w:tcW w:w="1193" w:type="dxa"/>
            <w:tcBorders>
              <w:left w:val="single" w:color="auto" w:sz="6" w:space="0"/>
            </w:tcBorders>
            <w:vAlign w:val="center"/>
          </w:tcPr>
          <w:p w14:paraId="47F570A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7F5B45C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0.081218</w:t>
            </w:r>
          </w:p>
        </w:tc>
        <w:tc>
          <w:tcPr>
            <w:tcW w:w="1192" w:type="dxa"/>
            <w:tcBorders>
              <w:left w:val="single" w:color="auto" w:sz="6" w:space="0"/>
            </w:tcBorders>
            <w:vAlign w:val="center"/>
          </w:tcPr>
          <w:p w14:paraId="1E3F9C2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9F92EF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0.0390838</w:t>
            </w:r>
          </w:p>
        </w:tc>
        <w:tc>
          <w:tcPr>
            <w:tcW w:w="1190" w:type="dxa"/>
            <w:tcBorders>
              <w:left w:val="single" w:color="auto" w:sz="6" w:space="0"/>
            </w:tcBorders>
            <w:vAlign w:val="center"/>
          </w:tcPr>
          <w:p w14:paraId="51D0B97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5193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415411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1192" w:type="dxa"/>
            <w:tcBorders>
              <w:left w:val="single" w:color="auto" w:sz="6" w:space="0"/>
            </w:tcBorders>
            <w:vAlign w:val="center"/>
          </w:tcPr>
          <w:p w14:paraId="058E973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1.1166</w:t>
            </w:r>
          </w:p>
        </w:tc>
        <w:tc>
          <w:tcPr>
            <w:tcW w:w="1193" w:type="dxa"/>
            <w:tcBorders>
              <w:left w:val="single" w:color="auto" w:sz="6" w:space="0"/>
            </w:tcBorders>
            <w:vAlign w:val="center"/>
          </w:tcPr>
          <w:p w14:paraId="3AF16C2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24A9840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0.068619</w:t>
            </w:r>
          </w:p>
        </w:tc>
        <w:tc>
          <w:tcPr>
            <w:tcW w:w="1192" w:type="dxa"/>
            <w:tcBorders>
              <w:left w:val="single" w:color="auto" w:sz="6" w:space="0"/>
            </w:tcBorders>
            <w:vAlign w:val="center"/>
          </w:tcPr>
          <w:p w14:paraId="561C389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10750DD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0.0330209</w:t>
            </w:r>
          </w:p>
        </w:tc>
        <w:tc>
          <w:tcPr>
            <w:tcW w:w="1190" w:type="dxa"/>
            <w:tcBorders>
              <w:left w:val="single" w:color="auto" w:sz="6" w:space="0"/>
            </w:tcBorders>
            <w:vAlign w:val="center"/>
          </w:tcPr>
          <w:p w14:paraId="2F43918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912E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2580DA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70</w:t>
            </w:r>
          </w:p>
        </w:tc>
        <w:tc>
          <w:tcPr>
            <w:tcW w:w="1192" w:type="dxa"/>
            <w:tcBorders>
              <w:left w:val="single" w:color="auto" w:sz="6" w:space="0"/>
            </w:tcBorders>
            <w:vAlign w:val="center"/>
          </w:tcPr>
          <w:p w14:paraId="212F5D9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3" w:type="dxa"/>
            <w:tcBorders>
              <w:left w:val="single" w:color="auto" w:sz="6" w:space="0"/>
            </w:tcBorders>
            <w:vAlign w:val="center"/>
          </w:tcPr>
          <w:p w14:paraId="59F5A9A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1170486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0.14741</w:t>
            </w:r>
          </w:p>
        </w:tc>
        <w:tc>
          <w:tcPr>
            <w:tcW w:w="1192" w:type="dxa"/>
            <w:tcBorders>
              <w:left w:val="single" w:color="auto" w:sz="6" w:space="0"/>
            </w:tcBorders>
            <w:vAlign w:val="center"/>
          </w:tcPr>
          <w:p w14:paraId="06F6326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858E45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0.0709367</w:t>
            </w:r>
          </w:p>
        </w:tc>
        <w:tc>
          <w:tcPr>
            <w:tcW w:w="1190" w:type="dxa"/>
            <w:tcBorders>
              <w:left w:val="single" w:color="auto" w:sz="6" w:space="0"/>
            </w:tcBorders>
            <w:vAlign w:val="center"/>
          </w:tcPr>
          <w:p w14:paraId="24EB58D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2D2C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C0B4EA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75</w:t>
            </w:r>
          </w:p>
        </w:tc>
        <w:tc>
          <w:tcPr>
            <w:tcW w:w="1192" w:type="dxa"/>
            <w:tcBorders>
              <w:left w:val="single" w:color="auto" w:sz="6" w:space="0"/>
            </w:tcBorders>
            <w:vAlign w:val="center"/>
          </w:tcPr>
          <w:p w14:paraId="09664F9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1.4606</w:t>
            </w:r>
          </w:p>
        </w:tc>
        <w:tc>
          <w:tcPr>
            <w:tcW w:w="1193" w:type="dxa"/>
            <w:tcBorders>
              <w:left w:val="single" w:color="auto" w:sz="6" w:space="0"/>
            </w:tcBorders>
            <w:vAlign w:val="center"/>
          </w:tcPr>
          <w:p w14:paraId="3976646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47BBBD4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0.1461</w:t>
            </w:r>
          </w:p>
        </w:tc>
        <w:tc>
          <w:tcPr>
            <w:tcW w:w="1192" w:type="dxa"/>
            <w:tcBorders>
              <w:left w:val="single" w:color="auto" w:sz="6" w:space="0"/>
            </w:tcBorders>
            <w:vAlign w:val="center"/>
          </w:tcPr>
          <w:p w14:paraId="3CE97D1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F38422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0.0703063</w:t>
            </w:r>
          </w:p>
        </w:tc>
        <w:tc>
          <w:tcPr>
            <w:tcW w:w="1190" w:type="dxa"/>
            <w:tcBorders>
              <w:left w:val="single" w:color="auto" w:sz="6" w:space="0"/>
            </w:tcBorders>
            <w:vAlign w:val="center"/>
          </w:tcPr>
          <w:p w14:paraId="39120D4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7FB2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4DD7DCD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w:t>
            </w:r>
          </w:p>
        </w:tc>
        <w:tc>
          <w:tcPr>
            <w:tcW w:w="1192" w:type="dxa"/>
            <w:tcBorders>
              <w:left w:val="single" w:color="auto" w:sz="6" w:space="0"/>
            </w:tcBorders>
            <w:vAlign w:val="center"/>
          </w:tcPr>
          <w:p w14:paraId="0029026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3.3179</w:t>
            </w:r>
          </w:p>
        </w:tc>
        <w:tc>
          <w:tcPr>
            <w:tcW w:w="1193" w:type="dxa"/>
            <w:tcBorders>
              <w:left w:val="single" w:color="auto" w:sz="6" w:space="0"/>
            </w:tcBorders>
            <w:vAlign w:val="center"/>
          </w:tcPr>
          <w:p w14:paraId="14A1D92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1192" w:type="dxa"/>
            <w:tcBorders>
              <w:left w:val="single" w:color="auto" w:sz="6" w:space="0"/>
            </w:tcBorders>
            <w:vAlign w:val="center"/>
          </w:tcPr>
          <w:p w14:paraId="7314AAC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0.12381</w:t>
            </w:r>
          </w:p>
        </w:tc>
        <w:tc>
          <w:tcPr>
            <w:tcW w:w="1192" w:type="dxa"/>
            <w:tcBorders>
              <w:left w:val="single" w:color="auto" w:sz="6" w:space="0"/>
            </w:tcBorders>
            <w:vAlign w:val="center"/>
          </w:tcPr>
          <w:p w14:paraId="25BD501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26186E1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0.0595799</w:t>
            </w:r>
          </w:p>
        </w:tc>
        <w:tc>
          <w:tcPr>
            <w:tcW w:w="1190" w:type="dxa"/>
            <w:tcBorders>
              <w:left w:val="single" w:color="auto" w:sz="6" w:space="0"/>
            </w:tcBorders>
            <w:vAlign w:val="center"/>
          </w:tcPr>
          <w:p w14:paraId="38471A0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47CFB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6A85E3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113</w:t>
            </w:r>
          </w:p>
        </w:tc>
        <w:tc>
          <w:tcPr>
            <w:tcW w:w="1192" w:type="dxa"/>
            <w:tcBorders>
              <w:left w:val="single" w:color="auto" w:sz="6" w:space="0"/>
            </w:tcBorders>
            <w:vAlign w:val="center"/>
          </w:tcPr>
          <w:p w14:paraId="0A5EE16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3.6573</w:t>
            </w:r>
          </w:p>
        </w:tc>
        <w:tc>
          <w:tcPr>
            <w:tcW w:w="1193" w:type="dxa"/>
            <w:tcBorders>
              <w:left w:val="single" w:color="auto" w:sz="6" w:space="0"/>
            </w:tcBorders>
            <w:vAlign w:val="center"/>
          </w:tcPr>
          <w:p w14:paraId="7B14D13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1192" w:type="dxa"/>
            <w:tcBorders>
              <w:left w:val="single" w:color="auto" w:sz="6" w:space="0"/>
            </w:tcBorders>
            <w:vAlign w:val="center"/>
          </w:tcPr>
          <w:p w14:paraId="3FD548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1C422CD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0C4EACD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0" w:type="dxa"/>
            <w:tcBorders>
              <w:left w:val="single" w:color="auto" w:sz="6" w:space="0"/>
            </w:tcBorders>
            <w:vAlign w:val="center"/>
          </w:tcPr>
          <w:p w14:paraId="466634E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r>
      <w:tr w14:paraId="7FBAD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3D8436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125</w:t>
            </w:r>
          </w:p>
        </w:tc>
        <w:tc>
          <w:tcPr>
            <w:tcW w:w="1192" w:type="dxa"/>
            <w:tcBorders>
              <w:left w:val="single" w:color="auto" w:sz="6" w:space="0"/>
            </w:tcBorders>
            <w:vAlign w:val="center"/>
          </w:tcPr>
          <w:p w14:paraId="1EEB680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3.6049</w:t>
            </w:r>
          </w:p>
        </w:tc>
        <w:tc>
          <w:tcPr>
            <w:tcW w:w="1193" w:type="dxa"/>
            <w:tcBorders>
              <w:left w:val="single" w:color="auto" w:sz="6" w:space="0"/>
            </w:tcBorders>
            <w:vAlign w:val="center"/>
          </w:tcPr>
          <w:p w14:paraId="4ADB766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1192" w:type="dxa"/>
            <w:tcBorders>
              <w:left w:val="single" w:color="auto" w:sz="6" w:space="0"/>
            </w:tcBorders>
            <w:vAlign w:val="center"/>
          </w:tcPr>
          <w:p w14:paraId="348B884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0.098774</w:t>
            </w:r>
          </w:p>
        </w:tc>
        <w:tc>
          <w:tcPr>
            <w:tcW w:w="1192" w:type="dxa"/>
            <w:tcBorders>
              <w:left w:val="single" w:color="auto" w:sz="6" w:space="0"/>
            </w:tcBorders>
            <w:vAlign w:val="center"/>
          </w:tcPr>
          <w:p w14:paraId="01218B3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26D24B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0.0475321</w:t>
            </w:r>
          </w:p>
        </w:tc>
        <w:tc>
          <w:tcPr>
            <w:tcW w:w="1190" w:type="dxa"/>
            <w:tcBorders>
              <w:left w:val="single" w:color="auto" w:sz="6" w:space="0"/>
            </w:tcBorders>
            <w:vAlign w:val="center"/>
          </w:tcPr>
          <w:p w14:paraId="5CDFF8D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BC89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535C67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w:t>
            </w:r>
          </w:p>
        </w:tc>
        <w:tc>
          <w:tcPr>
            <w:tcW w:w="1192" w:type="dxa"/>
            <w:tcBorders>
              <w:left w:val="single" w:color="auto" w:sz="6" w:space="0"/>
            </w:tcBorders>
            <w:vAlign w:val="center"/>
          </w:tcPr>
          <w:p w14:paraId="3637C72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3.295</w:t>
            </w:r>
          </w:p>
        </w:tc>
        <w:tc>
          <w:tcPr>
            <w:tcW w:w="1193" w:type="dxa"/>
            <w:tcBorders>
              <w:left w:val="single" w:color="auto" w:sz="6" w:space="0"/>
            </w:tcBorders>
            <w:vAlign w:val="center"/>
          </w:tcPr>
          <w:p w14:paraId="050FB34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1192" w:type="dxa"/>
            <w:tcBorders>
              <w:left w:val="single" w:color="auto" w:sz="6" w:space="0"/>
            </w:tcBorders>
            <w:vAlign w:val="center"/>
          </w:tcPr>
          <w:p w14:paraId="4EC9978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0.079013</w:t>
            </w:r>
          </w:p>
        </w:tc>
        <w:tc>
          <w:tcPr>
            <w:tcW w:w="1192" w:type="dxa"/>
            <w:tcBorders>
              <w:left w:val="single" w:color="auto" w:sz="6" w:space="0"/>
            </w:tcBorders>
            <w:vAlign w:val="center"/>
          </w:tcPr>
          <w:p w14:paraId="020447F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673581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0.0380227</w:t>
            </w:r>
          </w:p>
        </w:tc>
        <w:tc>
          <w:tcPr>
            <w:tcW w:w="1190" w:type="dxa"/>
            <w:tcBorders>
              <w:left w:val="single" w:color="auto" w:sz="6" w:space="0"/>
            </w:tcBorders>
            <w:vAlign w:val="center"/>
          </w:tcPr>
          <w:p w14:paraId="3163B27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CEB7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575700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175</w:t>
            </w:r>
          </w:p>
        </w:tc>
        <w:tc>
          <w:tcPr>
            <w:tcW w:w="1192" w:type="dxa"/>
            <w:tcBorders>
              <w:left w:val="single" w:color="auto" w:sz="6" w:space="0"/>
            </w:tcBorders>
            <w:vAlign w:val="center"/>
          </w:tcPr>
          <w:p w14:paraId="2751938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2.9104</w:t>
            </w:r>
          </w:p>
        </w:tc>
        <w:tc>
          <w:tcPr>
            <w:tcW w:w="1193" w:type="dxa"/>
            <w:tcBorders>
              <w:left w:val="single" w:color="auto" w:sz="6" w:space="0"/>
            </w:tcBorders>
            <w:vAlign w:val="center"/>
          </w:tcPr>
          <w:p w14:paraId="184904B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01FE682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0.064262</w:t>
            </w:r>
          </w:p>
        </w:tc>
        <w:tc>
          <w:tcPr>
            <w:tcW w:w="1192" w:type="dxa"/>
            <w:tcBorders>
              <w:left w:val="single" w:color="auto" w:sz="6" w:space="0"/>
            </w:tcBorders>
            <w:vAlign w:val="center"/>
          </w:tcPr>
          <w:p w14:paraId="3C60716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033944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0.0309242</w:t>
            </w:r>
          </w:p>
        </w:tc>
        <w:tc>
          <w:tcPr>
            <w:tcW w:w="1190" w:type="dxa"/>
            <w:tcBorders>
              <w:left w:val="single" w:color="auto" w:sz="6" w:space="0"/>
            </w:tcBorders>
            <w:vAlign w:val="center"/>
          </w:tcPr>
          <w:p w14:paraId="296AB9B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75BE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1C80F9C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w:t>
            </w:r>
          </w:p>
        </w:tc>
        <w:tc>
          <w:tcPr>
            <w:tcW w:w="1192" w:type="dxa"/>
            <w:tcBorders>
              <w:left w:val="single" w:color="auto" w:sz="6" w:space="0"/>
            </w:tcBorders>
            <w:vAlign w:val="center"/>
          </w:tcPr>
          <w:p w14:paraId="0B88F3A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2.5469</w:t>
            </w:r>
          </w:p>
        </w:tc>
        <w:tc>
          <w:tcPr>
            <w:tcW w:w="1193" w:type="dxa"/>
            <w:tcBorders>
              <w:left w:val="single" w:color="auto" w:sz="6" w:space="0"/>
            </w:tcBorders>
            <w:vAlign w:val="center"/>
          </w:tcPr>
          <w:p w14:paraId="2B25781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4E8466E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0.053602</w:t>
            </w:r>
          </w:p>
        </w:tc>
        <w:tc>
          <w:tcPr>
            <w:tcW w:w="1192" w:type="dxa"/>
            <w:tcBorders>
              <w:left w:val="single" w:color="auto" w:sz="6" w:space="0"/>
            </w:tcBorders>
            <w:vAlign w:val="center"/>
          </w:tcPr>
          <w:p w14:paraId="1ACA022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42356A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0.0257944</w:t>
            </w:r>
          </w:p>
        </w:tc>
        <w:tc>
          <w:tcPr>
            <w:tcW w:w="1190" w:type="dxa"/>
            <w:tcBorders>
              <w:left w:val="single" w:color="auto" w:sz="6" w:space="0"/>
            </w:tcBorders>
            <w:vAlign w:val="center"/>
          </w:tcPr>
          <w:p w14:paraId="42A3B12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A354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EFE856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225</w:t>
            </w:r>
          </w:p>
        </w:tc>
        <w:tc>
          <w:tcPr>
            <w:tcW w:w="1192" w:type="dxa"/>
            <w:tcBorders>
              <w:left w:val="single" w:color="auto" w:sz="6" w:space="0"/>
            </w:tcBorders>
            <w:vAlign w:val="center"/>
          </w:tcPr>
          <w:p w14:paraId="4D7BB44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2.2304</w:t>
            </w:r>
          </w:p>
        </w:tc>
        <w:tc>
          <w:tcPr>
            <w:tcW w:w="1193" w:type="dxa"/>
            <w:tcBorders>
              <w:left w:val="single" w:color="auto" w:sz="6" w:space="0"/>
            </w:tcBorders>
            <w:vAlign w:val="center"/>
          </w:tcPr>
          <w:p w14:paraId="3730C6F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1723A56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0.05141</w:t>
            </w:r>
          </w:p>
        </w:tc>
        <w:tc>
          <w:tcPr>
            <w:tcW w:w="1192" w:type="dxa"/>
            <w:tcBorders>
              <w:left w:val="single" w:color="auto" w:sz="6" w:space="0"/>
            </w:tcBorders>
            <w:vAlign w:val="center"/>
          </w:tcPr>
          <w:p w14:paraId="1004568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BDCEEF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0.0247396</w:t>
            </w:r>
          </w:p>
        </w:tc>
        <w:tc>
          <w:tcPr>
            <w:tcW w:w="1190" w:type="dxa"/>
            <w:tcBorders>
              <w:left w:val="single" w:color="auto" w:sz="6" w:space="0"/>
            </w:tcBorders>
            <w:vAlign w:val="center"/>
          </w:tcPr>
          <w:p w14:paraId="5A835A6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DDE3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85B024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w:t>
            </w:r>
          </w:p>
        </w:tc>
        <w:tc>
          <w:tcPr>
            <w:tcW w:w="1192" w:type="dxa"/>
            <w:tcBorders>
              <w:left w:val="single" w:color="auto" w:sz="6" w:space="0"/>
            </w:tcBorders>
            <w:vAlign w:val="center"/>
          </w:tcPr>
          <w:p w14:paraId="4FF0FB8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1.9624</w:t>
            </w:r>
          </w:p>
        </w:tc>
        <w:tc>
          <w:tcPr>
            <w:tcW w:w="1193" w:type="dxa"/>
            <w:tcBorders>
              <w:left w:val="single" w:color="auto" w:sz="6" w:space="0"/>
            </w:tcBorders>
            <w:vAlign w:val="center"/>
          </w:tcPr>
          <w:p w14:paraId="1F14016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7B8EA3B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0.063333</w:t>
            </w:r>
          </w:p>
        </w:tc>
        <w:tc>
          <w:tcPr>
            <w:tcW w:w="1192" w:type="dxa"/>
            <w:tcBorders>
              <w:left w:val="single" w:color="auto" w:sz="6" w:space="0"/>
            </w:tcBorders>
            <w:vAlign w:val="center"/>
          </w:tcPr>
          <w:p w14:paraId="57EBA4C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1EA6E60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0.0304772</w:t>
            </w:r>
          </w:p>
        </w:tc>
        <w:tc>
          <w:tcPr>
            <w:tcW w:w="1190" w:type="dxa"/>
            <w:tcBorders>
              <w:left w:val="single" w:color="auto" w:sz="6" w:space="0"/>
            </w:tcBorders>
            <w:vAlign w:val="center"/>
          </w:tcPr>
          <w:p w14:paraId="5A9D3A8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A437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1D2F70E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275</w:t>
            </w:r>
          </w:p>
        </w:tc>
        <w:tc>
          <w:tcPr>
            <w:tcW w:w="1192" w:type="dxa"/>
            <w:tcBorders>
              <w:left w:val="single" w:color="auto" w:sz="6" w:space="0"/>
            </w:tcBorders>
            <w:vAlign w:val="center"/>
          </w:tcPr>
          <w:p w14:paraId="6D86514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1.7374</w:t>
            </w:r>
          </w:p>
        </w:tc>
        <w:tc>
          <w:tcPr>
            <w:tcW w:w="1193" w:type="dxa"/>
            <w:tcBorders>
              <w:left w:val="single" w:color="auto" w:sz="6" w:space="0"/>
            </w:tcBorders>
            <w:vAlign w:val="center"/>
          </w:tcPr>
          <w:p w14:paraId="73DA55D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01DC30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0.072329</w:t>
            </w:r>
          </w:p>
        </w:tc>
        <w:tc>
          <w:tcPr>
            <w:tcW w:w="1192" w:type="dxa"/>
            <w:tcBorders>
              <w:left w:val="single" w:color="auto" w:sz="6" w:space="0"/>
            </w:tcBorders>
            <w:vAlign w:val="center"/>
          </w:tcPr>
          <w:p w14:paraId="2188178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7F47BE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0.0348062</w:t>
            </w:r>
          </w:p>
        </w:tc>
        <w:tc>
          <w:tcPr>
            <w:tcW w:w="1190" w:type="dxa"/>
            <w:tcBorders>
              <w:left w:val="single" w:color="auto" w:sz="6" w:space="0"/>
            </w:tcBorders>
            <w:vAlign w:val="center"/>
          </w:tcPr>
          <w:p w14:paraId="32CA9D0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A97A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1C11E4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300</w:t>
            </w:r>
          </w:p>
        </w:tc>
        <w:tc>
          <w:tcPr>
            <w:tcW w:w="1192" w:type="dxa"/>
            <w:tcBorders>
              <w:left w:val="single" w:color="auto" w:sz="6" w:space="0"/>
            </w:tcBorders>
            <w:vAlign w:val="center"/>
          </w:tcPr>
          <w:p w14:paraId="19B4BEF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1.5485</w:t>
            </w:r>
          </w:p>
        </w:tc>
        <w:tc>
          <w:tcPr>
            <w:tcW w:w="1193" w:type="dxa"/>
            <w:tcBorders>
              <w:left w:val="single" w:color="auto" w:sz="6" w:space="0"/>
            </w:tcBorders>
            <w:vAlign w:val="center"/>
          </w:tcPr>
          <w:p w14:paraId="625B5F5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59E15E7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0.078143</w:t>
            </w:r>
          </w:p>
        </w:tc>
        <w:tc>
          <w:tcPr>
            <w:tcW w:w="1192" w:type="dxa"/>
            <w:tcBorders>
              <w:left w:val="single" w:color="auto" w:sz="6" w:space="0"/>
            </w:tcBorders>
            <w:vAlign w:val="center"/>
          </w:tcPr>
          <w:p w14:paraId="2FE8FD4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A850CC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0.037604</w:t>
            </w:r>
          </w:p>
        </w:tc>
        <w:tc>
          <w:tcPr>
            <w:tcW w:w="1190" w:type="dxa"/>
            <w:tcBorders>
              <w:left w:val="single" w:color="auto" w:sz="6" w:space="0"/>
            </w:tcBorders>
            <w:vAlign w:val="center"/>
          </w:tcPr>
          <w:p w14:paraId="3093B1A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78B0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64935E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400</w:t>
            </w:r>
          </w:p>
        </w:tc>
        <w:tc>
          <w:tcPr>
            <w:tcW w:w="1192" w:type="dxa"/>
            <w:tcBorders>
              <w:left w:val="single" w:color="auto" w:sz="6" w:space="0"/>
            </w:tcBorders>
            <w:vAlign w:val="center"/>
          </w:tcPr>
          <w:p w14:paraId="6ABAED1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1.0769</w:t>
            </w:r>
          </w:p>
        </w:tc>
        <w:tc>
          <w:tcPr>
            <w:tcW w:w="1193" w:type="dxa"/>
            <w:tcBorders>
              <w:left w:val="single" w:color="auto" w:sz="6" w:space="0"/>
            </w:tcBorders>
            <w:vAlign w:val="center"/>
          </w:tcPr>
          <w:p w14:paraId="6FD95F0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609F519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0.075991</w:t>
            </w:r>
          </w:p>
        </w:tc>
        <w:tc>
          <w:tcPr>
            <w:tcW w:w="1192" w:type="dxa"/>
            <w:tcBorders>
              <w:left w:val="single" w:color="auto" w:sz="6" w:space="0"/>
            </w:tcBorders>
            <w:vAlign w:val="center"/>
          </w:tcPr>
          <w:p w14:paraId="003D22F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C833FB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0.0365684</w:t>
            </w:r>
          </w:p>
        </w:tc>
        <w:tc>
          <w:tcPr>
            <w:tcW w:w="1190" w:type="dxa"/>
            <w:tcBorders>
              <w:left w:val="single" w:color="auto" w:sz="6" w:space="0"/>
            </w:tcBorders>
            <w:vAlign w:val="center"/>
          </w:tcPr>
          <w:p w14:paraId="258C39A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F8F1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E9AE17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w:t>
            </w:r>
          </w:p>
        </w:tc>
        <w:tc>
          <w:tcPr>
            <w:tcW w:w="1192" w:type="dxa"/>
            <w:tcBorders>
              <w:left w:val="single" w:color="auto" w:sz="6" w:space="0"/>
            </w:tcBorders>
            <w:vAlign w:val="center"/>
          </w:tcPr>
          <w:p w14:paraId="27506E0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1.165</w:t>
            </w:r>
          </w:p>
        </w:tc>
        <w:tc>
          <w:tcPr>
            <w:tcW w:w="1193" w:type="dxa"/>
            <w:tcBorders>
              <w:left w:val="single" w:color="auto" w:sz="6" w:space="0"/>
            </w:tcBorders>
            <w:vAlign w:val="center"/>
          </w:tcPr>
          <w:p w14:paraId="4B6A84D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3291FE4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0.066288</w:t>
            </w:r>
          </w:p>
        </w:tc>
        <w:tc>
          <w:tcPr>
            <w:tcW w:w="1192" w:type="dxa"/>
            <w:tcBorders>
              <w:left w:val="single" w:color="auto" w:sz="6" w:space="0"/>
            </w:tcBorders>
            <w:vAlign w:val="center"/>
          </w:tcPr>
          <w:p w14:paraId="20E1EA1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694756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0.0318992</w:t>
            </w:r>
          </w:p>
        </w:tc>
        <w:tc>
          <w:tcPr>
            <w:tcW w:w="1190" w:type="dxa"/>
            <w:tcBorders>
              <w:left w:val="single" w:color="auto" w:sz="6" w:space="0"/>
            </w:tcBorders>
            <w:vAlign w:val="center"/>
          </w:tcPr>
          <w:p w14:paraId="24F41B8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A9CB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3EC6BB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600</w:t>
            </w:r>
          </w:p>
        </w:tc>
        <w:tc>
          <w:tcPr>
            <w:tcW w:w="1192" w:type="dxa"/>
            <w:tcBorders>
              <w:left w:val="single" w:color="auto" w:sz="6" w:space="0"/>
            </w:tcBorders>
            <w:vAlign w:val="center"/>
          </w:tcPr>
          <w:p w14:paraId="3DB9138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1.3697</w:t>
            </w:r>
          </w:p>
        </w:tc>
        <w:tc>
          <w:tcPr>
            <w:tcW w:w="1193" w:type="dxa"/>
            <w:tcBorders>
              <w:left w:val="single" w:color="auto" w:sz="6" w:space="0"/>
            </w:tcBorders>
            <w:vAlign w:val="center"/>
          </w:tcPr>
          <w:p w14:paraId="37787EE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0E9FCE5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0.057809</w:t>
            </w:r>
          </w:p>
        </w:tc>
        <w:tc>
          <w:tcPr>
            <w:tcW w:w="1192" w:type="dxa"/>
            <w:tcBorders>
              <w:left w:val="single" w:color="auto" w:sz="6" w:space="0"/>
            </w:tcBorders>
            <w:vAlign w:val="center"/>
          </w:tcPr>
          <w:p w14:paraId="4F9E73B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3E6FB8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0.0278189</w:t>
            </w:r>
          </w:p>
        </w:tc>
        <w:tc>
          <w:tcPr>
            <w:tcW w:w="1190" w:type="dxa"/>
            <w:tcBorders>
              <w:left w:val="single" w:color="auto" w:sz="6" w:space="0"/>
            </w:tcBorders>
            <w:vAlign w:val="center"/>
          </w:tcPr>
          <w:p w14:paraId="497855A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CA64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4EB60A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700</w:t>
            </w:r>
          </w:p>
        </w:tc>
        <w:tc>
          <w:tcPr>
            <w:tcW w:w="1192" w:type="dxa"/>
            <w:tcBorders>
              <w:left w:val="single" w:color="auto" w:sz="6" w:space="0"/>
            </w:tcBorders>
            <w:vAlign w:val="center"/>
          </w:tcPr>
          <w:p w14:paraId="5B64E31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1.527</w:t>
            </w:r>
          </w:p>
        </w:tc>
        <w:tc>
          <w:tcPr>
            <w:tcW w:w="1193" w:type="dxa"/>
            <w:tcBorders>
              <w:left w:val="single" w:color="auto" w:sz="6" w:space="0"/>
            </w:tcBorders>
            <w:vAlign w:val="center"/>
          </w:tcPr>
          <w:p w14:paraId="25F405A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1090B54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0.051187</w:t>
            </w:r>
          </w:p>
        </w:tc>
        <w:tc>
          <w:tcPr>
            <w:tcW w:w="1192" w:type="dxa"/>
            <w:tcBorders>
              <w:left w:val="single" w:color="auto" w:sz="6" w:space="0"/>
            </w:tcBorders>
            <w:vAlign w:val="center"/>
          </w:tcPr>
          <w:p w14:paraId="19493A1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4232C2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0.0246322</w:t>
            </w:r>
          </w:p>
        </w:tc>
        <w:tc>
          <w:tcPr>
            <w:tcW w:w="1190" w:type="dxa"/>
            <w:tcBorders>
              <w:left w:val="single" w:color="auto" w:sz="6" w:space="0"/>
            </w:tcBorders>
            <w:vAlign w:val="center"/>
          </w:tcPr>
          <w:p w14:paraId="332ABBA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45C3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2F85A2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800</w:t>
            </w:r>
          </w:p>
        </w:tc>
        <w:tc>
          <w:tcPr>
            <w:tcW w:w="1192" w:type="dxa"/>
            <w:tcBorders>
              <w:left w:val="single" w:color="auto" w:sz="6" w:space="0"/>
            </w:tcBorders>
            <w:vAlign w:val="center"/>
          </w:tcPr>
          <w:p w14:paraId="6D8F5A1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1.4903</w:t>
            </w:r>
          </w:p>
        </w:tc>
        <w:tc>
          <w:tcPr>
            <w:tcW w:w="1193" w:type="dxa"/>
            <w:tcBorders>
              <w:left w:val="single" w:color="auto" w:sz="6" w:space="0"/>
            </w:tcBorders>
            <w:vAlign w:val="center"/>
          </w:tcPr>
          <w:p w14:paraId="06989E2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69A855A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0.045463</w:t>
            </w:r>
          </w:p>
        </w:tc>
        <w:tc>
          <w:tcPr>
            <w:tcW w:w="1192" w:type="dxa"/>
            <w:tcBorders>
              <w:left w:val="single" w:color="auto" w:sz="6" w:space="0"/>
            </w:tcBorders>
            <w:vAlign w:val="center"/>
          </w:tcPr>
          <w:p w14:paraId="7573A6B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E9BC1B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0.0218777</w:t>
            </w:r>
          </w:p>
        </w:tc>
        <w:tc>
          <w:tcPr>
            <w:tcW w:w="1190" w:type="dxa"/>
            <w:tcBorders>
              <w:left w:val="single" w:color="auto" w:sz="6" w:space="0"/>
            </w:tcBorders>
            <w:vAlign w:val="center"/>
          </w:tcPr>
          <w:p w14:paraId="49D7D93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8935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018657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900</w:t>
            </w:r>
          </w:p>
        </w:tc>
        <w:tc>
          <w:tcPr>
            <w:tcW w:w="1192" w:type="dxa"/>
            <w:tcBorders>
              <w:left w:val="single" w:color="auto" w:sz="6" w:space="0"/>
            </w:tcBorders>
            <w:vAlign w:val="center"/>
          </w:tcPr>
          <w:p w14:paraId="5D1DE5A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1.4161</w:t>
            </w:r>
          </w:p>
        </w:tc>
        <w:tc>
          <w:tcPr>
            <w:tcW w:w="1193" w:type="dxa"/>
            <w:tcBorders>
              <w:left w:val="single" w:color="auto" w:sz="6" w:space="0"/>
            </w:tcBorders>
            <w:vAlign w:val="center"/>
          </w:tcPr>
          <w:p w14:paraId="52AEE1B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6DBAD75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0.040592</w:t>
            </w:r>
          </w:p>
        </w:tc>
        <w:tc>
          <w:tcPr>
            <w:tcW w:w="1192" w:type="dxa"/>
            <w:tcBorders>
              <w:left w:val="single" w:color="auto" w:sz="6" w:space="0"/>
            </w:tcBorders>
            <w:vAlign w:val="center"/>
          </w:tcPr>
          <w:p w14:paraId="7125B81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3C65C95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0.0195337</w:t>
            </w:r>
          </w:p>
        </w:tc>
        <w:tc>
          <w:tcPr>
            <w:tcW w:w="1190" w:type="dxa"/>
            <w:tcBorders>
              <w:left w:val="single" w:color="auto" w:sz="6" w:space="0"/>
            </w:tcBorders>
            <w:vAlign w:val="center"/>
          </w:tcPr>
          <w:p w14:paraId="2C0A416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3F46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E786CB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w:t>
            </w:r>
          </w:p>
        </w:tc>
        <w:tc>
          <w:tcPr>
            <w:tcW w:w="1192" w:type="dxa"/>
            <w:tcBorders>
              <w:left w:val="single" w:color="auto" w:sz="6" w:space="0"/>
            </w:tcBorders>
            <w:vAlign w:val="center"/>
          </w:tcPr>
          <w:p w14:paraId="304E351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1.3352</w:t>
            </w:r>
          </w:p>
        </w:tc>
        <w:tc>
          <w:tcPr>
            <w:tcW w:w="1193" w:type="dxa"/>
            <w:tcBorders>
              <w:left w:val="single" w:color="auto" w:sz="6" w:space="0"/>
            </w:tcBorders>
            <w:vAlign w:val="center"/>
          </w:tcPr>
          <w:p w14:paraId="206C6ED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087C396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0.036462</w:t>
            </w:r>
          </w:p>
        </w:tc>
        <w:tc>
          <w:tcPr>
            <w:tcW w:w="1192" w:type="dxa"/>
            <w:tcBorders>
              <w:left w:val="single" w:color="auto" w:sz="6" w:space="0"/>
            </w:tcBorders>
            <w:vAlign w:val="center"/>
          </w:tcPr>
          <w:p w14:paraId="1311C6C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0D45365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0.0175463</w:t>
            </w:r>
          </w:p>
        </w:tc>
        <w:tc>
          <w:tcPr>
            <w:tcW w:w="1190" w:type="dxa"/>
            <w:tcBorders>
              <w:left w:val="single" w:color="auto" w:sz="6" w:space="0"/>
            </w:tcBorders>
            <w:vAlign w:val="center"/>
          </w:tcPr>
          <w:p w14:paraId="0DC754D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E5F8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458B31D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1500</w:t>
            </w:r>
          </w:p>
        </w:tc>
        <w:tc>
          <w:tcPr>
            <w:tcW w:w="1192" w:type="dxa"/>
            <w:tcBorders>
              <w:left w:val="single" w:color="auto" w:sz="6" w:space="0"/>
            </w:tcBorders>
            <w:vAlign w:val="center"/>
          </w:tcPr>
          <w:p w14:paraId="743BA9E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0.99437</w:t>
            </w:r>
          </w:p>
        </w:tc>
        <w:tc>
          <w:tcPr>
            <w:tcW w:w="1193" w:type="dxa"/>
            <w:tcBorders>
              <w:left w:val="single" w:color="auto" w:sz="6" w:space="0"/>
            </w:tcBorders>
            <w:vAlign w:val="center"/>
          </w:tcPr>
          <w:p w14:paraId="65DAB5B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C694C8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0.026258</w:t>
            </w:r>
          </w:p>
        </w:tc>
        <w:tc>
          <w:tcPr>
            <w:tcW w:w="1192" w:type="dxa"/>
            <w:tcBorders>
              <w:left w:val="single" w:color="auto" w:sz="6" w:space="0"/>
            </w:tcBorders>
            <w:vAlign w:val="center"/>
          </w:tcPr>
          <w:p w14:paraId="60A6AB7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0077C9C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0.0126359</w:t>
            </w:r>
          </w:p>
        </w:tc>
        <w:tc>
          <w:tcPr>
            <w:tcW w:w="1190" w:type="dxa"/>
            <w:tcBorders>
              <w:left w:val="single" w:color="auto" w:sz="6" w:space="0"/>
            </w:tcBorders>
            <w:vAlign w:val="center"/>
          </w:tcPr>
          <w:p w14:paraId="717E81B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71B6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186CD2E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w:t>
            </w:r>
          </w:p>
        </w:tc>
        <w:tc>
          <w:tcPr>
            <w:tcW w:w="1192" w:type="dxa"/>
            <w:tcBorders>
              <w:left w:val="single" w:color="auto" w:sz="6" w:space="0"/>
            </w:tcBorders>
            <w:vAlign w:val="center"/>
          </w:tcPr>
          <w:p w14:paraId="7C8BEB9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0.791</w:t>
            </w:r>
          </w:p>
        </w:tc>
        <w:tc>
          <w:tcPr>
            <w:tcW w:w="1193" w:type="dxa"/>
            <w:tcBorders>
              <w:left w:val="single" w:color="auto" w:sz="6" w:space="0"/>
            </w:tcBorders>
            <w:vAlign w:val="center"/>
          </w:tcPr>
          <w:p w14:paraId="496D3F8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69962C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0.020838</w:t>
            </w:r>
          </w:p>
        </w:tc>
        <w:tc>
          <w:tcPr>
            <w:tcW w:w="1192" w:type="dxa"/>
            <w:tcBorders>
              <w:left w:val="single" w:color="auto" w:sz="6" w:space="0"/>
            </w:tcBorders>
            <w:vAlign w:val="center"/>
          </w:tcPr>
          <w:p w14:paraId="0DC9FD1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A24C03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0.0100277</w:t>
            </w:r>
          </w:p>
        </w:tc>
        <w:tc>
          <w:tcPr>
            <w:tcW w:w="1190" w:type="dxa"/>
            <w:tcBorders>
              <w:left w:val="single" w:color="auto" w:sz="6" w:space="0"/>
            </w:tcBorders>
            <w:vAlign w:val="center"/>
          </w:tcPr>
          <w:p w14:paraId="3F1423B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446A1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026B9B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2500</w:t>
            </w:r>
          </w:p>
        </w:tc>
        <w:tc>
          <w:tcPr>
            <w:tcW w:w="1192" w:type="dxa"/>
            <w:tcBorders>
              <w:left w:val="single" w:color="auto" w:sz="6" w:space="0"/>
            </w:tcBorders>
            <w:vAlign w:val="center"/>
          </w:tcPr>
          <w:p w14:paraId="24C1523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0.79231</w:t>
            </w:r>
          </w:p>
        </w:tc>
        <w:tc>
          <w:tcPr>
            <w:tcW w:w="1193" w:type="dxa"/>
            <w:tcBorders>
              <w:left w:val="single" w:color="auto" w:sz="6" w:space="0"/>
            </w:tcBorders>
            <w:vAlign w:val="center"/>
          </w:tcPr>
          <w:p w14:paraId="37C4B98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61AF4D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0.016982</w:t>
            </w:r>
          </w:p>
        </w:tc>
        <w:tc>
          <w:tcPr>
            <w:tcW w:w="1192" w:type="dxa"/>
            <w:tcBorders>
              <w:left w:val="single" w:color="auto" w:sz="6" w:space="0"/>
            </w:tcBorders>
            <w:vAlign w:val="center"/>
          </w:tcPr>
          <w:p w14:paraId="4AFED11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E29755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0.00817209</w:t>
            </w:r>
          </w:p>
        </w:tc>
        <w:tc>
          <w:tcPr>
            <w:tcW w:w="1190" w:type="dxa"/>
            <w:tcBorders>
              <w:left w:val="single" w:color="auto" w:sz="6" w:space="0"/>
            </w:tcBorders>
            <w:vAlign w:val="center"/>
          </w:tcPr>
          <w:p w14:paraId="55D2B99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CC54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2EC730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下风向最大浓度</w:t>
            </w:r>
          </w:p>
        </w:tc>
        <w:tc>
          <w:tcPr>
            <w:tcW w:w="2385" w:type="dxa"/>
            <w:gridSpan w:val="2"/>
            <w:tcBorders>
              <w:left w:val="single" w:color="auto" w:sz="6" w:space="0"/>
            </w:tcBorders>
            <w:vAlign w:val="center"/>
          </w:tcPr>
          <w:p w14:paraId="1BB401AA">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3.6573</w:t>
            </w:r>
          </w:p>
        </w:tc>
        <w:tc>
          <w:tcPr>
            <w:tcW w:w="2384" w:type="dxa"/>
            <w:gridSpan w:val="2"/>
            <w:tcBorders>
              <w:left w:val="single" w:color="auto" w:sz="6" w:space="0"/>
            </w:tcBorders>
            <w:vAlign w:val="center"/>
          </w:tcPr>
          <w:p w14:paraId="4B3E98A3">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0.14741</w:t>
            </w:r>
          </w:p>
        </w:tc>
        <w:tc>
          <w:tcPr>
            <w:tcW w:w="2382" w:type="dxa"/>
            <w:gridSpan w:val="2"/>
            <w:tcBorders>
              <w:left w:val="single" w:color="auto" w:sz="6" w:space="0"/>
            </w:tcBorders>
            <w:vAlign w:val="center"/>
          </w:tcPr>
          <w:p w14:paraId="0F64F949">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0.0709367</w:t>
            </w:r>
          </w:p>
        </w:tc>
      </w:tr>
      <w:tr w14:paraId="20A0E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39562C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最大浓度出现距离（m）</w:t>
            </w:r>
          </w:p>
        </w:tc>
        <w:tc>
          <w:tcPr>
            <w:tcW w:w="2385" w:type="dxa"/>
            <w:gridSpan w:val="2"/>
            <w:tcBorders>
              <w:left w:val="single" w:color="auto" w:sz="6" w:space="0"/>
            </w:tcBorders>
            <w:vAlign w:val="center"/>
          </w:tcPr>
          <w:p w14:paraId="31D38003">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113</w:t>
            </w:r>
          </w:p>
        </w:tc>
        <w:tc>
          <w:tcPr>
            <w:tcW w:w="2384" w:type="dxa"/>
            <w:gridSpan w:val="2"/>
            <w:tcBorders>
              <w:left w:val="single" w:color="auto" w:sz="6" w:space="0"/>
            </w:tcBorders>
            <w:vAlign w:val="center"/>
          </w:tcPr>
          <w:p w14:paraId="1228BA2F">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70</w:t>
            </w:r>
          </w:p>
        </w:tc>
        <w:tc>
          <w:tcPr>
            <w:tcW w:w="2382" w:type="dxa"/>
            <w:gridSpan w:val="2"/>
            <w:tcBorders>
              <w:left w:val="single" w:color="auto" w:sz="6" w:space="0"/>
            </w:tcBorders>
            <w:vAlign w:val="center"/>
          </w:tcPr>
          <w:p w14:paraId="54D9A47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70</w:t>
            </w:r>
          </w:p>
        </w:tc>
      </w:tr>
      <w:tr w14:paraId="59BD1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073727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浓度占标准10%距源最远距离D10%</w:t>
            </w:r>
          </w:p>
        </w:tc>
        <w:tc>
          <w:tcPr>
            <w:tcW w:w="2385" w:type="dxa"/>
            <w:gridSpan w:val="2"/>
            <w:tcBorders>
              <w:left w:val="single" w:color="auto" w:sz="6" w:space="0"/>
            </w:tcBorders>
            <w:vAlign w:val="center"/>
          </w:tcPr>
          <w:p w14:paraId="1F0C3EE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2384" w:type="dxa"/>
            <w:gridSpan w:val="2"/>
            <w:tcBorders>
              <w:left w:val="single" w:color="auto" w:sz="6" w:space="0"/>
            </w:tcBorders>
            <w:vAlign w:val="center"/>
          </w:tcPr>
          <w:p w14:paraId="2CCC2A4B">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2382" w:type="dxa"/>
            <w:gridSpan w:val="2"/>
            <w:tcBorders>
              <w:left w:val="single" w:color="auto" w:sz="6" w:space="0"/>
            </w:tcBorders>
            <w:vAlign w:val="center"/>
          </w:tcPr>
          <w:p w14:paraId="5F6CF12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r>
    </w:tbl>
    <w:p w14:paraId="59F22033">
      <w:pPr>
        <w:pStyle w:val="15"/>
        <w:spacing w:line="360" w:lineRule="auto"/>
        <w:ind w:left="-105" w:right="-105" w:firstLine="482"/>
        <w:rPr>
          <w:rFonts w:eastAsia="宋体" w:cs="Times New Roman"/>
          <w:color w:val="auto"/>
          <w:kern w:val="0"/>
          <w:sz w:val="24"/>
          <w:szCs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9</w:t>
      </w:r>
      <w:r>
        <w:rPr>
          <w:rFonts w:eastAsia="宋体" w:cs="Times New Roman"/>
          <w:color w:val="auto"/>
          <w:sz w:val="24"/>
          <w:szCs w:val="18"/>
          <w:highlight w:val="none"/>
        </w:rPr>
        <w:fldChar w:fldCharType="end"/>
      </w:r>
      <w:r>
        <w:rPr>
          <w:rFonts w:eastAsia="宋体" w:cs="Times New Roman"/>
          <w:color w:val="auto"/>
          <w:sz w:val="24"/>
          <w:szCs w:val="22"/>
          <w:highlight w:val="none"/>
        </w:rPr>
        <w:t>无组织（</w:t>
      </w:r>
      <w:r>
        <w:rPr>
          <w:rFonts w:hint="eastAsia" w:eastAsia="宋体" w:cs="Times New Roman"/>
          <w:color w:val="auto"/>
          <w:sz w:val="24"/>
          <w:szCs w:val="22"/>
          <w:highlight w:val="none"/>
        </w:rPr>
        <w:t>二工场、实验楼</w:t>
      </w:r>
      <w:r>
        <w:rPr>
          <w:rFonts w:eastAsia="宋体" w:cs="Times New Roman"/>
          <w:color w:val="auto"/>
          <w:sz w:val="24"/>
          <w:szCs w:val="22"/>
          <w:highlight w:val="none"/>
        </w:rPr>
        <w:t>）排放大气污染物影响预测结果表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28"/>
        <w:gridCol w:w="1792"/>
        <w:gridCol w:w="1800"/>
        <w:gridCol w:w="1807"/>
        <w:gridCol w:w="1777"/>
      </w:tblGrid>
      <w:tr w14:paraId="62355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Merge w:val="restart"/>
            <w:vAlign w:val="center"/>
          </w:tcPr>
          <w:p w14:paraId="392A0A5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距源中心下风向距离（m）</w:t>
            </w:r>
          </w:p>
        </w:tc>
        <w:tc>
          <w:tcPr>
            <w:tcW w:w="4019" w:type="dxa"/>
            <w:gridSpan w:val="2"/>
            <w:tcBorders>
              <w:left w:val="single" w:color="auto" w:sz="6" w:space="0"/>
            </w:tcBorders>
            <w:vAlign w:val="center"/>
          </w:tcPr>
          <w:p w14:paraId="7264E9D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二工场</w:t>
            </w:r>
          </w:p>
        </w:tc>
        <w:tc>
          <w:tcPr>
            <w:tcW w:w="4013" w:type="dxa"/>
            <w:gridSpan w:val="2"/>
            <w:tcBorders>
              <w:left w:val="single" w:color="auto" w:sz="6" w:space="0"/>
            </w:tcBorders>
            <w:vAlign w:val="center"/>
          </w:tcPr>
          <w:p w14:paraId="39F7D0C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实验楼</w:t>
            </w:r>
          </w:p>
        </w:tc>
      </w:tr>
      <w:tr w14:paraId="586B3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Merge w:val="continue"/>
            <w:vAlign w:val="center"/>
          </w:tcPr>
          <w:p w14:paraId="0A9F2D3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4019" w:type="dxa"/>
            <w:gridSpan w:val="2"/>
            <w:tcBorders>
              <w:left w:val="single" w:color="auto" w:sz="6" w:space="0"/>
            </w:tcBorders>
            <w:vAlign w:val="center"/>
          </w:tcPr>
          <w:p w14:paraId="63591BE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w:t>
            </w:r>
          </w:p>
        </w:tc>
        <w:tc>
          <w:tcPr>
            <w:tcW w:w="4013" w:type="dxa"/>
            <w:gridSpan w:val="2"/>
            <w:tcBorders>
              <w:left w:val="single" w:color="auto" w:sz="6" w:space="0"/>
            </w:tcBorders>
            <w:vAlign w:val="center"/>
          </w:tcPr>
          <w:p w14:paraId="2D1C5F9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非甲烷总烃（含甲醇）</w:t>
            </w:r>
          </w:p>
        </w:tc>
      </w:tr>
      <w:tr w14:paraId="21A41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Merge w:val="continue"/>
            <w:vAlign w:val="center"/>
          </w:tcPr>
          <w:p w14:paraId="43EFA90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2005" w:type="dxa"/>
            <w:tcBorders>
              <w:left w:val="single" w:color="auto" w:sz="6" w:space="0"/>
            </w:tcBorders>
            <w:vAlign w:val="center"/>
          </w:tcPr>
          <w:p w14:paraId="09CDA40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2014" w:type="dxa"/>
            <w:tcBorders>
              <w:left w:val="single" w:color="auto" w:sz="6" w:space="0"/>
            </w:tcBorders>
            <w:vAlign w:val="center"/>
          </w:tcPr>
          <w:p w14:paraId="45F8737A">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2023" w:type="dxa"/>
            <w:tcBorders>
              <w:left w:val="single" w:color="auto" w:sz="6" w:space="0"/>
              <w:right w:val="single" w:color="auto" w:sz="4" w:space="0"/>
            </w:tcBorders>
            <w:vAlign w:val="center"/>
          </w:tcPr>
          <w:p w14:paraId="060039A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990" w:type="dxa"/>
            <w:tcBorders>
              <w:left w:val="single" w:color="auto" w:sz="4" w:space="0"/>
            </w:tcBorders>
            <w:vAlign w:val="center"/>
          </w:tcPr>
          <w:p w14:paraId="589EE9F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r>
      <w:tr w14:paraId="09D60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618081D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10</w:t>
            </w:r>
          </w:p>
        </w:tc>
        <w:tc>
          <w:tcPr>
            <w:tcW w:w="2005" w:type="dxa"/>
            <w:tcBorders>
              <w:left w:val="single" w:color="auto" w:sz="6" w:space="0"/>
            </w:tcBorders>
            <w:vAlign w:val="center"/>
          </w:tcPr>
          <w:p w14:paraId="731F5B9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9.3777</w:t>
            </w:r>
          </w:p>
        </w:tc>
        <w:tc>
          <w:tcPr>
            <w:tcW w:w="2014" w:type="dxa"/>
            <w:tcBorders>
              <w:left w:val="single" w:color="auto" w:sz="6" w:space="0"/>
            </w:tcBorders>
            <w:vAlign w:val="center"/>
          </w:tcPr>
          <w:p w14:paraId="0FF39E6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w:t>
            </w:r>
          </w:p>
        </w:tc>
        <w:tc>
          <w:tcPr>
            <w:tcW w:w="2023" w:type="dxa"/>
            <w:tcBorders>
              <w:left w:val="single" w:color="auto" w:sz="6" w:space="0"/>
              <w:right w:val="single" w:color="auto" w:sz="4" w:space="0"/>
            </w:tcBorders>
            <w:vAlign w:val="center"/>
          </w:tcPr>
          <w:p w14:paraId="39021C5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1.0432</w:t>
            </w:r>
          </w:p>
        </w:tc>
        <w:tc>
          <w:tcPr>
            <w:tcW w:w="1990" w:type="dxa"/>
            <w:tcBorders>
              <w:left w:val="single" w:color="auto" w:sz="4" w:space="0"/>
            </w:tcBorders>
            <w:vAlign w:val="center"/>
          </w:tcPr>
          <w:p w14:paraId="09E0928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731A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036C887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23</w:t>
            </w:r>
          </w:p>
        </w:tc>
        <w:tc>
          <w:tcPr>
            <w:tcW w:w="2005" w:type="dxa"/>
            <w:tcBorders>
              <w:left w:val="single" w:color="auto" w:sz="6" w:space="0"/>
            </w:tcBorders>
            <w:vAlign w:val="center"/>
          </w:tcPr>
          <w:p w14:paraId="1C092AF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2014" w:type="dxa"/>
            <w:tcBorders>
              <w:left w:val="single" w:color="auto" w:sz="6" w:space="0"/>
            </w:tcBorders>
            <w:vAlign w:val="center"/>
          </w:tcPr>
          <w:p w14:paraId="6E89801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2023" w:type="dxa"/>
            <w:tcBorders>
              <w:left w:val="single" w:color="auto" w:sz="6" w:space="0"/>
              <w:right w:val="single" w:color="auto" w:sz="4" w:space="0"/>
            </w:tcBorders>
            <w:vAlign w:val="center"/>
          </w:tcPr>
          <w:p w14:paraId="700FC55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1.5714</w:t>
            </w:r>
          </w:p>
        </w:tc>
        <w:tc>
          <w:tcPr>
            <w:tcW w:w="1990" w:type="dxa"/>
            <w:tcBorders>
              <w:left w:val="single" w:color="auto" w:sz="4" w:space="0"/>
            </w:tcBorders>
            <w:vAlign w:val="center"/>
          </w:tcPr>
          <w:p w14:paraId="20E6E60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EC1E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2C4B7CC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25</w:t>
            </w:r>
          </w:p>
        </w:tc>
        <w:tc>
          <w:tcPr>
            <w:tcW w:w="2005" w:type="dxa"/>
            <w:tcBorders>
              <w:left w:val="single" w:color="auto" w:sz="6" w:space="0"/>
            </w:tcBorders>
            <w:vAlign w:val="center"/>
          </w:tcPr>
          <w:p w14:paraId="3C62D80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w:t>
            </w:r>
          </w:p>
        </w:tc>
        <w:tc>
          <w:tcPr>
            <w:tcW w:w="2014" w:type="dxa"/>
            <w:tcBorders>
              <w:left w:val="single" w:color="auto" w:sz="6" w:space="0"/>
            </w:tcBorders>
            <w:vAlign w:val="center"/>
          </w:tcPr>
          <w:p w14:paraId="6188294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0.80</w:t>
            </w:r>
          </w:p>
        </w:tc>
        <w:tc>
          <w:tcPr>
            <w:tcW w:w="2023" w:type="dxa"/>
            <w:tcBorders>
              <w:left w:val="single" w:color="auto" w:sz="6" w:space="0"/>
              <w:right w:val="single" w:color="auto" w:sz="4" w:space="0"/>
            </w:tcBorders>
            <w:vAlign w:val="center"/>
          </w:tcPr>
          <w:p w14:paraId="47BFC78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1.5102</w:t>
            </w:r>
          </w:p>
        </w:tc>
        <w:tc>
          <w:tcPr>
            <w:tcW w:w="1990" w:type="dxa"/>
            <w:tcBorders>
              <w:left w:val="single" w:color="auto" w:sz="4" w:space="0"/>
            </w:tcBorders>
            <w:vAlign w:val="center"/>
          </w:tcPr>
          <w:p w14:paraId="2021C8D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59362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743AB1C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34</w:t>
            </w:r>
          </w:p>
        </w:tc>
        <w:tc>
          <w:tcPr>
            <w:tcW w:w="2005" w:type="dxa"/>
            <w:tcBorders>
              <w:left w:val="single" w:color="auto" w:sz="6" w:space="0"/>
            </w:tcBorders>
            <w:vAlign w:val="center"/>
          </w:tcPr>
          <w:p w14:paraId="4E1CE5D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15.455</w:t>
            </w:r>
          </w:p>
        </w:tc>
        <w:tc>
          <w:tcPr>
            <w:tcW w:w="2014" w:type="dxa"/>
            <w:tcBorders>
              <w:left w:val="single" w:color="auto" w:sz="6" w:space="0"/>
            </w:tcBorders>
            <w:vAlign w:val="center"/>
          </w:tcPr>
          <w:p w14:paraId="1FFE228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0.80</w:t>
            </w:r>
          </w:p>
        </w:tc>
        <w:tc>
          <w:tcPr>
            <w:tcW w:w="2023" w:type="dxa"/>
            <w:tcBorders>
              <w:left w:val="single" w:color="auto" w:sz="6" w:space="0"/>
              <w:right w:val="single" w:color="auto" w:sz="4" w:space="0"/>
            </w:tcBorders>
            <w:vAlign w:val="center"/>
          </w:tcPr>
          <w:p w14:paraId="5FDE5D8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990" w:type="dxa"/>
            <w:tcBorders>
              <w:left w:val="single" w:color="auto" w:sz="4" w:space="0"/>
            </w:tcBorders>
            <w:vAlign w:val="center"/>
          </w:tcPr>
          <w:p w14:paraId="314FFEB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r>
      <w:tr w14:paraId="55C7E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2EB8A38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50</w:t>
            </w:r>
          </w:p>
        </w:tc>
        <w:tc>
          <w:tcPr>
            <w:tcW w:w="2005" w:type="dxa"/>
            <w:tcBorders>
              <w:left w:val="single" w:color="auto" w:sz="6" w:space="0"/>
            </w:tcBorders>
            <w:vAlign w:val="center"/>
          </w:tcPr>
          <w:p w14:paraId="5BD0FC3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10.99</w:t>
            </w:r>
          </w:p>
        </w:tc>
        <w:tc>
          <w:tcPr>
            <w:tcW w:w="2014" w:type="dxa"/>
            <w:tcBorders>
              <w:left w:val="single" w:color="auto" w:sz="6" w:space="0"/>
            </w:tcBorders>
            <w:vAlign w:val="center"/>
          </w:tcPr>
          <w:p w14:paraId="735A175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w:t>
            </w:r>
          </w:p>
        </w:tc>
        <w:tc>
          <w:tcPr>
            <w:tcW w:w="2023" w:type="dxa"/>
            <w:tcBorders>
              <w:left w:val="single" w:color="auto" w:sz="6" w:space="0"/>
              <w:right w:val="single" w:color="auto" w:sz="4" w:space="0"/>
            </w:tcBorders>
            <w:vAlign w:val="center"/>
          </w:tcPr>
          <w:p w14:paraId="29B0CF8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0.92906</w:t>
            </w:r>
          </w:p>
        </w:tc>
        <w:tc>
          <w:tcPr>
            <w:tcW w:w="1990" w:type="dxa"/>
            <w:tcBorders>
              <w:left w:val="single" w:color="auto" w:sz="4" w:space="0"/>
            </w:tcBorders>
            <w:vAlign w:val="center"/>
          </w:tcPr>
          <w:p w14:paraId="6C4C258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CC05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5BF8AA0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75</w:t>
            </w:r>
          </w:p>
        </w:tc>
        <w:tc>
          <w:tcPr>
            <w:tcW w:w="2005" w:type="dxa"/>
            <w:tcBorders>
              <w:left w:val="single" w:color="auto" w:sz="6" w:space="0"/>
            </w:tcBorders>
            <w:vAlign w:val="center"/>
          </w:tcPr>
          <w:p w14:paraId="4D179E7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8.2765</w:t>
            </w:r>
          </w:p>
        </w:tc>
        <w:tc>
          <w:tcPr>
            <w:tcW w:w="2014" w:type="dxa"/>
            <w:tcBorders>
              <w:left w:val="single" w:color="auto" w:sz="6" w:space="0"/>
            </w:tcBorders>
            <w:vAlign w:val="center"/>
          </w:tcPr>
          <w:p w14:paraId="6EDEAE0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w:t>
            </w:r>
          </w:p>
        </w:tc>
        <w:tc>
          <w:tcPr>
            <w:tcW w:w="2023" w:type="dxa"/>
            <w:tcBorders>
              <w:left w:val="single" w:color="auto" w:sz="6" w:space="0"/>
              <w:right w:val="single" w:color="auto" w:sz="4" w:space="0"/>
            </w:tcBorders>
            <w:vAlign w:val="center"/>
          </w:tcPr>
          <w:p w14:paraId="0DEA968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0.69786</w:t>
            </w:r>
          </w:p>
        </w:tc>
        <w:tc>
          <w:tcPr>
            <w:tcW w:w="1990" w:type="dxa"/>
            <w:tcBorders>
              <w:left w:val="single" w:color="auto" w:sz="4" w:space="0"/>
            </w:tcBorders>
            <w:vAlign w:val="center"/>
          </w:tcPr>
          <w:p w14:paraId="7E51ABA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AE3C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571E3478">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100</w:t>
            </w:r>
          </w:p>
        </w:tc>
        <w:tc>
          <w:tcPr>
            <w:tcW w:w="2005" w:type="dxa"/>
            <w:tcBorders>
              <w:left w:val="single" w:color="auto" w:sz="6" w:space="0"/>
            </w:tcBorders>
            <w:vAlign w:val="center"/>
          </w:tcPr>
          <w:p w14:paraId="33FC346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7.6294</w:t>
            </w:r>
          </w:p>
        </w:tc>
        <w:tc>
          <w:tcPr>
            <w:tcW w:w="2014" w:type="dxa"/>
            <w:tcBorders>
              <w:left w:val="single" w:color="auto" w:sz="6" w:space="0"/>
            </w:tcBorders>
            <w:vAlign w:val="center"/>
          </w:tcPr>
          <w:p w14:paraId="3FAECD5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w:t>
            </w:r>
          </w:p>
        </w:tc>
        <w:tc>
          <w:tcPr>
            <w:tcW w:w="2023" w:type="dxa"/>
            <w:tcBorders>
              <w:left w:val="single" w:color="auto" w:sz="6" w:space="0"/>
              <w:right w:val="single" w:color="auto" w:sz="4" w:space="0"/>
            </w:tcBorders>
            <w:vAlign w:val="center"/>
          </w:tcPr>
          <w:p w14:paraId="6BD019A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0.60266</w:t>
            </w:r>
          </w:p>
        </w:tc>
        <w:tc>
          <w:tcPr>
            <w:tcW w:w="1990" w:type="dxa"/>
            <w:tcBorders>
              <w:left w:val="single" w:color="auto" w:sz="4" w:space="0"/>
            </w:tcBorders>
            <w:vAlign w:val="center"/>
          </w:tcPr>
          <w:p w14:paraId="0B31D6F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D5A4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18671FC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125</w:t>
            </w:r>
          </w:p>
        </w:tc>
        <w:tc>
          <w:tcPr>
            <w:tcW w:w="2005" w:type="dxa"/>
            <w:tcBorders>
              <w:left w:val="single" w:color="auto" w:sz="6" w:space="0"/>
            </w:tcBorders>
            <w:vAlign w:val="center"/>
          </w:tcPr>
          <w:p w14:paraId="4EC465B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6.6096</w:t>
            </w:r>
          </w:p>
        </w:tc>
        <w:tc>
          <w:tcPr>
            <w:tcW w:w="2014" w:type="dxa"/>
            <w:tcBorders>
              <w:left w:val="single" w:color="auto" w:sz="6" w:space="0"/>
            </w:tcBorders>
            <w:vAlign w:val="center"/>
          </w:tcPr>
          <w:p w14:paraId="5CE4488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w:t>
            </w:r>
          </w:p>
        </w:tc>
        <w:tc>
          <w:tcPr>
            <w:tcW w:w="2023" w:type="dxa"/>
            <w:tcBorders>
              <w:left w:val="single" w:color="auto" w:sz="6" w:space="0"/>
              <w:right w:val="single" w:color="auto" w:sz="4" w:space="0"/>
            </w:tcBorders>
            <w:vAlign w:val="center"/>
          </w:tcPr>
          <w:p w14:paraId="2609659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0.56</w:t>
            </w:r>
          </w:p>
        </w:tc>
        <w:tc>
          <w:tcPr>
            <w:tcW w:w="1990" w:type="dxa"/>
            <w:tcBorders>
              <w:left w:val="single" w:color="auto" w:sz="4" w:space="0"/>
            </w:tcBorders>
            <w:vAlign w:val="center"/>
          </w:tcPr>
          <w:p w14:paraId="5349497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AE64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36717C3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150</w:t>
            </w:r>
          </w:p>
        </w:tc>
        <w:tc>
          <w:tcPr>
            <w:tcW w:w="2005" w:type="dxa"/>
            <w:tcBorders>
              <w:left w:val="single" w:color="auto" w:sz="6" w:space="0"/>
            </w:tcBorders>
            <w:vAlign w:val="center"/>
          </w:tcPr>
          <w:p w14:paraId="6CC9EBE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5.6668</w:t>
            </w:r>
          </w:p>
        </w:tc>
        <w:tc>
          <w:tcPr>
            <w:tcW w:w="2014" w:type="dxa"/>
            <w:tcBorders>
              <w:left w:val="single" w:color="auto" w:sz="6" w:space="0"/>
            </w:tcBorders>
            <w:vAlign w:val="center"/>
          </w:tcPr>
          <w:p w14:paraId="62DAAD9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w:t>
            </w:r>
          </w:p>
        </w:tc>
        <w:tc>
          <w:tcPr>
            <w:tcW w:w="2023" w:type="dxa"/>
            <w:tcBorders>
              <w:left w:val="single" w:color="auto" w:sz="6" w:space="0"/>
              <w:right w:val="single" w:color="auto" w:sz="4" w:space="0"/>
            </w:tcBorders>
            <w:vAlign w:val="center"/>
          </w:tcPr>
          <w:p w14:paraId="7B8DA65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0.50664</w:t>
            </w:r>
          </w:p>
        </w:tc>
        <w:tc>
          <w:tcPr>
            <w:tcW w:w="1990" w:type="dxa"/>
            <w:tcBorders>
              <w:left w:val="single" w:color="auto" w:sz="4" w:space="0"/>
            </w:tcBorders>
            <w:vAlign w:val="center"/>
          </w:tcPr>
          <w:p w14:paraId="3D990C3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0235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001A2A1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175</w:t>
            </w:r>
          </w:p>
        </w:tc>
        <w:tc>
          <w:tcPr>
            <w:tcW w:w="2005" w:type="dxa"/>
            <w:tcBorders>
              <w:left w:val="single" w:color="auto" w:sz="6" w:space="0"/>
            </w:tcBorders>
            <w:vAlign w:val="center"/>
          </w:tcPr>
          <w:p w14:paraId="385D5A8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4.8838</w:t>
            </w:r>
          </w:p>
        </w:tc>
        <w:tc>
          <w:tcPr>
            <w:tcW w:w="2014" w:type="dxa"/>
            <w:tcBorders>
              <w:left w:val="single" w:color="auto" w:sz="6" w:space="0"/>
            </w:tcBorders>
            <w:vAlign w:val="center"/>
          </w:tcPr>
          <w:p w14:paraId="5A350FE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72E131D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0.45564</w:t>
            </w:r>
          </w:p>
        </w:tc>
        <w:tc>
          <w:tcPr>
            <w:tcW w:w="1990" w:type="dxa"/>
            <w:tcBorders>
              <w:left w:val="single" w:color="auto" w:sz="4" w:space="0"/>
            </w:tcBorders>
            <w:vAlign w:val="center"/>
          </w:tcPr>
          <w:p w14:paraId="087BE9D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366C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71D0008A">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200</w:t>
            </w:r>
          </w:p>
        </w:tc>
        <w:tc>
          <w:tcPr>
            <w:tcW w:w="2005" w:type="dxa"/>
            <w:tcBorders>
              <w:left w:val="single" w:color="auto" w:sz="6" w:space="0"/>
            </w:tcBorders>
            <w:vAlign w:val="center"/>
          </w:tcPr>
          <w:p w14:paraId="6749485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4.305</w:t>
            </w:r>
          </w:p>
        </w:tc>
        <w:tc>
          <w:tcPr>
            <w:tcW w:w="2014" w:type="dxa"/>
            <w:tcBorders>
              <w:left w:val="single" w:color="auto" w:sz="6" w:space="0"/>
            </w:tcBorders>
            <w:vAlign w:val="center"/>
          </w:tcPr>
          <w:p w14:paraId="4819865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09A5D12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0.41086</w:t>
            </w:r>
          </w:p>
        </w:tc>
        <w:tc>
          <w:tcPr>
            <w:tcW w:w="1990" w:type="dxa"/>
            <w:tcBorders>
              <w:left w:val="single" w:color="auto" w:sz="4" w:space="0"/>
            </w:tcBorders>
            <w:vAlign w:val="center"/>
          </w:tcPr>
          <w:p w14:paraId="19BC5A7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A428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18E3EE0C">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225</w:t>
            </w:r>
          </w:p>
        </w:tc>
        <w:tc>
          <w:tcPr>
            <w:tcW w:w="2005" w:type="dxa"/>
            <w:tcBorders>
              <w:left w:val="single" w:color="auto" w:sz="6" w:space="0"/>
            </w:tcBorders>
            <w:vAlign w:val="center"/>
          </w:tcPr>
          <w:p w14:paraId="5EAB26B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4.366</w:t>
            </w:r>
          </w:p>
        </w:tc>
        <w:tc>
          <w:tcPr>
            <w:tcW w:w="2014" w:type="dxa"/>
            <w:tcBorders>
              <w:left w:val="single" w:color="auto" w:sz="6" w:space="0"/>
            </w:tcBorders>
            <w:vAlign w:val="center"/>
          </w:tcPr>
          <w:p w14:paraId="08EBE74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6A01BC5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0.38069</w:t>
            </w:r>
          </w:p>
        </w:tc>
        <w:tc>
          <w:tcPr>
            <w:tcW w:w="1990" w:type="dxa"/>
            <w:tcBorders>
              <w:left w:val="single" w:color="auto" w:sz="4" w:space="0"/>
            </w:tcBorders>
            <w:vAlign w:val="center"/>
          </w:tcPr>
          <w:p w14:paraId="6DACC0B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3018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3C25903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250</w:t>
            </w:r>
          </w:p>
        </w:tc>
        <w:tc>
          <w:tcPr>
            <w:tcW w:w="2005" w:type="dxa"/>
            <w:tcBorders>
              <w:left w:val="single" w:color="auto" w:sz="6" w:space="0"/>
            </w:tcBorders>
            <w:vAlign w:val="center"/>
          </w:tcPr>
          <w:p w14:paraId="33B142A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4.2727</w:t>
            </w:r>
          </w:p>
        </w:tc>
        <w:tc>
          <w:tcPr>
            <w:tcW w:w="2014" w:type="dxa"/>
            <w:tcBorders>
              <w:left w:val="single" w:color="auto" w:sz="6" w:space="0"/>
            </w:tcBorders>
            <w:vAlign w:val="center"/>
          </w:tcPr>
          <w:p w14:paraId="2173B12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2CFDB00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0.35421</w:t>
            </w:r>
          </w:p>
        </w:tc>
        <w:tc>
          <w:tcPr>
            <w:tcW w:w="1990" w:type="dxa"/>
            <w:tcBorders>
              <w:left w:val="single" w:color="auto" w:sz="4" w:space="0"/>
            </w:tcBorders>
            <w:vAlign w:val="center"/>
          </w:tcPr>
          <w:p w14:paraId="2026351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58B7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2FDF89E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275</w:t>
            </w:r>
          </w:p>
        </w:tc>
        <w:tc>
          <w:tcPr>
            <w:tcW w:w="2005" w:type="dxa"/>
            <w:tcBorders>
              <w:left w:val="single" w:color="auto" w:sz="6" w:space="0"/>
            </w:tcBorders>
            <w:vAlign w:val="center"/>
          </w:tcPr>
          <w:p w14:paraId="72E1301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4.1477</w:t>
            </w:r>
          </w:p>
        </w:tc>
        <w:tc>
          <w:tcPr>
            <w:tcW w:w="2014" w:type="dxa"/>
            <w:tcBorders>
              <w:left w:val="single" w:color="auto" w:sz="6" w:space="0"/>
            </w:tcBorders>
            <w:vAlign w:val="center"/>
          </w:tcPr>
          <w:p w14:paraId="189520C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500613D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0.33113</w:t>
            </w:r>
          </w:p>
        </w:tc>
        <w:tc>
          <w:tcPr>
            <w:tcW w:w="1990" w:type="dxa"/>
            <w:tcBorders>
              <w:left w:val="single" w:color="auto" w:sz="4" w:space="0"/>
            </w:tcBorders>
            <w:vAlign w:val="center"/>
          </w:tcPr>
          <w:p w14:paraId="2829C11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7463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3890362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300</w:t>
            </w:r>
          </w:p>
        </w:tc>
        <w:tc>
          <w:tcPr>
            <w:tcW w:w="2005" w:type="dxa"/>
            <w:tcBorders>
              <w:left w:val="single" w:color="auto" w:sz="6" w:space="0"/>
            </w:tcBorders>
            <w:vAlign w:val="center"/>
          </w:tcPr>
          <w:p w14:paraId="6915848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4.005</w:t>
            </w:r>
          </w:p>
        </w:tc>
        <w:tc>
          <w:tcPr>
            <w:tcW w:w="2014" w:type="dxa"/>
            <w:tcBorders>
              <w:left w:val="single" w:color="auto" w:sz="6" w:space="0"/>
            </w:tcBorders>
            <w:vAlign w:val="center"/>
          </w:tcPr>
          <w:p w14:paraId="257CBDC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1A45939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0.31132</w:t>
            </w:r>
          </w:p>
        </w:tc>
        <w:tc>
          <w:tcPr>
            <w:tcW w:w="1990" w:type="dxa"/>
            <w:tcBorders>
              <w:left w:val="single" w:color="auto" w:sz="4" w:space="0"/>
            </w:tcBorders>
            <w:vAlign w:val="center"/>
          </w:tcPr>
          <w:p w14:paraId="7AC747E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23C8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35CDC9B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400</w:t>
            </w:r>
          </w:p>
        </w:tc>
        <w:tc>
          <w:tcPr>
            <w:tcW w:w="2005" w:type="dxa"/>
            <w:tcBorders>
              <w:left w:val="single" w:color="auto" w:sz="6" w:space="0"/>
            </w:tcBorders>
            <w:vAlign w:val="center"/>
          </w:tcPr>
          <w:p w14:paraId="6AC4847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3.4054</w:t>
            </w:r>
          </w:p>
        </w:tc>
        <w:tc>
          <w:tcPr>
            <w:tcW w:w="2014" w:type="dxa"/>
            <w:tcBorders>
              <w:left w:val="single" w:color="auto" w:sz="6" w:space="0"/>
            </w:tcBorders>
            <w:vAlign w:val="center"/>
          </w:tcPr>
          <w:p w14:paraId="1D510C2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c>
          <w:tcPr>
            <w:tcW w:w="2023" w:type="dxa"/>
            <w:tcBorders>
              <w:left w:val="single" w:color="auto" w:sz="6" w:space="0"/>
              <w:right w:val="single" w:color="auto" w:sz="4" w:space="0"/>
            </w:tcBorders>
            <w:vAlign w:val="center"/>
          </w:tcPr>
          <w:p w14:paraId="1614067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0.24881</w:t>
            </w:r>
          </w:p>
        </w:tc>
        <w:tc>
          <w:tcPr>
            <w:tcW w:w="1990" w:type="dxa"/>
            <w:tcBorders>
              <w:left w:val="single" w:color="auto" w:sz="4" w:space="0"/>
            </w:tcBorders>
            <w:vAlign w:val="center"/>
          </w:tcPr>
          <w:p w14:paraId="267C41B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4820F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50D24DE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500</w:t>
            </w:r>
          </w:p>
        </w:tc>
        <w:tc>
          <w:tcPr>
            <w:tcW w:w="2005" w:type="dxa"/>
            <w:tcBorders>
              <w:left w:val="single" w:color="auto" w:sz="6" w:space="0"/>
            </w:tcBorders>
            <w:vAlign w:val="center"/>
          </w:tcPr>
          <w:p w14:paraId="4F747E8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2.8974</w:t>
            </w:r>
          </w:p>
        </w:tc>
        <w:tc>
          <w:tcPr>
            <w:tcW w:w="2014" w:type="dxa"/>
            <w:tcBorders>
              <w:left w:val="single" w:color="auto" w:sz="6" w:space="0"/>
            </w:tcBorders>
            <w:vAlign w:val="center"/>
          </w:tcPr>
          <w:p w14:paraId="5678BE6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66BE5CD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0.20232</w:t>
            </w:r>
          </w:p>
        </w:tc>
        <w:tc>
          <w:tcPr>
            <w:tcW w:w="1990" w:type="dxa"/>
            <w:tcBorders>
              <w:left w:val="single" w:color="auto" w:sz="4" w:space="0"/>
            </w:tcBorders>
            <w:vAlign w:val="center"/>
          </w:tcPr>
          <w:p w14:paraId="5833C83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AC22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61BE565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600</w:t>
            </w:r>
          </w:p>
        </w:tc>
        <w:tc>
          <w:tcPr>
            <w:tcW w:w="2005" w:type="dxa"/>
            <w:tcBorders>
              <w:left w:val="single" w:color="auto" w:sz="6" w:space="0"/>
            </w:tcBorders>
            <w:vAlign w:val="center"/>
          </w:tcPr>
          <w:p w14:paraId="40B903F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2.5691</w:t>
            </w:r>
          </w:p>
        </w:tc>
        <w:tc>
          <w:tcPr>
            <w:tcW w:w="2014" w:type="dxa"/>
            <w:tcBorders>
              <w:left w:val="single" w:color="auto" w:sz="6" w:space="0"/>
            </w:tcBorders>
            <w:vAlign w:val="center"/>
          </w:tcPr>
          <w:p w14:paraId="265D57F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657EA6F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0.1682</w:t>
            </w:r>
          </w:p>
        </w:tc>
        <w:tc>
          <w:tcPr>
            <w:tcW w:w="1990" w:type="dxa"/>
            <w:tcBorders>
              <w:left w:val="single" w:color="auto" w:sz="4" w:space="0"/>
            </w:tcBorders>
            <w:vAlign w:val="center"/>
          </w:tcPr>
          <w:p w14:paraId="65A0866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5F5B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6E912F6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700</w:t>
            </w:r>
          </w:p>
        </w:tc>
        <w:tc>
          <w:tcPr>
            <w:tcW w:w="2005" w:type="dxa"/>
            <w:tcBorders>
              <w:left w:val="single" w:color="auto" w:sz="6" w:space="0"/>
            </w:tcBorders>
            <w:vAlign w:val="center"/>
          </w:tcPr>
          <w:p w14:paraId="4266920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2.3099</w:t>
            </w:r>
          </w:p>
        </w:tc>
        <w:tc>
          <w:tcPr>
            <w:tcW w:w="2014" w:type="dxa"/>
            <w:tcBorders>
              <w:left w:val="single" w:color="auto" w:sz="6" w:space="0"/>
            </w:tcBorders>
            <w:vAlign w:val="center"/>
          </w:tcPr>
          <w:p w14:paraId="4384DE1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707CDA3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0.1426</w:t>
            </w:r>
          </w:p>
        </w:tc>
        <w:tc>
          <w:tcPr>
            <w:tcW w:w="1990" w:type="dxa"/>
            <w:tcBorders>
              <w:left w:val="single" w:color="auto" w:sz="4" w:space="0"/>
            </w:tcBorders>
            <w:vAlign w:val="center"/>
          </w:tcPr>
          <w:p w14:paraId="0E79515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6E04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2320F95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800</w:t>
            </w:r>
          </w:p>
        </w:tc>
        <w:tc>
          <w:tcPr>
            <w:tcW w:w="2005" w:type="dxa"/>
            <w:tcBorders>
              <w:left w:val="single" w:color="auto" w:sz="6" w:space="0"/>
            </w:tcBorders>
            <w:vAlign w:val="center"/>
          </w:tcPr>
          <w:p w14:paraId="36704A8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2.1031</w:t>
            </w:r>
          </w:p>
        </w:tc>
        <w:tc>
          <w:tcPr>
            <w:tcW w:w="2014" w:type="dxa"/>
            <w:tcBorders>
              <w:left w:val="single" w:color="auto" w:sz="6" w:space="0"/>
            </w:tcBorders>
            <w:vAlign w:val="center"/>
          </w:tcPr>
          <w:p w14:paraId="2AA1678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210FFF5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0.12292</w:t>
            </w:r>
          </w:p>
        </w:tc>
        <w:tc>
          <w:tcPr>
            <w:tcW w:w="1990" w:type="dxa"/>
            <w:tcBorders>
              <w:left w:val="single" w:color="auto" w:sz="4" w:space="0"/>
            </w:tcBorders>
            <w:vAlign w:val="center"/>
          </w:tcPr>
          <w:p w14:paraId="67B6B5E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3208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0956DA2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900</w:t>
            </w:r>
          </w:p>
        </w:tc>
        <w:tc>
          <w:tcPr>
            <w:tcW w:w="2005" w:type="dxa"/>
            <w:tcBorders>
              <w:left w:val="single" w:color="auto" w:sz="6" w:space="0"/>
            </w:tcBorders>
            <w:vAlign w:val="center"/>
          </w:tcPr>
          <w:p w14:paraId="18C214B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1.9331</w:t>
            </w:r>
          </w:p>
        </w:tc>
        <w:tc>
          <w:tcPr>
            <w:tcW w:w="2014" w:type="dxa"/>
            <w:tcBorders>
              <w:left w:val="single" w:color="auto" w:sz="6" w:space="0"/>
            </w:tcBorders>
            <w:vAlign w:val="center"/>
          </w:tcPr>
          <w:p w14:paraId="0B3E9E3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76198B9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0.10744</w:t>
            </w:r>
          </w:p>
        </w:tc>
        <w:tc>
          <w:tcPr>
            <w:tcW w:w="1990" w:type="dxa"/>
            <w:tcBorders>
              <w:left w:val="single" w:color="auto" w:sz="4" w:space="0"/>
            </w:tcBorders>
            <w:vAlign w:val="center"/>
          </w:tcPr>
          <w:p w14:paraId="2452346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90EF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6767B34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1000</w:t>
            </w:r>
          </w:p>
        </w:tc>
        <w:tc>
          <w:tcPr>
            <w:tcW w:w="2005" w:type="dxa"/>
            <w:tcBorders>
              <w:left w:val="single" w:color="auto" w:sz="6" w:space="0"/>
            </w:tcBorders>
            <w:vAlign w:val="center"/>
          </w:tcPr>
          <w:p w14:paraId="2C8E33E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1.7814</w:t>
            </w:r>
          </w:p>
        </w:tc>
        <w:tc>
          <w:tcPr>
            <w:tcW w:w="2014" w:type="dxa"/>
            <w:tcBorders>
              <w:left w:val="single" w:color="auto" w:sz="6" w:space="0"/>
            </w:tcBorders>
            <w:vAlign w:val="center"/>
          </w:tcPr>
          <w:p w14:paraId="2177168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00C3FBD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0.095007</w:t>
            </w:r>
          </w:p>
        </w:tc>
        <w:tc>
          <w:tcPr>
            <w:tcW w:w="1990" w:type="dxa"/>
            <w:tcBorders>
              <w:left w:val="single" w:color="auto" w:sz="4" w:space="0"/>
            </w:tcBorders>
            <w:vAlign w:val="center"/>
          </w:tcPr>
          <w:p w14:paraId="6989118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5364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36DD86A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1500</w:t>
            </w:r>
          </w:p>
        </w:tc>
        <w:tc>
          <w:tcPr>
            <w:tcW w:w="2005" w:type="dxa"/>
            <w:tcBorders>
              <w:left w:val="single" w:color="auto" w:sz="6" w:space="0"/>
            </w:tcBorders>
            <w:vAlign w:val="center"/>
          </w:tcPr>
          <w:p w14:paraId="1E47EF8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1.2353</w:t>
            </w:r>
          </w:p>
        </w:tc>
        <w:tc>
          <w:tcPr>
            <w:tcW w:w="2014" w:type="dxa"/>
            <w:tcBorders>
              <w:left w:val="single" w:color="auto" w:sz="6" w:space="0"/>
            </w:tcBorders>
            <w:vAlign w:val="center"/>
          </w:tcPr>
          <w:p w14:paraId="60C8EE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2023" w:type="dxa"/>
            <w:tcBorders>
              <w:left w:val="single" w:color="auto" w:sz="6" w:space="0"/>
              <w:right w:val="single" w:color="auto" w:sz="4" w:space="0"/>
            </w:tcBorders>
            <w:vAlign w:val="center"/>
          </w:tcPr>
          <w:p w14:paraId="2A1BE76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0.05818</w:t>
            </w:r>
          </w:p>
        </w:tc>
        <w:tc>
          <w:tcPr>
            <w:tcW w:w="1990" w:type="dxa"/>
            <w:tcBorders>
              <w:left w:val="single" w:color="auto" w:sz="4" w:space="0"/>
            </w:tcBorders>
            <w:vAlign w:val="center"/>
          </w:tcPr>
          <w:p w14:paraId="606B90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3F4E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703B551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2000</w:t>
            </w:r>
          </w:p>
        </w:tc>
        <w:tc>
          <w:tcPr>
            <w:tcW w:w="2005" w:type="dxa"/>
            <w:tcBorders>
              <w:left w:val="single" w:color="auto" w:sz="6" w:space="0"/>
            </w:tcBorders>
            <w:vAlign w:val="center"/>
          </w:tcPr>
          <w:p w14:paraId="22EFE40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0.91741</w:t>
            </w:r>
          </w:p>
        </w:tc>
        <w:tc>
          <w:tcPr>
            <w:tcW w:w="2014" w:type="dxa"/>
            <w:tcBorders>
              <w:left w:val="single" w:color="auto" w:sz="6" w:space="0"/>
            </w:tcBorders>
            <w:vAlign w:val="center"/>
          </w:tcPr>
          <w:p w14:paraId="68A308B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2023" w:type="dxa"/>
            <w:tcBorders>
              <w:left w:val="single" w:color="auto" w:sz="6" w:space="0"/>
              <w:right w:val="single" w:color="auto" w:sz="4" w:space="0"/>
            </w:tcBorders>
            <w:vAlign w:val="center"/>
          </w:tcPr>
          <w:p w14:paraId="05B2EF4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0.040588</w:t>
            </w:r>
          </w:p>
        </w:tc>
        <w:tc>
          <w:tcPr>
            <w:tcW w:w="1990" w:type="dxa"/>
            <w:tcBorders>
              <w:left w:val="single" w:color="auto" w:sz="4" w:space="0"/>
            </w:tcBorders>
            <w:vAlign w:val="center"/>
          </w:tcPr>
          <w:p w14:paraId="2CAAB19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055C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56B26BA2">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2500</w:t>
            </w:r>
          </w:p>
        </w:tc>
        <w:tc>
          <w:tcPr>
            <w:tcW w:w="2005" w:type="dxa"/>
            <w:tcBorders>
              <w:left w:val="single" w:color="auto" w:sz="6" w:space="0"/>
            </w:tcBorders>
            <w:vAlign w:val="center"/>
          </w:tcPr>
          <w:p w14:paraId="0CCF7C0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0.71716</w:t>
            </w:r>
          </w:p>
        </w:tc>
        <w:tc>
          <w:tcPr>
            <w:tcW w:w="2014" w:type="dxa"/>
            <w:tcBorders>
              <w:left w:val="single" w:color="auto" w:sz="6" w:space="0"/>
            </w:tcBorders>
            <w:vAlign w:val="center"/>
          </w:tcPr>
          <w:p w14:paraId="57D5D86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2023" w:type="dxa"/>
            <w:tcBorders>
              <w:left w:val="single" w:color="auto" w:sz="6" w:space="0"/>
              <w:right w:val="single" w:color="auto" w:sz="4" w:space="0"/>
            </w:tcBorders>
            <w:vAlign w:val="center"/>
          </w:tcPr>
          <w:p w14:paraId="59CA2B6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0.030552</w:t>
            </w:r>
          </w:p>
        </w:tc>
        <w:tc>
          <w:tcPr>
            <w:tcW w:w="1990" w:type="dxa"/>
            <w:tcBorders>
              <w:left w:val="single" w:color="auto" w:sz="4" w:space="0"/>
            </w:tcBorders>
            <w:vAlign w:val="center"/>
          </w:tcPr>
          <w:p w14:paraId="3540392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18E6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07B08EA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下风向最大浓度</w:t>
            </w:r>
          </w:p>
        </w:tc>
        <w:tc>
          <w:tcPr>
            <w:tcW w:w="4019" w:type="dxa"/>
            <w:gridSpan w:val="2"/>
            <w:tcBorders>
              <w:left w:val="single" w:color="auto" w:sz="6" w:space="0"/>
            </w:tcBorders>
            <w:vAlign w:val="center"/>
          </w:tcPr>
          <w:p w14:paraId="7F97FAEF">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15.455</w:t>
            </w:r>
          </w:p>
        </w:tc>
        <w:tc>
          <w:tcPr>
            <w:tcW w:w="4013" w:type="dxa"/>
            <w:gridSpan w:val="2"/>
            <w:tcBorders>
              <w:left w:val="single" w:color="auto" w:sz="6" w:space="0"/>
            </w:tcBorders>
            <w:vAlign w:val="center"/>
          </w:tcPr>
          <w:p w14:paraId="360E3E2D">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1.5714</w:t>
            </w:r>
          </w:p>
        </w:tc>
      </w:tr>
      <w:tr w14:paraId="247E2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548049D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最大浓度出现距离（m）</w:t>
            </w:r>
          </w:p>
        </w:tc>
        <w:tc>
          <w:tcPr>
            <w:tcW w:w="4019" w:type="dxa"/>
            <w:gridSpan w:val="2"/>
            <w:tcBorders>
              <w:left w:val="single" w:color="auto" w:sz="6" w:space="0"/>
            </w:tcBorders>
            <w:vAlign w:val="center"/>
          </w:tcPr>
          <w:p w14:paraId="7B2ADA06">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34</w:t>
            </w:r>
          </w:p>
        </w:tc>
        <w:tc>
          <w:tcPr>
            <w:tcW w:w="4013" w:type="dxa"/>
            <w:gridSpan w:val="2"/>
            <w:tcBorders>
              <w:left w:val="single" w:color="auto" w:sz="6" w:space="0"/>
            </w:tcBorders>
            <w:vAlign w:val="center"/>
          </w:tcPr>
          <w:p w14:paraId="1CABB5F2">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w:t>
            </w:r>
          </w:p>
        </w:tc>
      </w:tr>
      <w:tr w14:paraId="1B6D3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6" w:type="dxa"/>
            <w:vAlign w:val="center"/>
          </w:tcPr>
          <w:p w14:paraId="011367F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浓度占标准10%</w:t>
            </w:r>
          </w:p>
          <w:p w14:paraId="07CB8850">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距源最远距离D10%</w:t>
            </w:r>
          </w:p>
        </w:tc>
        <w:tc>
          <w:tcPr>
            <w:tcW w:w="4019" w:type="dxa"/>
            <w:gridSpan w:val="2"/>
            <w:tcBorders>
              <w:left w:val="single" w:color="auto" w:sz="6" w:space="0"/>
            </w:tcBorders>
            <w:vAlign w:val="center"/>
          </w:tcPr>
          <w:p w14:paraId="6CFF687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4013" w:type="dxa"/>
            <w:gridSpan w:val="2"/>
            <w:tcBorders>
              <w:left w:val="single" w:color="auto" w:sz="6" w:space="0"/>
            </w:tcBorders>
            <w:vAlign w:val="center"/>
          </w:tcPr>
          <w:p w14:paraId="7F5620F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r>
    </w:tbl>
    <w:p w14:paraId="07F4385B">
      <w:pPr>
        <w:pStyle w:val="15"/>
        <w:spacing w:line="360" w:lineRule="auto"/>
        <w:ind w:left="-105" w:right="-105" w:firstLine="482"/>
        <w:rPr>
          <w:rFonts w:eastAsia="宋体" w:cs="Times New Roman"/>
          <w:color w:val="auto"/>
          <w:kern w:val="0"/>
          <w:sz w:val="24"/>
          <w:szCs w:val="24"/>
          <w:highlight w:val="none"/>
        </w:rPr>
      </w:pPr>
      <w:bookmarkStart w:id="376" w:name="_Ref3880851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10</w:t>
      </w:r>
      <w:r>
        <w:rPr>
          <w:rFonts w:eastAsia="宋体" w:cs="Times New Roman"/>
          <w:color w:val="auto"/>
          <w:sz w:val="24"/>
          <w:szCs w:val="18"/>
          <w:highlight w:val="none"/>
        </w:rPr>
        <w:fldChar w:fldCharType="end"/>
      </w:r>
      <w:r>
        <w:rPr>
          <w:rFonts w:eastAsia="宋体" w:cs="Times New Roman"/>
          <w:color w:val="auto"/>
          <w:sz w:val="24"/>
          <w:szCs w:val="22"/>
          <w:highlight w:val="none"/>
        </w:rPr>
        <w:t>无组织（</w:t>
      </w:r>
      <w:r>
        <w:rPr>
          <w:rFonts w:hint="eastAsia" w:eastAsia="宋体" w:cs="Times New Roman"/>
          <w:color w:val="auto"/>
          <w:sz w:val="24"/>
          <w:szCs w:val="22"/>
          <w:highlight w:val="none"/>
        </w:rPr>
        <w:t>实验楼</w:t>
      </w:r>
      <w:r>
        <w:rPr>
          <w:rFonts w:eastAsia="宋体" w:cs="Times New Roman"/>
          <w:color w:val="auto"/>
          <w:sz w:val="24"/>
          <w:szCs w:val="22"/>
          <w:highlight w:val="none"/>
        </w:rPr>
        <w:t>）排放大气污染物影响预测结果表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28"/>
        <w:gridCol w:w="1792"/>
        <w:gridCol w:w="1800"/>
        <w:gridCol w:w="1807"/>
        <w:gridCol w:w="1777"/>
      </w:tblGrid>
      <w:tr w14:paraId="3A393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Merge w:val="restart"/>
            <w:vAlign w:val="center"/>
          </w:tcPr>
          <w:p w14:paraId="1CEE6A8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距源中心下风向距离（m）</w:t>
            </w:r>
          </w:p>
        </w:tc>
        <w:tc>
          <w:tcPr>
            <w:tcW w:w="7176" w:type="dxa"/>
            <w:gridSpan w:val="4"/>
            <w:tcBorders>
              <w:left w:val="single" w:color="auto" w:sz="6" w:space="0"/>
            </w:tcBorders>
            <w:vAlign w:val="center"/>
          </w:tcPr>
          <w:p w14:paraId="0B74906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实验楼</w:t>
            </w:r>
          </w:p>
        </w:tc>
      </w:tr>
      <w:tr w14:paraId="64DB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Merge w:val="continue"/>
            <w:vAlign w:val="center"/>
          </w:tcPr>
          <w:p w14:paraId="30742DF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3592" w:type="dxa"/>
            <w:gridSpan w:val="2"/>
            <w:tcBorders>
              <w:left w:val="single" w:color="auto" w:sz="6" w:space="0"/>
            </w:tcBorders>
            <w:vAlign w:val="center"/>
          </w:tcPr>
          <w:p w14:paraId="101ED62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氮氧化物</w:t>
            </w:r>
          </w:p>
        </w:tc>
        <w:tc>
          <w:tcPr>
            <w:tcW w:w="3584" w:type="dxa"/>
            <w:gridSpan w:val="2"/>
            <w:tcBorders>
              <w:left w:val="single" w:color="auto" w:sz="6" w:space="0"/>
            </w:tcBorders>
            <w:vAlign w:val="center"/>
          </w:tcPr>
          <w:p w14:paraId="3BCDAED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甲醇</w:t>
            </w:r>
          </w:p>
        </w:tc>
      </w:tr>
      <w:tr w14:paraId="73BA2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Merge w:val="continue"/>
            <w:vAlign w:val="center"/>
          </w:tcPr>
          <w:p w14:paraId="3F86A4E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1792" w:type="dxa"/>
            <w:tcBorders>
              <w:left w:val="single" w:color="auto" w:sz="6" w:space="0"/>
            </w:tcBorders>
            <w:vAlign w:val="center"/>
          </w:tcPr>
          <w:p w14:paraId="41C967C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800" w:type="dxa"/>
            <w:tcBorders>
              <w:left w:val="single" w:color="auto" w:sz="6" w:space="0"/>
            </w:tcBorders>
            <w:vAlign w:val="center"/>
          </w:tcPr>
          <w:p w14:paraId="34958F88">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1807" w:type="dxa"/>
            <w:tcBorders>
              <w:left w:val="single" w:color="auto" w:sz="6" w:space="0"/>
              <w:right w:val="single" w:color="auto" w:sz="4" w:space="0"/>
            </w:tcBorders>
            <w:vAlign w:val="center"/>
          </w:tcPr>
          <w:p w14:paraId="0F924655">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777" w:type="dxa"/>
            <w:tcBorders>
              <w:left w:val="single" w:color="auto" w:sz="4" w:space="0"/>
            </w:tcBorders>
            <w:vAlign w:val="center"/>
          </w:tcPr>
          <w:p w14:paraId="6CF2179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r>
      <w:tr w14:paraId="479B7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2596968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w:t>
            </w:r>
          </w:p>
        </w:tc>
        <w:tc>
          <w:tcPr>
            <w:tcW w:w="1792" w:type="dxa"/>
            <w:tcBorders>
              <w:left w:val="single" w:color="auto" w:sz="6" w:space="0"/>
            </w:tcBorders>
            <w:vAlign w:val="center"/>
          </w:tcPr>
          <w:p w14:paraId="508BD28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0.0635815</w:t>
            </w:r>
          </w:p>
        </w:tc>
        <w:tc>
          <w:tcPr>
            <w:tcW w:w="1800" w:type="dxa"/>
            <w:tcBorders>
              <w:left w:val="single" w:color="auto" w:sz="6" w:space="0"/>
            </w:tcBorders>
            <w:vAlign w:val="center"/>
          </w:tcPr>
          <w:p w14:paraId="2174DDD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4D295E4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1.69556</w:t>
            </w:r>
          </w:p>
        </w:tc>
        <w:tc>
          <w:tcPr>
            <w:tcW w:w="1777" w:type="dxa"/>
            <w:tcBorders>
              <w:left w:val="single" w:color="auto" w:sz="4" w:space="0"/>
            </w:tcBorders>
            <w:vAlign w:val="center"/>
          </w:tcPr>
          <w:p w14:paraId="29ADEB8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18C19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068F57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23</w:t>
            </w:r>
          </w:p>
        </w:tc>
        <w:tc>
          <w:tcPr>
            <w:tcW w:w="1792" w:type="dxa"/>
            <w:tcBorders>
              <w:left w:val="single" w:color="auto" w:sz="6" w:space="0"/>
            </w:tcBorders>
            <w:vAlign w:val="center"/>
          </w:tcPr>
          <w:p w14:paraId="15C4FF4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0.0957745</w:t>
            </w:r>
          </w:p>
        </w:tc>
        <w:tc>
          <w:tcPr>
            <w:tcW w:w="1800" w:type="dxa"/>
            <w:tcBorders>
              <w:left w:val="single" w:color="auto" w:sz="6" w:space="0"/>
            </w:tcBorders>
            <w:vAlign w:val="center"/>
          </w:tcPr>
          <w:p w14:paraId="0463B67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C20B42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2.55406</w:t>
            </w:r>
          </w:p>
        </w:tc>
        <w:tc>
          <w:tcPr>
            <w:tcW w:w="1777" w:type="dxa"/>
            <w:tcBorders>
              <w:left w:val="single" w:color="auto" w:sz="4" w:space="0"/>
            </w:tcBorders>
            <w:vAlign w:val="center"/>
          </w:tcPr>
          <w:p w14:paraId="2F3B891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1D8A8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55B31B6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w:t>
            </w:r>
          </w:p>
        </w:tc>
        <w:tc>
          <w:tcPr>
            <w:tcW w:w="1792" w:type="dxa"/>
            <w:tcBorders>
              <w:left w:val="single" w:color="auto" w:sz="6" w:space="0"/>
            </w:tcBorders>
            <w:vAlign w:val="center"/>
          </w:tcPr>
          <w:p w14:paraId="454CAC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0.0920444</w:t>
            </w:r>
          </w:p>
        </w:tc>
        <w:tc>
          <w:tcPr>
            <w:tcW w:w="1800" w:type="dxa"/>
            <w:tcBorders>
              <w:left w:val="single" w:color="auto" w:sz="6" w:space="0"/>
            </w:tcBorders>
            <w:vAlign w:val="center"/>
          </w:tcPr>
          <w:p w14:paraId="21BA751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5368852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2.45459</w:t>
            </w:r>
          </w:p>
        </w:tc>
        <w:tc>
          <w:tcPr>
            <w:tcW w:w="1777" w:type="dxa"/>
            <w:tcBorders>
              <w:left w:val="single" w:color="auto" w:sz="4" w:space="0"/>
            </w:tcBorders>
            <w:vAlign w:val="center"/>
          </w:tcPr>
          <w:p w14:paraId="48A96D7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7DE87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622FAA8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50</w:t>
            </w:r>
          </w:p>
        </w:tc>
        <w:tc>
          <w:tcPr>
            <w:tcW w:w="1792" w:type="dxa"/>
            <w:tcBorders>
              <w:left w:val="single" w:color="auto" w:sz="6" w:space="0"/>
            </w:tcBorders>
            <w:vAlign w:val="center"/>
          </w:tcPr>
          <w:p w14:paraId="5C9A6BC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0.0566248</w:t>
            </w:r>
          </w:p>
        </w:tc>
        <w:tc>
          <w:tcPr>
            <w:tcW w:w="1800" w:type="dxa"/>
            <w:tcBorders>
              <w:left w:val="single" w:color="auto" w:sz="6" w:space="0"/>
            </w:tcBorders>
            <w:vAlign w:val="center"/>
          </w:tcPr>
          <w:p w14:paraId="33C91AF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7994CF3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1.51004</w:t>
            </w:r>
          </w:p>
        </w:tc>
        <w:tc>
          <w:tcPr>
            <w:tcW w:w="1777" w:type="dxa"/>
            <w:tcBorders>
              <w:left w:val="single" w:color="auto" w:sz="4" w:space="0"/>
            </w:tcBorders>
            <w:vAlign w:val="center"/>
          </w:tcPr>
          <w:p w14:paraId="10C7B1D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4527D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0A17DEA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75</w:t>
            </w:r>
          </w:p>
        </w:tc>
        <w:tc>
          <w:tcPr>
            <w:tcW w:w="1792" w:type="dxa"/>
            <w:tcBorders>
              <w:left w:val="single" w:color="auto" w:sz="6" w:space="0"/>
            </w:tcBorders>
            <w:vAlign w:val="center"/>
          </w:tcPr>
          <w:p w14:paraId="6E59290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0.0425335</w:t>
            </w:r>
          </w:p>
        </w:tc>
        <w:tc>
          <w:tcPr>
            <w:tcW w:w="1800" w:type="dxa"/>
            <w:tcBorders>
              <w:left w:val="single" w:color="auto" w:sz="6" w:space="0"/>
            </w:tcBorders>
            <w:vAlign w:val="center"/>
          </w:tcPr>
          <w:p w14:paraId="0C2D7B7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2BC3A30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1.13426</w:t>
            </w:r>
          </w:p>
        </w:tc>
        <w:tc>
          <w:tcPr>
            <w:tcW w:w="1777" w:type="dxa"/>
            <w:tcBorders>
              <w:left w:val="single" w:color="auto" w:sz="4" w:space="0"/>
            </w:tcBorders>
            <w:vAlign w:val="center"/>
          </w:tcPr>
          <w:p w14:paraId="3E3F327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55A7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7CEDE9F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100</w:t>
            </w:r>
          </w:p>
        </w:tc>
        <w:tc>
          <w:tcPr>
            <w:tcW w:w="1792" w:type="dxa"/>
            <w:tcBorders>
              <w:left w:val="single" w:color="auto" w:sz="6" w:space="0"/>
            </w:tcBorders>
            <w:vAlign w:val="center"/>
          </w:tcPr>
          <w:p w14:paraId="52E9A90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0.0367312</w:t>
            </w:r>
          </w:p>
        </w:tc>
        <w:tc>
          <w:tcPr>
            <w:tcW w:w="1800" w:type="dxa"/>
            <w:tcBorders>
              <w:left w:val="single" w:color="auto" w:sz="6" w:space="0"/>
            </w:tcBorders>
            <w:vAlign w:val="center"/>
          </w:tcPr>
          <w:p w14:paraId="658A0AA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6AE4162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0.979529</w:t>
            </w:r>
          </w:p>
        </w:tc>
        <w:tc>
          <w:tcPr>
            <w:tcW w:w="1777" w:type="dxa"/>
            <w:tcBorders>
              <w:left w:val="single" w:color="auto" w:sz="4" w:space="0"/>
            </w:tcBorders>
            <w:vAlign w:val="center"/>
          </w:tcPr>
          <w:p w14:paraId="2D6F780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E117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0CC6957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125</w:t>
            </w:r>
          </w:p>
        </w:tc>
        <w:tc>
          <w:tcPr>
            <w:tcW w:w="1792" w:type="dxa"/>
            <w:tcBorders>
              <w:left w:val="single" w:color="auto" w:sz="6" w:space="0"/>
            </w:tcBorders>
            <w:vAlign w:val="center"/>
          </w:tcPr>
          <w:p w14:paraId="2167B0C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0.0341312</w:t>
            </w:r>
          </w:p>
        </w:tc>
        <w:tc>
          <w:tcPr>
            <w:tcW w:w="1800" w:type="dxa"/>
            <w:tcBorders>
              <w:left w:val="single" w:color="auto" w:sz="6" w:space="0"/>
            </w:tcBorders>
            <w:vAlign w:val="center"/>
          </w:tcPr>
          <w:p w14:paraId="5A2EE38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3CD75FD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0.910191</w:t>
            </w:r>
          </w:p>
        </w:tc>
        <w:tc>
          <w:tcPr>
            <w:tcW w:w="1777" w:type="dxa"/>
            <w:tcBorders>
              <w:left w:val="single" w:color="auto" w:sz="4" w:space="0"/>
            </w:tcBorders>
            <w:vAlign w:val="center"/>
          </w:tcPr>
          <w:p w14:paraId="3F3761C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78A2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77D7493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150</w:t>
            </w:r>
          </w:p>
        </w:tc>
        <w:tc>
          <w:tcPr>
            <w:tcW w:w="1792" w:type="dxa"/>
            <w:tcBorders>
              <w:left w:val="single" w:color="auto" w:sz="6" w:space="0"/>
            </w:tcBorders>
            <w:vAlign w:val="center"/>
          </w:tcPr>
          <w:p w14:paraId="5A6C62B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0.0308789</w:t>
            </w:r>
          </w:p>
        </w:tc>
        <w:tc>
          <w:tcPr>
            <w:tcW w:w="1800" w:type="dxa"/>
            <w:tcBorders>
              <w:left w:val="single" w:color="auto" w:sz="6" w:space="0"/>
            </w:tcBorders>
            <w:vAlign w:val="center"/>
          </w:tcPr>
          <w:p w14:paraId="174A9E2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1F2D3A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0.823463</w:t>
            </w:r>
          </w:p>
        </w:tc>
        <w:tc>
          <w:tcPr>
            <w:tcW w:w="1777" w:type="dxa"/>
            <w:tcBorders>
              <w:left w:val="single" w:color="auto" w:sz="4" w:space="0"/>
            </w:tcBorders>
            <w:vAlign w:val="center"/>
          </w:tcPr>
          <w:p w14:paraId="4C74B40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3E3A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395E3EA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175</w:t>
            </w:r>
          </w:p>
        </w:tc>
        <w:tc>
          <w:tcPr>
            <w:tcW w:w="1792" w:type="dxa"/>
            <w:tcBorders>
              <w:left w:val="single" w:color="auto" w:sz="6" w:space="0"/>
            </w:tcBorders>
            <w:vAlign w:val="center"/>
          </w:tcPr>
          <w:p w14:paraId="6E3839C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0.0277706</w:t>
            </w:r>
          </w:p>
        </w:tc>
        <w:tc>
          <w:tcPr>
            <w:tcW w:w="1800" w:type="dxa"/>
            <w:tcBorders>
              <w:left w:val="single" w:color="auto" w:sz="6" w:space="0"/>
            </w:tcBorders>
            <w:vAlign w:val="center"/>
          </w:tcPr>
          <w:p w14:paraId="1BC7826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2712242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0.740571</w:t>
            </w:r>
          </w:p>
        </w:tc>
        <w:tc>
          <w:tcPr>
            <w:tcW w:w="1777" w:type="dxa"/>
            <w:tcBorders>
              <w:left w:val="single" w:color="auto" w:sz="4" w:space="0"/>
            </w:tcBorders>
            <w:vAlign w:val="center"/>
          </w:tcPr>
          <w:p w14:paraId="27C1B64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0815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B96FAF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200</w:t>
            </w:r>
          </w:p>
        </w:tc>
        <w:tc>
          <w:tcPr>
            <w:tcW w:w="1792" w:type="dxa"/>
            <w:tcBorders>
              <w:left w:val="single" w:color="auto" w:sz="6" w:space="0"/>
            </w:tcBorders>
            <w:vAlign w:val="center"/>
          </w:tcPr>
          <w:p w14:paraId="3CF81BF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0.0250413</w:t>
            </w:r>
          </w:p>
        </w:tc>
        <w:tc>
          <w:tcPr>
            <w:tcW w:w="1800" w:type="dxa"/>
            <w:tcBorders>
              <w:left w:val="single" w:color="auto" w:sz="6" w:space="0"/>
            </w:tcBorders>
            <w:vAlign w:val="center"/>
          </w:tcPr>
          <w:p w14:paraId="3ABE4AA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F07B10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0.667788</w:t>
            </w:r>
          </w:p>
        </w:tc>
        <w:tc>
          <w:tcPr>
            <w:tcW w:w="1777" w:type="dxa"/>
            <w:tcBorders>
              <w:left w:val="single" w:color="auto" w:sz="4" w:space="0"/>
            </w:tcBorders>
            <w:vAlign w:val="center"/>
          </w:tcPr>
          <w:p w14:paraId="5EE616F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609F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245138C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225</w:t>
            </w:r>
          </w:p>
        </w:tc>
        <w:tc>
          <w:tcPr>
            <w:tcW w:w="1792" w:type="dxa"/>
            <w:tcBorders>
              <w:left w:val="single" w:color="auto" w:sz="6" w:space="0"/>
            </w:tcBorders>
            <w:vAlign w:val="center"/>
          </w:tcPr>
          <w:p w14:paraId="76F7C18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0.0232025</w:t>
            </w:r>
          </w:p>
        </w:tc>
        <w:tc>
          <w:tcPr>
            <w:tcW w:w="1800" w:type="dxa"/>
            <w:tcBorders>
              <w:left w:val="single" w:color="auto" w:sz="6" w:space="0"/>
            </w:tcBorders>
            <w:vAlign w:val="center"/>
          </w:tcPr>
          <w:p w14:paraId="3B354CD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4137526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0.618751</w:t>
            </w:r>
          </w:p>
        </w:tc>
        <w:tc>
          <w:tcPr>
            <w:tcW w:w="1777" w:type="dxa"/>
            <w:tcBorders>
              <w:left w:val="single" w:color="auto" w:sz="4" w:space="0"/>
            </w:tcBorders>
            <w:vAlign w:val="center"/>
          </w:tcPr>
          <w:p w14:paraId="78B5AF8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B41F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2E9292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250</w:t>
            </w:r>
          </w:p>
        </w:tc>
        <w:tc>
          <w:tcPr>
            <w:tcW w:w="1792" w:type="dxa"/>
            <w:tcBorders>
              <w:left w:val="single" w:color="auto" w:sz="6" w:space="0"/>
            </w:tcBorders>
            <w:vAlign w:val="center"/>
          </w:tcPr>
          <w:p w14:paraId="2FD85BC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0.0215886</w:t>
            </w:r>
          </w:p>
        </w:tc>
        <w:tc>
          <w:tcPr>
            <w:tcW w:w="1800" w:type="dxa"/>
            <w:tcBorders>
              <w:left w:val="single" w:color="auto" w:sz="6" w:space="0"/>
            </w:tcBorders>
            <w:vAlign w:val="center"/>
          </w:tcPr>
          <w:p w14:paraId="1B6C2CA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6BECEA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0.575712</w:t>
            </w:r>
          </w:p>
        </w:tc>
        <w:tc>
          <w:tcPr>
            <w:tcW w:w="1777" w:type="dxa"/>
            <w:tcBorders>
              <w:left w:val="single" w:color="auto" w:sz="4" w:space="0"/>
            </w:tcBorders>
            <w:vAlign w:val="center"/>
          </w:tcPr>
          <w:p w14:paraId="06E64E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2FAD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731F124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275</w:t>
            </w:r>
          </w:p>
        </w:tc>
        <w:tc>
          <w:tcPr>
            <w:tcW w:w="1792" w:type="dxa"/>
            <w:tcBorders>
              <w:left w:val="single" w:color="auto" w:sz="6" w:space="0"/>
            </w:tcBorders>
            <w:vAlign w:val="center"/>
          </w:tcPr>
          <w:p w14:paraId="06CE8C8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0.0201819</w:t>
            </w:r>
          </w:p>
        </w:tc>
        <w:tc>
          <w:tcPr>
            <w:tcW w:w="1800" w:type="dxa"/>
            <w:tcBorders>
              <w:left w:val="single" w:color="auto" w:sz="6" w:space="0"/>
            </w:tcBorders>
            <w:vAlign w:val="center"/>
          </w:tcPr>
          <w:p w14:paraId="6AC8ED5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18BD1E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0.538199</w:t>
            </w:r>
          </w:p>
        </w:tc>
        <w:tc>
          <w:tcPr>
            <w:tcW w:w="1777" w:type="dxa"/>
            <w:tcBorders>
              <w:left w:val="single" w:color="auto" w:sz="4" w:space="0"/>
            </w:tcBorders>
            <w:vAlign w:val="center"/>
          </w:tcPr>
          <w:p w14:paraId="6EC2B63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52D2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68ECA5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300</w:t>
            </w:r>
          </w:p>
        </w:tc>
        <w:tc>
          <w:tcPr>
            <w:tcW w:w="1792" w:type="dxa"/>
            <w:tcBorders>
              <w:left w:val="single" w:color="auto" w:sz="6" w:space="0"/>
            </w:tcBorders>
            <w:vAlign w:val="center"/>
          </w:tcPr>
          <w:p w14:paraId="607585C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0.0189745</w:t>
            </w:r>
          </w:p>
        </w:tc>
        <w:tc>
          <w:tcPr>
            <w:tcW w:w="1800" w:type="dxa"/>
            <w:tcBorders>
              <w:left w:val="single" w:color="auto" w:sz="6" w:space="0"/>
            </w:tcBorders>
            <w:vAlign w:val="center"/>
          </w:tcPr>
          <w:p w14:paraId="45C0934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600C57B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0.506001</w:t>
            </w:r>
          </w:p>
        </w:tc>
        <w:tc>
          <w:tcPr>
            <w:tcW w:w="1777" w:type="dxa"/>
            <w:tcBorders>
              <w:left w:val="single" w:color="auto" w:sz="4" w:space="0"/>
            </w:tcBorders>
            <w:vAlign w:val="center"/>
          </w:tcPr>
          <w:p w14:paraId="1B1C3DD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DD71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42AA0C6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400</w:t>
            </w:r>
          </w:p>
        </w:tc>
        <w:tc>
          <w:tcPr>
            <w:tcW w:w="1792" w:type="dxa"/>
            <w:tcBorders>
              <w:left w:val="single" w:color="auto" w:sz="6" w:space="0"/>
            </w:tcBorders>
            <w:vAlign w:val="center"/>
          </w:tcPr>
          <w:p w14:paraId="7D5AE75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0.0151646</w:t>
            </w:r>
          </w:p>
        </w:tc>
        <w:tc>
          <w:tcPr>
            <w:tcW w:w="1800" w:type="dxa"/>
            <w:tcBorders>
              <w:left w:val="single" w:color="auto" w:sz="6" w:space="0"/>
            </w:tcBorders>
            <w:vAlign w:val="center"/>
          </w:tcPr>
          <w:p w14:paraId="6474E67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25F80D8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0.404401</w:t>
            </w:r>
          </w:p>
        </w:tc>
        <w:tc>
          <w:tcPr>
            <w:tcW w:w="1777" w:type="dxa"/>
            <w:tcBorders>
              <w:left w:val="single" w:color="auto" w:sz="4" w:space="0"/>
            </w:tcBorders>
            <w:vAlign w:val="center"/>
          </w:tcPr>
          <w:p w14:paraId="295AA63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579F9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9352B5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500</w:t>
            </w:r>
          </w:p>
        </w:tc>
        <w:tc>
          <w:tcPr>
            <w:tcW w:w="1792" w:type="dxa"/>
            <w:tcBorders>
              <w:left w:val="single" w:color="auto" w:sz="6" w:space="0"/>
            </w:tcBorders>
            <w:vAlign w:val="center"/>
          </w:tcPr>
          <w:p w14:paraId="12BD5B8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0.0123311</w:t>
            </w:r>
          </w:p>
        </w:tc>
        <w:tc>
          <w:tcPr>
            <w:tcW w:w="1800" w:type="dxa"/>
            <w:tcBorders>
              <w:left w:val="single" w:color="auto" w:sz="6" w:space="0"/>
            </w:tcBorders>
            <w:vAlign w:val="center"/>
          </w:tcPr>
          <w:p w14:paraId="47F6EF8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72DAC60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0.328839</w:t>
            </w:r>
          </w:p>
        </w:tc>
        <w:tc>
          <w:tcPr>
            <w:tcW w:w="1777" w:type="dxa"/>
            <w:tcBorders>
              <w:left w:val="single" w:color="auto" w:sz="4" w:space="0"/>
            </w:tcBorders>
            <w:vAlign w:val="center"/>
          </w:tcPr>
          <w:p w14:paraId="1912A24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1D8D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49F4407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600</w:t>
            </w:r>
          </w:p>
        </w:tc>
        <w:tc>
          <w:tcPr>
            <w:tcW w:w="1792" w:type="dxa"/>
            <w:tcBorders>
              <w:left w:val="single" w:color="auto" w:sz="6" w:space="0"/>
            </w:tcBorders>
            <w:vAlign w:val="center"/>
          </w:tcPr>
          <w:p w14:paraId="78157E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0.0102515</w:t>
            </w:r>
          </w:p>
        </w:tc>
        <w:tc>
          <w:tcPr>
            <w:tcW w:w="1800" w:type="dxa"/>
            <w:tcBorders>
              <w:left w:val="single" w:color="auto" w:sz="6" w:space="0"/>
            </w:tcBorders>
            <w:vAlign w:val="center"/>
          </w:tcPr>
          <w:p w14:paraId="5BF9FD9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261C4A0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0.273383</w:t>
            </w:r>
          </w:p>
        </w:tc>
        <w:tc>
          <w:tcPr>
            <w:tcW w:w="1777" w:type="dxa"/>
            <w:tcBorders>
              <w:left w:val="single" w:color="auto" w:sz="4" w:space="0"/>
            </w:tcBorders>
            <w:vAlign w:val="center"/>
          </w:tcPr>
          <w:p w14:paraId="0ECD359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A147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0DBA81E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699.99</w:t>
            </w:r>
          </w:p>
        </w:tc>
        <w:tc>
          <w:tcPr>
            <w:tcW w:w="1792" w:type="dxa"/>
            <w:tcBorders>
              <w:left w:val="single" w:color="auto" w:sz="6" w:space="0"/>
            </w:tcBorders>
            <w:vAlign w:val="center"/>
          </w:tcPr>
          <w:p w14:paraId="4B5D01F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0.00869126</w:t>
            </w:r>
          </w:p>
        </w:tc>
        <w:tc>
          <w:tcPr>
            <w:tcW w:w="1800" w:type="dxa"/>
            <w:tcBorders>
              <w:left w:val="single" w:color="auto" w:sz="6" w:space="0"/>
            </w:tcBorders>
            <w:vAlign w:val="center"/>
          </w:tcPr>
          <w:p w14:paraId="68643D0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2C7003E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0.231774</w:t>
            </w:r>
          </w:p>
        </w:tc>
        <w:tc>
          <w:tcPr>
            <w:tcW w:w="1777" w:type="dxa"/>
            <w:tcBorders>
              <w:left w:val="single" w:color="auto" w:sz="4" w:space="0"/>
            </w:tcBorders>
            <w:vAlign w:val="center"/>
          </w:tcPr>
          <w:p w14:paraId="7755240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15A33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3C0B644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800</w:t>
            </w:r>
          </w:p>
        </w:tc>
        <w:tc>
          <w:tcPr>
            <w:tcW w:w="1792" w:type="dxa"/>
            <w:tcBorders>
              <w:left w:val="single" w:color="auto" w:sz="6" w:space="0"/>
            </w:tcBorders>
            <w:vAlign w:val="center"/>
          </w:tcPr>
          <w:p w14:paraId="7A970BE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0.00749179</w:t>
            </w:r>
          </w:p>
        </w:tc>
        <w:tc>
          <w:tcPr>
            <w:tcW w:w="1800" w:type="dxa"/>
            <w:tcBorders>
              <w:left w:val="single" w:color="auto" w:sz="6" w:space="0"/>
            </w:tcBorders>
            <w:vAlign w:val="center"/>
          </w:tcPr>
          <w:p w14:paraId="1520147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0B065B3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0.199787</w:t>
            </w:r>
          </w:p>
        </w:tc>
        <w:tc>
          <w:tcPr>
            <w:tcW w:w="1777" w:type="dxa"/>
            <w:tcBorders>
              <w:left w:val="single" w:color="auto" w:sz="4" w:space="0"/>
            </w:tcBorders>
            <w:vAlign w:val="center"/>
          </w:tcPr>
          <w:p w14:paraId="4BD2923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40559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5574210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900</w:t>
            </w:r>
          </w:p>
        </w:tc>
        <w:tc>
          <w:tcPr>
            <w:tcW w:w="1792" w:type="dxa"/>
            <w:tcBorders>
              <w:left w:val="single" w:color="auto" w:sz="6" w:space="0"/>
            </w:tcBorders>
            <w:vAlign w:val="center"/>
          </w:tcPr>
          <w:p w14:paraId="0E88CA6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0.00654831</w:t>
            </w:r>
          </w:p>
        </w:tc>
        <w:tc>
          <w:tcPr>
            <w:tcW w:w="1800" w:type="dxa"/>
            <w:tcBorders>
              <w:left w:val="single" w:color="auto" w:sz="6" w:space="0"/>
            </w:tcBorders>
            <w:vAlign w:val="center"/>
          </w:tcPr>
          <w:p w14:paraId="27AB5F2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60D3414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0.174627</w:t>
            </w:r>
          </w:p>
        </w:tc>
        <w:tc>
          <w:tcPr>
            <w:tcW w:w="1777" w:type="dxa"/>
            <w:tcBorders>
              <w:left w:val="single" w:color="auto" w:sz="4" w:space="0"/>
            </w:tcBorders>
            <w:vAlign w:val="center"/>
          </w:tcPr>
          <w:p w14:paraId="28E4721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308AA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30AD9A9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1000</w:t>
            </w:r>
          </w:p>
        </w:tc>
        <w:tc>
          <w:tcPr>
            <w:tcW w:w="1792" w:type="dxa"/>
            <w:tcBorders>
              <w:left w:val="single" w:color="auto" w:sz="6" w:space="0"/>
            </w:tcBorders>
            <w:vAlign w:val="center"/>
          </w:tcPr>
          <w:p w14:paraId="6996C24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0.00579053</w:t>
            </w:r>
          </w:p>
        </w:tc>
        <w:tc>
          <w:tcPr>
            <w:tcW w:w="1800" w:type="dxa"/>
            <w:tcBorders>
              <w:left w:val="single" w:color="auto" w:sz="6" w:space="0"/>
            </w:tcBorders>
            <w:vAlign w:val="center"/>
          </w:tcPr>
          <w:p w14:paraId="6B671CA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4308A7F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0.154419</w:t>
            </w:r>
          </w:p>
        </w:tc>
        <w:tc>
          <w:tcPr>
            <w:tcW w:w="1777" w:type="dxa"/>
            <w:tcBorders>
              <w:left w:val="single" w:color="auto" w:sz="4" w:space="0"/>
            </w:tcBorders>
            <w:vAlign w:val="center"/>
          </w:tcPr>
          <w:p w14:paraId="72B178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2787A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5604DA5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1500</w:t>
            </w:r>
          </w:p>
        </w:tc>
        <w:tc>
          <w:tcPr>
            <w:tcW w:w="1792" w:type="dxa"/>
            <w:tcBorders>
              <w:left w:val="single" w:color="auto" w:sz="6" w:space="0"/>
            </w:tcBorders>
            <w:vAlign w:val="center"/>
          </w:tcPr>
          <w:p w14:paraId="036FEEA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0.00354598</w:t>
            </w:r>
          </w:p>
        </w:tc>
        <w:tc>
          <w:tcPr>
            <w:tcW w:w="1800" w:type="dxa"/>
            <w:tcBorders>
              <w:left w:val="single" w:color="auto" w:sz="6" w:space="0"/>
            </w:tcBorders>
            <w:vAlign w:val="center"/>
          </w:tcPr>
          <w:p w14:paraId="137955C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180F25E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0.0945624</w:t>
            </w:r>
          </w:p>
        </w:tc>
        <w:tc>
          <w:tcPr>
            <w:tcW w:w="1777" w:type="dxa"/>
            <w:tcBorders>
              <w:left w:val="single" w:color="auto" w:sz="4" w:space="0"/>
            </w:tcBorders>
            <w:vAlign w:val="center"/>
          </w:tcPr>
          <w:p w14:paraId="2E1DECC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3CC7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34740CA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2000</w:t>
            </w:r>
          </w:p>
        </w:tc>
        <w:tc>
          <w:tcPr>
            <w:tcW w:w="1792" w:type="dxa"/>
            <w:tcBorders>
              <w:left w:val="single" w:color="auto" w:sz="6" w:space="0"/>
            </w:tcBorders>
            <w:vAlign w:val="center"/>
          </w:tcPr>
          <w:p w14:paraId="27469D5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0.00247378</w:t>
            </w:r>
          </w:p>
        </w:tc>
        <w:tc>
          <w:tcPr>
            <w:tcW w:w="1800" w:type="dxa"/>
            <w:tcBorders>
              <w:left w:val="single" w:color="auto" w:sz="6" w:space="0"/>
            </w:tcBorders>
            <w:vAlign w:val="center"/>
          </w:tcPr>
          <w:p w14:paraId="6DD364D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305BC61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0.0659694</w:t>
            </w:r>
          </w:p>
        </w:tc>
        <w:tc>
          <w:tcPr>
            <w:tcW w:w="1777" w:type="dxa"/>
            <w:tcBorders>
              <w:left w:val="single" w:color="auto" w:sz="4" w:space="0"/>
            </w:tcBorders>
            <w:vAlign w:val="center"/>
          </w:tcPr>
          <w:p w14:paraId="0D51B89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6C835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7393BCB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2500</w:t>
            </w:r>
          </w:p>
        </w:tc>
        <w:tc>
          <w:tcPr>
            <w:tcW w:w="1792" w:type="dxa"/>
            <w:tcBorders>
              <w:left w:val="single" w:color="auto" w:sz="6" w:space="0"/>
            </w:tcBorders>
            <w:vAlign w:val="center"/>
          </w:tcPr>
          <w:p w14:paraId="75DE1FB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0.0018621</w:t>
            </w:r>
          </w:p>
        </w:tc>
        <w:tc>
          <w:tcPr>
            <w:tcW w:w="1800" w:type="dxa"/>
            <w:tcBorders>
              <w:left w:val="single" w:color="auto" w:sz="6" w:space="0"/>
            </w:tcBorders>
            <w:vAlign w:val="center"/>
          </w:tcPr>
          <w:p w14:paraId="4B49BED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807" w:type="dxa"/>
            <w:tcBorders>
              <w:left w:val="single" w:color="auto" w:sz="6" w:space="0"/>
              <w:right w:val="single" w:color="auto" w:sz="4" w:space="0"/>
            </w:tcBorders>
            <w:vAlign w:val="center"/>
          </w:tcPr>
          <w:p w14:paraId="3F3E655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0.0496574</w:t>
            </w:r>
          </w:p>
        </w:tc>
        <w:tc>
          <w:tcPr>
            <w:tcW w:w="1777" w:type="dxa"/>
            <w:tcBorders>
              <w:left w:val="single" w:color="auto" w:sz="4" w:space="0"/>
            </w:tcBorders>
            <w:vAlign w:val="center"/>
          </w:tcPr>
          <w:p w14:paraId="45A7D34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0B308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4A85AC8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下风向最大浓度</w:t>
            </w:r>
          </w:p>
        </w:tc>
        <w:tc>
          <w:tcPr>
            <w:tcW w:w="3592" w:type="dxa"/>
            <w:gridSpan w:val="2"/>
            <w:tcBorders>
              <w:left w:val="single" w:color="auto" w:sz="6" w:space="0"/>
            </w:tcBorders>
            <w:vAlign w:val="center"/>
          </w:tcPr>
          <w:p w14:paraId="7B88B8D2">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0.09957745</w:t>
            </w:r>
          </w:p>
        </w:tc>
        <w:tc>
          <w:tcPr>
            <w:tcW w:w="3584" w:type="dxa"/>
            <w:gridSpan w:val="2"/>
            <w:tcBorders>
              <w:left w:val="single" w:color="auto" w:sz="6" w:space="0"/>
            </w:tcBorders>
            <w:vAlign w:val="center"/>
          </w:tcPr>
          <w:p w14:paraId="74909908">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2.55406</w:t>
            </w:r>
          </w:p>
        </w:tc>
      </w:tr>
      <w:tr w14:paraId="62167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7A6354C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最大浓度出现距离（m）</w:t>
            </w:r>
          </w:p>
        </w:tc>
        <w:tc>
          <w:tcPr>
            <w:tcW w:w="3592" w:type="dxa"/>
            <w:gridSpan w:val="2"/>
            <w:tcBorders>
              <w:left w:val="single" w:color="auto" w:sz="6" w:space="0"/>
            </w:tcBorders>
            <w:vAlign w:val="center"/>
          </w:tcPr>
          <w:p w14:paraId="347D4D7C">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w:t>
            </w:r>
          </w:p>
        </w:tc>
        <w:tc>
          <w:tcPr>
            <w:tcW w:w="3584" w:type="dxa"/>
            <w:gridSpan w:val="2"/>
            <w:tcBorders>
              <w:left w:val="single" w:color="auto" w:sz="6" w:space="0"/>
            </w:tcBorders>
            <w:vAlign w:val="center"/>
          </w:tcPr>
          <w:p w14:paraId="7BE85A90">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w:t>
            </w:r>
          </w:p>
        </w:tc>
      </w:tr>
      <w:tr w14:paraId="3571A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dxa"/>
            <w:vAlign w:val="center"/>
          </w:tcPr>
          <w:p w14:paraId="1C6B9A4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浓度占标准10%</w:t>
            </w:r>
          </w:p>
          <w:p w14:paraId="1C6A318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距源最远距离D10%</w:t>
            </w:r>
          </w:p>
        </w:tc>
        <w:tc>
          <w:tcPr>
            <w:tcW w:w="3592" w:type="dxa"/>
            <w:gridSpan w:val="2"/>
            <w:tcBorders>
              <w:left w:val="single" w:color="auto" w:sz="6" w:space="0"/>
            </w:tcBorders>
            <w:vAlign w:val="center"/>
          </w:tcPr>
          <w:p w14:paraId="38F2E117">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3584" w:type="dxa"/>
            <w:gridSpan w:val="2"/>
            <w:tcBorders>
              <w:left w:val="single" w:color="auto" w:sz="6" w:space="0"/>
            </w:tcBorders>
            <w:vAlign w:val="center"/>
          </w:tcPr>
          <w:p w14:paraId="4E25E593">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r>
    </w:tbl>
    <w:p w14:paraId="24B78107">
      <w:pPr>
        <w:pStyle w:val="15"/>
        <w:spacing w:line="360" w:lineRule="auto"/>
        <w:ind w:left="-105" w:right="-105" w:firstLine="482"/>
        <w:rPr>
          <w:rFonts w:eastAsia="宋体" w:cs="Times New Roman"/>
          <w:color w:val="auto"/>
          <w:sz w:val="24"/>
          <w:szCs w:val="18"/>
          <w:highlight w:val="none"/>
        </w:rPr>
      </w:pPr>
      <w:bookmarkStart w:id="377" w:name="_Ref28280"/>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11</w:t>
      </w:r>
      <w:r>
        <w:rPr>
          <w:rFonts w:eastAsia="宋体" w:cs="Times New Roman"/>
          <w:color w:val="auto"/>
          <w:sz w:val="24"/>
          <w:szCs w:val="18"/>
          <w:highlight w:val="none"/>
        </w:rPr>
        <w:fldChar w:fldCharType="end"/>
      </w:r>
      <w:bookmarkEnd w:id="376"/>
      <w:bookmarkEnd w:id="377"/>
      <w:r>
        <w:rPr>
          <w:rFonts w:eastAsia="宋体" w:cs="Times New Roman"/>
          <w:color w:val="auto"/>
          <w:sz w:val="24"/>
          <w:szCs w:val="18"/>
          <w:highlight w:val="none"/>
        </w:rPr>
        <w:t>本项目最大地面空气质量浓度占标率计算结果</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7"/>
        <w:gridCol w:w="941"/>
        <w:gridCol w:w="1345"/>
        <w:gridCol w:w="1419"/>
        <w:gridCol w:w="1419"/>
        <w:gridCol w:w="1420"/>
        <w:gridCol w:w="1429"/>
      </w:tblGrid>
      <w:tr w14:paraId="47CDF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51" w:hRule="atLeast"/>
          <w:jc w:val="center"/>
        </w:trPr>
        <w:tc>
          <w:tcPr>
            <w:tcW w:w="1528" w:type="dxa"/>
            <w:gridSpan w:val="2"/>
            <w:vMerge w:val="restart"/>
            <w:shd w:val="clear" w:color="auto" w:fill="auto"/>
            <w:vAlign w:val="center"/>
          </w:tcPr>
          <w:p w14:paraId="17489FD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bookmarkStart w:id="378" w:name="_Ref15977"/>
            <w:r>
              <w:rPr>
                <w:rFonts w:ascii="Times New Roman" w:hAnsi="Times New Roman" w:eastAsia="宋体"/>
                <w:b/>
                <w:bCs/>
                <w:color w:val="auto"/>
                <w:sz w:val="21"/>
                <w:szCs w:val="21"/>
                <w:highlight w:val="none"/>
              </w:rPr>
              <w:t>污染源</w:t>
            </w:r>
          </w:p>
        </w:tc>
        <w:tc>
          <w:tcPr>
            <w:tcW w:w="1345" w:type="dxa"/>
            <w:vMerge w:val="restart"/>
            <w:shd w:val="clear" w:color="auto" w:fill="auto"/>
            <w:vAlign w:val="center"/>
          </w:tcPr>
          <w:p w14:paraId="55A9166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w:t>
            </w:r>
          </w:p>
        </w:tc>
        <w:tc>
          <w:tcPr>
            <w:tcW w:w="5687" w:type="dxa"/>
            <w:gridSpan w:val="4"/>
          </w:tcPr>
          <w:p w14:paraId="5734FFD9">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计算结果</w:t>
            </w:r>
          </w:p>
        </w:tc>
      </w:tr>
      <w:tr w14:paraId="1BA28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4" w:hRule="atLeast"/>
          <w:jc w:val="center"/>
        </w:trPr>
        <w:tc>
          <w:tcPr>
            <w:tcW w:w="1528" w:type="dxa"/>
            <w:gridSpan w:val="2"/>
            <w:vMerge w:val="continue"/>
            <w:tcBorders>
              <w:bottom w:val="single" w:color="auto" w:sz="4" w:space="0"/>
            </w:tcBorders>
            <w:shd w:val="clear" w:color="auto" w:fill="auto"/>
            <w:vAlign w:val="center"/>
          </w:tcPr>
          <w:p w14:paraId="46EEFBA8">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p>
        </w:tc>
        <w:tc>
          <w:tcPr>
            <w:tcW w:w="1345" w:type="dxa"/>
            <w:vMerge w:val="continue"/>
            <w:shd w:val="clear" w:color="auto" w:fill="auto"/>
            <w:vAlign w:val="center"/>
          </w:tcPr>
          <w:p w14:paraId="736C6CAC">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p>
        </w:tc>
        <w:tc>
          <w:tcPr>
            <w:tcW w:w="1419" w:type="dxa"/>
            <w:shd w:val="clear" w:color="auto" w:fill="auto"/>
            <w:vAlign w:val="center"/>
          </w:tcPr>
          <w:p w14:paraId="5335AFA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最大落地浓度距离/m</w:t>
            </w:r>
          </w:p>
        </w:tc>
        <w:tc>
          <w:tcPr>
            <w:tcW w:w="1419" w:type="dxa"/>
            <w:shd w:val="clear" w:color="auto" w:fill="auto"/>
            <w:vAlign w:val="center"/>
          </w:tcPr>
          <w:p w14:paraId="40F694F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1h最大落地浓度/（</w:t>
            </w:r>
            <w:r>
              <w:rPr>
                <w:rFonts w:ascii="Times New Roman" w:hAnsi="Times New Roman" w:eastAsia="宋体"/>
                <w:b/>
                <w:color w:val="auto"/>
                <w:sz w:val="21"/>
                <w:szCs w:val="21"/>
                <w:highlight w:val="none"/>
              </w:rPr>
              <w:t>μg/m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420" w:type="dxa"/>
            <w:vAlign w:val="center"/>
          </w:tcPr>
          <w:p w14:paraId="62E90B3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最大占标率/%</w:t>
            </w:r>
          </w:p>
        </w:tc>
        <w:tc>
          <w:tcPr>
            <w:tcW w:w="1429" w:type="dxa"/>
            <w:shd w:val="clear" w:color="auto" w:fill="auto"/>
            <w:vAlign w:val="center"/>
          </w:tcPr>
          <w:p w14:paraId="5F95566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评价等级</w:t>
            </w:r>
          </w:p>
        </w:tc>
      </w:tr>
      <w:tr w14:paraId="75F3A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restart"/>
            <w:tcBorders>
              <w:top w:val="single" w:color="auto" w:sz="4" w:space="0"/>
            </w:tcBorders>
            <w:vAlign w:val="center"/>
          </w:tcPr>
          <w:p w14:paraId="19A090A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点源</w:t>
            </w:r>
          </w:p>
        </w:tc>
        <w:tc>
          <w:tcPr>
            <w:tcW w:w="941" w:type="dxa"/>
            <w:tcBorders>
              <w:top w:val="single" w:color="auto" w:sz="4" w:space="0"/>
            </w:tcBorders>
            <w:vAlign w:val="center"/>
          </w:tcPr>
          <w:p w14:paraId="2DD2602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DA005</w:t>
            </w:r>
          </w:p>
        </w:tc>
        <w:tc>
          <w:tcPr>
            <w:tcW w:w="1345" w:type="dxa"/>
            <w:vAlign w:val="center"/>
          </w:tcPr>
          <w:p w14:paraId="07A6DAC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1F713384">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113</w:t>
            </w:r>
          </w:p>
        </w:tc>
        <w:tc>
          <w:tcPr>
            <w:tcW w:w="1419" w:type="dxa"/>
            <w:vAlign w:val="center"/>
          </w:tcPr>
          <w:p w14:paraId="2C7D7A9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3.6573</w:t>
            </w:r>
          </w:p>
        </w:tc>
        <w:tc>
          <w:tcPr>
            <w:tcW w:w="1420" w:type="dxa"/>
            <w:vAlign w:val="center"/>
          </w:tcPr>
          <w:p w14:paraId="3309E4E9">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0.18</w:t>
            </w:r>
          </w:p>
        </w:tc>
        <w:tc>
          <w:tcPr>
            <w:tcW w:w="1429" w:type="dxa"/>
            <w:vAlign w:val="center"/>
          </w:tcPr>
          <w:p w14:paraId="27C3E01E">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5CAEB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587" w:type="dxa"/>
            <w:vMerge w:val="continue"/>
            <w:vAlign w:val="center"/>
          </w:tcPr>
          <w:p w14:paraId="3BD6B761">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restart"/>
            <w:vAlign w:val="center"/>
          </w:tcPr>
          <w:p w14:paraId="493740F8">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DA006</w:t>
            </w:r>
          </w:p>
        </w:tc>
        <w:tc>
          <w:tcPr>
            <w:tcW w:w="1345" w:type="dxa"/>
            <w:vAlign w:val="center"/>
          </w:tcPr>
          <w:p w14:paraId="0CBC8A2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02B810AE">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70</w:t>
            </w:r>
          </w:p>
        </w:tc>
        <w:tc>
          <w:tcPr>
            <w:tcW w:w="1419" w:type="dxa"/>
            <w:vAlign w:val="center"/>
          </w:tcPr>
          <w:p w14:paraId="5E4116F0">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0.14741</w:t>
            </w:r>
          </w:p>
        </w:tc>
        <w:tc>
          <w:tcPr>
            <w:tcW w:w="1420" w:type="dxa"/>
            <w:vAlign w:val="center"/>
          </w:tcPr>
          <w:p w14:paraId="524C704C">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0.01</w:t>
            </w:r>
          </w:p>
        </w:tc>
        <w:tc>
          <w:tcPr>
            <w:tcW w:w="1429" w:type="dxa"/>
            <w:vAlign w:val="center"/>
          </w:tcPr>
          <w:p w14:paraId="576CE8A1">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292BE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587" w:type="dxa"/>
            <w:vMerge w:val="continue"/>
            <w:vAlign w:val="center"/>
          </w:tcPr>
          <w:p w14:paraId="08AED1B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51B4F062">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728D7DD6">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氮氧化物</w:t>
            </w:r>
          </w:p>
        </w:tc>
        <w:tc>
          <w:tcPr>
            <w:tcW w:w="1419" w:type="dxa"/>
            <w:vAlign w:val="center"/>
          </w:tcPr>
          <w:p w14:paraId="2302EB67">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70</w:t>
            </w:r>
          </w:p>
        </w:tc>
        <w:tc>
          <w:tcPr>
            <w:tcW w:w="1419" w:type="dxa"/>
            <w:vAlign w:val="center"/>
          </w:tcPr>
          <w:p w14:paraId="35999DA1">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0.0709367</w:t>
            </w:r>
          </w:p>
        </w:tc>
        <w:tc>
          <w:tcPr>
            <w:tcW w:w="1420" w:type="dxa"/>
            <w:vAlign w:val="center"/>
          </w:tcPr>
          <w:p w14:paraId="52150E6C">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0.03</w:t>
            </w:r>
          </w:p>
        </w:tc>
        <w:tc>
          <w:tcPr>
            <w:tcW w:w="1429" w:type="dxa"/>
            <w:vAlign w:val="center"/>
          </w:tcPr>
          <w:p w14:paraId="135F0E11">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r w14:paraId="22217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restart"/>
            <w:vAlign w:val="center"/>
          </w:tcPr>
          <w:p w14:paraId="25E4DE2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面源</w:t>
            </w:r>
          </w:p>
        </w:tc>
        <w:tc>
          <w:tcPr>
            <w:tcW w:w="941" w:type="dxa"/>
            <w:vAlign w:val="center"/>
          </w:tcPr>
          <w:p w14:paraId="599DFA5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二工场</w:t>
            </w:r>
          </w:p>
        </w:tc>
        <w:tc>
          <w:tcPr>
            <w:tcW w:w="1345" w:type="dxa"/>
            <w:vAlign w:val="center"/>
          </w:tcPr>
          <w:p w14:paraId="0B5B842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419" w:type="dxa"/>
            <w:vAlign w:val="center"/>
          </w:tcPr>
          <w:p w14:paraId="7B1D7BA0">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34</w:t>
            </w:r>
          </w:p>
        </w:tc>
        <w:tc>
          <w:tcPr>
            <w:tcW w:w="1419" w:type="dxa"/>
            <w:vAlign w:val="center"/>
          </w:tcPr>
          <w:p w14:paraId="526F01AB">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15.455</w:t>
            </w:r>
          </w:p>
        </w:tc>
        <w:tc>
          <w:tcPr>
            <w:tcW w:w="1420" w:type="dxa"/>
            <w:vAlign w:val="center"/>
          </w:tcPr>
          <w:p w14:paraId="4B8A7078">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0.77</w:t>
            </w:r>
          </w:p>
        </w:tc>
        <w:tc>
          <w:tcPr>
            <w:tcW w:w="1429" w:type="dxa"/>
            <w:vAlign w:val="center"/>
          </w:tcPr>
          <w:p w14:paraId="775B4B15">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46F89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00FC251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restart"/>
            <w:vAlign w:val="center"/>
          </w:tcPr>
          <w:p w14:paraId="433D49B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实验楼</w:t>
            </w:r>
          </w:p>
        </w:tc>
        <w:tc>
          <w:tcPr>
            <w:tcW w:w="1345" w:type="dxa"/>
            <w:vAlign w:val="center"/>
          </w:tcPr>
          <w:p w14:paraId="0FC2D773">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p w14:paraId="0ABC18C9">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（含甲醇）</w:t>
            </w:r>
          </w:p>
        </w:tc>
        <w:tc>
          <w:tcPr>
            <w:tcW w:w="1419" w:type="dxa"/>
            <w:vAlign w:val="center"/>
          </w:tcPr>
          <w:p w14:paraId="57F385FB">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60611D7D">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1.5714</w:t>
            </w:r>
          </w:p>
        </w:tc>
        <w:tc>
          <w:tcPr>
            <w:tcW w:w="1420" w:type="dxa"/>
            <w:vAlign w:val="center"/>
          </w:tcPr>
          <w:p w14:paraId="003E9E32">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0.08</w:t>
            </w:r>
          </w:p>
        </w:tc>
        <w:tc>
          <w:tcPr>
            <w:tcW w:w="1429" w:type="dxa"/>
            <w:vAlign w:val="center"/>
          </w:tcPr>
          <w:p w14:paraId="1051A159">
            <w:pPr>
              <w:keepNext w:val="0"/>
              <w:keepLines w:val="0"/>
              <w:pageBreakBefore w:val="0"/>
              <w:kinsoku/>
              <w:wordWrap/>
              <w:overflowPunct/>
              <w:topLinePunct w:val="0"/>
              <w:autoSpaceDE/>
              <w:autoSpaceDN/>
              <w:bidi w:val="0"/>
              <w:adjustRightInd/>
              <w:snapToGrid/>
              <w:ind w:left="0" w:right="0"/>
              <w:jc w:val="center"/>
              <w:textAlignment w:val="center"/>
              <w:rPr>
                <w:rFonts w:ascii="Times New Roman" w:hAnsi="Times New Roman" w:cs="Times New Roman"/>
                <w:color w:val="auto"/>
                <w:position w:val="1"/>
                <w:sz w:val="21"/>
                <w:szCs w:val="21"/>
                <w:highlight w:val="none"/>
                <w:lang w:val="zh-CN" w:bidi="zh-CN"/>
              </w:rPr>
            </w:pPr>
            <w:r>
              <w:rPr>
                <w:rFonts w:hint="eastAsia" w:ascii="Times New Roman" w:hAnsi="Times New Roman" w:cs="Times New Roman"/>
                <w:color w:val="auto"/>
                <w:position w:val="1"/>
                <w:sz w:val="21"/>
                <w:szCs w:val="21"/>
                <w:highlight w:val="none"/>
                <w:lang w:bidi="zh-CN"/>
              </w:rPr>
              <w:t>III</w:t>
            </w:r>
          </w:p>
        </w:tc>
      </w:tr>
      <w:tr w14:paraId="0B6B9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5CA9E6A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13805740">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2888C2F8">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氮氧化物</w:t>
            </w:r>
          </w:p>
        </w:tc>
        <w:tc>
          <w:tcPr>
            <w:tcW w:w="1419" w:type="dxa"/>
            <w:vAlign w:val="center"/>
          </w:tcPr>
          <w:p w14:paraId="0A7E6B97">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117B633F">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0.0957745</w:t>
            </w:r>
          </w:p>
        </w:tc>
        <w:tc>
          <w:tcPr>
            <w:tcW w:w="1420" w:type="dxa"/>
            <w:vAlign w:val="center"/>
          </w:tcPr>
          <w:p w14:paraId="26FC61A3">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0.04</w:t>
            </w:r>
          </w:p>
        </w:tc>
        <w:tc>
          <w:tcPr>
            <w:tcW w:w="1429" w:type="dxa"/>
            <w:vAlign w:val="center"/>
          </w:tcPr>
          <w:p w14:paraId="2BD22A08">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r w14:paraId="117B6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587" w:type="dxa"/>
            <w:vMerge w:val="continue"/>
            <w:vAlign w:val="center"/>
          </w:tcPr>
          <w:p w14:paraId="73D98BC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941" w:type="dxa"/>
            <w:vMerge w:val="continue"/>
            <w:vAlign w:val="center"/>
          </w:tcPr>
          <w:p w14:paraId="054BBCF5">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rPr>
            </w:pPr>
          </w:p>
        </w:tc>
        <w:tc>
          <w:tcPr>
            <w:tcW w:w="1345" w:type="dxa"/>
            <w:vAlign w:val="center"/>
          </w:tcPr>
          <w:p w14:paraId="22BD8D13">
            <w:pPr>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甲醇</w:t>
            </w:r>
          </w:p>
        </w:tc>
        <w:tc>
          <w:tcPr>
            <w:tcW w:w="1419" w:type="dxa"/>
            <w:vAlign w:val="center"/>
          </w:tcPr>
          <w:p w14:paraId="678A7C6D">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23</w:t>
            </w:r>
          </w:p>
        </w:tc>
        <w:tc>
          <w:tcPr>
            <w:tcW w:w="1419" w:type="dxa"/>
            <w:vAlign w:val="center"/>
          </w:tcPr>
          <w:p w14:paraId="4EBB67BF">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2.55406</w:t>
            </w:r>
          </w:p>
        </w:tc>
        <w:tc>
          <w:tcPr>
            <w:tcW w:w="1420" w:type="dxa"/>
            <w:vAlign w:val="center"/>
          </w:tcPr>
          <w:p w14:paraId="117851B7">
            <w:pPr>
              <w:keepNext w:val="0"/>
              <w:keepLines w:val="0"/>
              <w:pageBreakBefore w:val="0"/>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0.09</w:t>
            </w:r>
          </w:p>
        </w:tc>
        <w:tc>
          <w:tcPr>
            <w:tcW w:w="1429" w:type="dxa"/>
            <w:vAlign w:val="center"/>
          </w:tcPr>
          <w:p w14:paraId="5025477D">
            <w:pPr>
              <w:keepNext w:val="0"/>
              <w:keepLines w:val="0"/>
              <w:pageBreakBefore w:val="0"/>
              <w:kinsoku/>
              <w:wordWrap/>
              <w:overflowPunct/>
              <w:topLinePunct w:val="0"/>
              <w:autoSpaceDE/>
              <w:autoSpaceDN/>
              <w:bidi w:val="0"/>
              <w:adjustRightInd/>
              <w:snapToGrid/>
              <w:ind w:left="0" w:right="0"/>
              <w:jc w:val="center"/>
              <w:textAlignment w:val="center"/>
              <w:rPr>
                <w:rFonts w:hint="eastAsia" w:ascii="Times New Roman" w:hAnsi="Times New Roman" w:cs="Times New Roman"/>
                <w:color w:val="auto"/>
                <w:position w:val="1"/>
                <w:sz w:val="21"/>
                <w:szCs w:val="21"/>
                <w:highlight w:val="none"/>
                <w:lang w:bidi="zh-CN"/>
              </w:rPr>
            </w:pPr>
            <w:r>
              <w:rPr>
                <w:rFonts w:hint="eastAsia" w:ascii="Times New Roman" w:hAnsi="Times New Roman" w:cs="Times New Roman"/>
                <w:color w:val="auto"/>
                <w:position w:val="1"/>
                <w:sz w:val="21"/>
                <w:szCs w:val="21"/>
                <w:highlight w:val="none"/>
                <w:lang w:bidi="zh-CN"/>
              </w:rPr>
              <w:t>III</w:t>
            </w:r>
          </w:p>
        </w:tc>
      </w:tr>
    </w:tbl>
    <w:p w14:paraId="3093DE99">
      <w:pPr>
        <w:ind w:left="-105" w:right="-105" w:firstLine="482"/>
        <w:jc w:val="center"/>
        <w:rPr>
          <w:b/>
          <w:bCs/>
          <w:color w:val="auto"/>
          <w:highlight w:val="none"/>
        </w:rPr>
      </w:pPr>
      <w:bookmarkStart w:id="379" w:name="_Ref28319"/>
      <w:r>
        <w:rPr>
          <w:rFonts w:ascii="Times New Roman" w:hAnsi="Times New Roman" w:cs="Times New Roman"/>
          <w:b/>
          <w:bCs/>
          <w:color w:val="auto"/>
          <w:szCs w:val="18"/>
          <w:highlight w:val="none"/>
        </w:rPr>
        <w:t>表</w:t>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STYLEREF 2 \s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6.1</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noBreakHyphen/>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SEQ 表 \* ARABIC \s 2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12</w:t>
      </w:r>
      <w:r>
        <w:rPr>
          <w:rFonts w:ascii="Times New Roman" w:hAnsi="Times New Roman" w:cs="Times New Roman"/>
          <w:b/>
          <w:bCs/>
          <w:color w:val="auto"/>
          <w:szCs w:val="18"/>
          <w:highlight w:val="none"/>
        </w:rPr>
        <w:fldChar w:fldCharType="end"/>
      </w:r>
      <w:bookmarkEnd w:id="378"/>
      <w:bookmarkEnd w:id="379"/>
      <w:r>
        <w:rPr>
          <w:rFonts w:hint="eastAsia" w:ascii="Times New Roman" w:hAnsi="Times New Roman" w:cs="Times New Roman"/>
          <w:b/>
          <w:bCs/>
          <w:color w:val="auto"/>
          <w:kern w:val="2"/>
          <w:szCs w:val="18"/>
          <w:highlight w:val="none"/>
        </w:rPr>
        <w:t>敏感目标处</w:t>
      </w:r>
      <w:r>
        <w:rPr>
          <w:b/>
          <w:bCs/>
          <w:color w:val="auto"/>
          <w:highlight w:val="none"/>
        </w:rPr>
        <w:t>最大地面空气质量浓度结果</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41"/>
        <w:gridCol w:w="547"/>
        <w:gridCol w:w="1042"/>
        <w:gridCol w:w="1042"/>
        <w:gridCol w:w="1"/>
        <w:gridCol w:w="1041"/>
        <w:gridCol w:w="1042"/>
        <w:gridCol w:w="2"/>
        <w:gridCol w:w="1040"/>
        <w:gridCol w:w="1046"/>
        <w:gridCol w:w="816"/>
      </w:tblGrid>
      <w:tr w14:paraId="4736D3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Merge w:val="restart"/>
            <w:vAlign w:val="center"/>
          </w:tcPr>
          <w:p w14:paraId="471B37C1">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敏感目标</w:t>
            </w:r>
          </w:p>
        </w:tc>
        <w:tc>
          <w:tcPr>
            <w:tcW w:w="547" w:type="dxa"/>
            <w:vMerge w:val="restart"/>
            <w:vAlign w:val="center"/>
          </w:tcPr>
          <w:p w14:paraId="0131B87B">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距离</w:t>
            </w:r>
          </w:p>
        </w:tc>
        <w:tc>
          <w:tcPr>
            <w:tcW w:w="2085" w:type="dxa"/>
            <w:gridSpan w:val="3"/>
            <w:vAlign w:val="center"/>
          </w:tcPr>
          <w:p w14:paraId="47412D50">
            <w:pPr>
              <w:pStyle w:val="118"/>
              <w:keepNext w:val="0"/>
              <w:keepLines w:val="0"/>
              <w:pageBreakBefore w:val="0"/>
              <w:kinsoku/>
              <w:wordWrap/>
              <w:overflowPunct/>
              <w:topLinePunct w:val="0"/>
              <w:autoSpaceDE/>
              <w:autoSpaceDN/>
              <w:bidi w:val="0"/>
              <w:adjustRightInd/>
              <w:snapToGrid/>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非甲烷总烃</w:t>
            </w:r>
          </w:p>
        </w:tc>
        <w:tc>
          <w:tcPr>
            <w:tcW w:w="2085" w:type="dxa"/>
            <w:gridSpan w:val="3"/>
            <w:vAlign w:val="center"/>
          </w:tcPr>
          <w:p w14:paraId="398120AE">
            <w:pPr>
              <w:pStyle w:val="118"/>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氮氧化物</w:t>
            </w:r>
          </w:p>
        </w:tc>
        <w:tc>
          <w:tcPr>
            <w:tcW w:w="2086" w:type="dxa"/>
            <w:gridSpan w:val="2"/>
            <w:vAlign w:val="center"/>
          </w:tcPr>
          <w:p w14:paraId="486D569E">
            <w:pPr>
              <w:pStyle w:val="118"/>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甲醇</w:t>
            </w:r>
          </w:p>
        </w:tc>
        <w:tc>
          <w:tcPr>
            <w:tcW w:w="816" w:type="dxa"/>
            <w:vMerge w:val="restart"/>
            <w:vAlign w:val="center"/>
          </w:tcPr>
          <w:p w14:paraId="69468E77">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是否超标</w:t>
            </w:r>
          </w:p>
        </w:tc>
      </w:tr>
      <w:tr w14:paraId="63F024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Merge w:val="continue"/>
            <w:vAlign w:val="center"/>
          </w:tcPr>
          <w:p w14:paraId="6466FBD7">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p>
        </w:tc>
        <w:tc>
          <w:tcPr>
            <w:tcW w:w="547" w:type="dxa"/>
            <w:vMerge w:val="continue"/>
            <w:vAlign w:val="center"/>
          </w:tcPr>
          <w:p w14:paraId="3DBA4AC6">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p>
        </w:tc>
        <w:tc>
          <w:tcPr>
            <w:tcW w:w="1042" w:type="dxa"/>
            <w:vAlign w:val="center"/>
          </w:tcPr>
          <w:p w14:paraId="610B510A">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1h最大落地浓度（</w:t>
            </w:r>
            <w:r>
              <w:rPr>
                <w:rFonts w:ascii="Times New Roman" w:hAnsi="Times New Roman" w:eastAsia="宋体"/>
                <w:b/>
                <w:color w:val="auto"/>
                <w:sz w:val="21"/>
                <w:szCs w:val="21"/>
                <w:highlight w:val="none"/>
              </w:rPr>
              <w:t>μg/m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042" w:type="dxa"/>
            <w:vAlign w:val="center"/>
          </w:tcPr>
          <w:p w14:paraId="2A94E384">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环境空气质量标准（</w:t>
            </w:r>
            <w:r>
              <w:rPr>
                <w:rFonts w:ascii="Times New Roman" w:hAnsi="Times New Roman" w:eastAsia="宋体"/>
                <w:b/>
                <w:color w:val="auto"/>
                <w:sz w:val="21"/>
                <w:szCs w:val="21"/>
                <w:highlight w:val="none"/>
              </w:rPr>
              <w:t>µg/m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042" w:type="dxa"/>
            <w:gridSpan w:val="2"/>
            <w:vAlign w:val="center"/>
          </w:tcPr>
          <w:p w14:paraId="2175184F">
            <w:pPr>
              <w:pStyle w:val="118"/>
              <w:keepNext w:val="0"/>
              <w:keepLines w:val="0"/>
              <w:pageBreakBefore w:val="0"/>
              <w:kinsoku/>
              <w:wordWrap/>
              <w:overflowPunct/>
              <w:topLinePunct w:val="0"/>
              <w:autoSpaceDE/>
              <w:autoSpaceDN/>
              <w:bidi w:val="0"/>
              <w:adjustRightInd/>
              <w:snapToGrid/>
              <w:ind w:left="0" w:leftChars="0" w:right="0" w:rightChars="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1h最大落地浓度（</w:t>
            </w:r>
            <w:r>
              <w:rPr>
                <w:rFonts w:ascii="Times New Roman" w:hAnsi="Times New Roman" w:eastAsia="宋体"/>
                <w:b/>
                <w:color w:val="auto"/>
                <w:sz w:val="21"/>
                <w:szCs w:val="21"/>
                <w:highlight w:val="none"/>
              </w:rPr>
              <w:t>μg/m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042" w:type="dxa"/>
            <w:vAlign w:val="center"/>
          </w:tcPr>
          <w:p w14:paraId="311F2014">
            <w:pPr>
              <w:pStyle w:val="118"/>
              <w:keepNext w:val="0"/>
              <w:keepLines w:val="0"/>
              <w:pageBreakBefore w:val="0"/>
              <w:kinsoku/>
              <w:wordWrap/>
              <w:overflowPunct/>
              <w:topLinePunct w:val="0"/>
              <w:autoSpaceDE/>
              <w:autoSpaceDN/>
              <w:bidi w:val="0"/>
              <w:adjustRightInd/>
              <w:snapToGrid/>
              <w:ind w:left="0" w:leftChars="0" w:right="0" w:rightChars="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环境空气质量标准（</w:t>
            </w:r>
            <w:r>
              <w:rPr>
                <w:rFonts w:ascii="Times New Roman" w:hAnsi="Times New Roman" w:eastAsia="宋体"/>
                <w:b/>
                <w:color w:val="auto"/>
                <w:sz w:val="21"/>
                <w:szCs w:val="21"/>
                <w:highlight w:val="none"/>
              </w:rPr>
              <w:t>µg/m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042" w:type="dxa"/>
            <w:gridSpan w:val="2"/>
            <w:vAlign w:val="center"/>
          </w:tcPr>
          <w:p w14:paraId="32474334">
            <w:pPr>
              <w:pStyle w:val="118"/>
              <w:keepNext w:val="0"/>
              <w:keepLines w:val="0"/>
              <w:pageBreakBefore w:val="0"/>
              <w:kinsoku/>
              <w:wordWrap/>
              <w:overflowPunct/>
              <w:topLinePunct w:val="0"/>
              <w:autoSpaceDE/>
              <w:autoSpaceDN/>
              <w:bidi w:val="0"/>
              <w:adjustRightInd/>
              <w:snapToGrid/>
              <w:ind w:left="0" w:leftChars="0" w:right="0" w:rightChars="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1h最大落地浓度（</w:t>
            </w:r>
            <w:r>
              <w:rPr>
                <w:rFonts w:ascii="Times New Roman" w:hAnsi="Times New Roman" w:eastAsia="宋体"/>
                <w:b/>
                <w:color w:val="auto"/>
                <w:sz w:val="21"/>
                <w:szCs w:val="21"/>
                <w:highlight w:val="none"/>
              </w:rPr>
              <w:t>μg/m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1046" w:type="dxa"/>
            <w:vAlign w:val="center"/>
          </w:tcPr>
          <w:p w14:paraId="2483468A">
            <w:pPr>
              <w:pStyle w:val="118"/>
              <w:keepNext w:val="0"/>
              <w:keepLines w:val="0"/>
              <w:pageBreakBefore w:val="0"/>
              <w:kinsoku/>
              <w:wordWrap/>
              <w:overflowPunct/>
              <w:topLinePunct w:val="0"/>
              <w:autoSpaceDE/>
              <w:autoSpaceDN/>
              <w:bidi w:val="0"/>
              <w:adjustRightInd/>
              <w:snapToGrid/>
              <w:ind w:left="0" w:leftChars="0" w:right="0" w:rightChars="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环境空气质量标准（</w:t>
            </w:r>
            <w:r>
              <w:rPr>
                <w:rFonts w:ascii="Times New Roman" w:hAnsi="Times New Roman" w:eastAsia="宋体"/>
                <w:b/>
                <w:color w:val="auto"/>
                <w:sz w:val="21"/>
                <w:szCs w:val="21"/>
                <w:highlight w:val="none"/>
              </w:rPr>
              <w:t>µg/m</w:t>
            </w:r>
            <w:r>
              <w:rPr>
                <w:rFonts w:ascii="Times New Roman" w:hAnsi="Times New Roman" w:eastAsia="宋体"/>
                <w:b/>
                <w:color w:val="auto"/>
                <w:sz w:val="21"/>
                <w:szCs w:val="21"/>
                <w:highlight w:val="none"/>
                <w:vertAlign w:val="superscript"/>
              </w:rPr>
              <w:t>3</w:t>
            </w:r>
            <w:r>
              <w:rPr>
                <w:rFonts w:ascii="Times New Roman" w:hAnsi="Times New Roman" w:eastAsia="宋体"/>
                <w:b/>
                <w:bCs/>
                <w:color w:val="auto"/>
                <w:sz w:val="21"/>
                <w:szCs w:val="21"/>
                <w:highlight w:val="none"/>
              </w:rPr>
              <w:t>）</w:t>
            </w:r>
          </w:p>
        </w:tc>
        <w:tc>
          <w:tcPr>
            <w:tcW w:w="816" w:type="dxa"/>
            <w:vMerge w:val="continue"/>
            <w:vAlign w:val="center"/>
          </w:tcPr>
          <w:p w14:paraId="39BB0E4B">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b/>
                <w:bCs/>
                <w:color w:val="auto"/>
                <w:sz w:val="21"/>
                <w:szCs w:val="21"/>
                <w:highlight w:val="none"/>
              </w:rPr>
            </w:pPr>
          </w:p>
        </w:tc>
      </w:tr>
      <w:tr w14:paraId="46A0E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5984F7BC">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周巷头</w:t>
            </w:r>
          </w:p>
        </w:tc>
        <w:tc>
          <w:tcPr>
            <w:tcW w:w="547" w:type="dxa"/>
            <w:vAlign w:val="center"/>
          </w:tcPr>
          <w:p w14:paraId="75C1BA28">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30</w:t>
            </w:r>
            <w:r>
              <w:rPr>
                <w:rFonts w:hint="eastAsia" w:ascii="Times New Roman" w:hAnsi="Times New Roman" w:eastAsia="宋体"/>
                <w:color w:val="auto"/>
                <w:sz w:val="21"/>
                <w:szCs w:val="21"/>
                <w:highlight w:val="none"/>
              </w:rPr>
              <w:t>m</w:t>
            </w:r>
          </w:p>
        </w:tc>
        <w:tc>
          <w:tcPr>
            <w:tcW w:w="1042" w:type="dxa"/>
            <w:vAlign w:val="center"/>
          </w:tcPr>
          <w:p w14:paraId="6FCBEB98">
            <w:pPr>
              <w:keepNext w:val="0"/>
              <w:keepLines w:val="0"/>
              <w:pageBreakBefore w:val="0"/>
              <w:kinsoku/>
              <w:wordWrap/>
              <w:overflowPunct/>
              <w:topLinePunct w:val="0"/>
              <w:autoSpaceDE/>
              <w:autoSpaceDN/>
              <w:bidi w:val="0"/>
              <w:adjustRightInd/>
              <w:snapToGrid/>
              <w:ind w:left="0" w:right="0"/>
              <w:jc w:val="center"/>
              <w:textAlignment w:val="bottom"/>
              <w:rPr>
                <w:rFonts w:hint="default" w:ascii="Times New Roman" w:hAnsi="Times New Roman" w:eastAsia="宋体" w:cs="Times New Roman"/>
                <w:color w:val="auto"/>
                <w:kern w:val="44"/>
                <w:sz w:val="21"/>
                <w:szCs w:val="21"/>
                <w:highlight w:val="none"/>
                <w:lang w:val="en-US" w:eastAsia="zh-CN"/>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1EF71AE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40EBDAFF">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676A27CA">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265DF01B">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5ACEDEA0">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3000</w:t>
            </w:r>
          </w:p>
        </w:tc>
        <w:tc>
          <w:tcPr>
            <w:tcW w:w="816" w:type="dxa"/>
            <w:vAlign w:val="center"/>
          </w:tcPr>
          <w:p w14:paraId="5FFE28EE">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2BBE17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66851ADB">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浦巷上</w:t>
            </w:r>
          </w:p>
        </w:tc>
        <w:tc>
          <w:tcPr>
            <w:tcW w:w="547" w:type="dxa"/>
            <w:vAlign w:val="center"/>
          </w:tcPr>
          <w:p w14:paraId="18018339">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100m</w:t>
            </w:r>
          </w:p>
        </w:tc>
        <w:tc>
          <w:tcPr>
            <w:tcW w:w="1042" w:type="dxa"/>
            <w:vAlign w:val="center"/>
          </w:tcPr>
          <w:p w14:paraId="5FA932E0">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37E8BFF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469797C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320F2CA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6E4BD073">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21ECE06D">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29AFE0B6">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375719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4B30256A">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朱巷村</w:t>
            </w:r>
          </w:p>
        </w:tc>
        <w:tc>
          <w:tcPr>
            <w:tcW w:w="547" w:type="dxa"/>
            <w:vAlign w:val="center"/>
          </w:tcPr>
          <w:p w14:paraId="264F5419">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140m</w:t>
            </w:r>
          </w:p>
        </w:tc>
        <w:tc>
          <w:tcPr>
            <w:tcW w:w="1042" w:type="dxa"/>
            <w:vAlign w:val="center"/>
          </w:tcPr>
          <w:p w14:paraId="652AF0DB">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4D73A4C2">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153EED2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767C5DB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1F588C92">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5CF7896E">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35590AF4">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5A1856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0D27C0B8">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鸿威鸿景华庭</w:t>
            </w:r>
          </w:p>
        </w:tc>
        <w:tc>
          <w:tcPr>
            <w:tcW w:w="547" w:type="dxa"/>
            <w:vAlign w:val="center"/>
          </w:tcPr>
          <w:p w14:paraId="7E72831E">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250m</w:t>
            </w:r>
          </w:p>
        </w:tc>
        <w:tc>
          <w:tcPr>
            <w:tcW w:w="1042" w:type="dxa"/>
            <w:vAlign w:val="center"/>
          </w:tcPr>
          <w:p w14:paraId="2A451AF5">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442A2513">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4833970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63809AB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13800FBE">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5FFAD78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3A76D87F">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0135A0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6426412F">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斗山花苑</w:t>
            </w:r>
          </w:p>
        </w:tc>
        <w:tc>
          <w:tcPr>
            <w:tcW w:w="547" w:type="dxa"/>
            <w:vAlign w:val="center"/>
          </w:tcPr>
          <w:p w14:paraId="32FC0747">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270m</w:t>
            </w:r>
          </w:p>
        </w:tc>
        <w:tc>
          <w:tcPr>
            <w:tcW w:w="1042" w:type="dxa"/>
            <w:vAlign w:val="center"/>
          </w:tcPr>
          <w:p w14:paraId="075C6FC3">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6FF332B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308AEE8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53B97D7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7D8576B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414F17D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0E09B205">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2DF95B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23FE5611">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渡马桥</w:t>
            </w:r>
          </w:p>
        </w:tc>
        <w:tc>
          <w:tcPr>
            <w:tcW w:w="547" w:type="dxa"/>
            <w:vAlign w:val="center"/>
          </w:tcPr>
          <w:p w14:paraId="3D14BE6F">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300m</w:t>
            </w:r>
          </w:p>
        </w:tc>
        <w:tc>
          <w:tcPr>
            <w:tcW w:w="1042" w:type="dxa"/>
            <w:vAlign w:val="center"/>
          </w:tcPr>
          <w:p w14:paraId="6E6AA59F">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53BCE15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316D4B1D">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5E9AC74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58F68A9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003F1B6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298108ED">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4EDAA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43DFAC4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bidi="zh-CN"/>
              </w:rPr>
              <w:t>金马幼儿园</w:t>
            </w:r>
          </w:p>
        </w:tc>
        <w:tc>
          <w:tcPr>
            <w:tcW w:w="547" w:type="dxa"/>
            <w:vAlign w:val="center"/>
          </w:tcPr>
          <w:p w14:paraId="5D634D94">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400m</w:t>
            </w:r>
          </w:p>
        </w:tc>
        <w:tc>
          <w:tcPr>
            <w:tcW w:w="1042" w:type="dxa"/>
            <w:vAlign w:val="center"/>
          </w:tcPr>
          <w:p w14:paraId="3D48AB38">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66E43F4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48E9243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35B10BA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511B070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77F5311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46C902ED">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56C767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4F937F89">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bidi="zh-CN"/>
              </w:rPr>
              <w:t>八士实验小学</w:t>
            </w:r>
          </w:p>
        </w:tc>
        <w:tc>
          <w:tcPr>
            <w:tcW w:w="547" w:type="dxa"/>
            <w:vAlign w:val="center"/>
          </w:tcPr>
          <w:p w14:paraId="4A03D568">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450m</w:t>
            </w:r>
          </w:p>
        </w:tc>
        <w:tc>
          <w:tcPr>
            <w:tcW w:w="1042" w:type="dxa"/>
            <w:vAlign w:val="center"/>
          </w:tcPr>
          <w:p w14:paraId="4C125450">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034D998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3870A224">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288B071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2B379D1D">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71A5695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42BD257B">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r w14:paraId="01CD16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jc w:val="center"/>
        </w:trPr>
        <w:tc>
          <w:tcPr>
            <w:tcW w:w="941" w:type="dxa"/>
            <w:vAlign w:val="center"/>
          </w:tcPr>
          <w:p w14:paraId="515DCDC4">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春蕾小学</w:t>
            </w:r>
          </w:p>
        </w:tc>
        <w:tc>
          <w:tcPr>
            <w:tcW w:w="547" w:type="dxa"/>
            <w:vAlign w:val="center"/>
          </w:tcPr>
          <w:p w14:paraId="1CB86BDE">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480m</w:t>
            </w:r>
          </w:p>
        </w:tc>
        <w:tc>
          <w:tcPr>
            <w:tcW w:w="1042" w:type="dxa"/>
            <w:vAlign w:val="center"/>
          </w:tcPr>
          <w:p w14:paraId="59BC5950">
            <w:pPr>
              <w:keepNext w:val="0"/>
              <w:keepLines w:val="0"/>
              <w:pageBreakBefore w:val="0"/>
              <w:kinsoku/>
              <w:wordWrap/>
              <w:overflowPunct/>
              <w:topLinePunct w:val="0"/>
              <w:autoSpaceDE/>
              <w:autoSpaceDN/>
              <w:bidi w:val="0"/>
              <w:adjustRightInd/>
              <w:snapToGrid/>
              <w:ind w:left="0" w:right="0"/>
              <w:jc w:val="center"/>
              <w:textAlignment w:val="bottom"/>
              <w:rPr>
                <w:rFonts w:ascii="Times New Roman" w:hAnsi="Times New Roman" w:cs="Times New Roman"/>
                <w:color w:val="auto"/>
                <w:kern w:val="44"/>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20.83111</w:t>
            </w:r>
          </w:p>
        </w:tc>
        <w:tc>
          <w:tcPr>
            <w:tcW w:w="1042" w:type="dxa"/>
            <w:vAlign w:val="center"/>
          </w:tcPr>
          <w:p w14:paraId="580BD99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2000</w:t>
            </w:r>
          </w:p>
        </w:tc>
        <w:tc>
          <w:tcPr>
            <w:tcW w:w="1042" w:type="dxa"/>
            <w:gridSpan w:val="2"/>
            <w:vAlign w:val="center"/>
          </w:tcPr>
          <w:p w14:paraId="6B1DFA12">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0.1667112</w:t>
            </w:r>
          </w:p>
        </w:tc>
        <w:tc>
          <w:tcPr>
            <w:tcW w:w="1042" w:type="dxa"/>
            <w:vAlign w:val="center"/>
          </w:tcPr>
          <w:p w14:paraId="3E7DCA3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250</w:t>
            </w:r>
          </w:p>
        </w:tc>
        <w:tc>
          <w:tcPr>
            <w:tcW w:w="1042" w:type="dxa"/>
            <w:gridSpan w:val="2"/>
            <w:vAlign w:val="center"/>
          </w:tcPr>
          <w:p w14:paraId="735516D3">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kern w:val="44"/>
                <w:sz w:val="21"/>
                <w:szCs w:val="21"/>
                <w:highlight w:val="none"/>
              </w:rPr>
              <w:t>＜</w:t>
            </w:r>
            <w:r>
              <w:rPr>
                <w:rFonts w:hint="eastAsia" w:ascii="Times New Roman" w:hAnsi="Times New Roman" w:cs="Times New Roman"/>
                <w:color w:val="auto"/>
                <w:kern w:val="44"/>
                <w:sz w:val="21"/>
                <w:szCs w:val="21"/>
                <w:highlight w:val="none"/>
                <w:lang w:val="en-US" w:eastAsia="zh-CN"/>
              </w:rPr>
              <w:t>2.55406</w:t>
            </w:r>
          </w:p>
        </w:tc>
        <w:tc>
          <w:tcPr>
            <w:tcW w:w="1046" w:type="dxa"/>
            <w:vAlign w:val="center"/>
          </w:tcPr>
          <w:p w14:paraId="757D0DF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3000</w:t>
            </w:r>
          </w:p>
        </w:tc>
        <w:tc>
          <w:tcPr>
            <w:tcW w:w="816" w:type="dxa"/>
            <w:vAlign w:val="center"/>
          </w:tcPr>
          <w:p w14:paraId="51D2544D">
            <w:pPr>
              <w:pStyle w:val="118"/>
              <w:keepNext w:val="0"/>
              <w:keepLines w:val="0"/>
              <w:pageBreakBefore w:val="0"/>
              <w:kinsoku/>
              <w:wordWrap/>
              <w:overflowPunct/>
              <w:topLinePunct w:val="0"/>
              <w:autoSpaceDE/>
              <w:autoSpaceDN/>
              <w:bidi w:val="0"/>
              <w:adjustRightInd/>
              <w:snapToGrid/>
              <w:ind w:left="0" w:right="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否</w:t>
            </w:r>
          </w:p>
        </w:tc>
      </w:tr>
    </w:tbl>
    <w:p w14:paraId="5D9B8AA3">
      <w:pPr>
        <w:spacing w:line="360" w:lineRule="auto"/>
        <w:ind w:left="-105" w:right="-105" w:firstLine="480"/>
        <w:rPr>
          <w:rFonts w:ascii="Times New Roman" w:hAnsi="Times New Roman"/>
          <w:color w:val="auto"/>
          <w:szCs w:val="22"/>
          <w:highlight w:val="none"/>
        </w:rPr>
      </w:pPr>
      <w:r>
        <w:rPr>
          <w:rFonts w:ascii="Times New Roman" w:hAnsi="Times New Roman"/>
          <w:color w:val="auto"/>
          <w:highlight w:val="none"/>
        </w:rPr>
        <w:t>预测结果如</w:t>
      </w:r>
      <w:r>
        <w:rPr>
          <w:rFonts w:hint="eastAsia" w:ascii="Times New Roman" w:hAnsi="Times New Roman"/>
          <w:color w:val="auto"/>
          <w:highlight w:val="none"/>
        </w:rPr>
        <w:t>上表</w:t>
      </w:r>
      <w:r>
        <w:rPr>
          <w:rFonts w:ascii="Times New Roman" w:hAnsi="Times New Roman"/>
          <w:color w:val="auto"/>
          <w:highlight w:val="none"/>
        </w:rPr>
        <w:t>所示，通过对本次</w:t>
      </w:r>
      <w:r>
        <w:rPr>
          <w:rFonts w:hint="eastAsia" w:ascii="Times New Roman" w:hAnsi="Times New Roman"/>
          <w:color w:val="auto"/>
          <w:highlight w:val="none"/>
        </w:rPr>
        <w:t>扩</w:t>
      </w:r>
      <w:r>
        <w:rPr>
          <w:rFonts w:ascii="Times New Roman" w:hAnsi="Times New Roman"/>
          <w:color w:val="auto"/>
          <w:highlight w:val="none"/>
        </w:rPr>
        <w:t>建后，</w:t>
      </w:r>
      <w:r>
        <w:rPr>
          <w:rFonts w:hint="eastAsia" w:ascii="Times New Roman" w:hAnsi="Times New Roman"/>
          <w:color w:val="auto"/>
          <w:highlight w:val="none"/>
        </w:rPr>
        <w:t>DA005~DA006</w:t>
      </w:r>
      <w:r>
        <w:rPr>
          <w:rFonts w:ascii="Times New Roman" w:hAnsi="Times New Roman"/>
          <w:color w:val="auto"/>
          <w:highlight w:val="none"/>
        </w:rPr>
        <w:t>排气筒排放量以及涉及的无组织源进行预测，预测因子</w:t>
      </w:r>
      <w:r>
        <w:rPr>
          <w:rFonts w:hint="eastAsia" w:ascii="Times New Roman" w:hAnsi="Times New Roman"/>
          <w:color w:val="auto"/>
          <w:highlight w:val="none"/>
        </w:rPr>
        <w:t>为</w:t>
      </w:r>
      <w:r>
        <w:rPr>
          <w:rFonts w:hint="eastAsia" w:ascii="Times New Roman" w:hAnsi="Times New Roman" w:cs="Times New Roman"/>
          <w:color w:val="auto"/>
          <w:highlight w:val="none"/>
        </w:rPr>
        <w:t>非甲烷总烃</w:t>
      </w:r>
      <w:r>
        <w:rPr>
          <w:rFonts w:hint="eastAsia" w:ascii="Times New Roman" w:hAnsi="Times New Roman"/>
          <w:color w:val="auto"/>
          <w:highlight w:val="none"/>
        </w:rPr>
        <w:t>（含甲醇）</w:t>
      </w:r>
      <w:r>
        <w:rPr>
          <w:rFonts w:ascii="Times New Roman" w:hAnsi="Times New Roman"/>
          <w:color w:val="auto"/>
          <w:szCs w:val="22"/>
          <w:highlight w:val="none"/>
        </w:rPr>
        <w:t>，预测结果显示，最大落地浓度均可达到环境质量标准要求，占标率较低。</w:t>
      </w:r>
    </w:p>
    <w:p w14:paraId="14CA562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预测结果汇总情况</w:t>
      </w:r>
      <w:r>
        <w:rPr>
          <w:rFonts w:ascii="Times New Roman" w:hAnsi="Times New Roman" w:eastAsia="宋体" w:cs="宋体"/>
          <w:color w:val="auto"/>
          <w:highlight w:val="none"/>
        </w:rPr>
        <w:t>如</w:t>
      </w:r>
      <w:r>
        <w:rPr>
          <w:rFonts w:ascii="Times New Roman" w:hAnsi="Times New Roman" w:eastAsia="宋体" w:cs="宋体"/>
          <w:color w:val="auto"/>
          <w:highlight w:val="none"/>
        </w:rPr>
        <w:fldChar w:fldCharType="begin"/>
      </w:r>
      <w:r>
        <w:rPr>
          <w:rFonts w:ascii="Times New Roman" w:hAnsi="Times New Roman" w:eastAsia="宋体" w:cs="宋体"/>
          <w:color w:val="auto"/>
          <w:highlight w:val="none"/>
        </w:rPr>
        <w:instrText xml:space="preserve"> REF _Ref28280 \h </w:instrText>
      </w:r>
      <w:r>
        <w:rPr>
          <w:rFonts w:ascii="Times New Roman" w:hAnsi="Times New Roman" w:eastAsia="宋体" w:cs="宋体"/>
          <w:color w:val="auto"/>
          <w:highlight w:val="none"/>
        </w:rPr>
        <w:fldChar w:fldCharType="separate"/>
      </w:r>
      <w:r>
        <w:rPr>
          <w:rFonts w:ascii="Times New Roman" w:hAnsi="Times New Roman" w:eastAsia="宋体" w:cs="宋体"/>
          <w:color w:val="auto"/>
          <w:highlight w:val="none"/>
        </w:rPr>
        <w:t>表</w:t>
      </w:r>
      <w:r>
        <w:rPr>
          <w:rFonts w:ascii="Times New Roman" w:hAnsi="Times New Roman" w:eastAsia="宋体" w:cs="宋体"/>
          <w:color w:val="auto"/>
          <w:highlight w:val="none"/>
        </w:rPr>
        <w:fldChar w:fldCharType="begin"/>
      </w:r>
      <w:r>
        <w:rPr>
          <w:rFonts w:ascii="Times New Roman" w:hAnsi="Times New Roman" w:eastAsia="宋体" w:cs="宋体"/>
          <w:color w:val="auto"/>
          <w:highlight w:val="none"/>
        </w:rPr>
        <w:instrText xml:space="preserve"> STYLEREF 2 \s </w:instrText>
      </w:r>
      <w:r>
        <w:rPr>
          <w:rFonts w:ascii="Times New Roman" w:hAnsi="Times New Roman" w:eastAsia="宋体" w:cs="宋体"/>
          <w:color w:val="auto"/>
          <w:highlight w:val="none"/>
        </w:rPr>
        <w:fldChar w:fldCharType="separate"/>
      </w:r>
      <w:r>
        <w:rPr>
          <w:rFonts w:ascii="Times New Roman" w:hAnsi="Times New Roman" w:eastAsia="宋体" w:cs="宋体"/>
          <w:color w:val="auto"/>
          <w:highlight w:val="none"/>
        </w:rPr>
        <w:t>6.1</w:t>
      </w:r>
      <w:r>
        <w:rPr>
          <w:rFonts w:ascii="Times New Roman" w:hAnsi="Times New Roman" w:eastAsia="宋体" w:cs="宋体"/>
          <w:color w:val="auto"/>
          <w:highlight w:val="none"/>
        </w:rPr>
        <w:fldChar w:fldCharType="end"/>
      </w:r>
      <w:r>
        <w:rPr>
          <w:rFonts w:ascii="Times New Roman" w:hAnsi="Times New Roman" w:eastAsia="宋体" w:cs="宋体"/>
          <w:color w:val="auto"/>
          <w:highlight w:val="none"/>
        </w:rPr>
        <w:noBreakHyphen/>
      </w:r>
      <w:r>
        <w:rPr>
          <w:rFonts w:ascii="Times New Roman" w:hAnsi="Times New Roman" w:eastAsia="宋体" w:cs="宋体"/>
          <w:color w:val="auto"/>
          <w:highlight w:val="none"/>
        </w:rPr>
        <w:t>11</w:t>
      </w:r>
      <w:r>
        <w:rPr>
          <w:rFonts w:ascii="Times New Roman" w:hAnsi="Times New Roman" w:eastAsia="宋体" w:cs="宋体"/>
          <w:color w:val="auto"/>
          <w:highlight w:val="none"/>
        </w:rPr>
        <w:fldChar w:fldCharType="end"/>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rPr>
        <w:fldChar w:fldCharType="begin"/>
      </w:r>
      <w:r>
        <w:rPr>
          <w:rFonts w:hint="eastAsia" w:ascii="Times New Roman" w:hAnsi="Times New Roman" w:eastAsia="宋体" w:cs="宋体"/>
          <w:color w:val="auto"/>
          <w:highlight w:val="none"/>
        </w:rPr>
        <w:instrText xml:space="preserve"> REF _Ref28319 \h </w:instrText>
      </w:r>
      <w:r>
        <w:rPr>
          <w:rFonts w:hint="eastAsia" w:ascii="Times New Roman" w:hAnsi="Times New Roman" w:eastAsia="宋体" w:cs="宋体"/>
          <w:color w:val="auto"/>
          <w:highlight w:val="none"/>
        </w:rPr>
        <w:fldChar w:fldCharType="separate"/>
      </w:r>
      <w:r>
        <w:rPr>
          <w:rFonts w:ascii="Times New Roman" w:hAnsi="Times New Roman" w:eastAsia="宋体" w:cs="宋体"/>
          <w:color w:val="auto"/>
          <w:highlight w:val="none"/>
        </w:rPr>
        <w:t>表</w:t>
      </w:r>
      <w:r>
        <w:rPr>
          <w:rFonts w:ascii="Times New Roman" w:hAnsi="Times New Roman" w:eastAsia="宋体" w:cs="宋体"/>
          <w:color w:val="auto"/>
          <w:highlight w:val="none"/>
        </w:rPr>
        <w:fldChar w:fldCharType="begin"/>
      </w:r>
      <w:r>
        <w:rPr>
          <w:rFonts w:ascii="Times New Roman" w:hAnsi="Times New Roman" w:eastAsia="宋体" w:cs="宋体"/>
          <w:color w:val="auto"/>
          <w:highlight w:val="none"/>
        </w:rPr>
        <w:instrText xml:space="preserve"> STYLEREF 2 \s </w:instrText>
      </w:r>
      <w:r>
        <w:rPr>
          <w:rFonts w:ascii="Times New Roman" w:hAnsi="Times New Roman" w:eastAsia="宋体" w:cs="宋体"/>
          <w:color w:val="auto"/>
          <w:highlight w:val="none"/>
        </w:rPr>
        <w:fldChar w:fldCharType="separate"/>
      </w:r>
      <w:r>
        <w:rPr>
          <w:rFonts w:ascii="Times New Roman" w:hAnsi="Times New Roman" w:eastAsia="宋体" w:cs="宋体"/>
          <w:color w:val="auto"/>
          <w:highlight w:val="none"/>
        </w:rPr>
        <w:t>6.1</w:t>
      </w:r>
      <w:r>
        <w:rPr>
          <w:rFonts w:ascii="Times New Roman" w:hAnsi="Times New Roman" w:eastAsia="宋体" w:cs="宋体"/>
          <w:color w:val="auto"/>
          <w:highlight w:val="none"/>
        </w:rPr>
        <w:fldChar w:fldCharType="end"/>
      </w:r>
      <w:r>
        <w:rPr>
          <w:rFonts w:ascii="Times New Roman" w:hAnsi="Times New Roman" w:eastAsia="宋体" w:cs="宋体"/>
          <w:color w:val="auto"/>
          <w:highlight w:val="none"/>
        </w:rPr>
        <w:noBreakHyphen/>
      </w:r>
      <w:r>
        <w:rPr>
          <w:rFonts w:ascii="Times New Roman" w:hAnsi="Times New Roman" w:eastAsia="宋体" w:cs="宋体"/>
          <w:color w:val="auto"/>
          <w:highlight w:val="none"/>
        </w:rPr>
        <w:t>12</w:t>
      </w:r>
      <w:r>
        <w:rPr>
          <w:rFonts w:hint="eastAsia" w:ascii="Times New Roman" w:hAnsi="Times New Roman" w:eastAsia="宋体" w:cs="宋体"/>
          <w:color w:val="auto"/>
          <w:highlight w:val="none"/>
        </w:rPr>
        <w:fldChar w:fldCharType="end"/>
      </w:r>
      <w:r>
        <w:rPr>
          <w:rFonts w:ascii="Times New Roman" w:hAnsi="Times New Roman" w:eastAsia="宋体" w:cs="宋体"/>
          <w:color w:val="auto"/>
          <w:highlight w:val="none"/>
        </w:rPr>
        <w:t>所示，</w:t>
      </w:r>
      <w:r>
        <w:rPr>
          <w:rFonts w:ascii="Times New Roman" w:hAnsi="Times New Roman"/>
          <w:color w:val="auto"/>
          <w:highlight w:val="none"/>
        </w:rPr>
        <w:t>从预测结果可以看出，本项目排放的大气污染物在经过有效处理后排放量不大，有组织、无组织废气污染物排放，均不会改变区域环境功能，对周围环境影响值较小。</w:t>
      </w:r>
    </w:p>
    <w:p w14:paraId="4027BA0B">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本项目</w:t>
      </w:r>
      <w:r>
        <w:rPr>
          <w:rFonts w:hint="eastAsia" w:ascii="Times New Roman" w:hAnsi="Times New Roman"/>
          <w:color w:val="auto"/>
          <w:highlight w:val="none"/>
        </w:rPr>
        <w:t>DA005~DA006</w:t>
      </w:r>
      <w:r>
        <w:rPr>
          <w:rFonts w:ascii="Times New Roman" w:hAnsi="Times New Roman"/>
          <w:color w:val="auto"/>
          <w:highlight w:val="none"/>
        </w:rPr>
        <w:t>排气筒排放量以及涉及的无组织源评价等级均为三级，根据《环境影响评价技术导则大气环境》（HJ2.2-2018），确定本项目大气环境影响评价工作等级为</w:t>
      </w:r>
      <w:r>
        <w:rPr>
          <w:rFonts w:hint="eastAsia" w:ascii="Times New Roman" w:hAnsi="Times New Roman"/>
          <w:color w:val="auto"/>
          <w:highlight w:val="none"/>
        </w:rPr>
        <w:t>三</w:t>
      </w:r>
      <w:r>
        <w:rPr>
          <w:rFonts w:ascii="Times New Roman" w:hAnsi="Times New Roman"/>
          <w:color w:val="auto"/>
          <w:highlight w:val="none"/>
        </w:rPr>
        <w:t>级。</w:t>
      </w:r>
      <w:r>
        <w:rPr>
          <w:rFonts w:hint="eastAsia" w:ascii="Times New Roman" w:hAnsi="Times New Roman"/>
          <w:color w:val="auto"/>
          <w:highlight w:val="none"/>
        </w:rPr>
        <w:t>三</w:t>
      </w:r>
      <w:r>
        <w:rPr>
          <w:rFonts w:ascii="Times New Roman" w:hAnsi="Times New Roman"/>
          <w:color w:val="auto"/>
          <w:highlight w:val="none"/>
        </w:rPr>
        <w:t>级评价项目不进行进一步预测与评价。</w:t>
      </w:r>
    </w:p>
    <w:p w14:paraId="67030012">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80" w:name="_Toc60653551"/>
      <w:r>
        <w:rPr>
          <w:rFonts w:hint="eastAsia" w:eastAsia="宋体"/>
          <w:color w:val="auto"/>
          <w:sz w:val="28"/>
          <w:szCs w:val="28"/>
          <w:highlight w:val="none"/>
        </w:rPr>
        <w:t>6.1.6</w:t>
      </w:r>
      <w:r>
        <w:rPr>
          <w:rFonts w:eastAsia="宋体"/>
          <w:color w:val="auto"/>
          <w:sz w:val="28"/>
          <w:szCs w:val="28"/>
          <w:highlight w:val="none"/>
        </w:rPr>
        <w:t>非正常影响预测</w:t>
      </w:r>
      <w:bookmarkEnd w:id="380"/>
    </w:p>
    <w:p w14:paraId="7C8B2A01">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非正常工况下预测结果</w:t>
      </w:r>
      <w:r>
        <w:rPr>
          <w:rFonts w:ascii="Times New Roman" w:hAnsi="Times New Roman" w:cs="Times New Roman"/>
          <w:color w:val="auto"/>
          <w:highlight w:val="none"/>
        </w:rPr>
        <w:t>，如</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_Ref38808574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13</w:t>
      </w:r>
      <w:r>
        <w:rPr>
          <w:rFonts w:ascii="Times New Roman" w:hAnsi="Times New Roman" w:cs="Times New Roman"/>
          <w:color w:val="auto"/>
          <w:highlight w:val="none"/>
        </w:rPr>
        <w:fldChar w:fldCharType="end"/>
      </w:r>
      <w:r>
        <w:rPr>
          <w:rFonts w:ascii="Times New Roman" w:hAnsi="Times New Roman" w:cs="Times New Roman"/>
          <w:color w:val="auto"/>
          <w:highlight w:val="none"/>
        </w:rPr>
        <w:t>所</w:t>
      </w:r>
      <w:r>
        <w:rPr>
          <w:rFonts w:ascii="Times New Roman" w:hAnsi="Times New Roman"/>
          <w:color w:val="auto"/>
          <w:highlight w:val="none"/>
        </w:rPr>
        <w:t>示。由表可见，本项目非正常工况污染物最大落地浓度占标率显著增加，但是也可以达到环境质量标准。</w:t>
      </w:r>
    </w:p>
    <w:p w14:paraId="25DA661C">
      <w:pPr>
        <w:spacing w:line="360" w:lineRule="auto"/>
        <w:ind w:left="-105" w:right="-105" w:firstLine="480"/>
        <w:rPr>
          <w:rFonts w:ascii="Times New Roman" w:hAnsi="Times New Roman"/>
          <w:color w:val="auto"/>
          <w:szCs w:val="18"/>
          <w:highlight w:val="none"/>
        </w:rPr>
      </w:pPr>
      <w:r>
        <w:rPr>
          <w:rFonts w:ascii="Times New Roman" w:hAnsi="Times New Roman"/>
          <w:color w:val="auto"/>
          <w:highlight w:val="none"/>
        </w:rPr>
        <w:t>要求企业必须做好污染治理设施的日常维护与事故性排放的防护措施，尽量避免事故排放的发生，一旦发生事故时，能及时维修并采取相应防护措施，将污染影响降低到最小，建议建设单位做好防范工作：</w:t>
      </w:r>
      <w:r>
        <w:rPr>
          <w:rFonts w:hint="eastAsia" w:ascii="Times New Roman" w:hAnsi="Times New Roman"/>
          <w:color w:val="auto"/>
          <w:highlight w:val="none"/>
        </w:rPr>
        <w:t>①</w:t>
      </w:r>
      <w:r>
        <w:rPr>
          <w:rFonts w:ascii="Times New Roman" w:hAnsi="Times New Roman"/>
          <w:color w:val="auto"/>
          <w:highlight w:val="none"/>
        </w:rPr>
        <w:t>平时注意废气处理设施的维护，及时发现处理设备的隐患，确保废气处理系统正常运行；开、停、检修要有预案，有严密周全的计划，确保不发生非正常排放，或使影响最小。</w:t>
      </w:r>
      <w:r>
        <w:rPr>
          <w:rFonts w:hint="eastAsia" w:ascii="Times New Roman" w:hAnsi="Times New Roman"/>
          <w:color w:val="auto"/>
          <w:highlight w:val="none"/>
        </w:rPr>
        <w:t>②</w:t>
      </w:r>
      <w:r>
        <w:rPr>
          <w:rFonts w:ascii="Times New Roman" w:hAnsi="Times New Roman"/>
          <w:color w:val="auto"/>
          <w:highlight w:val="none"/>
        </w:rPr>
        <w:t>应设有备用电源和备用处理设备和零件，以备停电或设备出现故障时保障及时更换使废气全部做到达标排放。</w:t>
      </w:r>
      <w:r>
        <w:rPr>
          <w:rFonts w:hint="eastAsia" w:ascii="Times New Roman" w:hAnsi="Times New Roman"/>
          <w:color w:val="auto"/>
          <w:highlight w:val="none"/>
        </w:rPr>
        <w:t>③</w:t>
      </w:r>
      <w:r>
        <w:rPr>
          <w:rFonts w:ascii="Times New Roman" w:hAnsi="Times New Roman"/>
          <w:color w:val="auto"/>
          <w:highlight w:val="none"/>
        </w:rPr>
        <w:t>对员工进行岗位培训。做好值班记录，实行岗位责任制。</w:t>
      </w:r>
      <w:bookmarkStart w:id="381" w:name="_Ref38784527"/>
    </w:p>
    <w:p w14:paraId="6D60F913">
      <w:pPr>
        <w:pStyle w:val="15"/>
        <w:spacing w:line="360" w:lineRule="auto"/>
        <w:ind w:left="-105" w:right="-105" w:firstLine="482"/>
        <w:rPr>
          <w:rFonts w:hint="eastAsia" w:eastAsia="宋体" w:cs="Times New Roman"/>
          <w:color w:val="auto"/>
          <w:sz w:val="24"/>
          <w:szCs w:val="18"/>
          <w:highlight w:val="none"/>
        </w:rPr>
      </w:pPr>
      <w:bookmarkStart w:id="382" w:name="_Ref38808574"/>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13</w:t>
      </w:r>
      <w:r>
        <w:rPr>
          <w:rFonts w:eastAsia="宋体" w:cs="Times New Roman"/>
          <w:color w:val="auto"/>
          <w:sz w:val="24"/>
          <w:szCs w:val="18"/>
          <w:highlight w:val="none"/>
        </w:rPr>
        <w:fldChar w:fldCharType="end"/>
      </w:r>
      <w:bookmarkEnd w:id="381"/>
      <w:bookmarkEnd w:id="382"/>
      <w:r>
        <w:rPr>
          <w:rFonts w:eastAsia="宋体" w:cs="Times New Roman"/>
          <w:color w:val="auto"/>
          <w:sz w:val="24"/>
          <w:szCs w:val="18"/>
          <w:highlight w:val="none"/>
        </w:rPr>
        <w:t>非正常情况下预测结果</w:t>
      </w:r>
      <w:r>
        <w:rPr>
          <w:rFonts w:hint="eastAsia" w:eastAsia="宋体" w:cs="Times New Roman"/>
          <w:color w:val="auto"/>
          <w:sz w:val="24"/>
          <w:szCs w:val="18"/>
          <w:highlight w:val="none"/>
        </w:rPr>
        <w:t>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3"/>
        <w:gridCol w:w="1192"/>
        <w:gridCol w:w="1193"/>
        <w:gridCol w:w="1192"/>
        <w:gridCol w:w="1192"/>
        <w:gridCol w:w="1192"/>
        <w:gridCol w:w="1190"/>
      </w:tblGrid>
      <w:tr w14:paraId="21A41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restart"/>
            <w:vAlign w:val="center"/>
          </w:tcPr>
          <w:p w14:paraId="484E887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距源中心下风向距离（m）</w:t>
            </w:r>
          </w:p>
        </w:tc>
        <w:tc>
          <w:tcPr>
            <w:tcW w:w="2385" w:type="dxa"/>
            <w:gridSpan w:val="2"/>
            <w:tcBorders>
              <w:left w:val="single" w:color="auto" w:sz="6" w:space="0"/>
            </w:tcBorders>
            <w:vAlign w:val="center"/>
          </w:tcPr>
          <w:p w14:paraId="29A33EAD">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DA005</w:t>
            </w:r>
          </w:p>
        </w:tc>
        <w:tc>
          <w:tcPr>
            <w:tcW w:w="4766" w:type="dxa"/>
            <w:gridSpan w:val="4"/>
            <w:tcBorders>
              <w:left w:val="single" w:color="auto" w:sz="6" w:space="0"/>
            </w:tcBorders>
            <w:vAlign w:val="center"/>
          </w:tcPr>
          <w:p w14:paraId="2F74462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b/>
                <w:color w:val="auto"/>
                <w:sz w:val="21"/>
                <w:szCs w:val="21"/>
                <w:highlight w:val="none"/>
              </w:rPr>
            </w:pPr>
            <w:r>
              <w:rPr>
                <w:rFonts w:hint="eastAsia" w:ascii="Times New Roman" w:hAnsi="Times New Roman"/>
                <w:b/>
                <w:color w:val="auto"/>
                <w:sz w:val="21"/>
                <w:szCs w:val="21"/>
                <w:highlight w:val="none"/>
              </w:rPr>
              <w:t>DA006</w:t>
            </w:r>
          </w:p>
        </w:tc>
      </w:tr>
      <w:tr w14:paraId="1FA08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continue"/>
            <w:vAlign w:val="center"/>
          </w:tcPr>
          <w:p w14:paraId="57CCD5C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2385" w:type="dxa"/>
            <w:gridSpan w:val="2"/>
            <w:tcBorders>
              <w:left w:val="single" w:color="auto" w:sz="6" w:space="0"/>
              <w:right w:val="single" w:color="auto" w:sz="4" w:space="0"/>
            </w:tcBorders>
            <w:vAlign w:val="center"/>
          </w:tcPr>
          <w:p w14:paraId="2AA920A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w:t>
            </w:r>
          </w:p>
        </w:tc>
        <w:tc>
          <w:tcPr>
            <w:tcW w:w="2384" w:type="dxa"/>
            <w:gridSpan w:val="2"/>
            <w:tcBorders>
              <w:left w:val="single" w:color="auto" w:sz="4" w:space="0"/>
            </w:tcBorders>
            <w:vAlign w:val="center"/>
          </w:tcPr>
          <w:p w14:paraId="08C740FC">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hint="eastAsia" w:ascii="Times New Roman" w:hAnsi="Times New Roman"/>
                <w:b/>
                <w:color w:val="auto"/>
                <w:sz w:val="21"/>
                <w:szCs w:val="21"/>
                <w:highlight w:val="none"/>
              </w:rPr>
              <w:t>非甲烷总烃</w:t>
            </w:r>
          </w:p>
        </w:tc>
        <w:tc>
          <w:tcPr>
            <w:tcW w:w="2382" w:type="dxa"/>
            <w:gridSpan w:val="2"/>
            <w:tcBorders>
              <w:left w:val="single" w:color="auto" w:sz="4" w:space="0"/>
            </w:tcBorders>
            <w:vAlign w:val="center"/>
          </w:tcPr>
          <w:p w14:paraId="342E245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b/>
                <w:color w:val="auto"/>
                <w:sz w:val="21"/>
                <w:szCs w:val="21"/>
                <w:highlight w:val="none"/>
                <w:lang w:val="en-US" w:eastAsia="zh-CN"/>
              </w:rPr>
            </w:pPr>
            <w:r>
              <w:rPr>
                <w:rFonts w:hint="eastAsia" w:ascii="Times New Roman" w:hAnsi="Times New Roman"/>
                <w:b/>
                <w:color w:val="auto"/>
                <w:sz w:val="21"/>
                <w:szCs w:val="21"/>
                <w:highlight w:val="none"/>
                <w:lang w:val="en-US" w:eastAsia="zh-CN"/>
              </w:rPr>
              <w:t>氮氧化物</w:t>
            </w:r>
          </w:p>
        </w:tc>
      </w:tr>
      <w:tr w14:paraId="28F37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Merge w:val="continue"/>
            <w:vAlign w:val="center"/>
          </w:tcPr>
          <w:p w14:paraId="0E0811C9">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p>
        </w:tc>
        <w:tc>
          <w:tcPr>
            <w:tcW w:w="1192" w:type="dxa"/>
            <w:tcBorders>
              <w:left w:val="single" w:color="auto" w:sz="6" w:space="0"/>
            </w:tcBorders>
            <w:vAlign w:val="center"/>
          </w:tcPr>
          <w:p w14:paraId="5F6D7EC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3" w:type="dxa"/>
            <w:tcBorders>
              <w:left w:val="single" w:color="auto" w:sz="6" w:space="0"/>
            </w:tcBorders>
            <w:vAlign w:val="center"/>
          </w:tcPr>
          <w:p w14:paraId="4AE0C0F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1192" w:type="dxa"/>
            <w:tcBorders>
              <w:left w:val="single" w:color="auto" w:sz="6" w:space="0"/>
            </w:tcBorders>
            <w:vAlign w:val="center"/>
          </w:tcPr>
          <w:p w14:paraId="363A5EBF">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2" w:type="dxa"/>
            <w:tcBorders>
              <w:left w:val="single" w:color="auto" w:sz="6" w:space="0"/>
            </w:tcBorders>
            <w:vAlign w:val="center"/>
          </w:tcPr>
          <w:p w14:paraId="68824D2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c>
          <w:tcPr>
            <w:tcW w:w="1192" w:type="dxa"/>
            <w:tcBorders>
              <w:left w:val="single" w:color="auto" w:sz="6" w:space="0"/>
            </w:tcBorders>
            <w:vAlign w:val="center"/>
          </w:tcPr>
          <w:p w14:paraId="21310668">
            <w:pPr>
              <w:keepNext w:val="0"/>
              <w:keepLines w:val="0"/>
              <w:pageBreakBefore w:val="0"/>
              <w:widowControl/>
              <w:kinsoku/>
              <w:wordWrap/>
              <w:overflowPunct/>
              <w:topLinePunct w:val="0"/>
              <w:autoSpaceDE/>
              <w:autoSpaceDN/>
              <w:bidi w:val="0"/>
              <w:adjustRightInd/>
              <w:snapToGrid/>
              <w:ind w:left="0" w:leftChars="0" w:right="0" w:right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下风向预测浓度（μg/m</w:t>
            </w:r>
            <w:r>
              <w:rPr>
                <w:rFonts w:ascii="Times New Roman" w:hAnsi="Times New Roman"/>
                <w:b/>
                <w:color w:val="auto"/>
                <w:sz w:val="21"/>
                <w:szCs w:val="21"/>
                <w:highlight w:val="none"/>
                <w:vertAlign w:val="superscript"/>
              </w:rPr>
              <w:t>3</w:t>
            </w:r>
            <w:r>
              <w:rPr>
                <w:rFonts w:ascii="Times New Roman" w:hAnsi="Times New Roman"/>
                <w:b/>
                <w:color w:val="auto"/>
                <w:sz w:val="21"/>
                <w:szCs w:val="21"/>
                <w:highlight w:val="none"/>
              </w:rPr>
              <w:t>）</w:t>
            </w:r>
          </w:p>
        </w:tc>
        <w:tc>
          <w:tcPr>
            <w:tcW w:w="1190" w:type="dxa"/>
            <w:tcBorders>
              <w:left w:val="single" w:color="auto" w:sz="6" w:space="0"/>
            </w:tcBorders>
            <w:vAlign w:val="center"/>
          </w:tcPr>
          <w:p w14:paraId="549E8D61">
            <w:pPr>
              <w:keepNext w:val="0"/>
              <w:keepLines w:val="0"/>
              <w:pageBreakBefore w:val="0"/>
              <w:widowControl/>
              <w:kinsoku/>
              <w:wordWrap/>
              <w:overflowPunct/>
              <w:topLinePunct w:val="0"/>
              <w:autoSpaceDE/>
              <w:autoSpaceDN/>
              <w:bidi w:val="0"/>
              <w:adjustRightInd/>
              <w:snapToGrid/>
              <w:ind w:left="0" w:leftChars="0" w:right="0" w:right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浓度占标率（%）</w:t>
            </w:r>
          </w:p>
        </w:tc>
      </w:tr>
      <w:tr w14:paraId="11B01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6ED1F87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w:t>
            </w:r>
          </w:p>
        </w:tc>
        <w:tc>
          <w:tcPr>
            <w:tcW w:w="1192" w:type="dxa"/>
            <w:tcBorders>
              <w:left w:val="single" w:color="auto" w:sz="6" w:space="0"/>
            </w:tcBorders>
            <w:vAlign w:val="center"/>
          </w:tcPr>
          <w:p w14:paraId="0CC34A2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0.47676</w:t>
            </w:r>
          </w:p>
        </w:tc>
        <w:tc>
          <w:tcPr>
            <w:tcW w:w="1193" w:type="dxa"/>
            <w:tcBorders>
              <w:left w:val="single" w:color="auto" w:sz="6" w:space="0"/>
            </w:tcBorders>
            <w:vAlign w:val="center"/>
          </w:tcPr>
          <w:p w14:paraId="1C8F8EA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DBB0A2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0.05813</w:t>
            </w:r>
          </w:p>
        </w:tc>
        <w:tc>
          <w:tcPr>
            <w:tcW w:w="1192" w:type="dxa"/>
            <w:tcBorders>
              <w:left w:val="single" w:color="auto" w:sz="6" w:space="0"/>
            </w:tcBorders>
            <w:vAlign w:val="center"/>
          </w:tcPr>
          <w:p w14:paraId="20A2D6D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2563392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0.0278835</w:t>
            </w:r>
          </w:p>
        </w:tc>
        <w:tc>
          <w:tcPr>
            <w:tcW w:w="1190" w:type="dxa"/>
            <w:tcBorders>
              <w:left w:val="single" w:color="auto" w:sz="6" w:space="0"/>
            </w:tcBorders>
            <w:vAlign w:val="center"/>
          </w:tcPr>
          <w:p w14:paraId="61897BD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5C83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C316E7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w:t>
            </w:r>
          </w:p>
        </w:tc>
        <w:tc>
          <w:tcPr>
            <w:tcW w:w="1192" w:type="dxa"/>
            <w:tcBorders>
              <w:left w:val="single" w:color="auto" w:sz="6" w:space="0"/>
            </w:tcBorders>
            <w:vAlign w:val="center"/>
          </w:tcPr>
          <w:p w14:paraId="304A8F6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12.693</w:t>
            </w:r>
          </w:p>
        </w:tc>
        <w:tc>
          <w:tcPr>
            <w:tcW w:w="1193" w:type="dxa"/>
            <w:tcBorders>
              <w:left w:val="single" w:color="auto" w:sz="6" w:space="0"/>
            </w:tcBorders>
            <w:vAlign w:val="center"/>
          </w:tcPr>
          <w:p w14:paraId="45F6D86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0.60</w:t>
            </w:r>
          </w:p>
        </w:tc>
        <w:tc>
          <w:tcPr>
            <w:tcW w:w="1192" w:type="dxa"/>
            <w:tcBorders>
              <w:left w:val="single" w:color="auto" w:sz="6" w:space="0"/>
            </w:tcBorders>
            <w:vAlign w:val="center"/>
          </w:tcPr>
          <w:p w14:paraId="655CDC3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0.63205</w:t>
            </w:r>
          </w:p>
        </w:tc>
        <w:tc>
          <w:tcPr>
            <w:tcW w:w="1192" w:type="dxa"/>
            <w:tcBorders>
              <w:left w:val="single" w:color="auto" w:sz="6" w:space="0"/>
            </w:tcBorders>
            <w:vAlign w:val="center"/>
          </w:tcPr>
          <w:p w14:paraId="6F7F6B6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10A3354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0.303178</w:t>
            </w:r>
          </w:p>
        </w:tc>
        <w:tc>
          <w:tcPr>
            <w:tcW w:w="1190" w:type="dxa"/>
            <w:tcBorders>
              <w:left w:val="single" w:color="auto" w:sz="6" w:space="0"/>
            </w:tcBorders>
            <w:vAlign w:val="center"/>
          </w:tcPr>
          <w:p w14:paraId="71A5368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671B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51BE94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w:t>
            </w:r>
          </w:p>
        </w:tc>
        <w:tc>
          <w:tcPr>
            <w:tcW w:w="1192" w:type="dxa"/>
            <w:tcBorders>
              <w:left w:val="single" w:color="auto" w:sz="6" w:space="0"/>
            </w:tcBorders>
            <w:vAlign w:val="center"/>
          </w:tcPr>
          <w:p w14:paraId="1ECACB8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10.863</w:t>
            </w:r>
          </w:p>
        </w:tc>
        <w:tc>
          <w:tcPr>
            <w:tcW w:w="1193" w:type="dxa"/>
            <w:tcBorders>
              <w:left w:val="single" w:color="auto" w:sz="6" w:space="0"/>
            </w:tcBorders>
            <w:vAlign w:val="center"/>
          </w:tcPr>
          <w:p w14:paraId="57CE26C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w:t>
            </w:r>
          </w:p>
        </w:tc>
        <w:tc>
          <w:tcPr>
            <w:tcW w:w="1192" w:type="dxa"/>
            <w:tcBorders>
              <w:left w:val="single" w:color="auto" w:sz="6" w:space="0"/>
            </w:tcBorders>
            <w:vAlign w:val="center"/>
          </w:tcPr>
          <w:p w14:paraId="4FCF033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0.68379</w:t>
            </w:r>
          </w:p>
        </w:tc>
        <w:tc>
          <w:tcPr>
            <w:tcW w:w="1192" w:type="dxa"/>
            <w:tcBorders>
              <w:left w:val="single" w:color="auto" w:sz="6" w:space="0"/>
            </w:tcBorders>
            <w:vAlign w:val="center"/>
          </w:tcPr>
          <w:p w14:paraId="2F4C64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56D1D18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0.327997</w:t>
            </w:r>
          </w:p>
        </w:tc>
        <w:tc>
          <w:tcPr>
            <w:tcW w:w="1190" w:type="dxa"/>
            <w:tcBorders>
              <w:left w:val="single" w:color="auto" w:sz="6" w:space="0"/>
            </w:tcBorders>
            <w:vAlign w:val="center"/>
          </w:tcPr>
          <w:p w14:paraId="1D04C8E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6A194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D70D26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70</w:t>
            </w:r>
          </w:p>
        </w:tc>
        <w:tc>
          <w:tcPr>
            <w:tcW w:w="1192" w:type="dxa"/>
            <w:tcBorders>
              <w:left w:val="single" w:color="auto" w:sz="6" w:space="0"/>
            </w:tcBorders>
            <w:vAlign w:val="center"/>
          </w:tcPr>
          <w:p w14:paraId="0A680B4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3" w:type="dxa"/>
            <w:tcBorders>
              <w:left w:val="single" w:color="auto" w:sz="6" w:space="0"/>
            </w:tcBorders>
            <w:vAlign w:val="center"/>
          </w:tcPr>
          <w:p w14:paraId="60CB2EE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73D9EA8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1.469</w:t>
            </w:r>
          </w:p>
        </w:tc>
        <w:tc>
          <w:tcPr>
            <w:tcW w:w="1192" w:type="dxa"/>
            <w:tcBorders>
              <w:left w:val="single" w:color="auto" w:sz="6" w:space="0"/>
            </w:tcBorders>
            <w:vAlign w:val="center"/>
          </w:tcPr>
          <w:p w14:paraId="4FA188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7573C57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0.704642</w:t>
            </w:r>
          </w:p>
        </w:tc>
        <w:tc>
          <w:tcPr>
            <w:tcW w:w="1190" w:type="dxa"/>
            <w:tcBorders>
              <w:left w:val="single" w:color="auto" w:sz="6" w:space="0"/>
            </w:tcBorders>
            <w:vAlign w:val="center"/>
          </w:tcPr>
          <w:p w14:paraId="4CD7622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w:t>
            </w:r>
          </w:p>
        </w:tc>
      </w:tr>
      <w:tr w14:paraId="17C58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6D8771AB">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75</w:t>
            </w:r>
          </w:p>
        </w:tc>
        <w:tc>
          <w:tcPr>
            <w:tcW w:w="1192" w:type="dxa"/>
            <w:tcBorders>
              <w:left w:val="single" w:color="auto" w:sz="6" w:space="0"/>
            </w:tcBorders>
            <w:vAlign w:val="center"/>
          </w:tcPr>
          <w:p w14:paraId="3908D70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14.21</w:t>
            </w:r>
          </w:p>
        </w:tc>
        <w:tc>
          <w:tcPr>
            <w:tcW w:w="1193" w:type="dxa"/>
            <w:tcBorders>
              <w:left w:val="single" w:color="auto" w:sz="6" w:space="0"/>
            </w:tcBorders>
            <w:vAlign w:val="center"/>
          </w:tcPr>
          <w:p w14:paraId="3A65C76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w:t>
            </w:r>
          </w:p>
        </w:tc>
        <w:tc>
          <w:tcPr>
            <w:tcW w:w="1192" w:type="dxa"/>
            <w:tcBorders>
              <w:left w:val="single" w:color="auto" w:sz="6" w:space="0"/>
            </w:tcBorders>
            <w:vAlign w:val="center"/>
          </w:tcPr>
          <w:p w14:paraId="4B6BE6A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1.4559</w:t>
            </w:r>
          </w:p>
        </w:tc>
        <w:tc>
          <w:tcPr>
            <w:tcW w:w="1192" w:type="dxa"/>
            <w:tcBorders>
              <w:left w:val="single" w:color="auto" w:sz="6" w:space="0"/>
            </w:tcBorders>
            <w:vAlign w:val="center"/>
          </w:tcPr>
          <w:p w14:paraId="05BBFE2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43C05A7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0.698359</w:t>
            </w:r>
          </w:p>
        </w:tc>
        <w:tc>
          <w:tcPr>
            <w:tcW w:w="1190" w:type="dxa"/>
            <w:tcBorders>
              <w:left w:val="single" w:color="auto" w:sz="6" w:space="0"/>
            </w:tcBorders>
            <w:vAlign w:val="center"/>
          </w:tcPr>
          <w:p w14:paraId="0501148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w:t>
            </w:r>
          </w:p>
        </w:tc>
      </w:tr>
      <w:tr w14:paraId="7632E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4E6C82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w:t>
            </w:r>
          </w:p>
        </w:tc>
        <w:tc>
          <w:tcPr>
            <w:tcW w:w="1192" w:type="dxa"/>
            <w:tcBorders>
              <w:left w:val="single" w:color="auto" w:sz="6" w:space="0"/>
            </w:tcBorders>
            <w:vAlign w:val="center"/>
          </w:tcPr>
          <w:p w14:paraId="52E4577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32.278</w:t>
            </w:r>
          </w:p>
        </w:tc>
        <w:tc>
          <w:tcPr>
            <w:tcW w:w="1193" w:type="dxa"/>
            <w:tcBorders>
              <w:left w:val="single" w:color="auto" w:sz="6" w:space="0"/>
            </w:tcBorders>
            <w:vAlign w:val="center"/>
          </w:tcPr>
          <w:p w14:paraId="4AD6188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1.60</w:t>
            </w:r>
          </w:p>
        </w:tc>
        <w:tc>
          <w:tcPr>
            <w:tcW w:w="1192" w:type="dxa"/>
            <w:tcBorders>
              <w:left w:val="single" w:color="auto" w:sz="6" w:space="0"/>
            </w:tcBorders>
            <w:vAlign w:val="center"/>
          </w:tcPr>
          <w:p w14:paraId="0442B7D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1.2337</w:t>
            </w:r>
          </w:p>
        </w:tc>
        <w:tc>
          <w:tcPr>
            <w:tcW w:w="1192" w:type="dxa"/>
            <w:tcBorders>
              <w:left w:val="single" w:color="auto" w:sz="6" w:space="0"/>
            </w:tcBorders>
            <w:vAlign w:val="center"/>
          </w:tcPr>
          <w:p w14:paraId="3D20CA3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c>
          <w:tcPr>
            <w:tcW w:w="1192" w:type="dxa"/>
            <w:tcBorders>
              <w:left w:val="single" w:color="auto" w:sz="6" w:space="0"/>
            </w:tcBorders>
            <w:vAlign w:val="center"/>
          </w:tcPr>
          <w:p w14:paraId="479CDE1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0.591775</w:t>
            </w:r>
          </w:p>
        </w:tc>
        <w:tc>
          <w:tcPr>
            <w:tcW w:w="1190" w:type="dxa"/>
            <w:tcBorders>
              <w:left w:val="single" w:color="auto" w:sz="6" w:space="0"/>
            </w:tcBorders>
            <w:vAlign w:val="center"/>
          </w:tcPr>
          <w:p w14:paraId="0B5BB22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r>
      <w:tr w14:paraId="441FB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E6D706F">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113</w:t>
            </w:r>
          </w:p>
        </w:tc>
        <w:tc>
          <w:tcPr>
            <w:tcW w:w="1192" w:type="dxa"/>
            <w:tcBorders>
              <w:left w:val="single" w:color="auto" w:sz="6" w:space="0"/>
            </w:tcBorders>
            <w:vAlign w:val="center"/>
          </w:tcPr>
          <w:p w14:paraId="0AE8233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35.581</w:t>
            </w:r>
          </w:p>
        </w:tc>
        <w:tc>
          <w:tcPr>
            <w:tcW w:w="1193" w:type="dxa"/>
            <w:tcBorders>
              <w:left w:val="single" w:color="auto" w:sz="6" w:space="0"/>
            </w:tcBorders>
            <w:vAlign w:val="center"/>
          </w:tcPr>
          <w:p w14:paraId="06E3AC7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1.80</w:t>
            </w:r>
          </w:p>
        </w:tc>
        <w:tc>
          <w:tcPr>
            <w:tcW w:w="1192" w:type="dxa"/>
            <w:tcBorders>
              <w:left w:val="single" w:color="auto" w:sz="6" w:space="0"/>
            </w:tcBorders>
            <w:vAlign w:val="center"/>
          </w:tcPr>
          <w:p w14:paraId="005530C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315420A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2" w:type="dxa"/>
            <w:tcBorders>
              <w:left w:val="single" w:color="auto" w:sz="6" w:space="0"/>
            </w:tcBorders>
            <w:vAlign w:val="center"/>
          </w:tcPr>
          <w:p w14:paraId="5464D90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1190" w:type="dxa"/>
            <w:tcBorders>
              <w:left w:val="single" w:color="auto" w:sz="6" w:space="0"/>
            </w:tcBorders>
            <w:vAlign w:val="center"/>
          </w:tcPr>
          <w:p w14:paraId="3971160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r>
      <w:tr w14:paraId="0F009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F85325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125</w:t>
            </w:r>
          </w:p>
        </w:tc>
        <w:tc>
          <w:tcPr>
            <w:tcW w:w="1192" w:type="dxa"/>
            <w:tcBorders>
              <w:left w:val="single" w:color="auto" w:sz="6" w:space="0"/>
            </w:tcBorders>
            <w:vAlign w:val="center"/>
          </w:tcPr>
          <w:p w14:paraId="740F381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35.071</w:t>
            </w:r>
          </w:p>
        </w:tc>
        <w:tc>
          <w:tcPr>
            <w:tcW w:w="1193" w:type="dxa"/>
            <w:tcBorders>
              <w:left w:val="single" w:color="auto" w:sz="6" w:space="0"/>
            </w:tcBorders>
            <w:vAlign w:val="center"/>
          </w:tcPr>
          <w:p w14:paraId="3DFAE66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1.80</w:t>
            </w:r>
          </w:p>
        </w:tc>
        <w:tc>
          <w:tcPr>
            <w:tcW w:w="1192" w:type="dxa"/>
            <w:tcBorders>
              <w:left w:val="single" w:color="auto" w:sz="6" w:space="0"/>
            </w:tcBorders>
            <w:vAlign w:val="center"/>
          </w:tcPr>
          <w:p w14:paraId="5C6C9A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0.98429</w:t>
            </w:r>
          </w:p>
        </w:tc>
        <w:tc>
          <w:tcPr>
            <w:tcW w:w="1192" w:type="dxa"/>
            <w:tcBorders>
              <w:left w:val="single" w:color="auto" w:sz="6" w:space="0"/>
            </w:tcBorders>
            <w:vAlign w:val="center"/>
          </w:tcPr>
          <w:p w14:paraId="3563D6B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3B09D30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0.472139</w:t>
            </w:r>
          </w:p>
        </w:tc>
        <w:tc>
          <w:tcPr>
            <w:tcW w:w="1190" w:type="dxa"/>
            <w:tcBorders>
              <w:left w:val="single" w:color="auto" w:sz="6" w:space="0"/>
            </w:tcBorders>
            <w:vAlign w:val="center"/>
          </w:tcPr>
          <w:p w14:paraId="55B3159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r>
      <w:tr w14:paraId="73C61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0F52C2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w:t>
            </w:r>
          </w:p>
        </w:tc>
        <w:tc>
          <w:tcPr>
            <w:tcW w:w="1192" w:type="dxa"/>
            <w:tcBorders>
              <w:left w:val="single" w:color="auto" w:sz="6" w:space="0"/>
            </w:tcBorders>
            <w:vAlign w:val="center"/>
          </w:tcPr>
          <w:p w14:paraId="386A577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32.056</w:t>
            </w:r>
          </w:p>
        </w:tc>
        <w:tc>
          <w:tcPr>
            <w:tcW w:w="1193" w:type="dxa"/>
            <w:tcBorders>
              <w:left w:val="single" w:color="auto" w:sz="6" w:space="0"/>
            </w:tcBorders>
            <w:vAlign w:val="center"/>
          </w:tcPr>
          <w:p w14:paraId="5E4568A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1.60</w:t>
            </w:r>
          </w:p>
        </w:tc>
        <w:tc>
          <w:tcPr>
            <w:tcW w:w="1192" w:type="dxa"/>
            <w:tcBorders>
              <w:left w:val="single" w:color="auto" w:sz="6" w:space="0"/>
            </w:tcBorders>
            <w:vAlign w:val="center"/>
          </w:tcPr>
          <w:p w14:paraId="058C962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0.78737</w:t>
            </w:r>
          </w:p>
        </w:tc>
        <w:tc>
          <w:tcPr>
            <w:tcW w:w="1192" w:type="dxa"/>
            <w:tcBorders>
              <w:left w:val="single" w:color="auto" w:sz="6" w:space="0"/>
            </w:tcBorders>
            <w:vAlign w:val="center"/>
          </w:tcPr>
          <w:p w14:paraId="5B750C0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0E4FAE4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0.377682</w:t>
            </w:r>
          </w:p>
        </w:tc>
        <w:tc>
          <w:tcPr>
            <w:tcW w:w="1190" w:type="dxa"/>
            <w:tcBorders>
              <w:left w:val="single" w:color="auto" w:sz="6" w:space="0"/>
            </w:tcBorders>
            <w:vAlign w:val="center"/>
          </w:tcPr>
          <w:p w14:paraId="015A408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w:t>
            </w:r>
          </w:p>
        </w:tc>
      </w:tr>
      <w:tr w14:paraId="3F34F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1AADF98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175</w:t>
            </w:r>
          </w:p>
        </w:tc>
        <w:tc>
          <w:tcPr>
            <w:tcW w:w="1192" w:type="dxa"/>
            <w:tcBorders>
              <w:left w:val="single" w:color="auto" w:sz="6" w:space="0"/>
            </w:tcBorders>
            <w:vAlign w:val="center"/>
          </w:tcPr>
          <w:p w14:paraId="7BD3217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28.314</w:t>
            </w:r>
          </w:p>
        </w:tc>
        <w:tc>
          <w:tcPr>
            <w:tcW w:w="1193" w:type="dxa"/>
            <w:tcBorders>
              <w:left w:val="single" w:color="auto" w:sz="6" w:space="0"/>
            </w:tcBorders>
            <w:vAlign w:val="center"/>
          </w:tcPr>
          <w:p w14:paraId="4B0CC17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1.40</w:t>
            </w:r>
          </w:p>
        </w:tc>
        <w:tc>
          <w:tcPr>
            <w:tcW w:w="1192" w:type="dxa"/>
            <w:tcBorders>
              <w:left w:val="single" w:color="auto" w:sz="6" w:space="0"/>
            </w:tcBorders>
            <w:vAlign w:val="center"/>
          </w:tcPr>
          <w:p w14:paraId="45787E3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0.64038</w:t>
            </w:r>
          </w:p>
        </w:tc>
        <w:tc>
          <w:tcPr>
            <w:tcW w:w="1192" w:type="dxa"/>
            <w:tcBorders>
              <w:left w:val="single" w:color="auto" w:sz="6" w:space="0"/>
            </w:tcBorders>
            <w:vAlign w:val="center"/>
          </w:tcPr>
          <w:p w14:paraId="136ABFD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3CDD74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0.307174</w:t>
            </w:r>
          </w:p>
        </w:tc>
        <w:tc>
          <w:tcPr>
            <w:tcW w:w="1190" w:type="dxa"/>
            <w:tcBorders>
              <w:left w:val="single" w:color="auto" w:sz="6" w:space="0"/>
            </w:tcBorders>
            <w:vAlign w:val="center"/>
          </w:tcPr>
          <w:p w14:paraId="63142CE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74BC8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458FA78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w:t>
            </w:r>
          </w:p>
        </w:tc>
        <w:tc>
          <w:tcPr>
            <w:tcW w:w="1192" w:type="dxa"/>
            <w:tcBorders>
              <w:left w:val="single" w:color="auto" w:sz="6" w:space="0"/>
            </w:tcBorders>
            <w:vAlign w:val="center"/>
          </w:tcPr>
          <w:p w14:paraId="32F16BE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24.778</w:t>
            </w:r>
          </w:p>
        </w:tc>
        <w:tc>
          <w:tcPr>
            <w:tcW w:w="1193" w:type="dxa"/>
            <w:tcBorders>
              <w:left w:val="single" w:color="auto" w:sz="6" w:space="0"/>
            </w:tcBorders>
            <w:vAlign w:val="center"/>
          </w:tcPr>
          <w:p w14:paraId="272B060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1.20</w:t>
            </w:r>
          </w:p>
        </w:tc>
        <w:tc>
          <w:tcPr>
            <w:tcW w:w="1192" w:type="dxa"/>
            <w:tcBorders>
              <w:left w:val="single" w:color="auto" w:sz="6" w:space="0"/>
            </w:tcBorders>
            <w:vAlign w:val="center"/>
          </w:tcPr>
          <w:p w14:paraId="6EEB63A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0.53414</w:t>
            </w:r>
          </w:p>
        </w:tc>
        <w:tc>
          <w:tcPr>
            <w:tcW w:w="1192" w:type="dxa"/>
            <w:tcBorders>
              <w:left w:val="single" w:color="auto" w:sz="6" w:space="0"/>
            </w:tcBorders>
            <w:vAlign w:val="center"/>
          </w:tcPr>
          <w:p w14:paraId="0C0707D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1DFA1F5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0.256214</w:t>
            </w:r>
          </w:p>
        </w:tc>
        <w:tc>
          <w:tcPr>
            <w:tcW w:w="1190" w:type="dxa"/>
            <w:tcBorders>
              <w:left w:val="single" w:color="auto" w:sz="6" w:space="0"/>
            </w:tcBorders>
            <w:vAlign w:val="center"/>
          </w:tcPr>
          <w:p w14:paraId="42DF1D5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5CF0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40A8F1C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225</w:t>
            </w:r>
          </w:p>
        </w:tc>
        <w:tc>
          <w:tcPr>
            <w:tcW w:w="1192" w:type="dxa"/>
            <w:tcBorders>
              <w:left w:val="single" w:color="auto" w:sz="6" w:space="0"/>
            </w:tcBorders>
            <w:vAlign w:val="center"/>
          </w:tcPr>
          <w:p w14:paraId="03674A2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21.698</w:t>
            </w:r>
          </w:p>
        </w:tc>
        <w:tc>
          <w:tcPr>
            <w:tcW w:w="1193" w:type="dxa"/>
            <w:tcBorders>
              <w:left w:val="single" w:color="auto" w:sz="6" w:space="0"/>
            </w:tcBorders>
            <w:vAlign w:val="center"/>
          </w:tcPr>
          <w:p w14:paraId="0B54F07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1.10</w:t>
            </w:r>
          </w:p>
        </w:tc>
        <w:tc>
          <w:tcPr>
            <w:tcW w:w="1192" w:type="dxa"/>
            <w:tcBorders>
              <w:left w:val="single" w:color="auto" w:sz="6" w:space="0"/>
            </w:tcBorders>
            <w:vAlign w:val="center"/>
          </w:tcPr>
          <w:p w14:paraId="08C75D5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0.5123</w:t>
            </w:r>
          </w:p>
        </w:tc>
        <w:tc>
          <w:tcPr>
            <w:tcW w:w="1192" w:type="dxa"/>
            <w:tcBorders>
              <w:left w:val="single" w:color="auto" w:sz="6" w:space="0"/>
            </w:tcBorders>
            <w:vAlign w:val="center"/>
          </w:tcPr>
          <w:p w14:paraId="1285C3E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C6DFCC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0.245737</w:t>
            </w:r>
          </w:p>
        </w:tc>
        <w:tc>
          <w:tcPr>
            <w:tcW w:w="1190" w:type="dxa"/>
            <w:tcBorders>
              <w:left w:val="single" w:color="auto" w:sz="6" w:space="0"/>
            </w:tcBorders>
            <w:vAlign w:val="center"/>
          </w:tcPr>
          <w:p w14:paraId="17D5444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6ABA4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ACD0A57">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w:t>
            </w:r>
          </w:p>
        </w:tc>
        <w:tc>
          <w:tcPr>
            <w:tcW w:w="1192" w:type="dxa"/>
            <w:tcBorders>
              <w:left w:val="single" w:color="auto" w:sz="6" w:space="0"/>
            </w:tcBorders>
            <w:vAlign w:val="center"/>
          </w:tcPr>
          <w:p w14:paraId="166D41C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19.091</w:t>
            </w:r>
          </w:p>
        </w:tc>
        <w:tc>
          <w:tcPr>
            <w:tcW w:w="1193" w:type="dxa"/>
            <w:tcBorders>
              <w:left w:val="single" w:color="auto" w:sz="6" w:space="0"/>
            </w:tcBorders>
            <w:vAlign w:val="center"/>
          </w:tcPr>
          <w:p w14:paraId="6D7C818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1.00</w:t>
            </w:r>
          </w:p>
        </w:tc>
        <w:tc>
          <w:tcPr>
            <w:tcW w:w="1192" w:type="dxa"/>
            <w:tcBorders>
              <w:left w:val="single" w:color="auto" w:sz="6" w:space="0"/>
            </w:tcBorders>
            <w:vAlign w:val="center"/>
          </w:tcPr>
          <w:p w14:paraId="4D5F542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0.63111</w:t>
            </w:r>
          </w:p>
        </w:tc>
        <w:tc>
          <w:tcPr>
            <w:tcW w:w="1192" w:type="dxa"/>
            <w:tcBorders>
              <w:left w:val="single" w:color="auto" w:sz="6" w:space="0"/>
            </w:tcBorders>
            <w:vAlign w:val="center"/>
          </w:tcPr>
          <w:p w14:paraId="616C886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13DCCF2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0.302728</w:t>
            </w:r>
          </w:p>
        </w:tc>
        <w:tc>
          <w:tcPr>
            <w:tcW w:w="1190" w:type="dxa"/>
            <w:tcBorders>
              <w:left w:val="single" w:color="auto" w:sz="6" w:space="0"/>
            </w:tcBorders>
            <w:vAlign w:val="center"/>
          </w:tcPr>
          <w:p w14:paraId="7E16DF5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59A80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1EC7365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275</w:t>
            </w:r>
          </w:p>
        </w:tc>
        <w:tc>
          <w:tcPr>
            <w:tcW w:w="1192" w:type="dxa"/>
            <w:tcBorders>
              <w:left w:val="single" w:color="auto" w:sz="6" w:space="0"/>
            </w:tcBorders>
            <w:vAlign w:val="center"/>
          </w:tcPr>
          <w:p w14:paraId="434D5E8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16.903</w:t>
            </w:r>
          </w:p>
        </w:tc>
        <w:tc>
          <w:tcPr>
            <w:tcW w:w="1193" w:type="dxa"/>
            <w:tcBorders>
              <w:left w:val="single" w:color="auto" w:sz="6" w:space="0"/>
            </w:tcBorders>
            <w:vAlign w:val="center"/>
          </w:tcPr>
          <w:p w14:paraId="6C82280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0.80</w:t>
            </w:r>
          </w:p>
        </w:tc>
        <w:tc>
          <w:tcPr>
            <w:tcW w:w="1192" w:type="dxa"/>
            <w:tcBorders>
              <w:left w:val="single" w:color="auto" w:sz="6" w:space="0"/>
            </w:tcBorders>
            <w:vAlign w:val="center"/>
          </w:tcPr>
          <w:p w14:paraId="1A65E19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0.72076</w:t>
            </w:r>
          </w:p>
        </w:tc>
        <w:tc>
          <w:tcPr>
            <w:tcW w:w="1192" w:type="dxa"/>
            <w:tcBorders>
              <w:left w:val="single" w:color="auto" w:sz="6" w:space="0"/>
            </w:tcBorders>
            <w:vAlign w:val="center"/>
          </w:tcPr>
          <w:p w14:paraId="2F2C986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0B03C0B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0.34573</w:t>
            </w:r>
          </w:p>
        </w:tc>
        <w:tc>
          <w:tcPr>
            <w:tcW w:w="1190" w:type="dxa"/>
            <w:tcBorders>
              <w:left w:val="single" w:color="auto" w:sz="6" w:space="0"/>
            </w:tcBorders>
            <w:vAlign w:val="center"/>
          </w:tcPr>
          <w:p w14:paraId="5FE7399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2DD52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63D50E5E">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300</w:t>
            </w:r>
          </w:p>
        </w:tc>
        <w:tc>
          <w:tcPr>
            <w:tcW w:w="1192" w:type="dxa"/>
            <w:tcBorders>
              <w:left w:val="single" w:color="auto" w:sz="6" w:space="0"/>
            </w:tcBorders>
            <w:vAlign w:val="center"/>
          </w:tcPr>
          <w:p w14:paraId="1C865CF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15.065</w:t>
            </w:r>
          </w:p>
        </w:tc>
        <w:tc>
          <w:tcPr>
            <w:tcW w:w="1193" w:type="dxa"/>
            <w:tcBorders>
              <w:left w:val="single" w:color="auto" w:sz="6" w:space="0"/>
            </w:tcBorders>
            <w:vAlign w:val="center"/>
          </w:tcPr>
          <w:p w14:paraId="16E977A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0.80</w:t>
            </w:r>
          </w:p>
        </w:tc>
        <w:tc>
          <w:tcPr>
            <w:tcW w:w="1192" w:type="dxa"/>
            <w:tcBorders>
              <w:left w:val="single" w:color="auto" w:sz="6" w:space="0"/>
            </w:tcBorders>
            <w:vAlign w:val="center"/>
          </w:tcPr>
          <w:p w14:paraId="2AC0294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0.7787</w:t>
            </w:r>
          </w:p>
        </w:tc>
        <w:tc>
          <w:tcPr>
            <w:tcW w:w="1192" w:type="dxa"/>
            <w:tcBorders>
              <w:left w:val="single" w:color="auto" w:sz="6" w:space="0"/>
            </w:tcBorders>
            <w:vAlign w:val="center"/>
          </w:tcPr>
          <w:p w14:paraId="4834FDD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488205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0.373523</w:t>
            </w:r>
          </w:p>
        </w:tc>
        <w:tc>
          <w:tcPr>
            <w:tcW w:w="1190" w:type="dxa"/>
            <w:tcBorders>
              <w:left w:val="single" w:color="auto" w:sz="6" w:space="0"/>
            </w:tcBorders>
            <w:vAlign w:val="center"/>
          </w:tcPr>
          <w:p w14:paraId="03B2459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2EE75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5BD0AADD">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400</w:t>
            </w:r>
          </w:p>
        </w:tc>
        <w:tc>
          <w:tcPr>
            <w:tcW w:w="1192" w:type="dxa"/>
            <w:tcBorders>
              <w:left w:val="single" w:color="auto" w:sz="6" w:space="0"/>
            </w:tcBorders>
            <w:vAlign w:val="center"/>
          </w:tcPr>
          <w:p w14:paraId="27E7BC5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10.476</w:t>
            </w:r>
          </w:p>
        </w:tc>
        <w:tc>
          <w:tcPr>
            <w:tcW w:w="1193" w:type="dxa"/>
            <w:tcBorders>
              <w:left w:val="single" w:color="auto" w:sz="6" w:space="0"/>
            </w:tcBorders>
            <w:vAlign w:val="center"/>
          </w:tcPr>
          <w:p w14:paraId="68742D2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w:t>
            </w:r>
          </w:p>
        </w:tc>
        <w:tc>
          <w:tcPr>
            <w:tcW w:w="1192" w:type="dxa"/>
            <w:tcBorders>
              <w:left w:val="single" w:color="auto" w:sz="6" w:space="0"/>
            </w:tcBorders>
            <w:vAlign w:val="center"/>
          </w:tcPr>
          <w:p w14:paraId="506CFB9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0.75725</w:t>
            </w:r>
          </w:p>
        </w:tc>
        <w:tc>
          <w:tcPr>
            <w:tcW w:w="1192" w:type="dxa"/>
            <w:tcBorders>
              <w:left w:val="single" w:color="auto" w:sz="6" w:space="0"/>
            </w:tcBorders>
            <w:vAlign w:val="center"/>
          </w:tcPr>
          <w:p w14:paraId="3277270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21B8529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0.363234</w:t>
            </w:r>
          </w:p>
        </w:tc>
        <w:tc>
          <w:tcPr>
            <w:tcW w:w="1190" w:type="dxa"/>
            <w:tcBorders>
              <w:left w:val="single" w:color="auto" w:sz="6" w:space="0"/>
            </w:tcBorders>
            <w:vAlign w:val="center"/>
          </w:tcPr>
          <w:p w14:paraId="5075D71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67A3E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D0F0875">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500</w:t>
            </w:r>
          </w:p>
        </w:tc>
        <w:tc>
          <w:tcPr>
            <w:tcW w:w="1192" w:type="dxa"/>
            <w:tcBorders>
              <w:left w:val="single" w:color="auto" w:sz="6" w:space="0"/>
            </w:tcBorders>
            <w:vAlign w:val="center"/>
          </w:tcPr>
          <w:p w14:paraId="350CF26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11.333</w:t>
            </w:r>
          </w:p>
        </w:tc>
        <w:tc>
          <w:tcPr>
            <w:tcW w:w="1193" w:type="dxa"/>
            <w:tcBorders>
              <w:left w:val="single" w:color="auto" w:sz="6" w:space="0"/>
            </w:tcBorders>
            <w:vAlign w:val="center"/>
          </w:tcPr>
          <w:p w14:paraId="5F9048B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0.60</w:t>
            </w:r>
          </w:p>
        </w:tc>
        <w:tc>
          <w:tcPr>
            <w:tcW w:w="1192" w:type="dxa"/>
            <w:tcBorders>
              <w:left w:val="single" w:color="auto" w:sz="6" w:space="0"/>
            </w:tcBorders>
            <w:vAlign w:val="center"/>
          </w:tcPr>
          <w:p w14:paraId="5998C22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0.66056</w:t>
            </w:r>
          </w:p>
        </w:tc>
        <w:tc>
          <w:tcPr>
            <w:tcW w:w="1192" w:type="dxa"/>
            <w:tcBorders>
              <w:left w:val="single" w:color="auto" w:sz="6" w:space="0"/>
            </w:tcBorders>
            <w:vAlign w:val="center"/>
          </w:tcPr>
          <w:p w14:paraId="38A4A3D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5747F5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0.316854</w:t>
            </w:r>
          </w:p>
        </w:tc>
        <w:tc>
          <w:tcPr>
            <w:tcW w:w="1190" w:type="dxa"/>
            <w:tcBorders>
              <w:left w:val="single" w:color="auto" w:sz="6" w:space="0"/>
            </w:tcBorders>
            <w:vAlign w:val="center"/>
          </w:tcPr>
          <w:p w14:paraId="3508E13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6E227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DF69EF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600</w:t>
            </w:r>
          </w:p>
        </w:tc>
        <w:tc>
          <w:tcPr>
            <w:tcW w:w="1192" w:type="dxa"/>
            <w:tcBorders>
              <w:left w:val="single" w:color="auto" w:sz="6" w:space="0"/>
            </w:tcBorders>
            <w:vAlign w:val="center"/>
          </w:tcPr>
          <w:p w14:paraId="2FA67E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13.325</w:t>
            </w:r>
          </w:p>
        </w:tc>
        <w:tc>
          <w:tcPr>
            <w:tcW w:w="1193" w:type="dxa"/>
            <w:tcBorders>
              <w:left w:val="single" w:color="auto" w:sz="6" w:space="0"/>
            </w:tcBorders>
            <w:vAlign w:val="center"/>
          </w:tcPr>
          <w:p w14:paraId="6EC877B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w:t>
            </w:r>
          </w:p>
        </w:tc>
        <w:tc>
          <w:tcPr>
            <w:tcW w:w="1192" w:type="dxa"/>
            <w:tcBorders>
              <w:left w:val="single" w:color="auto" w:sz="6" w:space="0"/>
            </w:tcBorders>
            <w:vAlign w:val="center"/>
          </w:tcPr>
          <w:p w14:paraId="465E075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0.57607</w:t>
            </w:r>
          </w:p>
        </w:tc>
        <w:tc>
          <w:tcPr>
            <w:tcW w:w="1192" w:type="dxa"/>
            <w:tcBorders>
              <w:left w:val="single" w:color="auto" w:sz="6" w:space="0"/>
            </w:tcBorders>
            <w:vAlign w:val="center"/>
          </w:tcPr>
          <w:p w14:paraId="7D910E7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43DDE93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0.276326</w:t>
            </w:r>
          </w:p>
        </w:tc>
        <w:tc>
          <w:tcPr>
            <w:tcW w:w="1190" w:type="dxa"/>
            <w:tcBorders>
              <w:left w:val="single" w:color="auto" w:sz="6" w:space="0"/>
            </w:tcBorders>
            <w:vAlign w:val="center"/>
          </w:tcPr>
          <w:p w14:paraId="5C5EE93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82F3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2A35476">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700</w:t>
            </w:r>
          </w:p>
        </w:tc>
        <w:tc>
          <w:tcPr>
            <w:tcW w:w="1192" w:type="dxa"/>
            <w:tcBorders>
              <w:left w:val="single" w:color="auto" w:sz="6" w:space="0"/>
            </w:tcBorders>
            <w:vAlign w:val="center"/>
          </w:tcPr>
          <w:p w14:paraId="1EC8698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14.856</w:t>
            </w:r>
          </w:p>
        </w:tc>
        <w:tc>
          <w:tcPr>
            <w:tcW w:w="1193" w:type="dxa"/>
            <w:tcBorders>
              <w:left w:val="single" w:color="auto" w:sz="6" w:space="0"/>
            </w:tcBorders>
            <w:vAlign w:val="center"/>
          </w:tcPr>
          <w:p w14:paraId="2409C33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w:t>
            </w:r>
          </w:p>
        </w:tc>
        <w:tc>
          <w:tcPr>
            <w:tcW w:w="1192" w:type="dxa"/>
            <w:tcBorders>
              <w:left w:val="single" w:color="auto" w:sz="6" w:space="0"/>
            </w:tcBorders>
            <w:vAlign w:val="center"/>
          </w:tcPr>
          <w:p w14:paraId="676B3D21">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0.51008</w:t>
            </w:r>
          </w:p>
        </w:tc>
        <w:tc>
          <w:tcPr>
            <w:tcW w:w="1192" w:type="dxa"/>
            <w:tcBorders>
              <w:left w:val="single" w:color="auto" w:sz="6" w:space="0"/>
            </w:tcBorders>
            <w:vAlign w:val="center"/>
          </w:tcPr>
          <w:p w14:paraId="5866A5E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420E83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0.244673</w:t>
            </w:r>
          </w:p>
        </w:tc>
        <w:tc>
          <w:tcPr>
            <w:tcW w:w="1190" w:type="dxa"/>
            <w:tcBorders>
              <w:left w:val="single" w:color="auto" w:sz="6" w:space="0"/>
            </w:tcBorders>
            <w:vAlign w:val="center"/>
          </w:tcPr>
          <w:p w14:paraId="5B84019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66FF8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4D7448A0">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800</w:t>
            </w:r>
          </w:p>
        </w:tc>
        <w:tc>
          <w:tcPr>
            <w:tcW w:w="1192" w:type="dxa"/>
            <w:tcBorders>
              <w:left w:val="single" w:color="auto" w:sz="6" w:space="0"/>
            </w:tcBorders>
            <w:vAlign w:val="center"/>
          </w:tcPr>
          <w:p w14:paraId="2BB27B6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14.499</w:t>
            </w:r>
          </w:p>
        </w:tc>
        <w:tc>
          <w:tcPr>
            <w:tcW w:w="1193" w:type="dxa"/>
            <w:tcBorders>
              <w:left w:val="single" w:color="auto" w:sz="6" w:space="0"/>
            </w:tcBorders>
            <w:vAlign w:val="center"/>
          </w:tcPr>
          <w:p w14:paraId="3438153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w:t>
            </w:r>
          </w:p>
        </w:tc>
        <w:tc>
          <w:tcPr>
            <w:tcW w:w="1192" w:type="dxa"/>
            <w:tcBorders>
              <w:left w:val="single" w:color="auto" w:sz="6" w:space="0"/>
            </w:tcBorders>
            <w:vAlign w:val="center"/>
          </w:tcPr>
          <w:p w14:paraId="14F07BE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0.45303</w:t>
            </w:r>
          </w:p>
        </w:tc>
        <w:tc>
          <w:tcPr>
            <w:tcW w:w="1192" w:type="dxa"/>
            <w:tcBorders>
              <w:left w:val="single" w:color="auto" w:sz="6" w:space="0"/>
            </w:tcBorders>
            <w:vAlign w:val="center"/>
          </w:tcPr>
          <w:p w14:paraId="5B0C2AA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91B70CE">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0.217307</w:t>
            </w:r>
          </w:p>
        </w:tc>
        <w:tc>
          <w:tcPr>
            <w:tcW w:w="1190" w:type="dxa"/>
            <w:tcBorders>
              <w:left w:val="single" w:color="auto" w:sz="6" w:space="0"/>
            </w:tcBorders>
            <w:vAlign w:val="center"/>
          </w:tcPr>
          <w:p w14:paraId="6F30F42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0F669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64ABD3F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900</w:t>
            </w:r>
          </w:p>
        </w:tc>
        <w:tc>
          <w:tcPr>
            <w:tcW w:w="1192" w:type="dxa"/>
            <w:tcBorders>
              <w:left w:val="single" w:color="auto" w:sz="6" w:space="0"/>
            </w:tcBorders>
            <w:vAlign w:val="center"/>
          </w:tcPr>
          <w:p w14:paraId="727264B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13.776</w:t>
            </w:r>
          </w:p>
        </w:tc>
        <w:tc>
          <w:tcPr>
            <w:tcW w:w="1193" w:type="dxa"/>
            <w:tcBorders>
              <w:left w:val="single" w:color="auto" w:sz="6" w:space="0"/>
            </w:tcBorders>
            <w:vAlign w:val="center"/>
          </w:tcPr>
          <w:p w14:paraId="5EC3DBAD">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0.70</w:t>
            </w:r>
          </w:p>
        </w:tc>
        <w:tc>
          <w:tcPr>
            <w:tcW w:w="1192" w:type="dxa"/>
            <w:tcBorders>
              <w:left w:val="single" w:color="auto" w:sz="6" w:space="0"/>
            </w:tcBorders>
            <w:vAlign w:val="center"/>
          </w:tcPr>
          <w:p w14:paraId="13E2D09A">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0.4045</w:t>
            </w:r>
          </w:p>
        </w:tc>
        <w:tc>
          <w:tcPr>
            <w:tcW w:w="1192" w:type="dxa"/>
            <w:tcBorders>
              <w:left w:val="single" w:color="auto" w:sz="6" w:space="0"/>
            </w:tcBorders>
            <w:vAlign w:val="center"/>
          </w:tcPr>
          <w:p w14:paraId="743FF4A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677DC3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0.194028</w:t>
            </w:r>
          </w:p>
        </w:tc>
        <w:tc>
          <w:tcPr>
            <w:tcW w:w="1190" w:type="dxa"/>
            <w:tcBorders>
              <w:left w:val="single" w:color="auto" w:sz="6" w:space="0"/>
            </w:tcBorders>
            <w:vAlign w:val="center"/>
          </w:tcPr>
          <w:p w14:paraId="66FD687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3B2CA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AB4ADF3">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w:t>
            </w:r>
          </w:p>
        </w:tc>
        <w:tc>
          <w:tcPr>
            <w:tcW w:w="1192" w:type="dxa"/>
            <w:tcBorders>
              <w:left w:val="single" w:color="auto" w:sz="6" w:space="0"/>
            </w:tcBorders>
            <w:vAlign w:val="center"/>
          </w:tcPr>
          <w:p w14:paraId="419EF14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12.99</w:t>
            </w:r>
          </w:p>
        </w:tc>
        <w:tc>
          <w:tcPr>
            <w:tcW w:w="1193" w:type="dxa"/>
            <w:tcBorders>
              <w:left w:val="single" w:color="auto" w:sz="6" w:space="0"/>
            </w:tcBorders>
            <w:vAlign w:val="center"/>
          </w:tcPr>
          <w:p w14:paraId="0C0EBB8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0.60</w:t>
            </w:r>
          </w:p>
        </w:tc>
        <w:tc>
          <w:tcPr>
            <w:tcW w:w="1192" w:type="dxa"/>
            <w:tcBorders>
              <w:left w:val="single" w:color="auto" w:sz="6" w:space="0"/>
            </w:tcBorders>
            <w:vAlign w:val="center"/>
          </w:tcPr>
          <w:p w14:paraId="0666B11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0.36334</w:t>
            </w:r>
          </w:p>
        </w:tc>
        <w:tc>
          <w:tcPr>
            <w:tcW w:w="1192" w:type="dxa"/>
            <w:tcBorders>
              <w:left w:val="single" w:color="auto" w:sz="6" w:space="0"/>
            </w:tcBorders>
            <w:vAlign w:val="center"/>
          </w:tcPr>
          <w:p w14:paraId="7D2D47F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62F49C6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0.174285</w:t>
            </w:r>
          </w:p>
        </w:tc>
        <w:tc>
          <w:tcPr>
            <w:tcW w:w="1190" w:type="dxa"/>
            <w:tcBorders>
              <w:left w:val="single" w:color="auto" w:sz="6" w:space="0"/>
            </w:tcBorders>
            <w:vAlign w:val="center"/>
          </w:tcPr>
          <w:p w14:paraId="2AC38BD9">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49DF6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6AFB084">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1500</w:t>
            </w:r>
          </w:p>
        </w:tc>
        <w:tc>
          <w:tcPr>
            <w:tcW w:w="1192" w:type="dxa"/>
            <w:tcBorders>
              <w:left w:val="single" w:color="auto" w:sz="6" w:space="0"/>
            </w:tcBorders>
            <w:vAlign w:val="center"/>
          </w:tcPr>
          <w:p w14:paraId="6C39DE4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9.6738</w:t>
            </w:r>
          </w:p>
        </w:tc>
        <w:tc>
          <w:tcPr>
            <w:tcW w:w="1193" w:type="dxa"/>
            <w:tcBorders>
              <w:left w:val="single" w:color="auto" w:sz="6" w:space="0"/>
            </w:tcBorders>
            <w:vAlign w:val="center"/>
          </w:tcPr>
          <w:p w14:paraId="43C462C4">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0.50</w:t>
            </w:r>
          </w:p>
        </w:tc>
        <w:tc>
          <w:tcPr>
            <w:tcW w:w="1192" w:type="dxa"/>
            <w:tcBorders>
              <w:left w:val="single" w:color="auto" w:sz="6" w:space="0"/>
            </w:tcBorders>
            <w:vAlign w:val="center"/>
          </w:tcPr>
          <w:p w14:paraId="282E664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0.26166</w:t>
            </w:r>
          </w:p>
        </w:tc>
        <w:tc>
          <w:tcPr>
            <w:tcW w:w="1192" w:type="dxa"/>
            <w:tcBorders>
              <w:left w:val="single" w:color="auto" w:sz="6" w:space="0"/>
            </w:tcBorders>
            <w:vAlign w:val="center"/>
          </w:tcPr>
          <w:p w14:paraId="402A81F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255160DF">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0.125512</w:t>
            </w:r>
          </w:p>
        </w:tc>
        <w:tc>
          <w:tcPr>
            <w:tcW w:w="1190" w:type="dxa"/>
            <w:tcBorders>
              <w:left w:val="single" w:color="auto" w:sz="6" w:space="0"/>
            </w:tcBorders>
            <w:vAlign w:val="center"/>
          </w:tcPr>
          <w:p w14:paraId="6D2F6ED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0.10</w:t>
            </w:r>
          </w:p>
        </w:tc>
      </w:tr>
      <w:tr w14:paraId="13DE5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26263329">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2000</w:t>
            </w:r>
          </w:p>
        </w:tc>
        <w:tc>
          <w:tcPr>
            <w:tcW w:w="1192" w:type="dxa"/>
            <w:tcBorders>
              <w:left w:val="single" w:color="auto" w:sz="6" w:space="0"/>
            </w:tcBorders>
            <w:vAlign w:val="center"/>
          </w:tcPr>
          <w:p w14:paraId="4B6CCF9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7.6953</w:t>
            </w:r>
          </w:p>
        </w:tc>
        <w:tc>
          <w:tcPr>
            <w:tcW w:w="1193" w:type="dxa"/>
            <w:tcBorders>
              <w:left w:val="single" w:color="auto" w:sz="6" w:space="0"/>
            </w:tcBorders>
            <w:vAlign w:val="center"/>
          </w:tcPr>
          <w:p w14:paraId="492DEEC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w:t>
            </w:r>
          </w:p>
        </w:tc>
        <w:tc>
          <w:tcPr>
            <w:tcW w:w="1192" w:type="dxa"/>
            <w:tcBorders>
              <w:left w:val="single" w:color="auto" w:sz="6" w:space="0"/>
            </w:tcBorders>
            <w:vAlign w:val="center"/>
          </w:tcPr>
          <w:p w14:paraId="4DD48CB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0.20765</w:t>
            </w:r>
          </w:p>
        </w:tc>
        <w:tc>
          <w:tcPr>
            <w:tcW w:w="1192" w:type="dxa"/>
            <w:tcBorders>
              <w:left w:val="single" w:color="auto" w:sz="6" w:space="0"/>
            </w:tcBorders>
            <w:vAlign w:val="center"/>
          </w:tcPr>
          <w:p w14:paraId="08557F86">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34EC07C8">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0.0996045</w:t>
            </w:r>
          </w:p>
        </w:tc>
        <w:tc>
          <w:tcPr>
            <w:tcW w:w="1190" w:type="dxa"/>
            <w:tcBorders>
              <w:left w:val="single" w:color="auto" w:sz="6" w:space="0"/>
            </w:tcBorders>
            <w:vAlign w:val="center"/>
          </w:tcPr>
          <w:p w14:paraId="1486C2B7">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7CBE4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EF27C41">
            <w:pPr>
              <w:keepNext w:val="0"/>
              <w:keepLines w:val="0"/>
              <w:pageBreakBefore w:val="0"/>
              <w:widowControl/>
              <w:kinsoku/>
              <w:wordWrap/>
              <w:overflowPunct/>
              <w:topLinePunct w:val="0"/>
              <w:autoSpaceDE/>
              <w:autoSpaceDN/>
              <w:bidi w:val="0"/>
              <w:adjustRightInd/>
              <w:snapToGrid/>
              <w:ind w:left="0" w:right="0"/>
              <w:jc w:val="center"/>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2500</w:t>
            </w:r>
          </w:p>
        </w:tc>
        <w:tc>
          <w:tcPr>
            <w:tcW w:w="1192" w:type="dxa"/>
            <w:tcBorders>
              <w:left w:val="single" w:color="auto" w:sz="6" w:space="0"/>
            </w:tcBorders>
            <w:vAlign w:val="center"/>
          </w:tcPr>
          <w:p w14:paraId="04CBBEAB">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7.7081</w:t>
            </w:r>
          </w:p>
        </w:tc>
        <w:tc>
          <w:tcPr>
            <w:tcW w:w="1193" w:type="dxa"/>
            <w:tcBorders>
              <w:left w:val="single" w:color="auto" w:sz="6" w:space="0"/>
            </w:tcBorders>
            <w:vAlign w:val="center"/>
          </w:tcPr>
          <w:p w14:paraId="1479408C">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0.40</w:t>
            </w:r>
          </w:p>
        </w:tc>
        <w:tc>
          <w:tcPr>
            <w:tcW w:w="1192" w:type="dxa"/>
            <w:tcBorders>
              <w:left w:val="single" w:color="auto" w:sz="6" w:space="0"/>
            </w:tcBorders>
            <w:vAlign w:val="center"/>
          </w:tcPr>
          <w:p w14:paraId="779DED20">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0.16922</w:t>
            </w:r>
          </w:p>
        </w:tc>
        <w:tc>
          <w:tcPr>
            <w:tcW w:w="1192" w:type="dxa"/>
            <w:tcBorders>
              <w:left w:val="single" w:color="auto" w:sz="6" w:space="0"/>
            </w:tcBorders>
            <w:vAlign w:val="center"/>
          </w:tcPr>
          <w:p w14:paraId="4CD8E9B3">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c>
          <w:tcPr>
            <w:tcW w:w="1192" w:type="dxa"/>
            <w:tcBorders>
              <w:left w:val="single" w:color="auto" w:sz="6" w:space="0"/>
            </w:tcBorders>
            <w:vAlign w:val="center"/>
          </w:tcPr>
          <w:p w14:paraId="79E9AEE5">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0.0811706</w:t>
            </w:r>
          </w:p>
        </w:tc>
        <w:tc>
          <w:tcPr>
            <w:tcW w:w="1190" w:type="dxa"/>
            <w:tcBorders>
              <w:left w:val="single" w:color="auto" w:sz="6" w:space="0"/>
            </w:tcBorders>
            <w:vAlign w:val="center"/>
          </w:tcPr>
          <w:p w14:paraId="7E909B22">
            <w:pPr>
              <w:keepNext w:val="0"/>
              <w:keepLines w:val="0"/>
              <w:pageBreakBefore w:val="0"/>
              <w:widowControl/>
              <w:kinsoku/>
              <w:wordWrap/>
              <w:overflowPunct/>
              <w:topLinePunct w:val="0"/>
              <w:autoSpaceDE/>
              <w:autoSpaceDN/>
              <w:bidi w:val="0"/>
              <w:adjustRightInd/>
              <w:snapToGrid/>
              <w:ind w:left="0" w:right="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w:t>
            </w:r>
          </w:p>
        </w:tc>
      </w:tr>
      <w:tr w14:paraId="47FB4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7D76556E">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下风向最大浓度</w:t>
            </w:r>
          </w:p>
        </w:tc>
        <w:tc>
          <w:tcPr>
            <w:tcW w:w="2385" w:type="dxa"/>
            <w:gridSpan w:val="2"/>
            <w:tcBorders>
              <w:left w:val="single" w:color="auto" w:sz="6" w:space="0"/>
            </w:tcBorders>
            <w:vAlign w:val="center"/>
          </w:tcPr>
          <w:p w14:paraId="400D1FE5">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35.581</w:t>
            </w:r>
          </w:p>
        </w:tc>
        <w:tc>
          <w:tcPr>
            <w:tcW w:w="2384" w:type="dxa"/>
            <w:gridSpan w:val="2"/>
            <w:tcBorders>
              <w:left w:val="single" w:color="auto" w:sz="6" w:space="0"/>
            </w:tcBorders>
            <w:vAlign w:val="center"/>
          </w:tcPr>
          <w:p w14:paraId="1F14BD83">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1.469</w:t>
            </w:r>
          </w:p>
        </w:tc>
        <w:tc>
          <w:tcPr>
            <w:tcW w:w="2382" w:type="dxa"/>
            <w:gridSpan w:val="2"/>
            <w:tcBorders>
              <w:left w:val="single" w:color="auto" w:sz="6" w:space="0"/>
            </w:tcBorders>
            <w:vAlign w:val="center"/>
          </w:tcPr>
          <w:p w14:paraId="3215F186">
            <w:pPr>
              <w:keepNext w:val="0"/>
              <w:keepLines w:val="0"/>
              <w:pageBreakBefore w:val="0"/>
              <w:widowControl/>
              <w:kinsoku/>
              <w:wordWrap/>
              <w:overflowPunct/>
              <w:topLinePunct w:val="0"/>
              <w:autoSpaceDE/>
              <w:autoSpaceDN/>
              <w:bidi w:val="0"/>
              <w:adjustRightInd/>
              <w:snapToGrid/>
              <w:ind w:left="0" w:right="0"/>
              <w:jc w:val="center"/>
              <w:textAlignment w:val="center"/>
              <w:rPr>
                <w:rFonts w:hint="default" w:ascii="Times New Roman" w:hAnsi="Times New Roman" w:cs="Times New Roman"/>
                <w:color w:val="auto"/>
                <w:position w:val="1"/>
                <w:sz w:val="21"/>
                <w:szCs w:val="21"/>
                <w:highlight w:val="none"/>
                <w:lang w:val="en-US" w:bidi="zh-CN"/>
              </w:rPr>
            </w:pPr>
            <w:r>
              <w:rPr>
                <w:rFonts w:hint="eastAsia" w:ascii="Times New Roman" w:hAnsi="Times New Roman" w:cs="Times New Roman"/>
                <w:color w:val="auto"/>
                <w:position w:val="1"/>
                <w:sz w:val="21"/>
                <w:szCs w:val="21"/>
                <w:highlight w:val="none"/>
                <w:lang w:val="en-US" w:bidi="zh-CN"/>
              </w:rPr>
              <w:t>0.704642</w:t>
            </w:r>
          </w:p>
        </w:tc>
      </w:tr>
      <w:tr w14:paraId="495AC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3E8EA4D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最大浓度出现距离（m）</w:t>
            </w:r>
          </w:p>
        </w:tc>
        <w:tc>
          <w:tcPr>
            <w:tcW w:w="2385" w:type="dxa"/>
            <w:gridSpan w:val="2"/>
            <w:tcBorders>
              <w:left w:val="single" w:color="auto" w:sz="6" w:space="0"/>
            </w:tcBorders>
            <w:vAlign w:val="center"/>
          </w:tcPr>
          <w:p w14:paraId="665C10F1">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113</w:t>
            </w:r>
          </w:p>
        </w:tc>
        <w:tc>
          <w:tcPr>
            <w:tcW w:w="2384" w:type="dxa"/>
            <w:gridSpan w:val="2"/>
            <w:tcBorders>
              <w:left w:val="single" w:color="auto" w:sz="6" w:space="0"/>
            </w:tcBorders>
            <w:vAlign w:val="center"/>
          </w:tcPr>
          <w:p w14:paraId="7ED71118">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70</w:t>
            </w:r>
          </w:p>
        </w:tc>
        <w:tc>
          <w:tcPr>
            <w:tcW w:w="2382" w:type="dxa"/>
            <w:gridSpan w:val="2"/>
            <w:tcBorders>
              <w:left w:val="single" w:color="auto" w:sz="6" w:space="0"/>
            </w:tcBorders>
            <w:vAlign w:val="center"/>
          </w:tcPr>
          <w:p w14:paraId="5051E902">
            <w:pPr>
              <w:keepNext w:val="0"/>
              <w:keepLines w:val="0"/>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70</w:t>
            </w:r>
          </w:p>
        </w:tc>
      </w:tr>
      <w:tr w14:paraId="0CC19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3" w:type="dxa"/>
            <w:vAlign w:val="center"/>
          </w:tcPr>
          <w:p w14:paraId="003C5A92">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浓度占标准10%距源最远距离D10%</w:t>
            </w:r>
          </w:p>
        </w:tc>
        <w:tc>
          <w:tcPr>
            <w:tcW w:w="2385" w:type="dxa"/>
            <w:gridSpan w:val="2"/>
            <w:tcBorders>
              <w:left w:val="single" w:color="auto" w:sz="6" w:space="0"/>
            </w:tcBorders>
            <w:vAlign w:val="center"/>
          </w:tcPr>
          <w:p w14:paraId="47DBFDA6">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2384" w:type="dxa"/>
            <w:gridSpan w:val="2"/>
            <w:tcBorders>
              <w:left w:val="single" w:color="auto" w:sz="6" w:space="0"/>
            </w:tcBorders>
            <w:vAlign w:val="center"/>
          </w:tcPr>
          <w:p w14:paraId="71AD98C1">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c>
          <w:tcPr>
            <w:tcW w:w="2382" w:type="dxa"/>
            <w:gridSpan w:val="2"/>
            <w:tcBorders>
              <w:left w:val="single" w:color="auto" w:sz="6" w:space="0"/>
            </w:tcBorders>
            <w:vAlign w:val="center"/>
          </w:tcPr>
          <w:p w14:paraId="51910824">
            <w:pPr>
              <w:keepNext w:val="0"/>
              <w:keepLines w:val="0"/>
              <w:pageBreakBefore w:val="0"/>
              <w:widowControl/>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ascii="Times New Roman" w:hAnsi="Times New Roman"/>
                <w:color w:val="auto"/>
                <w:sz w:val="21"/>
                <w:szCs w:val="21"/>
                <w:highlight w:val="none"/>
              </w:rPr>
              <w:t>Pmax＜1%</w:t>
            </w:r>
          </w:p>
        </w:tc>
      </w:tr>
    </w:tbl>
    <w:p w14:paraId="1B545742">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83" w:name="_Toc60653552"/>
      <w:r>
        <w:rPr>
          <w:rFonts w:hint="eastAsia" w:eastAsia="宋体"/>
          <w:color w:val="auto"/>
          <w:sz w:val="28"/>
          <w:szCs w:val="28"/>
          <w:highlight w:val="none"/>
        </w:rPr>
        <w:t>6.1.7</w:t>
      </w:r>
      <w:r>
        <w:rPr>
          <w:rFonts w:eastAsia="宋体"/>
          <w:color w:val="auto"/>
          <w:sz w:val="28"/>
          <w:szCs w:val="28"/>
          <w:highlight w:val="none"/>
        </w:rPr>
        <w:t>异味影响分析</w:t>
      </w:r>
      <w:bookmarkEnd w:id="383"/>
    </w:p>
    <w:p w14:paraId="3CA6C016">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本项目生产过程排放的</w:t>
      </w:r>
      <w:r>
        <w:rPr>
          <w:rFonts w:hint="eastAsia" w:ascii="Times New Roman" w:hAnsi="Times New Roman"/>
          <w:color w:val="auto"/>
          <w:highlight w:val="none"/>
        </w:rPr>
        <w:t>二甲基亚砜、四甲基氢氧化铵、邻苯二酚、乙醇胺</w:t>
      </w:r>
      <w:r>
        <w:rPr>
          <w:rFonts w:ascii="Times New Roman" w:hAnsi="Times New Roman"/>
          <w:color w:val="auto"/>
          <w:highlight w:val="none"/>
        </w:rPr>
        <w:t>均属于异味物质，其主要危害为：</w:t>
      </w:r>
    </w:p>
    <w:p w14:paraId="7E1F2BC7">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（1）异味危害主要有六个方面：</w:t>
      </w:r>
    </w:p>
    <w:p w14:paraId="7DF5ED4E">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①</w:t>
      </w:r>
      <w:r>
        <w:rPr>
          <w:rFonts w:ascii="Times New Roman" w:hAnsi="Times New Roman"/>
          <w:color w:val="auto"/>
          <w:highlight w:val="none"/>
        </w:rPr>
        <w:t>危害呼吸系统。人们突然闻到异味，就会产生反射性的抑制吸气，使呼吸次数减少，深度变浅，甚至会暂时停止吸气，妨碍正常呼吸功能。</w:t>
      </w:r>
    </w:p>
    <w:p w14:paraId="1341A202">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②</w:t>
      </w:r>
      <w:r>
        <w:rPr>
          <w:rFonts w:ascii="Times New Roman" w:hAnsi="Times New Roman"/>
          <w:color w:val="auto"/>
          <w:highlight w:val="none"/>
        </w:rPr>
        <w:t>危害循环系统。随着呼吸的变化，会出现脉搏和血压的变化。如硫化氢等刺激性异味气体会使血压出现先下降后上升，脉搏先减慢后加快的现象。</w:t>
      </w:r>
    </w:p>
    <w:p w14:paraId="274DA099">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③</w:t>
      </w:r>
      <w:r>
        <w:rPr>
          <w:rFonts w:ascii="Times New Roman" w:hAnsi="Times New Roman"/>
          <w:color w:val="auto"/>
          <w:highlight w:val="none"/>
        </w:rPr>
        <w:t>危害消化系统。经常接触异味，会使人厌食、恶心，甚至呕吐，进而发展为消化功能减退。</w:t>
      </w:r>
    </w:p>
    <w:p w14:paraId="5239E1E2">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④</w:t>
      </w:r>
      <w:r>
        <w:rPr>
          <w:rFonts w:ascii="Times New Roman" w:hAnsi="Times New Roman"/>
          <w:color w:val="auto"/>
          <w:highlight w:val="none"/>
        </w:rPr>
        <w:t>危害内分泌系统。经常受异味刺激，会使内分泌系统的分泌功能紊乱，影响机体的代谢活动。</w:t>
      </w:r>
    </w:p>
    <w:p w14:paraId="76657D8F">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⑤</w:t>
      </w:r>
      <w:r>
        <w:rPr>
          <w:rFonts w:ascii="Times New Roman" w:hAnsi="Times New Roman"/>
          <w:color w:val="auto"/>
          <w:highlight w:val="none"/>
        </w:rPr>
        <w:t>危害神经系统。长期受到一种或几种低浓度异味物质的刺激，会引起嗅觉脱失、嗅觉疲劳等障碍。</w:t>
      </w:r>
      <w:r>
        <w:rPr>
          <w:rFonts w:hint="eastAsia" w:ascii="Times New Roman" w:hAnsi="Times New Roman"/>
          <w:color w:val="auto"/>
          <w:highlight w:val="none"/>
        </w:rPr>
        <w:t>“</w:t>
      </w:r>
      <w:r>
        <w:rPr>
          <w:rFonts w:ascii="Times New Roman" w:hAnsi="Times New Roman"/>
          <w:color w:val="auto"/>
          <w:highlight w:val="none"/>
        </w:rPr>
        <w:t>久闻而不知其臭</w:t>
      </w:r>
      <w:r>
        <w:rPr>
          <w:rFonts w:hint="eastAsia" w:ascii="Times New Roman" w:hAnsi="Times New Roman"/>
          <w:color w:val="auto"/>
          <w:highlight w:val="none"/>
        </w:rPr>
        <w:t>”</w:t>
      </w:r>
      <w:r>
        <w:rPr>
          <w:rFonts w:ascii="Times New Roman" w:hAnsi="Times New Roman"/>
          <w:color w:val="auto"/>
          <w:highlight w:val="none"/>
        </w:rPr>
        <w:t>，使嗅觉丧失了第一道防御功能，但脑神经仍不断受到刺激和损伤，最后导致大脑皮层兴奋和抑制的调节功能失调。</w:t>
      </w:r>
    </w:p>
    <w:p w14:paraId="006D2CAF">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⑥</w:t>
      </w:r>
      <w:r>
        <w:rPr>
          <w:rFonts w:ascii="Times New Roman" w:hAnsi="Times New Roman"/>
          <w:color w:val="auto"/>
          <w:highlight w:val="none"/>
        </w:rPr>
        <w:t>对精神的影响。异味使人精神烦躁不安，思想不集中，工作效率减低，判断力和记忆力下降，影响大脑的思考活动。</w:t>
      </w:r>
    </w:p>
    <w:p w14:paraId="7EC30CA7">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（2）异味影响分析</w:t>
      </w:r>
    </w:p>
    <w:p w14:paraId="1AEBD7BE">
      <w:pPr>
        <w:spacing w:line="360" w:lineRule="auto"/>
        <w:ind w:left="-105" w:right="-105"/>
        <w:rPr>
          <w:rFonts w:ascii="Times New Roman" w:hAnsi="Times New Roman"/>
          <w:color w:val="auto"/>
          <w:highlight w:val="none"/>
        </w:rPr>
      </w:pPr>
      <w:r>
        <w:rPr>
          <w:rFonts w:ascii="Times New Roman" w:hAnsi="Times New Roman"/>
          <w:color w:val="auto"/>
          <w:highlight w:val="none"/>
        </w:rPr>
        <w:t>经查找，项目异味物质</w:t>
      </w:r>
      <w:r>
        <w:rPr>
          <w:rFonts w:hint="eastAsia" w:ascii="Times New Roman" w:hAnsi="Times New Roman"/>
          <w:color w:val="auto"/>
          <w:highlight w:val="none"/>
        </w:rPr>
        <w:t>均未查到嗅阈值</w:t>
      </w:r>
      <w:r>
        <w:rPr>
          <w:rFonts w:ascii="Times New Roman" w:hAnsi="Times New Roman"/>
          <w:color w:val="auto"/>
          <w:highlight w:val="none"/>
        </w:rPr>
        <w:t>，</w:t>
      </w:r>
      <w:r>
        <w:rPr>
          <w:rFonts w:hint="eastAsia" w:ascii="Times New Roman" w:hAnsi="Times New Roman"/>
          <w:color w:val="auto"/>
          <w:highlight w:val="none"/>
        </w:rPr>
        <w:t>而无组织排放的异味物质最大落地浓度极低，</w:t>
      </w:r>
      <w:r>
        <w:rPr>
          <w:rFonts w:ascii="Times New Roman" w:hAnsi="Times New Roman"/>
          <w:color w:val="auto"/>
          <w:highlight w:val="none"/>
        </w:rPr>
        <w:t>因此，大气污染排放污染物异味对周围环境影响较小。</w:t>
      </w:r>
    </w:p>
    <w:p w14:paraId="66B20CDE">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84" w:name="_Toc60653553"/>
      <w:r>
        <w:rPr>
          <w:rFonts w:hint="eastAsia" w:eastAsia="宋体"/>
          <w:color w:val="auto"/>
          <w:sz w:val="28"/>
          <w:szCs w:val="28"/>
          <w:highlight w:val="none"/>
        </w:rPr>
        <w:t>6.1.8</w:t>
      </w:r>
      <w:r>
        <w:rPr>
          <w:rFonts w:eastAsia="宋体"/>
          <w:color w:val="auto"/>
          <w:sz w:val="28"/>
          <w:szCs w:val="28"/>
          <w:highlight w:val="none"/>
        </w:rPr>
        <w:t>大气防护距离</w:t>
      </w:r>
      <w:bookmarkEnd w:id="384"/>
    </w:p>
    <w:p w14:paraId="53B793B2">
      <w:pPr>
        <w:spacing w:line="360" w:lineRule="auto"/>
        <w:ind w:left="-105" w:right="-105" w:firstLine="480"/>
        <w:jc w:val="both"/>
        <w:rPr>
          <w:rFonts w:ascii="Times New Roman" w:hAnsi="Times New Roman"/>
          <w:color w:val="auto"/>
          <w:highlight w:val="none"/>
        </w:rPr>
      </w:pPr>
      <w:r>
        <w:rPr>
          <w:rFonts w:hint="eastAsia" w:ascii="Times New Roman" w:hAnsi="Times New Roman"/>
          <w:color w:val="auto"/>
          <w:highlight w:val="none"/>
        </w:rPr>
        <w:t>根据《环境影响评价技术导则大气环境》（HJ2.2-2018）规定，为保护人群健康，减少大气污染物排放对居住区的环境影响，在污染源与居住区之间根据预测结果情况，考虑设置大气环境防护区域。</w:t>
      </w:r>
    </w:p>
    <w:p w14:paraId="6A461B79">
      <w:pPr>
        <w:spacing w:line="360" w:lineRule="auto"/>
        <w:ind w:left="-105" w:right="-105" w:firstLine="480"/>
        <w:jc w:val="both"/>
        <w:rPr>
          <w:rFonts w:ascii="Times New Roman" w:hAnsi="Times New Roman"/>
          <w:color w:val="auto"/>
          <w:highlight w:val="none"/>
        </w:rPr>
      </w:pPr>
      <w:r>
        <w:rPr>
          <w:rFonts w:hint="eastAsia" w:ascii="Times New Roman" w:hAnsi="Times New Roman"/>
          <w:color w:val="auto"/>
          <w:highlight w:val="none"/>
        </w:rPr>
        <w:t>根据前面预测结果，各个排气筒、无组织源最大落地浓度均小于10%，同类因子叠加后，其贡献值也不会造成厂界浓度和厂界外大气污染物短期贡献浓度超标，因此，得出本项目废气排放在厂界和厂界外无超标点，故本项目不需设置大气环境防护距离。</w:t>
      </w:r>
    </w:p>
    <w:p w14:paraId="5C399881">
      <w:pPr>
        <w:pStyle w:val="5"/>
        <w:keepLines w:val="0"/>
        <w:numPr>
          <w:ilvl w:val="2"/>
          <w:numId w:val="0"/>
        </w:numPr>
        <w:tabs>
          <w:tab w:val="left" w:pos="567"/>
          <w:tab w:val="left" w:pos="709"/>
          <w:tab w:val="left" w:pos="993"/>
          <w:tab w:val="left" w:pos="6663"/>
        </w:tabs>
        <w:spacing w:before="0" w:after="0" w:line="360" w:lineRule="auto"/>
        <w:ind w:right="-105"/>
        <w:rPr>
          <w:rFonts w:hint="eastAsia" w:eastAsia="宋体"/>
          <w:color w:val="auto"/>
          <w:sz w:val="28"/>
          <w:szCs w:val="28"/>
          <w:highlight w:val="none"/>
          <w:lang w:val="en-US" w:eastAsia="zh-CN"/>
        </w:rPr>
      </w:pPr>
      <w:bookmarkStart w:id="385" w:name="_Toc60653555"/>
      <w:r>
        <w:rPr>
          <w:rFonts w:hint="eastAsia" w:eastAsia="宋体"/>
          <w:color w:val="auto"/>
          <w:sz w:val="28"/>
          <w:szCs w:val="28"/>
          <w:highlight w:val="none"/>
        </w:rPr>
        <w:t>6.1.9</w:t>
      </w:r>
      <w:r>
        <w:rPr>
          <w:rFonts w:hint="eastAsia" w:eastAsia="宋体"/>
          <w:color w:val="auto"/>
          <w:sz w:val="28"/>
          <w:szCs w:val="28"/>
          <w:highlight w:val="none"/>
          <w:lang w:val="en-US" w:eastAsia="zh-CN"/>
        </w:rPr>
        <w:t>卫生防护距离</w:t>
      </w:r>
    </w:p>
    <w:p w14:paraId="268918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根据《大气有害物质无组织排放卫生防护距离推荐技术导则》（GB/T39499-2020）章节4规定：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本项目主要无组织排放大气污染物为非甲烷总烃和甲苯，等标排放量计算结果见下表。</w:t>
      </w:r>
    </w:p>
    <w:p w14:paraId="29B3E239">
      <w:pPr>
        <w:pStyle w:val="15"/>
        <w:adjustRightInd w:val="0"/>
        <w:spacing w:before="0" w:after="0" w:line="360" w:lineRule="auto"/>
        <w:ind w:right="0"/>
        <w:jc w:val="center"/>
        <w:rPr>
          <w:rFonts w:ascii="Times New Roman" w:hAnsi="Times New Roman" w:eastAsia="宋体" w:cs="Times New Roman"/>
          <w:b/>
          <w:color w:val="auto"/>
          <w:kern w:val="2"/>
          <w:sz w:val="24"/>
          <w:szCs w:val="18"/>
          <w:highlight w:val="none"/>
          <w:lang w:val="en-US" w:eastAsia="zh-CN" w:bidi="ar-SA"/>
        </w:rPr>
      </w:pPr>
      <w:r>
        <w:rPr>
          <w:rFonts w:hint="default" w:ascii="Times New Roman" w:hAnsi="Times New Roman" w:eastAsia="宋体" w:cs="Times New Roman"/>
          <w:color w:val="auto"/>
          <w:sz w:val="24"/>
          <w:szCs w:val="24"/>
          <w:highlight w:val="none"/>
        </w:rPr>
        <w:t xml:space="preserve">表 </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STYLEREF 2 \s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SEQ 表 \* ARABIC \s 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14</w:t>
      </w:r>
      <w:r>
        <w:rPr>
          <w:rFonts w:hint="default" w:ascii="Times New Roman" w:hAnsi="Times New Roman" w:eastAsia="宋体" w:cs="Times New Roman"/>
          <w:color w:val="auto"/>
          <w:sz w:val="24"/>
          <w:szCs w:val="24"/>
          <w:highlight w:val="none"/>
        </w:rPr>
        <w:fldChar w:fldCharType="end"/>
      </w:r>
      <w:r>
        <w:rPr>
          <w:rFonts w:hint="eastAsia" w:ascii="Times New Roman" w:hAnsi="Times New Roman" w:eastAsia="宋体" w:cs="Times New Roman"/>
          <w:b/>
          <w:color w:val="auto"/>
          <w:kern w:val="2"/>
          <w:sz w:val="24"/>
          <w:szCs w:val="18"/>
          <w:highlight w:val="none"/>
          <w:lang w:val="en-US" w:eastAsia="zh-CN" w:bidi="ar-SA"/>
        </w:rPr>
        <w:t>建设项目大气有害物质等标排放量计算结果表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3"/>
        <w:gridCol w:w="1453"/>
        <w:gridCol w:w="1453"/>
        <w:gridCol w:w="1453"/>
        <w:gridCol w:w="1453"/>
        <w:gridCol w:w="1456"/>
      </w:tblGrid>
      <w:tr w14:paraId="036275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3" w:type="dxa"/>
            <w:vAlign w:val="center"/>
          </w:tcPr>
          <w:p w14:paraId="125210CE">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1453" w:type="dxa"/>
            <w:vAlign w:val="center"/>
          </w:tcPr>
          <w:p w14:paraId="27B6EBA5">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453" w:type="dxa"/>
            <w:vAlign w:val="center"/>
          </w:tcPr>
          <w:p w14:paraId="2251F8E1">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Qc/排放速率kg/h</w:t>
            </w:r>
          </w:p>
        </w:tc>
        <w:tc>
          <w:tcPr>
            <w:tcW w:w="1453" w:type="dxa"/>
            <w:vAlign w:val="center"/>
          </w:tcPr>
          <w:p w14:paraId="62C043AF">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rPr>
              <w:t>Cm/小时标准浓度mg/m</w:t>
            </w:r>
            <w:r>
              <w:rPr>
                <w:rFonts w:hint="default" w:ascii="Times New Roman" w:hAnsi="Times New Roman" w:eastAsia="宋体" w:cs="Times New Roman"/>
                <w:b/>
                <w:bCs/>
                <w:color w:val="auto"/>
                <w:sz w:val="21"/>
                <w:szCs w:val="21"/>
                <w:highlight w:val="none"/>
                <w:vertAlign w:val="superscript"/>
              </w:rPr>
              <w:t>3</w:t>
            </w:r>
          </w:p>
        </w:tc>
        <w:tc>
          <w:tcPr>
            <w:tcW w:w="1453" w:type="dxa"/>
            <w:vAlign w:val="center"/>
          </w:tcPr>
          <w:p w14:paraId="54ED712E">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等标排放量Qc/Cm</w:t>
            </w:r>
          </w:p>
        </w:tc>
        <w:tc>
          <w:tcPr>
            <w:tcW w:w="1456" w:type="dxa"/>
            <w:vAlign w:val="center"/>
          </w:tcPr>
          <w:p w14:paraId="568467CC">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排序</w:t>
            </w:r>
          </w:p>
        </w:tc>
      </w:tr>
      <w:tr w14:paraId="254D1C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3" w:type="dxa"/>
            <w:vAlign w:val="center"/>
          </w:tcPr>
          <w:p w14:paraId="2D92DE6E">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二工场车间</w:t>
            </w:r>
          </w:p>
        </w:tc>
        <w:tc>
          <w:tcPr>
            <w:tcW w:w="1453" w:type="dxa"/>
            <w:vAlign w:val="center"/>
          </w:tcPr>
          <w:p w14:paraId="752DBA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非甲烷总烃</w:t>
            </w:r>
          </w:p>
        </w:tc>
        <w:tc>
          <w:tcPr>
            <w:tcW w:w="1453" w:type="dxa"/>
            <w:vAlign w:val="center"/>
          </w:tcPr>
          <w:p w14:paraId="7309A6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等线" w:cs="Times New Roman"/>
                <w:i w:val="0"/>
                <w:iCs w:val="0"/>
                <w:color w:val="auto"/>
                <w:kern w:val="0"/>
                <w:sz w:val="21"/>
                <w:szCs w:val="21"/>
                <w:highlight w:val="none"/>
                <w:u w:val="none"/>
                <w:lang w:val="en-US" w:eastAsia="zh-CN" w:bidi="ar"/>
              </w:rPr>
              <w:t>0.0047</w:t>
            </w:r>
          </w:p>
        </w:tc>
        <w:tc>
          <w:tcPr>
            <w:tcW w:w="1453" w:type="dxa"/>
            <w:vAlign w:val="center"/>
          </w:tcPr>
          <w:p w14:paraId="3BCA446B">
            <w:pPr>
              <w:pStyle w:val="118"/>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c>
          <w:tcPr>
            <w:tcW w:w="1453" w:type="dxa"/>
            <w:vAlign w:val="center"/>
          </w:tcPr>
          <w:p w14:paraId="374076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等线" w:cs="Times New Roman"/>
                <w:i w:val="0"/>
                <w:iCs w:val="0"/>
                <w:color w:val="auto"/>
                <w:kern w:val="0"/>
                <w:sz w:val="21"/>
                <w:szCs w:val="21"/>
                <w:highlight w:val="none"/>
                <w:u w:val="none"/>
                <w:lang w:val="en-US" w:eastAsia="zh-CN" w:bidi="ar"/>
              </w:rPr>
              <w:t>0.00235</w:t>
            </w:r>
            <w:r>
              <w:rPr>
                <w:rFonts w:hint="default" w:ascii="Times New Roman" w:hAnsi="Times New Roman" w:eastAsia="等线" w:cs="Times New Roman"/>
                <w:i w:val="0"/>
                <w:iCs w:val="0"/>
                <w:color w:val="auto"/>
                <w:kern w:val="0"/>
                <w:sz w:val="21"/>
                <w:szCs w:val="21"/>
                <w:highlight w:val="none"/>
                <w:u w:val="none"/>
                <w:lang w:val="en-US" w:eastAsia="zh-CN" w:bidi="ar"/>
              </w:rPr>
              <w:t xml:space="preserve"> </w:t>
            </w:r>
          </w:p>
        </w:tc>
        <w:tc>
          <w:tcPr>
            <w:tcW w:w="1456" w:type="dxa"/>
            <w:vAlign w:val="center"/>
          </w:tcPr>
          <w:p w14:paraId="1C9179FB">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w:t>
            </w:r>
          </w:p>
        </w:tc>
      </w:tr>
      <w:tr w14:paraId="523F6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3" w:type="dxa"/>
            <w:vMerge w:val="restart"/>
            <w:vAlign w:val="center"/>
          </w:tcPr>
          <w:p w14:paraId="20141AB1">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实验室</w:t>
            </w:r>
          </w:p>
        </w:tc>
        <w:tc>
          <w:tcPr>
            <w:tcW w:w="1453" w:type="dxa"/>
            <w:vAlign w:val="center"/>
          </w:tcPr>
          <w:p w14:paraId="500BD7C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非甲烷总烃</w:t>
            </w:r>
          </w:p>
        </w:tc>
        <w:tc>
          <w:tcPr>
            <w:tcW w:w="1453" w:type="dxa"/>
            <w:vAlign w:val="center"/>
          </w:tcPr>
          <w:p w14:paraId="7019A8F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0.000984</w:t>
            </w:r>
          </w:p>
        </w:tc>
        <w:tc>
          <w:tcPr>
            <w:tcW w:w="1453" w:type="dxa"/>
            <w:vAlign w:val="center"/>
          </w:tcPr>
          <w:p w14:paraId="30A78184">
            <w:pPr>
              <w:pStyle w:val="118"/>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c>
          <w:tcPr>
            <w:tcW w:w="1453" w:type="dxa"/>
            <w:vAlign w:val="center"/>
          </w:tcPr>
          <w:p w14:paraId="2C1A26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0.0004922</w:t>
            </w:r>
          </w:p>
        </w:tc>
        <w:tc>
          <w:tcPr>
            <w:tcW w:w="1456" w:type="dxa"/>
            <w:vAlign w:val="center"/>
          </w:tcPr>
          <w:p w14:paraId="27F6A755">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p>
        </w:tc>
      </w:tr>
      <w:tr w14:paraId="2FE1F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3" w:type="dxa"/>
            <w:vMerge w:val="continue"/>
            <w:vAlign w:val="center"/>
          </w:tcPr>
          <w:p w14:paraId="661A65A5">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53" w:type="dxa"/>
            <w:vAlign w:val="center"/>
          </w:tcPr>
          <w:p w14:paraId="4F2FB5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氮氧化物</w:t>
            </w:r>
          </w:p>
        </w:tc>
        <w:tc>
          <w:tcPr>
            <w:tcW w:w="1453" w:type="dxa"/>
            <w:vAlign w:val="center"/>
          </w:tcPr>
          <w:p w14:paraId="0DEDD5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0.000060</w:t>
            </w:r>
          </w:p>
        </w:tc>
        <w:tc>
          <w:tcPr>
            <w:tcW w:w="1453" w:type="dxa"/>
            <w:vAlign w:val="center"/>
          </w:tcPr>
          <w:p w14:paraId="04C8B080">
            <w:pPr>
              <w:pStyle w:val="118"/>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0.25</w:t>
            </w:r>
          </w:p>
        </w:tc>
        <w:tc>
          <w:tcPr>
            <w:tcW w:w="1453" w:type="dxa"/>
            <w:vAlign w:val="center"/>
          </w:tcPr>
          <w:p w14:paraId="259071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0.00024 </w:t>
            </w:r>
          </w:p>
        </w:tc>
        <w:tc>
          <w:tcPr>
            <w:tcW w:w="1456" w:type="dxa"/>
            <w:vAlign w:val="center"/>
          </w:tcPr>
          <w:p w14:paraId="6DB2182B">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w:t>
            </w:r>
          </w:p>
        </w:tc>
      </w:tr>
      <w:tr w14:paraId="140188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3" w:type="dxa"/>
            <w:vMerge w:val="continue"/>
            <w:vAlign w:val="center"/>
          </w:tcPr>
          <w:p w14:paraId="328FD04C">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53" w:type="dxa"/>
            <w:vAlign w:val="center"/>
          </w:tcPr>
          <w:p w14:paraId="1D6D99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甲醇</w:t>
            </w:r>
          </w:p>
        </w:tc>
        <w:tc>
          <w:tcPr>
            <w:tcW w:w="1453" w:type="dxa"/>
            <w:vAlign w:val="center"/>
          </w:tcPr>
          <w:p w14:paraId="5BF0FE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0.001600</w:t>
            </w:r>
          </w:p>
        </w:tc>
        <w:tc>
          <w:tcPr>
            <w:tcW w:w="1453" w:type="dxa"/>
            <w:vAlign w:val="center"/>
          </w:tcPr>
          <w:p w14:paraId="65BC1745">
            <w:pPr>
              <w:pStyle w:val="118"/>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w:t>
            </w:r>
          </w:p>
        </w:tc>
        <w:tc>
          <w:tcPr>
            <w:tcW w:w="1453" w:type="dxa"/>
            <w:vAlign w:val="center"/>
          </w:tcPr>
          <w:p w14:paraId="723CA2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 xml:space="preserve">0.0005333 </w:t>
            </w:r>
          </w:p>
        </w:tc>
        <w:tc>
          <w:tcPr>
            <w:tcW w:w="1456" w:type="dxa"/>
            <w:vAlign w:val="center"/>
          </w:tcPr>
          <w:p w14:paraId="57CE403D">
            <w:pPr>
              <w:pStyle w:val="21"/>
              <w:keepNext w:val="0"/>
              <w:keepLines w:val="0"/>
              <w:pageBreakBefore w:val="0"/>
              <w:widowControl w:val="0"/>
              <w:numPr>
                <w:ilvl w:val="0"/>
                <w:numId w:val="0"/>
              </w:numPr>
              <w:tabs>
                <w:tab w:val="left" w:pos="360"/>
                <w:tab w:val="clear" w:pos="1620"/>
                <w:tab w:val="clear" w:pos="204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w:t>
            </w:r>
          </w:p>
        </w:tc>
      </w:tr>
    </w:tbl>
    <w:p w14:paraId="000460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根据上表，建设项目实验室</w:t>
      </w:r>
      <w:r>
        <w:rPr>
          <w:rFonts w:hint="eastAsia" w:ascii="Times New Roman" w:hAnsi="Times New Roman" w:cs="Times New Roman"/>
          <w:color w:val="auto"/>
          <w:sz w:val="24"/>
          <w:szCs w:val="22"/>
          <w:highlight w:val="none"/>
          <w:lang w:val="en-US" w:eastAsia="zh-CN"/>
        </w:rPr>
        <w:t>甲醇和非甲烷总烃</w:t>
      </w:r>
      <w:r>
        <w:rPr>
          <w:rFonts w:hint="eastAsia" w:ascii="Times New Roman" w:hAnsi="Times New Roman" w:cs="Times New Roman"/>
          <w:color w:val="auto"/>
          <w:sz w:val="24"/>
          <w:szCs w:val="22"/>
          <w:highlight w:val="none"/>
        </w:rPr>
        <w:t>的等标排放量差值</w:t>
      </w:r>
      <w:r>
        <w:rPr>
          <w:rFonts w:hint="eastAsia" w:ascii="Times New Roman" w:hAnsi="Times New Roman" w:cs="Times New Roman"/>
          <w:color w:val="auto"/>
          <w:sz w:val="24"/>
          <w:szCs w:val="22"/>
          <w:highlight w:val="none"/>
          <w:lang w:val="en-US" w:eastAsia="zh-CN"/>
        </w:rPr>
        <w:t>＜</w:t>
      </w:r>
      <w:r>
        <w:rPr>
          <w:rFonts w:hint="eastAsia" w:ascii="Times New Roman" w:hAnsi="Times New Roman" w:cs="Times New Roman"/>
          <w:color w:val="auto"/>
          <w:sz w:val="24"/>
          <w:szCs w:val="22"/>
          <w:highlight w:val="none"/>
        </w:rPr>
        <w:t>10%。因此本项目选择</w:t>
      </w:r>
      <w:r>
        <w:rPr>
          <w:rFonts w:hint="eastAsia" w:ascii="Times New Roman" w:hAnsi="Times New Roman" w:cs="Times New Roman"/>
          <w:color w:val="auto"/>
          <w:sz w:val="24"/>
          <w:szCs w:val="22"/>
          <w:highlight w:val="none"/>
          <w:lang w:val="en-US" w:eastAsia="zh-CN"/>
        </w:rPr>
        <w:t>二工场车间的</w:t>
      </w:r>
      <w:r>
        <w:rPr>
          <w:rFonts w:hint="eastAsia" w:ascii="Times New Roman" w:hAnsi="Times New Roman" w:cs="Times New Roman"/>
          <w:color w:val="auto"/>
          <w:sz w:val="24"/>
          <w:szCs w:val="22"/>
          <w:highlight w:val="none"/>
        </w:rPr>
        <w:t>主要特征污染因子</w:t>
      </w:r>
      <w:r>
        <w:rPr>
          <w:rFonts w:hint="eastAsia" w:ascii="Times New Roman" w:hAnsi="Times New Roman" w:cs="Times New Roman"/>
          <w:color w:val="auto"/>
          <w:sz w:val="24"/>
          <w:szCs w:val="22"/>
          <w:highlight w:val="none"/>
          <w:lang w:val="en-US" w:eastAsia="zh-CN"/>
        </w:rPr>
        <w:t>非甲烷总烃和实验室的</w:t>
      </w:r>
      <w:r>
        <w:rPr>
          <w:rFonts w:hint="eastAsia" w:ascii="Times New Roman" w:hAnsi="Times New Roman" w:cs="Times New Roman"/>
          <w:color w:val="auto"/>
          <w:sz w:val="24"/>
          <w:szCs w:val="22"/>
          <w:highlight w:val="none"/>
        </w:rPr>
        <w:t>主要特征污染因子</w:t>
      </w:r>
      <w:r>
        <w:rPr>
          <w:rFonts w:hint="eastAsia" w:ascii="Times New Roman" w:hAnsi="Times New Roman" w:cs="Times New Roman"/>
          <w:color w:val="auto"/>
          <w:sz w:val="24"/>
          <w:szCs w:val="22"/>
          <w:highlight w:val="none"/>
          <w:lang w:val="en-US" w:eastAsia="zh-CN"/>
        </w:rPr>
        <w:t>非甲烷总烃和甲醇</w:t>
      </w:r>
      <w:r>
        <w:rPr>
          <w:rFonts w:hint="eastAsia" w:ascii="Times New Roman" w:hAnsi="Times New Roman" w:cs="Times New Roman"/>
          <w:color w:val="auto"/>
          <w:sz w:val="24"/>
          <w:szCs w:val="22"/>
          <w:highlight w:val="none"/>
        </w:rPr>
        <w:t>为企业无组织排放的主要特征大气有害物质进行卫生防护距离初值计算。</w:t>
      </w:r>
    </w:p>
    <w:p w14:paraId="205D1C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根据《大气有害物质无组织排放卫生防护距离推导技术导则》（GB/T 39499-2020），无组织排放有害气体的生产单元与居住区之间应设置卫生防护距离，计算公式如下：</w:t>
      </w:r>
    </w:p>
    <w:p w14:paraId="293A3A4D">
      <w:pPr>
        <w:adjustRightInd w:val="0"/>
        <w:snapToGrid w:val="0"/>
        <w:spacing w:line="360" w:lineRule="auto"/>
        <w:jc w:val="center"/>
        <w:rPr>
          <w:color w:val="auto"/>
          <w:szCs w:val="21"/>
          <w:highlight w:val="none"/>
        </w:rPr>
      </w:pPr>
      <m:oMathPara>
        <m:oMath>
          <m:f>
            <m:fPr>
              <m:ctrlPr>
                <w:rPr>
                  <w:rFonts w:hint="default" w:ascii="Cambria Math" w:hAnsi="Cambria Math"/>
                  <w:color w:val="auto"/>
                  <w:szCs w:val="21"/>
                  <w:highlight w:val="none"/>
                </w:rPr>
              </m:ctrlPr>
            </m:fPr>
            <m:num>
              <m:sSub>
                <m:sSubPr>
                  <m:ctrlPr>
                    <w:rPr>
                      <w:rFonts w:hint="default" w:ascii="Cambria Math" w:hAnsi="Cambria Math"/>
                      <w:i/>
                      <w:color w:val="auto"/>
                      <w:szCs w:val="21"/>
                      <w:highlight w:val="none"/>
                    </w:rPr>
                  </m:ctrlPr>
                </m:sSubPr>
                <m:e>
                  <m:r>
                    <m:rPr/>
                    <w:rPr>
                      <w:rFonts w:hint="default" w:ascii="Cambria Math" w:hAnsi="Cambria Math"/>
                      <w:color w:val="auto"/>
                      <w:szCs w:val="21"/>
                      <w:highlight w:val="none"/>
                    </w:rPr>
                    <m:t>Q</m:t>
                  </m:r>
                  <m:ctrlPr>
                    <w:rPr>
                      <w:rFonts w:hint="default" w:ascii="Cambria Math" w:hAnsi="Cambria Math"/>
                      <w:i/>
                      <w:color w:val="auto"/>
                      <w:szCs w:val="21"/>
                      <w:highlight w:val="none"/>
                    </w:rPr>
                  </m:ctrlPr>
                </m:e>
                <m:sub>
                  <m:r>
                    <m:rPr/>
                    <w:rPr>
                      <w:rFonts w:hint="default" w:ascii="Cambria Math" w:hAnsi="Cambria Math"/>
                      <w:color w:val="auto"/>
                      <w:szCs w:val="21"/>
                      <w:highlight w:val="none"/>
                    </w:rPr>
                    <m:t>c</m:t>
                  </m:r>
                  <m:ctrlPr>
                    <w:rPr>
                      <w:rFonts w:hint="default" w:ascii="Cambria Math" w:hAnsi="Cambria Math"/>
                      <w:i/>
                      <w:color w:val="auto"/>
                      <w:szCs w:val="21"/>
                      <w:highlight w:val="none"/>
                    </w:rPr>
                  </m:ctrlPr>
                </m:sub>
              </m:sSub>
              <m:ctrlPr>
                <w:rPr>
                  <w:rFonts w:hint="default" w:ascii="Cambria Math" w:hAnsi="Cambria Math"/>
                  <w:color w:val="auto"/>
                  <w:szCs w:val="21"/>
                  <w:highlight w:val="none"/>
                </w:rPr>
              </m:ctrlPr>
            </m:num>
            <m:den>
              <m:sSub>
                <m:sSubPr>
                  <m:ctrlPr>
                    <w:rPr>
                      <w:rFonts w:hint="default" w:ascii="Cambria Math" w:hAnsi="Cambria Math"/>
                      <w:i/>
                      <w:color w:val="auto"/>
                      <w:szCs w:val="21"/>
                      <w:highlight w:val="none"/>
                    </w:rPr>
                  </m:ctrlPr>
                </m:sSubPr>
                <m:e>
                  <m:r>
                    <m:rPr/>
                    <w:rPr>
                      <w:rFonts w:hint="default" w:ascii="Cambria Math" w:hAnsi="Cambria Math"/>
                      <w:color w:val="auto"/>
                      <w:szCs w:val="21"/>
                      <w:highlight w:val="none"/>
                    </w:rPr>
                    <m:t>C</m:t>
                  </m:r>
                  <m:ctrlPr>
                    <w:rPr>
                      <w:rFonts w:hint="default" w:ascii="Cambria Math" w:hAnsi="Cambria Math"/>
                      <w:i/>
                      <w:color w:val="auto"/>
                      <w:szCs w:val="21"/>
                      <w:highlight w:val="none"/>
                    </w:rPr>
                  </m:ctrlPr>
                </m:e>
                <m:sub>
                  <m:r>
                    <m:rPr/>
                    <w:rPr>
                      <w:rFonts w:hint="default" w:ascii="Cambria Math" w:hAnsi="Cambria Math"/>
                      <w:color w:val="auto"/>
                      <w:szCs w:val="21"/>
                      <w:highlight w:val="none"/>
                    </w:rPr>
                    <m:t>m</m:t>
                  </m:r>
                  <m:ctrlPr>
                    <w:rPr>
                      <w:rFonts w:hint="default" w:ascii="Cambria Math" w:hAnsi="Cambria Math"/>
                      <w:i/>
                      <w:color w:val="auto"/>
                      <w:szCs w:val="21"/>
                      <w:highlight w:val="none"/>
                    </w:rPr>
                  </m:ctrlPr>
                </m:sub>
              </m:sSub>
              <m:ctrlPr>
                <w:rPr>
                  <w:rFonts w:hint="default" w:ascii="Cambria Math" w:hAnsi="Cambria Math"/>
                  <w:color w:val="auto"/>
                  <w:szCs w:val="21"/>
                  <w:highlight w:val="none"/>
                </w:rPr>
              </m:ctrlPr>
            </m:den>
          </m:f>
          <m:r>
            <m:rPr/>
            <w:rPr>
              <w:rFonts w:hint="default" w:ascii="Cambria Math" w:hAnsi="Cambria Math"/>
              <w:color w:val="auto"/>
              <w:szCs w:val="21"/>
              <w:highlight w:val="none"/>
            </w:rPr>
            <m:t>=</m:t>
          </m:r>
          <m:f>
            <m:fPr>
              <m:ctrlPr>
                <w:rPr>
                  <w:rFonts w:hint="default" w:ascii="Cambria Math" w:hAnsi="Cambria Math"/>
                  <w:i/>
                  <w:color w:val="auto"/>
                  <w:szCs w:val="21"/>
                  <w:highlight w:val="none"/>
                </w:rPr>
              </m:ctrlPr>
            </m:fPr>
            <m:num>
              <m:r>
                <m:rPr/>
                <w:rPr>
                  <w:rFonts w:hint="default" w:ascii="Cambria Math" w:hAnsi="Cambria Math"/>
                  <w:color w:val="auto"/>
                  <w:szCs w:val="21"/>
                  <w:highlight w:val="none"/>
                </w:rPr>
                <m:t>1</m:t>
              </m:r>
              <m:ctrlPr>
                <w:rPr>
                  <w:rFonts w:hint="default" w:ascii="Cambria Math" w:hAnsi="Cambria Math"/>
                  <w:i/>
                  <w:color w:val="auto"/>
                  <w:szCs w:val="21"/>
                  <w:highlight w:val="none"/>
                </w:rPr>
              </m:ctrlPr>
            </m:num>
            <m:den>
              <m:r>
                <m:rPr/>
                <w:rPr>
                  <w:rFonts w:hint="default" w:ascii="Cambria Math" w:hAnsi="Cambria Math"/>
                  <w:color w:val="auto"/>
                  <w:szCs w:val="21"/>
                  <w:highlight w:val="none"/>
                </w:rPr>
                <m:t>A</m:t>
              </m:r>
              <m:ctrlPr>
                <w:rPr>
                  <w:rFonts w:hint="default" w:ascii="Cambria Math" w:hAnsi="Cambria Math"/>
                  <w:i/>
                  <w:color w:val="auto"/>
                  <w:szCs w:val="21"/>
                  <w:highlight w:val="none"/>
                </w:rPr>
              </m:ctrlPr>
            </m:den>
          </m:f>
          <m:sSup>
            <m:sSupPr>
              <m:ctrlPr>
                <w:rPr>
                  <w:rFonts w:hint="default" w:ascii="Cambria Math" w:hAnsi="Cambria Math"/>
                  <w:i/>
                  <w:color w:val="auto"/>
                  <w:szCs w:val="21"/>
                  <w:highlight w:val="none"/>
                </w:rPr>
              </m:ctrlPr>
            </m:sSupPr>
            <m:e>
              <m:d>
                <m:dPr>
                  <m:ctrlPr>
                    <w:rPr>
                      <w:rFonts w:hint="default" w:ascii="Cambria Math" w:hAnsi="Cambria Math"/>
                      <w:i/>
                      <w:color w:val="auto"/>
                      <w:szCs w:val="21"/>
                      <w:highlight w:val="none"/>
                    </w:rPr>
                  </m:ctrlPr>
                </m:dPr>
                <m:e>
                  <m:r>
                    <m:rPr/>
                    <w:rPr>
                      <w:rFonts w:hint="default" w:ascii="Cambria Math" w:hAnsi="Cambria Math"/>
                      <w:color w:val="auto"/>
                      <w:szCs w:val="21"/>
                      <w:highlight w:val="none"/>
                    </w:rPr>
                    <m:t>B</m:t>
                  </m:r>
                  <m:sSup>
                    <m:sSupPr>
                      <m:ctrlPr>
                        <w:rPr>
                          <w:rFonts w:hint="default" w:ascii="Cambria Math" w:hAnsi="Cambria Math"/>
                          <w:i/>
                          <w:color w:val="auto"/>
                          <w:szCs w:val="21"/>
                          <w:highlight w:val="none"/>
                        </w:rPr>
                      </m:ctrlPr>
                    </m:sSupPr>
                    <m:e>
                      <m:r>
                        <m:rPr/>
                        <w:rPr>
                          <w:rFonts w:hint="default" w:ascii="Cambria Math" w:hAnsi="Cambria Math"/>
                          <w:color w:val="auto"/>
                          <w:szCs w:val="21"/>
                          <w:highlight w:val="none"/>
                        </w:rPr>
                        <m:t>L</m:t>
                      </m:r>
                      <m:ctrlPr>
                        <w:rPr>
                          <w:rFonts w:hint="default" w:ascii="Cambria Math" w:hAnsi="Cambria Math"/>
                          <w:i/>
                          <w:color w:val="auto"/>
                          <w:szCs w:val="21"/>
                          <w:highlight w:val="none"/>
                        </w:rPr>
                      </m:ctrlPr>
                    </m:e>
                    <m:sup>
                      <m:r>
                        <m:rPr/>
                        <w:rPr>
                          <w:rFonts w:hint="default" w:ascii="Cambria Math" w:hAnsi="Cambria Math"/>
                          <w:color w:val="auto"/>
                          <w:szCs w:val="21"/>
                          <w:highlight w:val="none"/>
                        </w:rPr>
                        <m:t>C</m:t>
                      </m:r>
                      <m:ctrlPr>
                        <w:rPr>
                          <w:rFonts w:hint="default" w:ascii="Cambria Math" w:hAnsi="Cambria Math"/>
                          <w:i/>
                          <w:color w:val="auto"/>
                          <w:szCs w:val="21"/>
                          <w:highlight w:val="none"/>
                        </w:rPr>
                      </m:ctrlPr>
                    </m:sup>
                  </m:sSup>
                  <m:r>
                    <m:rPr/>
                    <w:rPr>
                      <w:rFonts w:hint="default" w:ascii="Cambria Math" w:hAnsi="Cambria Math"/>
                      <w:color w:val="auto"/>
                      <w:szCs w:val="21"/>
                      <w:highlight w:val="none"/>
                    </w:rPr>
                    <m:t>+0.25</m:t>
                  </m:r>
                  <m:sSup>
                    <m:sSupPr>
                      <m:ctrlPr>
                        <w:rPr>
                          <w:rFonts w:hint="default" w:ascii="Cambria Math" w:hAnsi="Cambria Math"/>
                          <w:i/>
                          <w:color w:val="auto"/>
                          <w:szCs w:val="21"/>
                          <w:highlight w:val="none"/>
                        </w:rPr>
                      </m:ctrlPr>
                    </m:sSupPr>
                    <m:e>
                      <m:r>
                        <m:rPr/>
                        <w:rPr>
                          <w:rFonts w:hint="default" w:ascii="Cambria Math" w:hAnsi="Cambria Math"/>
                          <w:color w:val="auto"/>
                          <w:szCs w:val="21"/>
                          <w:highlight w:val="none"/>
                        </w:rPr>
                        <m:t>r</m:t>
                      </m:r>
                      <m:ctrlPr>
                        <w:rPr>
                          <w:rFonts w:hint="default" w:ascii="Cambria Math" w:hAnsi="Cambria Math"/>
                          <w:i/>
                          <w:color w:val="auto"/>
                          <w:szCs w:val="21"/>
                          <w:highlight w:val="none"/>
                        </w:rPr>
                      </m:ctrlPr>
                    </m:e>
                    <m:sup>
                      <m:r>
                        <m:rPr/>
                        <w:rPr>
                          <w:rFonts w:hint="default" w:ascii="Cambria Math" w:hAnsi="Cambria Math"/>
                          <w:color w:val="auto"/>
                          <w:szCs w:val="21"/>
                          <w:highlight w:val="none"/>
                        </w:rPr>
                        <m:t>2</m:t>
                      </m:r>
                      <m:ctrlPr>
                        <w:rPr>
                          <w:rFonts w:hint="default" w:ascii="Cambria Math" w:hAnsi="Cambria Math"/>
                          <w:i/>
                          <w:color w:val="auto"/>
                          <w:szCs w:val="21"/>
                          <w:highlight w:val="none"/>
                        </w:rPr>
                      </m:ctrlPr>
                    </m:sup>
                  </m:sSup>
                  <m:ctrlPr>
                    <w:rPr>
                      <w:rFonts w:hint="default" w:ascii="Cambria Math" w:hAnsi="Cambria Math"/>
                      <w:i/>
                      <w:color w:val="auto"/>
                      <w:szCs w:val="21"/>
                      <w:highlight w:val="none"/>
                    </w:rPr>
                  </m:ctrlPr>
                </m:e>
              </m:d>
              <m:ctrlPr>
                <w:rPr>
                  <w:rFonts w:hint="default" w:ascii="Cambria Math" w:hAnsi="Cambria Math"/>
                  <w:i/>
                  <w:color w:val="auto"/>
                  <w:szCs w:val="21"/>
                  <w:highlight w:val="none"/>
                </w:rPr>
              </m:ctrlPr>
            </m:e>
            <m:sup>
              <m:r>
                <m:rPr/>
                <w:rPr>
                  <w:rFonts w:hint="default" w:ascii="Cambria Math" w:hAnsi="Cambria Math"/>
                  <w:color w:val="auto"/>
                  <w:szCs w:val="21"/>
                  <w:highlight w:val="none"/>
                </w:rPr>
                <m:t>0.5</m:t>
              </m:r>
              <m:ctrlPr>
                <w:rPr>
                  <w:rFonts w:hint="default" w:ascii="Cambria Math" w:hAnsi="Cambria Math"/>
                  <w:i/>
                  <w:color w:val="auto"/>
                  <w:szCs w:val="21"/>
                  <w:highlight w:val="none"/>
                </w:rPr>
              </m:ctrlPr>
            </m:sup>
          </m:sSup>
          <m:sSup>
            <m:sSupPr>
              <m:ctrlPr>
                <w:rPr>
                  <w:rFonts w:hint="default" w:ascii="Cambria Math" w:hAnsi="Cambria Math"/>
                  <w:i/>
                  <w:color w:val="auto"/>
                  <w:szCs w:val="21"/>
                  <w:highlight w:val="none"/>
                </w:rPr>
              </m:ctrlPr>
            </m:sSupPr>
            <m:e>
              <m:r>
                <m:rPr/>
                <w:rPr>
                  <w:rFonts w:hint="default" w:ascii="Cambria Math" w:hAnsi="Cambria Math"/>
                  <w:color w:val="auto"/>
                  <w:szCs w:val="21"/>
                  <w:highlight w:val="none"/>
                </w:rPr>
                <m:t>L</m:t>
              </m:r>
              <m:ctrlPr>
                <w:rPr>
                  <w:rFonts w:hint="default" w:ascii="Cambria Math" w:hAnsi="Cambria Math"/>
                  <w:i/>
                  <w:color w:val="auto"/>
                  <w:szCs w:val="21"/>
                  <w:highlight w:val="none"/>
                </w:rPr>
              </m:ctrlPr>
            </m:e>
            <m:sup>
              <m:r>
                <m:rPr/>
                <w:rPr>
                  <w:rFonts w:hint="default" w:ascii="Cambria Math" w:hAnsi="Cambria Math"/>
                  <w:color w:val="auto"/>
                  <w:szCs w:val="21"/>
                  <w:highlight w:val="none"/>
                </w:rPr>
                <m:t>D</m:t>
              </m:r>
              <m:ctrlPr>
                <w:rPr>
                  <w:rFonts w:hint="default" w:ascii="Cambria Math" w:hAnsi="Cambria Math"/>
                  <w:i/>
                  <w:color w:val="auto"/>
                  <w:szCs w:val="21"/>
                  <w:highlight w:val="none"/>
                </w:rPr>
              </m:ctrlPr>
            </m:sup>
          </m:sSup>
        </m:oMath>
      </m:oMathPara>
    </w:p>
    <w:p w14:paraId="447AD6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式中:</w:t>
      </w:r>
    </w:p>
    <w:p w14:paraId="7AD3EC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Cm－为环境一次浓度标准限值（mg/m3）；</w:t>
      </w:r>
    </w:p>
    <w:p w14:paraId="2381F5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L－工业企业所需的防护距离（m）；</w:t>
      </w:r>
    </w:p>
    <w:p w14:paraId="146F60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Qc－有害气体无组织排放量可以达到的控制水平（kg/h）；</w:t>
      </w:r>
    </w:p>
    <w:p w14:paraId="6B1769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r－有害气体无组织排放源所在单元的等效半径（m）；</w:t>
      </w:r>
    </w:p>
    <w:p w14:paraId="4AB6CE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A、B、C、D为计算系数，根据所在地区近五年来平均风速及工业企业大气污染物源构成类别查询，分别取470、0.021、1.85、0.84。</w:t>
      </w:r>
    </w:p>
    <w:p w14:paraId="47D5B7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根据本项目无组织总排放速率计算卫生防护距离，计算结果见下表。</w:t>
      </w:r>
    </w:p>
    <w:p w14:paraId="7D4212EE">
      <w:pPr>
        <w:pStyle w:val="15"/>
        <w:adjustRightInd w:val="0"/>
        <w:spacing w:before="0" w:after="0" w:line="360" w:lineRule="auto"/>
        <w:ind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表 </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STYLEREF 2 \s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6.1</w:t>
      </w:r>
      <w:r>
        <w:rPr>
          <w:rFonts w:hint="default" w:ascii="Times New Roman" w:hAnsi="Times New Roman" w:eastAsia="宋体" w:cs="Times New Roman"/>
          <w:color w:val="auto"/>
          <w:sz w:val="24"/>
          <w:szCs w:val="24"/>
          <w:highlight w:val="none"/>
        </w:rPr>
        <w:fldChar w:fldCharType="end"/>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SEQ 表 \* ARABIC \s 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卫生防护距离计算结果</w:t>
      </w:r>
    </w:p>
    <w:tbl>
      <w:tblPr>
        <w:tblStyle w:val="45"/>
        <w:tblW w:w="83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5"/>
        <w:gridCol w:w="927"/>
        <w:gridCol w:w="640"/>
        <w:gridCol w:w="743"/>
        <w:gridCol w:w="647"/>
        <w:gridCol w:w="648"/>
        <w:gridCol w:w="694"/>
        <w:gridCol w:w="850"/>
        <w:gridCol w:w="992"/>
        <w:gridCol w:w="718"/>
        <w:gridCol w:w="764"/>
      </w:tblGrid>
      <w:tr w14:paraId="0B3477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5" w:type="dxa"/>
            <w:vMerge w:val="restart"/>
            <w:vAlign w:val="center"/>
          </w:tcPr>
          <w:p w14:paraId="35D5F6A7">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位置</w:t>
            </w:r>
          </w:p>
        </w:tc>
        <w:tc>
          <w:tcPr>
            <w:tcW w:w="927" w:type="dxa"/>
            <w:vMerge w:val="restart"/>
            <w:vAlign w:val="center"/>
          </w:tcPr>
          <w:p w14:paraId="335D074B">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2678" w:type="dxa"/>
            <w:gridSpan w:val="4"/>
            <w:vAlign w:val="center"/>
          </w:tcPr>
          <w:p w14:paraId="277B0597">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卫生防护距离计算系数</w:t>
            </w:r>
          </w:p>
        </w:tc>
        <w:tc>
          <w:tcPr>
            <w:tcW w:w="694" w:type="dxa"/>
            <w:vMerge w:val="restart"/>
            <w:vAlign w:val="center"/>
          </w:tcPr>
          <w:p w14:paraId="6CEE3F17">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S</w:t>
            </w:r>
          </w:p>
          <w:p w14:paraId="4E60E977">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2</w:t>
            </w:r>
            <w:r>
              <w:rPr>
                <w:rFonts w:hint="default" w:ascii="Times New Roman" w:hAnsi="Times New Roman" w:cs="Times New Roman"/>
                <w:b/>
                <w:color w:val="auto"/>
                <w:sz w:val="21"/>
                <w:szCs w:val="21"/>
                <w:highlight w:val="none"/>
              </w:rPr>
              <w:t>)</w:t>
            </w:r>
          </w:p>
        </w:tc>
        <w:tc>
          <w:tcPr>
            <w:tcW w:w="850" w:type="dxa"/>
            <w:vMerge w:val="restart"/>
            <w:vAlign w:val="center"/>
          </w:tcPr>
          <w:p w14:paraId="455769AA">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Qc</w:t>
            </w:r>
          </w:p>
          <w:p w14:paraId="31A47F92">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(kg/h)</w:t>
            </w:r>
          </w:p>
        </w:tc>
        <w:tc>
          <w:tcPr>
            <w:tcW w:w="992" w:type="dxa"/>
            <w:vMerge w:val="restart"/>
            <w:vAlign w:val="center"/>
          </w:tcPr>
          <w:p w14:paraId="0F32D2EF">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Cm</w:t>
            </w:r>
          </w:p>
          <w:p w14:paraId="3CD82FFC">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1482" w:type="dxa"/>
            <w:gridSpan w:val="2"/>
            <w:vAlign w:val="center"/>
          </w:tcPr>
          <w:p w14:paraId="2FE26F0A">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卫生防护距离L(m)</w:t>
            </w:r>
          </w:p>
        </w:tc>
      </w:tr>
      <w:tr w14:paraId="1E813B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735" w:type="dxa"/>
            <w:vMerge w:val="continue"/>
            <w:vAlign w:val="center"/>
          </w:tcPr>
          <w:p w14:paraId="485BE463">
            <w:pPr>
              <w:jc w:val="center"/>
              <w:rPr>
                <w:rFonts w:hint="default" w:ascii="Times New Roman" w:hAnsi="Times New Roman" w:cs="Times New Roman"/>
                <w:b/>
                <w:color w:val="auto"/>
                <w:sz w:val="21"/>
                <w:szCs w:val="21"/>
                <w:highlight w:val="none"/>
              </w:rPr>
            </w:pPr>
          </w:p>
        </w:tc>
        <w:tc>
          <w:tcPr>
            <w:tcW w:w="927" w:type="dxa"/>
            <w:vMerge w:val="continue"/>
            <w:vAlign w:val="center"/>
          </w:tcPr>
          <w:p w14:paraId="025D46AA">
            <w:pPr>
              <w:jc w:val="center"/>
              <w:rPr>
                <w:rFonts w:hint="default" w:ascii="Times New Roman" w:hAnsi="Times New Roman" w:cs="Times New Roman"/>
                <w:b/>
                <w:color w:val="auto"/>
                <w:sz w:val="21"/>
                <w:szCs w:val="21"/>
                <w:highlight w:val="none"/>
              </w:rPr>
            </w:pPr>
          </w:p>
        </w:tc>
        <w:tc>
          <w:tcPr>
            <w:tcW w:w="640" w:type="dxa"/>
            <w:vAlign w:val="center"/>
          </w:tcPr>
          <w:p w14:paraId="51F204FB">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A</w:t>
            </w:r>
          </w:p>
        </w:tc>
        <w:tc>
          <w:tcPr>
            <w:tcW w:w="743" w:type="dxa"/>
            <w:vAlign w:val="center"/>
          </w:tcPr>
          <w:p w14:paraId="0CC29E5D">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B</w:t>
            </w:r>
          </w:p>
        </w:tc>
        <w:tc>
          <w:tcPr>
            <w:tcW w:w="647" w:type="dxa"/>
            <w:vAlign w:val="center"/>
          </w:tcPr>
          <w:p w14:paraId="534D2DE3">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C</w:t>
            </w:r>
          </w:p>
        </w:tc>
        <w:tc>
          <w:tcPr>
            <w:tcW w:w="648" w:type="dxa"/>
            <w:vAlign w:val="center"/>
          </w:tcPr>
          <w:p w14:paraId="5FD9F269">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D</w:t>
            </w:r>
          </w:p>
        </w:tc>
        <w:tc>
          <w:tcPr>
            <w:tcW w:w="694" w:type="dxa"/>
            <w:vMerge w:val="continue"/>
            <w:vAlign w:val="center"/>
          </w:tcPr>
          <w:p w14:paraId="7B77131F">
            <w:pPr>
              <w:jc w:val="center"/>
              <w:rPr>
                <w:rFonts w:hint="default" w:ascii="Times New Roman" w:hAnsi="Times New Roman" w:cs="Times New Roman"/>
                <w:b/>
                <w:color w:val="auto"/>
                <w:sz w:val="21"/>
                <w:szCs w:val="21"/>
                <w:highlight w:val="none"/>
              </w:rPr>
            </w:pPr>
          </w:p>
        </w:tc>
        <w:tc>
          <w:tcPr>
            <w:tcW w:w="850" w:type="dxa"/>
            <w:vMerge w:val="continue"/>
            <w:vAlign w:val="center"/>
          </w:tcPr>
          <w:p w14:paraId="1303524C">
            <w:pPr>
              <w:jc w:val="center"/>
              <w:rPr>
                <w:rFonts w:hint="default" w:ascii="Times New Roman" w:hAnsi="Times New Roman" w:cs="Times New Roman"/>
                <w:b/>
                <w:color w:val="auto"/>
                <w:sz w:val="21"/>
                <w:szCs w:val="21"/>
                <w:highlight w:val="none"/>
              </w:rPr>
            </w:pPr>
          </w:p>
        </w:tc>
        <w:tc>
          <w:tcPr>
            <w:tcW w:w="992" w:type="dxa"/>
            <w:vMerge w:val="continue"/>
            <w:vAlign w:val="center"/>
          </w:tcPr>
          <w:p w14:paraId="112ED45B">
            <w:pPr>
              <w:jc w:val="center"/>
              <w:rPr>
                <w:rFonts w:hint="default" w:ascii="Times New Roman" w:hAnsi="Times New Roman" w:cs="Times New Roman"/>
                <w:b/>
                <w:color w:val="auto"/>
                <w:sz w:val="21"/>
                <w:szCs w:val="21"/>
                <w:highlight w:val="none"/>
              </w:rPr>
            </w:pPr>
          </w:p>
        </w:tc>
        <w:tc>
          <w:tcPr>
            <w:tcW w:w="718" w:type="dxa"/>
            <w:vAlign w:val="center"/>
          </w:tcPr>
          <w:p w14:paraId="704C0215">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L计</w:t>
            </w:r>
          </w:p>
        </w:tc>
        <w:tc>
          <w:tcPr>
            <w:tcW w:w="764" w:type="dxa"/>
            <w:vAlign w:val="center"/>
          </w:tcPr>
          <w:p w14:paraId="2054AD13">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L</w:t>
            </w:r>
          </w:p>
        </w:tc>
      </w:tr>
      <w:tr w14:paraId="178E2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735" w:type="dxa"/>
            <w:vAlign w:val="center"/>
          </w:tcPr>
          <w:p w14:paraId="3F255D96">
            <w:pPr>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二工场车间</w:t>
            </w:r>
          </w:p>
        </w:tc>
        <w:tc>
          <w:tcPr>
            <w:tcW w:w="927" w:type="dxa"/>
            <w:vAlign w:val="center"/>
          </w:tcPr>
          <w:p w14:paraId="54A1CE81">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非甲烷总烃</w:t>
            </w:r>
          </w:p>
        </w:tc>
        <w:tc>
          <w:tcPr>
            <w:tcW w:w="640" w:type="dxa"/>
            <w:vAlign w:val="center"/>
          </w:tcPr>
          <w:p w14:paraId="5837A31B">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470</w:t>
            </w:r>
          </w:p>
        </w:tc>
        <w:tc>
          <w:tcPr>
            <w:tcW w:w="743" w:type="dxa"/>
            <w:vAlign w:val="center"/>
          </w:tcPr>
          <w:p w14:paraId="6A822FCB">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0.021</w:t>
            </w:r>
          </w:p>
        </w:tc>
        <w:tc>
          <w:tcPr>
            <w:tcW w:w="647" w:type="dxa"/>
            <w:vAlign w:val="center"/>
          </w:tcPr>
          <w:p w14:paraId="5871F30E">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1.85</w:t>
            </w:r>
          </w:p>
        </w:tc>
        <w:tc>
          <w:tcPr>
            <w:tcW w:w="648" w:type="dxa"/>
            <w:vAlign w:val="center"/>
          </w:tcPr>
          <w:p w14:paraId="1C344161">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0.84</w:t>
            </w:r>
          </w:p>
        </w:tc>
        <w:tc>
          <w:tcPr>
            <w:tcW w:w="694" w:type="dxa"/>
            <w:vAlign w:val="center"/>
          </w:tcPr>
          <w:p w14:paraId="62423257">
            <w:pPr>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850" w:type="dxa"/>
            <w:vAlign w:val="center"/>
          </w:tcPr>
          <w:p w14:paraId="5BAF93F9">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0.0047</w:t>
            </w:r>
          </w:p>
        </w:tc>
        <w:tc>
          <w:tcPr>
            <w:tcW w:w="992" w:type="dxa"/>
            <w:vAlign w:val="center"/>
          </w:tcPr>
          <w:p w14:paraId="7531CBF0">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718" w:type="dxa"/>
            <w:vAlign w:val="center"/>
          </w:tcPr>
          <w:p w14:paraId="5BD721EA">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0.109</w:t>
            </w:r>
          </w:p>
        </w:tc>
        <w:tc>
          <w:tcPr>
            <w:tcW w:w="764" w:type="dxa"/>
            <w:vAlign w:val="center"/>
          </w:tcPr>
          <w:p w14:paraId="3901C0D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14:paraId="55EA9B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735" w:type="dxa"/>
            <w:vMerge w:val="restart"/>
            <w:vAlign w:val="center"/>
          </w:tcPr>
          <w:p w14:paraId="34BAF2C1">
            <w:pPr>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实验室</w:t>
            </w:r>
          </w:p>
        </w:tc>
        <w:tc>
          <w:tcPr>
            <w:tcW w:w="927" w:type="dxa"/>
            <w:vAlign w:val="center"/>
          </w:tcPr>
          <w:p w14:paraId="4418AADC">
            <w:pPr>
              <w:keepNext w:val="0"/>
              <w:keepLines w:val="0"/>
              <w:widowControl/>
              <w:suppressLineNumbers w:val="0"/>
              <w:jc w:val="center"/>
              <w:textAlignment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非甲烷总烃</w:t>
            </w:r>
          </w:p>
        </w:tc>
        <w:tc>
          <w:tcPr>
            <w:tcW w:w="640" w:type="dxa"/>
            <w:vAlign w:val="center"/>
          </w:tcPr>
          <w:p w14:paraId="615D391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w:t>
            </w:r>
          </w:p>
        </w:tc>
        <w:tc>
          <w:tcPr>
            <w:tcW w:w="743" w:type="dxa"/>
            <w:vAlign w:val="center"/>
          </w:tcPr>
          <w:p w14:paraId="5B72B1A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0.021</w:t>
            </w:r>
          </w:p>
        </w:tc>
        <w:tc>
          <w:tcPr>
            <w:tcW w:w="647" w:type="dxa"/>
            <w:vAlign w:val="center"/>
          </w:tcPr>
          <w:p w14:paraId="2489DAD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w:t>
            </w:r>
          </w:p>
        </w:tc>
        <w:tc>
          <w:tcPr>
            <w:tcW w:w="648" w:type="dxa"/>
            <w:vAlign w:val="center"/>
          </w:tcPr>
          <w:p w14:paraId="35432DF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0.84</w:t>
            </w:r>
          </w:p>
        </w:tc>
        <w:tc>
          <w:tcPr>
            <w:tcW w:w="694" w:type="dxa"/>
            <w:vMerge w:val="restart"/>
            <w:vAlign w:val="center"/>
          </w:tcPr>
          <w:p w14:paraId="0B5B28BF">
            <w:pPr>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348</w:t>
            </w:r>
          </w:p>
        </w:tc>
        <w:tc>
          <w:tcPr>
            <w:tcW w:w="850" w:type="dxa"/>
            <w:vAlign w:val="center"/>
          </w:tcPr>
          <w:p w14:paraId="57384D47">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0.000984</w:t>
            </w:r>
          </w:p>
        </w:tc>
        <w:tc>
          <w:tcPr>
            <w:tcW w:w="992" w:type="dxa"/>
            <w:vAlign w:val="center"/>
          </w:tcPr>
          <w:p w14:paraId="7A0DAA77">
            <w:pPr>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718" w:type="dxa"/>
            <w:vAlign w:val="center"/>
          </w:tcPr>
          <w:p w14:paraId="2FEE1162">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0.024</w:t>
            </w:r>
          </w:p>
        </w:tc>
        <w:tc>
          <w:tcPr>
            <w:tcW w:w="764" w:type="dxa"/>
            <w:vAlign w:val="center"/>
          </w:tcPr>
          <w:p w14:paraId="11042F1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14:paraId="13FFE8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735" w:type="dxa"/>
            <w:vMerge w:val="continue"/>
            <w:vAlign w:val="center"/>
          </w:tcPr>
          <w:p w14:paraId="2F606993">
            <w:pPr>
              <w:jc w:val="center"/>
              <w:textAlignment w:val="center"/>
              <w:rPr>
                <w:rFonts w:hint="default" w:ascii="Times New Roman" w:hAnsi="Times New Roman" w:cs="Times New Roman"/>
                <w:color w:val="auto"/>
                <w:sz w:val="21"/>
                <w:szCs w:val="21"/>
                <w:highlight w:val="none"/>
                <w:lang w:val="en-US" w:eastAsia="zh-CN"/>
              </w:rPr>
            </w:pPr>
          </w:p>
        </w:tc>
        <w:tc>
          <w:tcPr>
            <w:tcW w:w="927" w:type="dxa"/>
            <w:vAlign w:val="center"/>
          </w:tcPr>
          <w:p w14:paraId="119E1F03">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甲醇</w:t>
            </w:r>
          </w:p>
        </w:tc>
        <w:tc>
          <w:tcPr>
            <w:tcW w:w="640" w:type="dxa"/>
            <w:vAlign w:val="center"/>
          </w:tcPr>
          <w:p w14:paraId="07BCB9D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w:t>
            </w:r>
          </w:p>
        </w:tc>
        <w:tc>
          <w:tcPr>
            <w:tcW w:w="743" w:type="dxa"/>
            <w:vAlign w:val="center"/>
          </w:tcPr>
          <w:p w14:paraId="76B78AC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0.021</w:t>
            </w:r>
          </w:p>
        </w:tc>
        <w:tc>
          <w:tcPr>
            <w:tcW w:w="647" w:type="dxa"/>
            <w:vAlign w:val="center"/>
          </w:tcPr>
          <w:p w14:paraId="6D6DA3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w:t>
            </w:r>
          </w:p>
        </w:tc>
        <w:tc>
          <w:tcPr>
            <w:tcW w:w="648" w:type="dxa"/>
            <w:vAlign w:val="center"/>
          </w:tcPr>
          <w:p w14:paraId="6947F43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0.84</w:t>
            </w:r>
          </w:p>
        </w:tc>
        <w:tc>
          <w:tcPr>
            <w:tcW w:w="694" w:type="dxa"/>
            <w:vMerge w:val="continue"/>
            <w:vAlign w:val="center"/>
          </w:tcPr>
          <w:p w14:paraId="299861D4">
            <w:pPr>
              <w:jc w:val="center"/>
              <w:textAlignment w:val="center"/>
              <w:rPr>
                <w:rFonts w:hint="eastAsia" w:ascii="Times New Roman" w:hAnsi="Times New Roman" w:cs="Times New Roman"/>
                <w:color w:val="auto"/>
                <w:sz w:val="21"/>
                <w:szCs w:val="21"/>
                <w:highlight w:val="none"/>
                <w:lang w:val="en-US" w:eastAsia="zh-CN"/>
              </w:rPr>
            </w:pPr>
          </w:p>
        </w:tc>
        <w:tc>
          <w:tcPr>
            <w:tcW w:w="850" w:type="dxa"/>
            <w:vAlign w:val="center"/>
          </w:tcPr>
          <w:p w14:paraId="1F948687">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0.0016</w:t>
            </w:r>
          </w:p>
        </w:tc>
        <w:tc>
          <w:tcPr>
            <w:tcW w:w="992" w:type="dxa"/>
            <w:vAlign w:val="center"/>
          </w:tcPr>
          <w:p w14:paraId="02FE567B">
            <w:pPr>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718" w:type="dxa"/>
            <w:vAlign w:val="center"/>
          </w:tcPr>
          <w:p w14:paraId="55781A15">
            <w:pPr>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0.514</w:t>
            </w:r>
          </w:p>
        </w:tc>
        <w:tc>
          <w:tcPr>
            <w:tcW w:w="764" w:type="dxa"/>
            <w:vAlign w:val="center"/>
          </w:tcPr>
          <w:p w14:paraId="545F2A7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bl>
    <w:p w14:paraId="3C5708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根据</w:t>
      </w:r>
      <w:r>
        <w:rPr>
          <w:rFonts w:hint="default" w:ascii="Times New Roman" w:hAnsi="Times New Roman" w:cs="Times New Roman"/>
          <w:color w:val="auto"/>
          <w:sz w:val="24"/>
          <w:szCs w:val="22"/>
          <w:highlight w:val="none"/>
        </w:rPr>
        <w:t>《大气有害物质无组织排放卫生防护距离推导技术导则》（GB/T 39499-2020）</w:t>
      </w:r>
      <w:r>
        <w:rPr>
          <w:rFonts w:hint="eastAsia"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val="en-US" w:eastAsia="zh-CN"/>
        </w:rPr>
        <w:t>当企业某生产单元的无组织排放存在多种特征大气有害物质时，如果分别推导出的卫生防护距离初值在同一级别时，则该企业的卫生防护距离终值应提高一级</w:t>
      </w:r>
      <w:r>
        <w:rPr>
          <w:rFonts w:hint="eastAsia"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val="en-US" w:eastAsia="zh-CN"/>
        </w:rPr>
        <w:t>故实验室卫生防护距离提级为100m，二工场车间仍为原审批的车间外100m。</w:t>
      </w:r>
    </w:p>
    <w:p w14:paraId="1C975D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rPr>
        <w:t>因此，</w:t>
      </w:r>
      <w:r>
        <w:rPr>
          <w:rFonts w:hint="eastAsia" w:ascii="Times New Roman" w:hAnsi="Times New Roman" w:eastAsia="宋体" w:cs="Times New Roman"/>
          <w:color w:val="auto"/>
          <w:sz w:val="24"/>
          <w:szCs w:val="22"/>
          <w:highlight w:val="none"/>
          <w:lang w:val="en-US" w:eastAsia="zh-CN"/>
        </w:rPr>
        <w:t>企业</w:t>
      </w:r>
      <w:r>
        <w:rPr>
          <w:rFonts w:hint="default" w:ascii="Times New Roman" w:hAnsi="Times New Roman" w:eastAsia="宋体" w:cs="Times New Roman"/>
          <w:color w:val="auto"/>
          <w:sz w:val="24"/>
          <w:szCs w:val="22"/>
          <w:highlight w:val="none"/>
        </w:rPr>
        <w:t>卫生防护距离为环氧丙烯酸树脂收罐车间</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一工场车间</w:t>
      </w:r>
      <w:r>
        <w:rPr>
          <w:rFonts w:hint="eastAsia"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、丙烯酸酯组成物收罐车间</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二工场车间</w:t>
      </w:r>
      <w:r>
        <w:rPr>
          <w:rFonts w:hint="eastAsia" w:ascii="Times New Roman" w:hAnsi="Times New Roman" w:eastAsia="宋体" w:cs="Times New Roman"/>
          <w:color w:val="auto"/>
          <w:sz w:val="24"/>
          <w:szCs w:val="22"/>
          <w:highlight w:val="none"/>
          <w:lang w:eastAsia="zh-CN"/>
        </w:rPr>
        <w:t>）</w:t>
      </w:r>
      <w:r>
        <w:rPr>
          <w:rFonts w:hint="eastAsia" w:ascii="Times New Roman" w:hAnsi="Times New Roman" w:eastAsia="宋体" w:cs="Times New Roman"/>
          <w:color w:val="auto"/>
          <w:sz w:val="24"/>
          <w:szCs w:val="22"/>
          <w:highlight w:val="none"/>
          <w:lang w:val="en-US" w:eastAsia="zh-CN"/>
        </w:rPr>
        <w:t>外</w:t>
      </w:r>
      <w:r>
        <w:rPr>
          <w:rFonts w:hint="default" w:ascii="Times New Roman" w:hAnsi="Times New Roman" w:eastAsia="宋体" w:cs="Times New Roman"/>
          <w:color w:val="auto"/>
          <w:sz w:val="24"/>
          <w:szCs w:val="22"/>
          <w:highlight w:val="none"/>
        </w:rPr>
        <w:t>100米、</w:t>
      </w:r>
      <w:r>
        <w:rPr>
          <w:rFonts w:hint="eastAsia" w:ascii="Times New Roman" w:hAnsi="Times New Roman" w:eastAsia="宋体" w:cs="Times New Roman"/>
          <w:color w:val="auto"/>
          <w:sz w:val="24"/>
          <w:szCs w:val="22"/>
          <w:highlight w:val="none"/>
          <w:lang w:val="en-US" w:eastAsia="zh-CN"/>
        </w:rPr>
        <w:t>实验室</w:t>
      </w:r>
      <w:r>
        <w:rPr>
          <w:rFonts w:hint="default" w:ascii="Times New Roman" w:hAnsi="Times New Roman" w:eastAsia="宋体" w:cs="Times New Roman"/>
          <w:color w:val="auto"/>
          <w:sz w:val="24"/>
          <w:szCs w:val="22"/>
          <w:highlight w:val="none"/>
        </w:rPr>
        <w:t>外</w:t>
      </w:r>
      <w:r>
        <w:rPr>
          <w:rFonts w:hint="eastAsia" w:ascii="Times New Roman" w:hAnsi="Times New Roman" w:eastAsia="宋体" w:cs="Times New Roman"/>
          <w:color w:val="auto"/>
          <w:sz w:val="24"/>
          <w:szCs w:val="22"/>
          <w:highlight w:val="none"/>
          <w:lang w:val="en-US" w:eastAsia="zh-CN"/>
        </w:rPr>
        <w:t>100米</w:t>
      </w:r>
      <w:r>
        <w:rPr>
          <w:rFonts w:hint="default" w:ascii="Times New Roman" w:hAnsi="Times New Roman" w:eastAsia="宋体" w:cs="Times New Roman"/>
          <w:color w:val="auto"/>
          <w:sz w:val="24"/>
          <w:szCs w:val="22"/>
          <w:highlight w:val="none"/>
        </w:rPr>
        <w:t>包络线围成的范围。根据现场调查，在该卫生防护距离范围内无环境敏感目标，今后也不得建设。</w:t>
      </w:r>
    </w:p>
    <w:p w14:paraId="4898113B">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lang w:val="en-US" w:eastAsia="zh-CN"/>
        </w:rPr>
        <w:t>6.1.10</w:t>
      </w:r>
      <w:r>
        <w:rPr>
          <w:rFonts w:eastAsia="宋体"/>
          <w:color w:val="auto"/>
          <w:sz w:val="28"/>
          <w:szCs w:val="28"/>
          <w:highlight w:val="none"/>
        </w:rPr>
        <w:t>大气环境影响评价结论</w:t>
      </w:r>
      <w:bookmarkEnd w:id="385"/>
    </w:p>
    <w:p w14:paraId="24F70139">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本项目各类废气经过废气</w:t>
      </w:r>
      <w:r>
        <w:rPr>
          <w:rFonts w:ascii="Times New Roman" w:hAnsi="Times New Roman"/>
          <w:color w:val="auto"/>
          <w:highlight w:val="none"/>
        </w:rPr>
        <w:t>处理设施集中处理后均能达标排放，</w:t>
      </w:r>
      <w:r>
        <w:rPr>
          <w:rFonts w:hint="eastAsia" w:ascii="Times New Roman" w:hAnsi="Times New Roman"/>
          <w:color w:val="auto"/>
          <w:highlight w:val="none"/>
        </w:rPr>
        <w:t>混合、过滤、收缸过程产生的非甲烷总烃可达到</w:t>
      </w:r>
      <w:r>
        <w:rPr>
          <w:rFonts w:hint="eastAsia" w:ascii="Times New Roman" w:hAnsi="Times New Roman"/>
          <w:color w:val="auto"/>
          <w:highlight w:val="none"/>
        </w:rPr>
        <w:t>《大气污染物综合排放标准》（DB32/4041-2021）表1、表3标准限值，取样分析的实验废气产生的氮氧化物、非甲烷总烃、甲醇可达到《大气污染物综合排放标准》（DB32/4041-2021）表1、表3标准限值。</w:t>
      </w:r>
    </w:p>
    <w:p w14:paraId="6EEF7849">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采用《环境影响评价技术导则大气环境》（HJ2.2-2018）附录A推荐模型中估算模型AERSCREEN，通过本次扩建后，</w:t>
      </w:r>
      <w:r>
        <w:rPr>
          <w:rFonts w:hint="eastAsia" w:ascii="Times New Roman" w:hAnsi="Times New Roman"/>
          <w:color w:val="auto"/>
          <w:highlight w:val="none"/>
        </w:rPr>
        <w:t>DA005~DA006</w:t>
      </w:r>
      <w:r>
        <w:rPr>
          <w:rFonts w:ascii="Times New Roman" w:hAnsi="Times New Roman"/>
          <w:color w:val="auto"/>
          <w:highlight w:val="none"/>
        </w:rPr>
        <w:t>排气筒排放量以及涉及的无组织源进行预测，预测</w:t>
      </w:r>
      <w:r>
        <w:rPr>
          <w:rFonts w:hint="eastAsia" w:ascii="Times New Roman" w:hAnsi="Times New Roman"/>
          <w:color w:val="auto"/>
          <w:highlight w:val="none"/>
        </w:rPr>
        <w:t>因子为</w:t>
      </w:r>
      <w:r>
        <w:rPr>
          <w:rFonts w:hint="eastAsia" w:ascii="Times New Roman" w:hAnsi="Times New Roman"/>
          <w:color w:val="auto"/>
          <w:highlight w:val="none"/>
        </w:rPr>
        <w:t>非甲烷总烃（含甲醇）</w:t>
      </w:r>
      <w:r>
        <w:rPr>
          <w:rFonts w:ascii="Times New Roman" w:hAnsi="Times New Roman"/>
          <w:color w:val="auto"/>
          <w:highlight w:val="none"/>
        </w:rPr>
        <w:t>，预测结果显示，最大落地浓度均可以达到环境质量标准要求，且占标率较低。非正常情况下，各个污染因子最大落地浓度和占标率均有所增加，但是可以满足相应环境质量标准。</w:t>
      </w:r>
    </w:p>
    <w:p w14:paraId="3192B12F">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本项目不需要设置大气环境防护距离。</w:t>
      </w:r>
    </w:p>
    <w:p w14:paraId="6DE40C58">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86" w:name="_Toc60653556"/>
      <w:r>
        <w:rPr>
          <w:rFonts w:hint="eastAsia" w:eastAsia="宋体"/>
          <w:color w:val="auto"/>
          <w:sz w:val="28"/>
          <w:szCs w:val="28"/>
          <w:highlight w:val="none"/>
        </w:rPr>
        <w:t>6.1.</w:t>
      </w:r>
      <w:r>
        <w:rPr>
          <w:rFonts w:hint="eastAsia" w:eastAsia="宋体"/>
          <w:color w:val="auto"/>
          <w:sz w:val="28"/>
          <w:szCs w:val="28"/>
          <w:highlight w:val="none"/>
          <w:lang w:val="en-US" w:eastAsia="zh-CN"/>
        </w:rPr>
        <w:t>11</w:t>
      </w:r>
      <w:r>
        <w:rPr>
          <w:rFonts w:eastAsia="宋体"/>
          <w:color w:val="auto"/>
          <w:sz w:val="28"/>
          <w:szCs w:val="28"/>
          <w:highlight w:val="none"/>
        </w:rPr>
        <w:t>大气环境影响评价自查表</w:t>
      </w:r>
      <w:bookmarkEnd w:id="386"/>
    </w:p>
    <w:p w14:paraId="0505C96A">
      <w:pPr>
        <w:spacing w:line="360" w:lineRule="auto"/>
        <w:ind w:left="-105" w:right="-105" w:firstLine="480"/>
        <w:rPr>
          <w:rFonts w:ascii="Times New Roman" w:hAnsi="Times New Roman" w:cs="Times New Roman"/>
          <w:color w:val="auto"/>
          <w:highlight w:val="none"/>
        </w:rPr>
      </w:pPr>
      <w:r>
        <w:rPr>
          <w:rFonts w:ascii="Times New Roman" w:hAnsi="Times New Roman"/>
          <w:color w:val="auto"/>
          <w:highlight w:val="none"/>
        </w:rPr>
        <w:t>大气环境影响评价自查情况</w:t>
      </w:r>
      <w:r>
        <w:rPr>
          <w:rFonts w:ascii="Times New Roman" w:hAnsi="Times New Roman" w:cs="Times New Roman"/>
          <w:color w:val="auto"/>
          <w:highlight w:val="none"/>
        </w:rPr>
        <w:t>见</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_Ref38617287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16</w:t>
      </w:r>
      <w:r>
        <w:rPr>
          <w:rFonts w:ascii="Times New Roman" w:hAnsi="Times New Roman" w:cs="Times New Roman"/>
          <w:color w:val="auto"/>
          <w:highlight w:val="none"/>
        </w:rPr>
        <w:fldChar w:fldCharType="end"/>
      </w:r>
      <w:r>
        <w:rPr>
          <w:rFonts w:ascii="Times New Roman" w:hAnsi="Times New Roman" w:cs="Times New Roman"/>
          <w:color w:val="auto"/>
          <w:highlight w:val="none"/>
        </w:rPr>
        <w:t>。</w:t>
      </w:r>
    </w:p>
    <w:p w14:paraId="4B6037CD">
      <w:pPr>
        <w:pStyle w:val="15"/>
        <w:spacing w:line="360" w:lineRule="auto"/>
        <w:ind w:left="-105" w:right="-105" w:firstLine="482"/>
        <w:rPr>
          <w:rFonts w:eastAsia="宋体" w:cs="Times New Roman"/>
          <w:color w:val="auto"/>
          <w:kern w:val="0"/>
          <w:sz w:val="24"/>
          <w:szCs w:val="24"/>
          <w:highlight w:val="none"/>
        </w:rPr>
      </w:pPr>
      <w:bookmarkStart w:id="387" w:name="_Ref38617287"/>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16</w:t>
      </w:r>
      <w:r>
        <w:rPr>
          <w:rFonts w:eastAsia="宋体" w:cs="Times New Roman"/>
          <w:color w:val="auto"/>
          <w:sz w:val="24"/>
          <w:szCs w:val="18"/>
          <w:highlight w:val="none"/>
        </w:rPr>
        <w:fldChar w:fldCharType="end"/>
      </w:r>
      <w:bookmarkEnd w:id="387"/>
      <w:r>
        <w:rPr>
          <w:rFonts w:eastAsia="宋体" w:cs="Times New Roman"/>
          <w:color w:val="auto"/>
          <w:kern w:val="0"/>
          <w:sz w:val="24"/>
          <w:szCs w:val="24"/>
          <w:highlight w:val="none"/>
        </w:rPr>
        <w:t>建设项目大气环境影响评价自查表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35"/>
        <w:gridCol w:w="914"/>
        <w:gridCol w:w="76"/>
        <w:gridCol w:w="181"/>
        <w:gridCol w:w="171"/>
        <w:gridCol w:w="589"/>
        <w:gridCol w:w="552"/>
        <w:gridCol w:w="205"/>
        <w:gridCol w:w="70"/>
        <w:gridCol w:w="809"/>
        <w:gridCol w:w="355"/>
        <w:gridCol w:w="107"/>
        <w:gridCol w:w="372"/>
        <w:gridCol w:w="484"/>
        <w:gridCol w:w="318"/>
        <w:gridCol w:w="170"/>
        <w:gridCol w:w="374"/>
        <w:gridCol w:w="64"/>
        <w:gridCol w:w="904"/>
      </w:tblGrid>
      <w:tr w14:paraId="702A2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087" w:type="dxa"/>
            <w:gridSpan w:val="2"/>
            <w:shd w:val="clear" w:color="auto" w:fill="auto"/>
            <w:vAlign w:val="center"/>
          </w:tcPr>
          <w:p w14:paraId="7F47AC9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工作内容</w:t>
            </w:r>
          </w:p>
        </w:tc>
        <w:tc>
          <w:tcPr>
            <w:tcW w:w="6985" w:type="dxa"/>
            <w:gridSpan w:val="18"/>
            <w:shd w:val="clear" w:color="auto" w:fill="auto"/>
            <w:vAlign w:val="center"/>
          </w:tcPr>
          <w:p w14:paraId="2984981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自查项目</w:t>
            </w:r>
          </w:p>
        </w:tc>
      </w:tr>
      <w:tr w14:paraId="3A40E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52374D2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评价等级与范围</w:t>
            </w:r>
          </w:p>
        </w:tc>
        <w:tc>
          <w:tcPr>
            <w:tcW w:w="1393" w:type="dxa"/>
            <w:shd w:val="clear" w:color="auto" w:fill="auto"/>
            <w:vAlign w:val="center"/>
          </w:tcPr>
          <w:p w14:paraId="4FA090D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评价等级</w:t>
            </w:r>
          </w:p>
        </w:tc>
        <w:tc>
          <w:tcPr>
            <w:tcW w:w="2009" w:type="dxa"/>
            <w:gridSpan w:val="5"/>
            <w:shd w:val="clear" w:color="auto" w:fill="auto"/>
            <w:vAlign w:val="center"/>
          </w:tcPr>
          <w:p w14:paraId="7A4A560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一级□</w:t>
            </w:r>
          </w:p>
        </w:tc>
        <w:tc>
          <w:tcPr>
            <w:tcW w:w="1701" w:type="dxa"/>
            <w:gridSpan w:val="4"/>
            <w:shd w:val="clear" w:color="auto" w:fill="auto"/>
            <w:vAlign w:val="center"/>
          </w:tcPr>
          <w:p w14:paraId="3B1F0DA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二级</w:t>
            </w:r>
            <w:r>
              <w:rPr>
                <w:rFonts w:ascii="Times New Roman" w:hAnsi="Times New Roman"/>
                <w:color w:val="auto"/>
                <w:sz w:val="21"/>
                <w:szCs w:val="21"/>
                <w:highlight w:val="none"/>
              </w:rPr>
              <w:sym w:font="Wingdings 2" w:char="00A3"/>
            </w:r>
          </w:p>
        </w:tc>
        <w:tc>
          <w:tcPr>
            <w:tcW w:w="3275" w:type="dxa"/>
            <w:gridSpan w:val="9"/>
            <w:shd w:val="clear" w:color="auto" w:fill="auto"/>
            <w:vAlign w:val="center"/>
          </w:tcPr>
          <w:p w14:paraId="650803C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三级</w:t>
            </w:r>
            <w:r>
              <w:rPr>
                <w:rFonts w:hint="eastAsia" w:ascii="Times New Roman" w:hAnsi="Times New Roman"/>
                <w:color w:val="auto"/>
                <w:sz w:val="21"/>
                <w:szCs w:val="21"/>
                <w:highlight w:val="none"/>
              </w:rPr>
              <w:t>☑</w:t>
            </w:r>
          </w:p>
        </w:tc>
      </w:tr>
      <w:tr w14:paraId="2187E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05D69D0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485269D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评价范围</w:t>
            </w:r>
          </w:p>
        </w:tc>
        <w:tc>
          <w:tcPr>
            <w:tcW w:w="2009" w:type="dxa"/>
            <w:gridSpan w:val="5"/>
            <w:shd w:val="clear" w:color="auto" w:fill="auto"/>
            <w:vAlign w:val="center"/>
          </w:tcPr>
          <w:p w14:paraId="1AEBA5C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边长=50km□</w:t>
            </w:r>
          </w:p>
        </w:tc>
        <w:tc>
          <w:tcPr>
            <w:tcW w:w="1701" w:type="dxa"/>
            <w:gridSpan w:val="4"/>
            <w:shd w:val="clear" w:color="auto" w:fill="auto"/>
            <w:vAlign w:val="center"/>
          </w:tcPr>
          <w:p w14:paraId="5633926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边长5~50km□</w:t>
            </w:r>
          </w:p>
        </w:tc>
        <w:tc>
          <w:tcPr>
            <w:tcW w:w="3275" w:type="dxa"/>
            <w:gridSpan w:val="9"/>
            <w:shd w:val="clear" w:color="auto" w:fill="auto"/>
            <w:vAlign w:val="center"/>
          </w:tcPr>
          <w:p w14:paraId="09B5438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边长=5km</w:t>
            </w:r>
            <w:r>
              <w:rPr>
                <w:rFonts w:ascii="Times New Roman" w:hAnsi="Times New Roman"/>
                <w:color w:val="auto"/>
                <w:sz w:val="21"/>
                <w:szCs w:val="21"/>
                <w:highlight w:val="none"/>
              </w:rPr>
              <w:sym w:font="Wingdings 2" w:char="00A3"/>
            </w:r>
          </w:p>
        </w:tc>
      </w:tr>
      <w:tr w14:paraId="571E1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149E57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评价因子</w:t>
            </w:r>
          </w:p>
        </w:tc>
        <w:tc>
          <w:tcPr>
            <w:tcW w:w="1393" w:type="dxa"/>
            <w:shd w:val="clear" w:color="auto" w:fill="auto"/>
            <w:vAlign w:val="center"/>
          </w:tcPr>
          <w:p w14:paraId="07F514D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+NO</w:t>
            </w:r>
            <w:r>
              <w:rPr>
                <w:rFonts w:ascii="Times New Roman" w:hAnsi="Times New Roman"/>
                <w:color w:val="auto"/>
                <w:sz w:val="21"/>
                <w:szCs w:val="21"/>
                <w:highlight w:val="none"/>
                <w:vertAlign w:val="subscript"/>
              </w:rPr>
              <w:t>x</w:t>
            </w:r>
            <w:r>
              <w:rPr>
                <w:rFonts w:ascii="Times New Roman" w:hAnsi="Times New Roman"/>
                <w:color w:val="auto"/>
                <w:sz w:val="21"/>
                <w:szCs w:val="21"/>
                <w:highlight w:val="none"/>
              </w:rPr>
              <w:t>排放量</w:t>
            </w:r>
          </w:p>
        </w:tc>
        <w:tc>
          <w:tcPr>
            <w:tcW w:w="2009" w:type="dxa"/>
            <w:gridSpan w:val="5"/>
            <w:shd w:val="clear" w:color="auto" w:fill="auto"/>
            <w:vAlign w:val="center"/>
          </w:tcPr>
          <w:p w14:paraId="1A618C0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≥2000t/a□</w:t>
            </w:r>
          </w:p>
        </w:tc>
        <w:tc>
          <w:tcPr>
            <w:tcW w:w="1701" w:type="dxa"/>
            <w:gridSpan w:val="4"/>
            <w:shd w:val="clear" w:color="auto" w:fill="auto"/>
            <w:vAlign w:val="center"/>
          </w:tcPr>
          <w:p w14:paraId="2F72BA7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500~2000t/a□</w:t>
            </w:r>
          </w:p>
        </w:tc>
        <w:tc>
          <w:tcPr>
            <w:tcW w:w="3275" w:type="dxa"/>
            <w:gridSpan w:val="9"/>
            <w:shd w:val="clear" w:color="auto" w:fill="auto"/>
            <w:vAlign w:val="center"/>
          </w:tcPr>
          <w:p w14:paraId="43FE50E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＜500t/a</w:t>
            </w:r>
            <w:r>
              <w:rPr>
                <w:rFonts w:ascii="Times New Roman" w:hAnsi="Times New Roman"/>
                <w:color w:val="auto"/>
                <w:sz w:val="21"/>
                <w:szCs w:val="21"/>
                <w:highlight w:val="none"/>
              </w:rPr>
              <w:sym w:font="Wingdings 2" w:char="00A3"/>
            </w:r>
          </w:p>
        </w:tc>
      </w:tr>
      <w:tr w14:paraId="2C673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605CBDF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1D41F68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评价因子</w:t>
            </w:r>
          </w:p>
        </w:tc>
        <w:tc>
          <w:tcPr>
            <w:tcW w:w="3710" w:type="dxa"/>
            <w:gridSpan w:val="9"/>
            <w:shd w:val="clear" w:color="auto" w:fill="auto"/>
            <w:vAlign w:val="center"/>
          </w:tcPr>
          <w:p w14:paraId="2F967F4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基本污染物</w:t>
            </w:r>
          </w:p>
          <w:p w14:paraId="7D8DB7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、NO</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、PM</w:t>
            </w:r>
            <w:r>
              <w:rPr>
                <w:rFonts w:ascii="Times New Roman" w:hAnsi="Times New Roman"/>
                <w:color w:val="auto"/>
                <w:sz w:val="21"/>
                <w:szCs w:val="21"/>
                <w:highlight w:val="none"/>
                <w:vertAlign w:val="subscript"/>
              </w:rPr>
              <w:t>10</w:t>
            </w:r>
            <w:r>
              <w:rPr>
                <w:rFonts w:ascii="Times New Roman" w:hAnsi="Times New Roman"/>
                <w:color w:val="auto"/>
                <w:sz w:val="21"/>
                <w:szCs w:val="21"/>
                <w:highlight w:val="none"/>
              </w:rPr>
              <w:t>、PM</w:t>
            </w:r>
            <w:r>
              <w:rPr>
                <w:rFonts w:ascii="Times New Roman" w:hAnsi="Times New Roman"/>
                <w:color w:val="auto"/>
                <w:sz w:val="21"/>
                <w:szCs w:val="21"/>
                <w:highlight w:val="none"/>
                <w:vertAlign w:val="subscript"/>
              </w:rPr>
              <w:t>2.5</w:t>
            </w:r>
            <w:r>
              <w:rPr>
                <w:rFonts w:ascii="Times New Roman" w:hAnsi="Times New Roman"/>
                <w:color w:val="auto"/>
                <w:sz w:val="21"/>
                <w:szCs w:val="21"/>
                <w:highlight w:val="none"/>
              </w:rPr>
              <w:t>）</w:t>
            </w:r>
          </w:p>
          <w:p w14:paraId="7FC301A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其他污染物（</w:t>
            </w:r>
            <w:r>
              <w:rPr>
                <w:rFonts w:hint="eastAsia" w:ascii="Times New Roman" w:hAnsi="Times New Roman"/>
                <w:color w:val="auto"/>
                <w:sz w:val="21"/>
                <w:szCs w:val="21"/>
                <w:highlight w:val="none"/>
              </w:rPr>
              <w:t>非甲烷总烃</w:t>
            </w:r>
            <w:r>
              <w:rPr>
                <w:rFonts w:hint="eastAsia" w:eastAsia="宋体"/>
                <w:color w:val="auto"/>
                <w:sz w:val="21"/>
                <w:szCs w:val="21"/>
                <w:highlight w:val="none"/>
                <w:lang w:val="en-US"/>
              </w:rPr>
              <w:t>、甲醇、氮氧化物</w:t>
            </w:r>
            <w:r>
              <w:rPr>
                <w:rFonts w:ascii="Times New Roman" w:hAnsi="Times New Roman"/>
                <w:color w:val="auto"/>
                <w:sz w:val="21"/>
                <w:szCs w:val="21"/>
                <w:highlight w:val="none"/>
              </w:rPr>
              <w:t>）</w:t>
            </w:r>
          </w:p>
        </w:tc>
        <w:tc>
          <w:tcPr>
            <w:tcW w:w="3275" w:type="dxa"/>
            <w:gridSpan w:val="9"/>
            <w:shd w:val="clear" w:color="auto" w:fill="auto"/>
            <w:vAlign w:val="center"/>
          </w:tcPr>
          <w:p w14:paraId="3694CCD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包括二次PM2.5□</w:t>
            </w:r>
          </w:p>
          <w:p w14:paraId="6B292D9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不包括二次PM2.5</w:t>
            </w:r>
            <w:r>
              <w:rPr>
                <w:rFonts w:ascii="Times New Roman" w:hAnsi="Times New Roman"/>
                <w:color w:val="auto"/>
                <w:sz w:val="21"/>
                <w:szCs w:val="21"/>
                <w:highlight w:val="none"/>
              </w:rPr>
              <w:sym w:font="Wingdings 2" w:char="0052"/>
            </w:r>
          </w:p>
        </w:tc>
      </w:tr>
      <w:tr w14:paraId="38590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shd w:val="clear" w:color="auto" w:fill="auto"/>
            <w:vAlign w:val="center"/>
          </w:tcPr>
          <w:p w14:paraId="07D2274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评价标准</w:t>
            </w:r>
          </w:p>
        </w:tc>
        <w:tc>
          <w:tcPr>
            <w:tcW w:w="1393" w:type="dxa"/>
            <w:shd w:val="clear" w:color="auto" w:fill="auto"/>
            <w:vAlign w:val="center"/>
          </w:tcPr>
          <w:p w14:paraId="5B99577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评价标准</w:t>
            </w:r>
          </w:p>
        </w:tc>
        <w:tc>
          <w:tcPr>
            <w:tcW w:w="1219" w:type="dxa"/>
            <w:gridSpan w:val="3"/>
            <w:shd w:val="clear" w:color="auto" w:fill="auto"/>
            <w:vAlign w:val="center"/>
          </w:tcPr>
          <w:p w14:paraId="62CDCC8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国家标准</w:t>
            </w:r>
            <w:r>
              <w:rPr>
                <w:rFonts w:ascii="Times New Roman" w:hAnsi="Times New Roman"/>
                <w:color w:val="auto"/>
                <w:sz w:val="21"/>
                <w:szCs w:val="21"/>
                <w:highlight w:val="none"/>
              </w:rPr>
              <w:sym w:font="Wingdings 2" w:char="0052"/>
            </w:r>
          </w:p>
        </w:tc>
        <w:tc>
          <w:tcPr>
            <w:tcW w:w="1362" w:type="dxa"/>
            <w:gridSpan w:val="3"/>
            <w:shd w:val="clear" w:color="auto" w:fill="auto"/>
            <w:vAlign w:val="center"/>
          </w:tcPr>
          <w:p w14:paraId="391815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地方标准</w:t>
            </w:r>
            <w:r>
              <w:rPr>
                <w:rFonts w:ascii="Times New Roman" w:hAnsi="Times New Roman"/>
                <w:color w:val="auto"/>
                <w:sz w:val="21"/>
                <w:szCs w:val="21"/>
                <w:highlight w:val="none"/>
              </w:rPr>
              <w:sym w:font="Wingdings 2" w:char="00A3"/>
            </w:r>
          </w:p>
        </w:tc>
        <w:tc>
          <w:tcPr>
            <w:tcW w:w="1997" w:type="dxa"/>
            <w:gridSpan w:val="6"/>
            <w:shd w:val="clear" w:color="auto" w:fill="auto"/>
            <w:vAlign w:val="center"/>
          </w:tcPr>
          <w:p w14:paraId="04222A2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附录D</w:t>
            </w:r>
            <w:r>
              <w:rPr>
                <w:rFonts w:ascii="Times New Roman" w:hAnsi="Times New Roman"/>
                <w:color w:val="auto"/>
                <w:sz w:val="21"/>
                <w:szCs w:val="21"/>
                <w:highlight w:val="none"/>
              </w:rPr>
              <w:sym w:font="Wingdings 2" w:char="0052"/>
            </w:r>
          </w:p>
        </w:tc>
        <w:tc>
          <w:tcPr>
            <w:tcW w:w="2407" w:type="dxa"/>
            <w:gridSpan w:val="6"/>
            <w:shd w:val="clear" w:color="auto" w:fill="auto"/>
            <w:vAlign w:val="center"/>
          </w:tcPr>
          <w:p w14:paraId="7DE3D55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其他标准</w:t>
            </w:r>
            <w:r>
              <w:rPr>
                <w:rFonts w:hint="eastAsia" w:ascii="Times New Roman" w:hAnsi="Times New Roman"/>
                <w:color w:val="auto"/>
                <w:sz w:val="21"/>
                <w:szCs w:val="21"/>
                <w:highlight w:val="none"/>
              </w:rPr>
              <w:t>☑</w:t>
            </w:r>
          </w:p>
        </w:tc>
      </w:tr>
      <w:tr w14:paraId="71A22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7F80819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现状评价</w:t>
            </w:r>
          </w:p>
        </w:tc>
        <w:tc>
          <w:tcPr>
            <w:tcW w:w="1393" w:type="dxa"/>
            <w:shd w:val="clear" w:color="auto" w:fill="auto"/>
            <w:vAlign w:val="center"/>
          </w:tcPr>
          <w:p w14:paraId="57F4C85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环境功能区</w:t>
            </w:r>
          </w:p>
        </w:tc>
        <w:tc>
          <w:tcPr>
            <w:tcW w:w="2009" w:type="dxa"/>
            <w:gridSpan w:val="5"/>
            <w:shd w:val="clear" w:color="auto" w:fill="auto"/>
            <w:vAlign w:val="center"/>
          </w:tcPr>
          <w:p w14:paraId="4A30ED6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一类区□</w:t>
            </w:r>
          </w:p>
        </w:tc>
        <w:tc>
          <w:tcPr>
            <w:tcW w:w="1701" w:type="dxa"/>
            <w:gridSpan w:val="4"/>
            <w:shd w:val="clear" w:color="auto" w:fill="auto"/>
            <w:vAlign w:val="center"/>
          </w:tcPr>
          <w:p w14:paraId="781DAB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二类区</w:t>
            </w:r>
            <w:r>
              <w:rPr>
                <w:rFonts w:ascii="Times New Roman" w:hAnsi="Times New Roman"/>
                <w:color w:val="auto"/>
                <w:sz w:val="21"/>
                <w:szCs w:val="21"/>
                <w:highlight w:val="none"/>
              </w:rPr>
              <w:sym w:font="Wingdings 2" w:char="0052"/>
            </w:r>
          </w:p>
        </w:tc>
        <w:tc>
          <w:tcPr>
            <w:tcW w:w="3275" w:type="dxa"/>
            <w:gridSpan w:val="9"/>
            <w:shd w:val="clear" w:color="auto" w:fill="auto"/>
            <w:vAlign w:val="center"/>
          </w:tcPr>
          <w:p w14:paraId="19DEF72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一类区和二类区□</w:t>
            </w:r>
          </w:p>
        </w:tc>
      </w:tr>
      <w:tr w14:paraId="25C6D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52BAB04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4C46262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评价基准年</w:t>
            </w:r>
          </w:p>
        </w:tc>
        <w:tc>
          <w:tcPr>
            <w:tcW w:w="6985" w:type="dxa"/>
            <w:gridSpan w:val="18"/>
            <w:shd w:val="clear" w:color="auto" w:fill="auto"/>
            <w:vAlign w:val="center"/>
          </w:tcPr>
          <w:p w14:paraId="65895E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r>
              <w:rPr>
                <w:rFonts w:ascii="Times New Roman" w:hAnsi="Times New Roman"/>
                <w:color w:val="auto"/>
                <w:sz w:val="21"/>
                <w:szCs w:val="21"/>
                <w:highlight w:val="none"/>
              </w:rPr>
              <w:t>20</w:t>
            </w:r>
            <w:r>
              <w:rPr>
                <w:rFonts w:hint="eastAsia" w:ascii="Times New Roman" w:hAnsi="Times New Roman"/>
                <w:color w:val="auto"/>
                <w:sz w:val="21"/>
                <w:szCs w:val="21"/>
                <w:highlight w:val="none"/>
              </w:rPr>
              <w:t>2</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）年</w:t>
            </w:r>
          </w:p>
        </w:tc>
      </w:tr>
      <w:tr w14:paraId="0CDDB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13CF496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601AB53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环境空气质量现状调查数据来源</w:t>
            </w:r>
          </w:p>
        </w:tc>
        <w:tc>
          <w:tcPr>
            <w:tcW w:w="2009" w:type="dxa"/>
            <w:gridSpan w:val="5"/>
            <w:shd w:val="clear" w:color="auto" w:fill="auto"/>
            <w:vAlign w:val="center"/>
          </w:tcPr>
          <w:p w14:paraId="43262D1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长期例行监测数据□</w:t>
            </w:r>
          </w:p>
        </w:tc>
        <w:tc>
          <w:tcPr>
            <w:tcW w:w="1701" w:type="dxa"/>
            <w:gridSpan w:val="4"/>
            <w:shd w:val="clear" w:color="auto" w:fill="auto"/>
            <w:vAlign w:val="center"/>
          </w:tcPr>
          <w:p w14:paraId="513C52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主管部门发布的数据</w:t>
            </w:r>
            <w:r>
              <w:rPr>
                <w:rFonts w:ascii="Times New Roman" w:hAnsi="Times New Roman"/>
                <w:color w:val="auto"/>
                <w:sz w:val="21"/>
                <w:szCs w:val="21"/>
                <w:highlight w:val="none"/>
              </w:rPr>
              <w:sym w:font="Wingdings 2" w:char="0052"/>
            </w:r>
          </w:p>
        </w:tc>
        <w:tc>
          <w:tcPr>
            <w:tcW w:w="3275" w:type="dxa"/>
            <w:gridSpan w:val="9"/>
            <w:shd w:val="clear" w:color="auto" w:fill="auto"/>
            <w:vAlign w:val="center"/>
          </w:tcPr>
          <w:p w14:paraId="541131B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现状补充监测</w:t>
            </w:r>
            <w:r>
              <w:rPr>
                <w:rFonts w:ascii="Times New Roman" w:hAnsi="Times New Roman"/>
                <w:color w:val="auto"/>
                <w:sz w:val="21"/>
                <w:szCs w:val="21"/>
                <w:highlight w:val="none"/>
              </w:rPr>
              <w:sym w:font="Wingdings 2" w:char="0052"/>
            </w:r>
          </w:p>
        </w:tc>
      </w:tr>
      <w:tr w14:paraId="2A658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778AC0A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6319EFB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现状评价</w:t>
            </w:r>
          </w:p>
        </w:tc>
        <w:tc>
          <w:tcPr>
            <w:tcW w:w="3710" w:type="dxa"/>
            <w:gridSpan w:val="9"/>
            <w:shd w:val="clear" w:color="auto" w:fill="auto"/>
            <w:vAlign w:val="center"/>
          </w:tcPr>
          <w:p w14:paraId="58E8D41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达标区□</w:t>
            </w:r>
          </w:p>
        </w:tc>
        <w:tc>
          <w:tcPr>
            <w:tcW w:w="3275" w:type="dxa"/>
            <w:gridSpan w:val="9"/>
            <w:shd w:val="clear" w:color="auto" w:fill="auto"/>
            <w:vAlign w:val="center"/>
          </w:tcPr>
          <w:p w14:paraId="488282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不达标区</w:t>
            </w:r>
            <w:r>
              <w:rPr>
                <w:rFonts w:ascii="Times New Roman" w:hAnsi="Times New Roman"/>
                <w:color w:val="auto"/>
                <w:sz w:val="21"/>
                <w:szCs w:val="21"/>
                <w:highlight w:val="none"/>
              </w:rPr>
              <w:sym w:font="Wingdings 2" w:char="0052"/>
            </w:r>
          </w:p>
        </w:tc>
      </w:tr>
      <w:tr w14:paraId="6A49A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shd w:val="clear" w:color="auto" w:fill="auto"/>
            <w:vAlign w:val="center"/>
          </w:tcPr>
          <w:p w14:paraId="29C05BD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污染源</w:t>
            </w:r>
          </w:p>
          <w:p w14:paraId="0FAA2E4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调查</w:t>
            </w:r>
          </w:p>
        </w:tc>
        <w:tc>
          <w:tcPr>
            <w:tcW w:w="1393" w:type="dxa"/>
            <w:shd w:val="clear" w:color="auto" w:fill="auto"/>
            <w:vAlign w:val="center"/>
          </w:tcPr>
          <w:p w14:paraId="7C2F8E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调查内容</w:t>
            </w:r>
          </w:p>
        </w:tc>
        <w:tc>
          <w:tcPr>
            <w:tcW w:w="2009" w:type="dxa"/>
            <w:gridSpan w:val="5"/>
            <w:shd w:val="clear" w:color="auto" w:fill="auto"/>
            <w:vAlign w:val="center"/>
          </w:tcPr>
          <w:p w14:paraId="10EEA3E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本项目正常排放源</w:t>
            </w:r>
            <w:r>
              <w:rPr>
                <w:rFonts w:ascii="Times New Roman" w:hAnsi="Times New Roman"/>
                <w:color w:val="auto"/>
                <w:sz w:val="21"/>
                <w:szCs w:val="21"/>
                <w:highlight w:val="none"/>
              </w:rPr>
              <w:sym w:font="Wingdings 2" w:char="0052"/>
            </w:r>
          </w:p>
          <w:p w14:paraId="0B084E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本项目非正常排放源</w:t>
            </w:r>
            <w:r>
              <w:rPr>
                <w:rFonts w:ascii="Times New Roman" w:hAnsi="Times New Roman"/>
                <w:color w:val="auto"/>
                <w:sz w:val="21"/>
                <w:szCs w:val="21"/>
                <w:highlight w:val="none"/>
              </w:rPr>
              <w:sym w:font="Wingdings 2" w:char="0052"/>
            </w:r>
          </w:p>
          <w:p w14:paraId="1BAC241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现有污染源</w:t>
            </w:r>
            <w:r>
              <w:rPr>
                <w:rFonts w:ascii="Times New Roman" w:hAnsi="Times New Roman"/>
                <w:color w:val="auto"/>
                <w:sz w:val="21"/>
                <w:szCs w:val="21"/>
                <w:highlight w:val="none"/>
              </w:rPr>
              <w:sym w:font="Wingdings 2" w:char="0052"/>
            </w:r>
          </w:p>
        </w:tc>
        <w:tc>
          <w:tcPr>
            <w:tcW w:w="1701" w:type="dxa"/>
            <w:gridSpan w:val="4"/>
            <w:shd w:val="clear" w:color="auto" w:fill="auto"/>
            <w:vAlign w:val="center"/>
          </w:tcPr>
          <w:p w14:paraId="39CBBF3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拟替代的污染源□</w:t>
            </w:r>
          </w:p>
        </w:tc>
        <w:tc>
          <w:tcPr>
            <w:tcW w:w="1701" w:type="dxa"/>
            <w:gridSpan w:val="5"/>
            <w:shd w:val="clear" w:color="auto" w:fill="auto"/>
            <w:vAlign w:val="center"/>
          </w:tcPr>
          <w:p w14:paraId="3B7674B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其他在建、拟建项目污染源□</w:t>
            </w:r>
          </w:p>
        </w:tc>
        <w:tc>
          <w:tcPr>
            <w:tcW w:w="1574" w:type="dxa"/>
            <w:gridSpan w:val="4"/>
            <w:shd w:val="clear" w:color="auto" w:fill="auto"/>
            <w:vAlign w:val="center"/>
          </w:tcPr>
          <w:p w14:paraId="484AFF3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区域污染源□</w:t>
            </w:r>
          </w:p>
        </w:tc>
      </w:tr>
      <w:tr w14:paraId="2A335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7B472A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大气环境影响预测与评价</w:t>
            </w:r>
          </w:p>
        </w:tc>
        <w:tc>
          <w:tcPr>
            <w:tcW w:w="1393" w:type="dxa"/>
            <w:shd w:val="clear" w:color="auto" w:fill="auto"/>
            <w:vAlign w:val="center"/>
          </w:tcPr>
          <w:p w14:paraId="71A404A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预测模型</w:t>
            </w:r>
          </w:p>
        </w:tc>
        <w:tc>
          <w:tcPr>
            <w:tcW w:w="1030" w:type="dxa"/>
            <w:gridSpan w:val="2"/>
            <w:shd w:val="clear" w:color="auto" w:fill="auto"/>
            <w:vAlign w:val="center"/>
          </w:tcPr>
          <w:p w14:paraId="04F1DFB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AERMOD□</w:t>
            </w:r>
          </w:p>
        </w:tc>
        <w:tc>
          <w:tcPr>
            <w:tcW w:w="979" w:type="dxa"/>
            <w:gridSpan w:val="3"/>
            <w:shd w:val="clear" w:color="auto" w:fill="auto"/>
            <w:vAlign w:val="center"/>
          </w:tcPr>
          <w:p w14:paraId="0013967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ADMS□</w:t>
            </w:r>
          </w:p>
        </w:tc>
        <w:tc>
          <w:tcPr>
            <w:tcW w:w="858" w:type="dxa"/>
            <w:gridSpan w:val="3"/>
            <w:shd w:val="clear" w:color="auto" w:fill="auto"/>
            <w:vAlign w:val="center"/>
          </w:tcPr>
          <w:p w14:paraId="3CB4016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AUSTAL2000□</w:t>
            </w:r>
          </w:p>
        </w:tc>
        <w:tc>
          <w:tcPr>
            <w:tcW w:w="1213" w:type="dxa"/>
            <w:gridSpan w:val="2"/>
            <w:shd w:val="clear" w:color="auto" w:fill="auto"/>
            <w:vAlign w:val="center"/>
          </w:tcPr>
          <w:p w14:paraId="43D02A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EDMS/AEDT□</w:t>
            </w:r>
          </w:p>
        </w:tc>
        <w:tc>
          <w:tcPr>
            <w:tcW w:w="1002" w:type="dxa"/>
            <w:gridSpan w:val="3"/>
            <w:shd w:val="clear" w:color="auto" w:fill="auto"/>
            <w:vAlign w:val="center"/>
          </w:tcPr>
          <w:p w14:paraId="10DDBD4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CALPUFF□</w:t>
            </w:r>
          </w:p>
        </w:tc>
        <w:tc>
          <w:tcPr>
            <w:tcW w:w="963" w:type="dxa"/>
            <w:gridSpan w:val="4"/>
            <w:shd w:val="clear" w:color="auto" w:fill="auto"/>
            <w:vAlign w:val="center"/>
          </w:tcPr>
          <w:p w14:paraId="63D3183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网格模型□</w:t>
            </w:r>
          </w:p>
        </w:tc>
        <w:tc>
          <w:tcPr>
            <w:tcW w:w="940" w:type="dxa"/>
            <w:shd w:val="clear" w:color="auto" w:fill="auto"/>
            <w:vAlign w:val="center"/>
          </w:tcPr>
          <w:p w14:paraId="360E8CF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其他</w:t>
            </w:r>
            <w:r>
              <w:rPr>
                <w:rFonts w:ascii="Times New Roman" w:hAnsi="Times New Roman"/>
                <w:color w:val="auto"/>
                <w:sz w:val="21"/>
                <w:szCs w:val="21"/>
                <w:highlight w:val="none"/>
              </w:rPr>
              <w:sym w:font="Wingdings 2" w:char="0052"/>
            </w:r>
          </w:p>
        </w:tc>
      </w:tr>
      <w:tr w14:paraId="020CB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3D32A31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27B904C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预测范围</w:t>
            </w:r>
          </w:p>
        </w:tc>
        <w:tc>
          <w:tcPr>
            <w:tcW w:w="2009" w:type="dxa"/>
            <w:gridSpan w:val="5"/>
            <w:shd w:val="clear" w:color="auto" w:fill="auto"/>
            <w:vAlign w:val="center"/>
          </w:tcPr>
          <w:p w14:paraId="0F83848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边长≥50km□</w:t>
            </w:r>
          </w:p>
        </w:tc>
        <w:tc>
          <w:tcPr>
            <w:tcW w:w="1701" w:type="dxa"/>
            <w:gridSpan w:val="4"/>
            <w:shd w:val="clear" w:color="auto" w:fill="auto"/>
            <w:vAlign w:val="center"/>
          </w:tcPr>
          <w:p w14:paraId="107BEF2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边长5~50km□</w:t>
            </w:r>
          </w:p>
        </w:tc>
        <w:tc>
          <w:tcPr>
            <w:tcW w:w="3275" w:type="dxa"/>
            <w:gridSpan w:val="9"/>
            <w:shd w:val="clear" w:color="auto" w:fill="auto"/>
            <w:vAlign w:val="center"/>
          </w:tcPr>
          <w:p w14:paraId="327B6FE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边长=5km</w:t>
            </w:r>
            <w:r>
              <w:rPr>
                <w:rFonts w:ascii="Times New Roman" w:hAnsi="Times New Roman"/>
                <w:color w:val="auto"/>
                <w:sz w:val="21"/>
                <w:szCs w:val="21"/>
                <w:highlight w:val="none"/>
              </w:rPr>
              <w:sym w:font="Wingdings 2" w:char="00A3"/>
            </w:r>
          </w:p>
        </w:tc>
      </w:tr>
      <w:tr w14:paraId="1ABC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7491598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3A41CE5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预测因子</w:t>
            </w:r>
          </w:p>
        </w:tc>
        <w:tc>
          <w:tcPr>
            <w:tcW w:w="3710" w:type="dxa"/>
            <w:gridSpan w:val="9"/>
            <w:shd w:val="clear" w:color="auto" w:fill="auto"/>
            <w:vAlign w:val="center"/>
          </w:tcPr>
          <w:p w14:paraId="54583D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预测因子（</w:t>
            </w:r>
            <w:r>
              <w:rPr>
                <w:rFonts w:hint="eastAsia" w:ascii="Times New Roman" w:hAnsi="Times New Roman"/>
                <w:color w:val="auto"/>
                <w:sz w:val="21"/>
                <w:szCs w:val="21"/>
                <w:highlight w:val="none"/>
              </w:rPr>
              <w:t>非甲烷总烃</w:t>
            </w:r>
            <w:r>
              <w:rPr>
                <w:rFonts w:hint="eastAsia" w:eastAsia="宋体"/>
                <w:color w:val="auto"/>
                <w:sz w:val="21"/>
                <w:szCs w:val="21"/>
                <w:highlight w:val="none"/>
                <w:lang w:val="en-US"/>
              </w:rPr>
              <w:t>、甲醇、氮氧化物</w:t>
            </w:r>
            <w:r>
              <w:rPr>
                <w:rFonts w:ascii="Times New Roman" w:hAnsi="Times New Roman"/>
                <w:color w:val="auto"/>
                <w:sz w:val="21"/>
                <w:szCs w:val="21"/>
                <w:highlight w:val="none"/>
              </w:rPr>
              <w:t>）</w:t>
            </w:r>
          </w:p>
        </w:tc>
        <w:tc>
          <w:tcPr>
            <w:tcW w:w="3275" w:type="dxa"/>
            <w:gridSpan w:val="9"/>
            <w:shd w:val="clear" w:color="auto" w:fill="auto"/>
            <w:vAlign w:val="center"/>
          </w:tcPr>
          <w:p w14:paraId="710470B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color w:val="auto"/>
                <w:sz w:val="21"/>
                <w:szCs w:val="21"/>
                <w:highlight w:val="none"/>
              </w:rPr>
            </w:pPr>
            <w:r>
              <w:rPr>
                <w:rFonts w:ascii="Times New Roman" w:hAnsi="Times New Roman"/>
                <w:color w:val="auto"/>
                <w:sz w:val="21"/>
                <w:szCs w:val="21"/>
                <w:highlight w:val="none"/>
              </w:rPr>
              <w:t>包括二次PM2.5</w:t>
            </w:r>
            <w:r>
              <w:rPr>
                <w:rFonts w:ascii="Times New Roman" w:hAnsi="Times New Roman"/>
                <w:color w:val="auto"/>
                <w:sz w:val="21"/>
                <w:szCs w:val="21"/>
                <w:highlight w:val="none"/>
              </w:rPr>
              <w:sym w:font="Wingdings 2" w:char="00A3"/>
            </w:r>
          </w:p>
          <w:p w14:paraId="313231D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不包括二次PM2.5</w:t>
            </w:r>
            <w:r>
              <w:rPr>
                <w:rFonts w:ascii="Times New Roman" w:hAnsi="Times New Roman"/>
                <w:color w:val="auto"/>
                <w:sz w:val="21"/>
                <w:szCs w:val="21"/>
                <w:highlight w:val="none"/>
              </w:rPr>
              <w:sym w:font="Wingdings 2" w:char="0052"/>
            </w:r>
          </w:p>
        </w:tc>
      </w:tr>
      <w:tr w14:paraId="6A480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7E236FA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0C3229B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正常排放短期浓度贡献值</w:t>
            </w:r>
          </w:p>
        </w:tc>
        <w:tc>
          <w:tcPr>
            <w:tcW w:w="3710" w:type="dxa"/>
            <w:gridSpan w:val="9"/>
            <w:shd w:val="clear" w:color="auto" w:fill="auto"/>
            <w:vAlign w:val="center"/>
          </w:tcPr>
          <w:p w14:paraId="6EA6B9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最大占标率≤100%</w:t>
            </w:r>
            <w:r>
              <w:rPr>
                <w:rFonts w:ascii="Times New Roman" w:hAnsi="Times New Roman"/>
                <w:color w:val="auto"/>
                <w:sz w:val="21"/>
                <w:szCs w:val="21"/>
                <w:highlight w:val="none"/>
              </w:rPr>
              <w:sym w:font="Wingdings 2" w:char="0052"/>
            </w:r>
          </w:p>
        </w:tc>
        <w:tc>
          <w:tcPr>
            <w:tcW w:w="3275" w:type="dxa"/>
            <w:gridSpan w:val="9"/>
            <w:shd w:val="clear" w:color="auto" w:fill="auto"/>
            <w:vAlign w:val="center"/>
          </w:tcPr>
          <w:p w14:paraId="3CE8DDB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最大占标率＞100%□</w:t>
            </w:r>
          </w:p>
        </w:tc>
      </w:tr>
      <w:tr w14:paraId="15EFE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1012BBB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vMerge w:val="restart"/>
            <w:shd w:val="clear" w:color="auto" w:fill="auto"/>
            <w:vAlign w:val="center"/>
          </w:tcPr>
          <w:p w14:paraId="1E90ADB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正常排放年均浓度贡献值</w:t>
            </w:r>
          </w:p>
        </w:tc>
        <w:tc>
          <w:tcPr>
            <w:tcW w:w="950" w:type="dxa"/>
            <w:shd w:val="clear" w:color="auto" w:fill="auto"/>
            <w:vAlign w:val="center"/>
          </w:tcPr>
          <w:p w14:paraId="42D287E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一类区</w:t>
            </w:r>
          </w:p>
        </w:tc>
        <w:tc>
          <w:tcPr>
            <w:tcW w:w="2760" w:type="dxa"/>
            <w:gridSpan w:val="8"/>
            <w:shd w:val="clear" w:color="auto" w:fill="auto"/>
            <w:vAlign w:val="center"/>
          </w:tcPr>
          <w:p w14:paraId="373E71B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最大占标率≤10%□</w:t>
            </w:r>
          </w:p>
        </w:tc>
        <w:tc>
          <w:tcPr>
            <w:tcW w:w="3275" w:type="dxa"/>
            <w:gridSpan w:val="9"/>
            <w:shd w:val="clear" w:color="auto" w:fill="auto"/>
            <w:vAlign w:val="center"/>
          </w:tcPr>
          <w:p w14:paraId="1F4E9A1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最大占标率＞10%□</w:t>
            </w:r>
          </w:p>
        </w:tc>
      </w:tr>
      <w:tr w14:paraId="35C2A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4C8DA2A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vMerge w:val="continue"/>
            <w:shd w:val="clear" w:color="auto" w:fill="auto"/>
            <w:vAlign w:val="center"/>
          </w:tcPr>
          <w:p w14:paraId="02EEA9D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950" w:type="dxa"/>
            <w:shd w:val="clear" w:color="auto" w:fill="auto"/>
            <w:vAlign w:val="center"/>
          </w:tcPr>
          <w:p w14:paraId="339D6F2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二类区</w:t>
            </w:r>
          </w:p>
        </w:tc>
        <w:tc>
          <w:tcPr>
            <w:tcW w:w="2760" w:type="dxa"/>
            <w:gridSpan w:val="8"/>
            <w:shd w:val="clear" w:color="auto" w:fill="auto"/>
            <w:vAlign w:val="center"/>
          </w:tcPr>
          <w:p w14:paraId="584BA14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最大占标率≤30%</w:t>
            </w:r>
            <w:r>
              <w:rPr>
                <w:rFonts w:ascii="Times New Roman" w:hAnsi="Times New Roman"/>
                <w:color w:val="auto"/>
                <w:sz w:val="21"/>
                <w:szCs w:val="21"/>
                <w:highlight w:val="none"/>
              </w:rPr>
              <w:sym w:font="Wingdings 2" w:char="0052"/>
            </w:r>
          </w:p>
        </w:tc>
        <w:tc>
          <w:tcPr>
            <w:tcW w:w="3275" w:type="dxa"/>
            <w:gridSpan w:val="9"/>
            <w:shd w:val="clear" w:color="auto" w:fill="auto"/>
            <w:vAlign w:val="center"/>
          </w:tcPr>
          <w:p w14:paraId="5F59651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本项目</w:t>
            </w:r>
            <w:r>
              <w:rPr>
                <w:rFonts w:ascii="Times New Roman" w:hAnsi="Times New Roman"/>
                <w:color w:val="auto"/>
                <w:sz w:val="21"/>
                <w:szCs w:val="21"/>
                <w:highlight w:val="none"/>
              </w:rPr>
              <w:t>最大占标率＞30%□</w:t>
            </w:r>
          </w:p>
        </w:tc>
      </w:tr>
      <w:tr w14:paraId="76273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4FE414A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37B2002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非正常排放1h浓度贡献值</w:t>
            </w:r>
          </w:p>
        </w:tc>
        <w:tc>
          <w:tcPr>
            <w:tcW w:w="2009" w:type="dxa"/>
            <w:gridSpan w:val="5"/>
            <w:shd w:val="clear" w:color="auto" w:fill="auto"/>
            <w:vAlign w:val="center"/>
          </w:tcPr>
          <w:p w14:paraId="314AD8E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非正常持续时长</w:t>
            </w:r>
          </w:p>
          <w:p w14:paraId="252383C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ascii="Times New Roman" w:hAnsi="Times New Roman"/>
                <w:color w:val="auto"/>
                <w:sz w:val="21"/>
                <w:szCs w:val="21"/>
                <w:highlight w:val="none"/>
              </w:rPr>
              <w:t>1</w:t>
            </w:r>
            <w:r>
              <w:rPr>
                <w:rFonts w:ascii="Times New Roman" w:hAnsi="Times New Roman"/>
                <w:color w:val="auto"/>
                <w:sz w:val="21"/>
                <w:szCs w:val="21"/>
                <w:highlight w:val="none"/>
              </w:rPr>
              <w:t>）h</w:t>
            </w:r>
          </w:p>
        </w:tc>
        <w:tc>
          <w:tcPr>
            <w:tcW w:w="1701" w:type="dxa"/>
            <w:gridSpan w:val="4"/>
            <w:shd w:val="clear" w:color="auto" w:fill="auto"/>
            <w:vAlign w:val="center"/>
          </w:tcPr>
          <w:p w14:paraId="1C016BD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非正常</w:t>
            </w:r>
            <w:r>
              <w:rPr>
                <w:rFonts w:ascii="Times New Roman" w:hAnsi="Times New Roman"/>
                <w:color w:val="auto"/>
                <w:sz w:val="21"/>
                <w:szCs w:val="21"/>
                <w:highlight w:val="none"/>
              </w:rPr>
              <w:t>占标率≤100%</w:t>
            </w:r>
            <w:r>
              <w:rPr>
                <w:rFonts w:ascii="Times New Roman" w:hAnsi="Times New Roman"/>
                <w:color w:val="auto"/>
                <w:sz w:val="21"/>
                <w:szCs w:val="21"/>
                <w:highlight w:val="none"/>
              </w:rPr>
              <w:sym w:font="Wingdings 2" w:char="0052"/>
            </w:r>
          </w:p>
        </w:tc>
        <w:tc>
          <w:tcPr>
            <w:tcW w:w="3275" w:type="dxa"/>
            <w:gridSpan w:val="9"/>
            <w:shd w:val="clear" w:color="auto" w:fill="auto"/>
            <w:vAlign w:val="center"/>
          </w:tcPr>
          <w:p w14:paraId="108B3FA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非正常</w:t>
            </w:r>
            <w:r>
              <w:rPr>
                <w:rFonts w:ascii="Times New Roman" w:hAnsi="Times New Roman"/>
                <w:color w:val="auto"/>
                <w:sz w:val="21"/>
                <w:szCs w:val="21"/>
                <w:highlight w:val="none"/>
              </w:rPr>
              <w:t>占标率＞100%□</w:t>
            </w:r>
          </w:p>
        </w:tc>
      </w:tr>
      <w:tr w14:paraId="24185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53C9AFA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6BAB0DD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保证率日平均浓度和年平均浓度叠加值</w:t>
            </w:r>
          </w:p>
        </w:tc>
        <w:tc>
          <w:tcPr>
            <w:tcW w:w="3710" w:type="dxa"/>
            <w:gridSpan w:val="9"/>
            <w:shd w:val="clear" w:color="auto" w:fill="auto"/>
            <w:vAlign w:val="center"/>
          </w:tcPr>
          <w:p w14:paraId="727D7FA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叠加</w:t>
            </w:r>
            <w:r>
              <w:rPr>
                <w:rFonts w:ascii="Times New Roman" w:hAnsi="Times New Roman"/>
                <w:color w:val="auto"/>
                <w:sz w:val="21"/>
                <w:szCs w:val="21"/>
                <w:highlight w:val="none"/>
              </w:rPr>
              <w:t>达标□</w:t>
            </w:r>
          </w:p>
        </w:tc>
        <w:tc>
          <w:tcPr>
            <w:tcW w:w="3275" w:type="dxa"/>
            <w:gridSpan w:val="9"/>
            <w:shd w:val="clear" w:color="auto" w:fill="auto"/>
            <w:vAlign w:val="center"/>
          </w:tcPr>
          <w:p w14:paraId="6C994BB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C</w:t>
            </w:r>
            <w:r>
              <w:rPr>
                <w:rFonts w:ascii="Times New Roman" w:hAnsi="Times New Roman"/>
                <w:color w:val="auto"/>
                <w:sz w:val="21"/>
                <w:szCs w:val="21"/>
                <w:highlight w:val="none"/>
                <w:vertAlign w:val="subscript"/>
              </w:rPr>
              <w:t>叠加</w:t>
            </w:r>
            <w:r>
              <w:rPr>
                <w:rFonts w:ascii="Times New Roman" w:hAnsi="Times New Roman"/>
                <w:color w:val="auto"/>
                <w:sz w:val="21"/>
                <w:szCs w:val="21"/>
                <w:highlight w:val="none"/>
              </w:rPr>
              <w:t>不达标□</w:t>
            </w:r>
          </w:p>
        </w:tc>
      </w:tr>
      <w:tr w14:paraId="4BA7F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6E6216D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7796608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区域环境质量的整体变化情况</w:t>
            </w:r>
          </w:p>
        </w:tc>
        <w:tc>
          <w:tcPr>
            <w:tcW w:w="3710" w:type="dxa"/>
            <w:gridSpan w:val="9"/>
            <w:shd w:val="clear" w:color="auto" w:fill="auto"/>
            <w:vAlign w:val="center"/>
          </w:tcPr>
          <w:p w14:paraId="5F650B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k≤-20%□</w:t>
            </w:r>
          </w:p>
        </w:tc>
        <w:tc>
          <w:tcPr>
            <w:tcW w:w="3275" w:type="dxa"/>
            <w:gridSpan w:val="9"/>
            <w:shd w:val="clear" w:color="auto" w:fill="auto"/>
            <w:vAlign w:val="center"/>
          </w:tcPr>
          <w:p w14:paraId="5B4BA85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k＞-20%□</w:t>
            </w:r>
          </w:p>
        </w:tc>
      </w:tr>
      <w:tr w14:paraId="5DA72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09AF8DB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环境监测计划</w:t>
            </w:r>
          </w:p>
        </w:tc>
        <w:tc>
          <w:tcPr>
            <w:tcW w:w="1393" w:type="dxa"/>
            <w:shd w:val="clear" w:color="auto" w:fill="auto"/>
            <w:vAlign w:val="center"/>
          </w:tcPr>
          <w:p w14:paraId="211490D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污染源监测</w:t>
            </w:r>
          </w:p>
        </w:tc>
        <w:tc>
          <w:tcPr>
            <w:tcW w:w="3710" w:type="dxa"/>
            <w:gridSpan w:val="9"/>
            <w:shd w:val="clear" w:color="auto" w:fill="auto"/>
            <w:vAlign w:val="center"/>
          </w:tcPr>
          <w:p w14:paraId="5638E2D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监测因子：（</w:t>
            </w:r>
            <w:r>
              <w:rPr>
                <w:rFonts w:hint="eastAsia" w:ascii="Times New Roman" w:hAnsi="Times New Roman"/>
                <w:color w:val="auto"/>
                <w:sz w:val="21"/>
                <w:szCs w:val="21"/>
                <w:highlight w:val="none"/>
              </w:rPr>
              <w:t>非甲烷总烃</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氮氧化物、甲醇</w:t>
            </w:r>
            <w:r>
              <w:rPr>
                <w:rFonts w:ascii="Times New Roman" w:hAnsi="Times New Roman"/>
                <w:color w:val="auto"/>
                <w:sz w:val="21"/>
                <w:szCs w:val="21"/>
                <w:highlight w:val="none"/>
              </w:rPr>
              <w:t>）</w:t>
            </w:r>
          </w:p>
        </w:tc>
        <w:tc>
          <w:tcPr>
            <w:tcW w:w="2268" w:type="dxa"/>
            <w:gridSpan w:val="7"/>
            <w:shd w:val="clear" w:color="auto" w:fill="auto"/>
            <w:vAlign w:val="center"/>
          </w:tcPr>
          <w:p w14:paraId="4B1AA69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有组织废气监测</w:t>
            </w:r>
            <w:r>
              <w:rPr>
                <w:rFonts w:ascii="Times New Roman" w:hAnsi="Times New Roman"/>
                <w:color w:val="auto"/>
                <w:sz w:val="21"/>
                <w:szCs w:val="21"/>
                <w:highlight w:val="none"/>
              </w:rPr>
              <w:sym w:font="Wingdings 2" w:char="0052"/>
            </w:r>
          </w:p>
          <w:p w14:paraId="7C76DF8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无组织废气监测</w:t>
            </w:r>
            <w:r>
              <w:rPr>
                <w:rFonts w:ascii="Times New Roman" w:hAnsi="Times New Roman"/>
                <w:color w:val="auto"/>
                <w:sz w:val="21"/>
                <w:szCs w:val="21"/>
                <w:highlight w:val="none"/>
              </w:rPr>
              <w:sym w:font="Wingdings 2" w:char="0052"/>
            </w:r>
          </w:p>
        </w:tc>
        <w:tc>
          <w:tcPr>
            <w:tcW w:w="1007" w:type="dxa"/>
            <w:gridSpan w:val="2"/>
            <w:shd w:val="clear" w:color="auto" w:fill="auto"/>
            <w:vAlign w:val="center"/>
          </w:tcPr>
          <w:p w14:paraId="6C0B285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无监测□</w:t>
            </w:r>
          </w:p>
        </w:tc>
      </w:tr>
      <w:tr w14:paraId="6AFCD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223AE9F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4C8CECF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环境质量监测</w:t>
            </w:r>
          </w:p>
        </w:tc>
        <w:tc>
          <w:tcPr>
            <w:tcW w:w="3710" w:type="dxa"/>
            <w:gridSpan w:val="9"/>
            <w:shd w:val="clear" w:color="auto" w:fill="auto"/>
            <w:vAlign w:val="center"/>
          </w:tcPr>
          <w:p w14:paraId="575943E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监测因子：（</w:t>
            </w:r>
            <w:r>
              <w:rPr>
                <w:rFonts w:hint="eastAsia" w:ascii="Times New Roman" w:hAnsi="Times New Roman"/>
                <w:color w:val="auto"/>
                <w:sz w:val="21"/>
                <w:szCs w:val="21"/>
                <w:highlight w:val="none"/>
              </w:rPr>
              <w:t>非甲烷总烃</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氮氧化物、甲醇</w:t>
            </w:r>
            <w:r>
              <w:rPr>
                <w:rFonts w:ascii="Times New Roman" w:hAnsi="Times New Roman"/>
                <w:color w:val="auto"/>
                <w:sz w:val="21"/>
                <w:szCs w:val="21"/>
                <w:highlight w:val="none"/>
              </w:rPr>
              <w:t>）</w:t>
            </w:r>
          </w:p>
        </w:tc>
        <w:tc>
          <w:tcPr>
            <w:tcW w:w="2268" w:type="dxa"/>
            <w:gridSpan w:val="7"/>
            <w:shd w:val="clear" w:color="auto" w:fill="auto"/>
            <w:vAlign w:val="center"/>
          </w:tcPr>
          <w:p w14:paraId="172C043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监测点位数（</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w:t>
            </w:r>
          </w:p>
        </w:tc>
        <w:tc>
          <w:tcPr>
            <w:tcW w:w="1007" w:type="dxa"/>
            <w:gridSpan w:val="2"/>
            <w:shd w:val="clear" w:color="auto" w:fill="auto"/>
            <w:vAlign w:val="center"/>
          </w:tcPr>
          <w:p w14:paraId="7871830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无监测</w:t>
            </w:r>
            <w:r>
              <w:rPr>
                <w:rFonts w:ascii="Times New Roman" w:hAnsi="Times New Roman"/>
                <w:color w:val="auto"/>
                <w:sz w:val="21"/>
                <w:szCs w:val="21"/>
                <w:highlight w:val="none"/>
              </w:rPr>
              <w:sym w:font="Wingdings 2" w:char="00A3"/>
            </w:r>
          </w:p>
        </w:tc>
      </w:tr>
      <w:tr w14:paraId="1BE6C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restart"/>
            <w:shd w:val="clear" w:color="auto" w:fill="auto"/>
            <w:vAlign w:val="center"/>
          </w:tcPr>
          <w:p w14:paraId="779A881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评价结论</w:t>
            </w:r>
          </w:p>
        </w:tc>
        <w:tc>
          <w:tcPr>
            <w:tcW w:w="1393" w:type="dxa"/>
            <w:shd w:val="clear" w:color="auto" w:fill="auto"/>
            <w:vAlign w:val="center"/>
          </w:tcPr>
          <w:p w14:paraId="050DDCF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环境影响</w:t>
            </w:r>
          </w:p>
        </w:tc>
        <w:tc>
          <w:tcPr>
            <w:tcW w:w="6985" w:type="dxa"/>
            <w:gridSpan w:val="18"/>
            <w:shd w:val="clear" w:color="auto" w:fill="auto"/>
            <w:vAlign w:val="center"/>
          </w:tcPr>
          <w:p w14:paraId="458359C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可以接受</w:t>
            </w:r>
            <w:r>
              <w:rPr>
                <w:rFonts w:ascii="Times New Roman" w:hAnsi="Times New Roman"/>
                <w:color w:val="auto"/>
                <w:sz w:val="21"/>
                <w:szCs w:val="21"/>
                <w:highlight w:val="none"/>
              </w:rPr>
              <w:sym w:font="Wingdings 2" w:char="0052"/>
            </w:r>
            <w:r>
              <w:rPr>
                <w:rFonts w:ascii="Times New Roman" w:hAnsi="Times New Roman"/>
                <w:color w:val="auto"/>
                <w:sz w:val="21"/>
                <w:szCs w:val="21"/>
                <w:highlight w:val="none"/>
              </w:rPr>
              <w:t>不可以接受□</w:t>
            </w:r>
          </w:p>
        </w:tc>
      </w:tr>
      <w:tr w14:paraId="6ED14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29A21E0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7471D8D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大气环境防护距离</w:t>
            </w:r>
          </w:p>
        </w:tc>
        <w:tc>
          <w:tcPr>
            <w:tcW w:w="6985" w:type="dxa"/>
            <w:gridSpan w:val="18"/>
            <w:shd w:val="clear" w:color="auto" w:fill="auto"/>
            <w:vAlign w:val="center"/>
          </w:tcPr>
          <w:p w14:paraId="2C248C4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p>
        </w:tc>
      </w:tr>
      <w:tr w14:paraId="229F7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94" w:type="dxa"/>
            <w:vMerge w:val="continue"/>
            <w:shd w:val="clear" w:color="auto" w:fill="auto"/>
            <w:vAlign w:val="center"/>
          </w:tcPr>
          <w:p w14:paraId="3B1E245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393" w:type="dxa"/>
            <w:shd w:val="clear" w:color="auto" w:fill="auto"/>
            <w:vAlign w:val="center"/>
          </w:tcPr>
          <w:p w14:paraId="0412F88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污染源年排放量</w:t>
            </w:r>
          </w:p>
        </w:tc>
        <w:tc>
          <w:tcPr>
            <w:tcW w:w="1397" w:type="dxa"/>
            <w:gridSpan w:val="4"/>
            <w:shd w:val="clear" w:color="auto" w:fill="auto"/>
            <w:vAlign w:val="center"/>
          </w:tcPr>
          <w:p w14:paraId="45097D2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）t/a</w:t>
            </w:r>
          </w:p>
        </w:tc>
        <w:tc>
          <w:tcPr>
            <w:tcW w:w="1397" w:type="dxa"/>
            <w:gridSpan w:val="3"/>
            <w:shd w:val="clear" w:color="auto" w:fill="auto"/>
            <w:vAlign w:val="center"/>
          </w:tcPr>
          <w:p w14:paraId="4E17B7E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NOx：（</w:t>
            </w:r>
            <w:r>
              <w:rPr>
                <w:rFonts w:hint="eastAsia" w:ascii="Times New Roman" w:hAnsi="Times New Roman"/>
                <w:color w:val="auto"/>
                <w:sz w:val="21"/>
                <w:szCs w:val="21"/>
                <w:highlight w:val="none"/>
                <w:lang w:val="en-US" w:eastAsia="zh-CN"/>
              </w:rPr>
              <w:t>0.00033</w:t>
            </w:r>
            <w:r>
              <w:rPr>
                <w:rFonts w:ascii="Times New Roman" w:hAnsi="Times New Roman"/>
                <w:color w:val="auto"/>
                <w:sz w:val="21"/>
                <w:szCs w:val="21"/>
                <w:highlight w:val="none"/>
              </w:rPr>
              <w:t>）t/a</w:t>
            </w:r>
          </w:p>
        </w:tc>
        <w:tc>
          <w:tcPr>
            <w:tcW w:w="1397" w:type="dxa"/>
            <w:gridSpan w:val="4"/>
            <w:shd w:val="clear" w:color="auto" w:fill="auto"/>
            <w:vAlign w:val="center"/>
          </w:tcPr>
          <w:p w14:paraId="13C663D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颗粒物：（</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）t/a</w:t>
            </w:r>
          </w:p>
        </w:tc>
        <w:tc>
          <w:tcPr>
            <w:tcW w:w="1397" w:type="dxa"/>
            <w:gridSpan w:val="4"/>
            <w:shd w:val="clear" w:color="auto" w:fill="auto"/>
            <w:vAlign w:val="center"/>
          </w:tcPr>
          <w:p w14:paraId="685F404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0.1408</w:t>
            </w:r>
            <w:r>
              <w:rPr>
                <w:rFonts w:ascii="Times New Roman" w:hAnsi="Times New Roman"/>
                <w:color w:val="auto"/>
                <w:sz w:val="21"/>
                <w:szCs w:val="21"/>
                <w:highlight w:val="none"/>
              </w:rPr>
              <w:t>）t/a</w:t>
            </w:r>
          </w:p>
        </w:tc>
        <w:tc>
          <w:tcPr>
            <w:tcW w:w="1397" w:type="dxa"/>
            <w:gridSpan w:val="3"/>
            <w:shd w:val="clear" w:color="auto" w:fill="auto"/>
            <w:vAlign w:val="center"/>
          </w:tcPr>
          <w:p w14:paraId="7243E8B3">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甲醇：（0.0008）t/a</w:t>
            </w:r>
          </w:p>
        </w:tc>
      </w:tr>
      <w:tr w14:paraId="3E188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072" w:type="dxa"/>
            <w:gridSpan w:val="20"/>
            <w:shd w:val="clear" w:color="auto" w:fill="auto"/>
            <w:vAlign w:val="center"/>
          </w:tcPr>
          <w:p w14:paraId="6EA2F24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注：“□”为勾选项，填“√”；“（）”为内容填写项</w:t>
            </w:r>
          </w:p>
        </w:tc>
      </w:tr>
    </w:tbl>
    <w:p w14:paraId="6E9BD7DD">
      <w:pPr>
        <w:ind w:left="-105" w:right="-105" w:firstLine="560"/>
        <w:rPr>
          <w:rFonts w:ascii="Times New Roman"/>
          <w:color w:val="auto"/>
          <w:sz w:val="28"/>
          <w:szCs w:val="28"/>
          <w:highlight w:val="none"/>
        </w:rPr>
      </w:pPr>
      <w:bookmarkStart w:id="388" w:name="_Toc60653557"/>
      <w:r>
        <w:rPr>
          <w:rFonts w:ascii="Times New Roman"/>
          <w:color w:val="auto"/>
          <w:sz w:val="28"/>
          <w:szCs w:val="28"/>
          <w:highlight w:val="none"/>
        </w:rPr>
        <w:br w:type="page"/>
      </w:r>
    </w:p>
    <w:p w14:paraId="08D8C36C">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89" w:name="_Toc15132"/>
      <w:r>
        <w:rPr>
          <w:rFonts w:ascii="Times New Roman" w:eastAsia="宋体"/>
          <w:color w:val="auto"/>
          <w:sz w:val="28"/>
          <w:szCs w:val="28"/>
          <w:highlight w:val="none"/>
        </w:rPr>
        <w:t>地表水环境影响分析</w:t>
      </w:r>
      <w:bookmarkEnd w:id="388"/>
      <w:bookmarkEnd w:id="389"/>
    </w:p>
    <w:p w14:paraId="02EF901E">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1、</w:t>
      </w:r>
      <w:r>
        <w:rPr>
          <w:rFonts w:ascii="Times New Roman" w:hAnsi="Times New Roman" w:cs="Times New Roman"/>
          <w:color w:val="auto"/>
          <w:highlight w:val="none"/>
        </w:rPr>
        <w:t>本项目废水收集处理及排放情况</w:t>
      </w:r>
    </w:p>
    <w:p w14:paraId="32EB3E16">
      <w:pPr>
        <w:spacing w:line="360" w:lineRule="auto"/>
        <w:ind w:left="-105" w:right="-105" w:firstLine="480"/>
        <w:jc w:val="both"/>
        <w:rPr>
          <w:rFonts w:ascii="Times New Roman" w:hAnsi="Times New Roman"/>
          <w:color w:val="auto"/>
          <w:highlight w:val="none"/>
        </w:rPr>
      </w:pPr>
      <w:r>
        <w:rPr>
          <w:rFonts w:ascii="Times New Roman" w:hAnsi="Times New Roman"/>
          <w:color w:val="auto"/>
          <w:highlight w:val="none"/>
        </w:rPr>
        <w:t>本项目实行雨污分流。</w:t>
      </w:r>
      <w:r>
        <w:rPr>
          <w:rFonts w:hint="eastAsia" w:ascii="Times New Roman" w:hAnsi="Times New Roman"/>
          <w:color w:val="auto"/>
          <w:szCs w:val="22"/>
          <w:highlight w:val="none"/>
        </w:rPr>
        <w:t>生活污水经化粪池预处理后</w:t>
      </w:r>
      <w:r>
        <w:rPr>
          <w:rFonts w:ascii="Times New Roman" w:hAnsi="Times New Roman"/>
          <w:color w:val="auto"/>
          <w:highlight w:val="none"/>
        </w:rPr>
        <w:t>与</w:t>
      </w:r>
      <w:r>
        <w:rPr>
          <w:rFonts w:hint="eastAsia" w:ascii="Times New Roman" w:hAnsi="Times New Roman"/>
          <w:color w:val="auto"/>
          <w:highlight w:val="none"/>
        </w:rPr>
        <w:t>15分钟初期雨水</w:t>
      </w:r>
      <w:r>
        <w:rPr>
          <w:rFonts w:ascii="Times New Roman" w:hAnsi="Times New Roman"/>
          <w:color w:val="auto"/>
          <w:highlight w:val="none"/>
        </w:rPr>
        <w:t>一起进入</w:t>
      </w:r>
      <w:r>
        <w:rPr>
          <w:rFonts w:hint="eastAsia" w:ascii="Times New Roman" w:hAnsi="Times New Roman"/>
          <w:color w:val="auto"/>
          <w:highlight w:val="none"/>
        </w:rPr>
        <w:t>经无锡先进化药化工有限公司处理达标后接入无锡市锡山云林污水处理有限公司</w:t>
      </w:r>
      <w:r>
        <w:rPr>
          <w:rFonts w:ascii="Times New Roman" w:hAnsi="Times New Roman"/>
          <w:color w:val="auto"/>
          <w:highlight w:val="none"/>
        </w:rPr>
        <w:t>，</w:t>
      </w:r>
      <w:r>
        <w:rPr>
          <w:rFonts w:ascii="Times New Roman" w:hAnsi="Times New Roman" w:cs="Times New Roman"/>
          <w:color w:val="auto"/>
          <w:highlight w:val="none"/>
        </w:rPr>
        <w:t>接管水质中达到</w:t>
      </w:r>
      <w:r>
        <w:rPr>
          <w:rFonts w:hint="eastAsia" w:ascii="Times New Roman" w:hAnsi="Times New Roman"/>
          <w:color w:val="auto"/>
          <w:highlight w:val="none"/>
        </w:rPr>
        <w:t>《合成树脂工业污染物排放标准》（GB31572-2015）表2中标准</w:t>
      </w:r>
      <w:r>
        <w:rPr>
          <w:rFonts w:ascii="Times New Roman" w:hAnsi="Times New Roman" w:cs="Times New Roman"/>
          <w:color w:val="auto"/>
          <w:highlight w:val="none"/>
        </w:rPr>
        <w:t>，尾水达</w:t>
      </w:r>
      <w:r>
        <w:rPr>
          <w:rFonts w:hint="eastAsia" w:ascii="Times New Roman" w:hAnsi="Times New Roman" w:cs="Times New Roman"/>
          <w:color w:val="auto"/>
          <w:highlight w:val="none"/>
        </w:rPr>
        <w:t>《城镇污水处理厂污染物排放标准》（</w:t>
      </w:r>
      <w:r>
        <w:rPr>
          <w:rFonts w:ascii="Times New Roman" w:hAnsi="Times New Roman" w:cs="Times New Roman"/>
          <w:color w:val="auto"/>
          <w:highlight w:val="none"/>
        </w:rPr>
        <w:t>DB32/4440-2022）</w:t>
      </w:r>
      <w:r>
        <w:rPr>
          <w:rFonts w:hint="eastAsia" w:ascii="Times New Roman" w:hAnsi="Times New Roman" w:cs="Times New Roman"/>
          <w:color w:val="auto"/>
          <w:highlight w:val="none"/>
        </w:rPr>
        <w:t>表1中</w:t>
      </w:r>
      <w:r>
        <w:rPr>
          <w:rFonts w:ascii="Times New Roman" w:hAnsi="Times New Roman" w:cs="Times New Roman"/>
          <w:color w:val="auto"/>
          <w:highlight w:val="none"/>
        </w:rPr>
        <w:t>C</w:t>
      </w:r>
      <w:r>
        <w:rPr>
          <w:rFonts w:hint="eastAsia" w:ascii="Times New Roman" w:hAnsi="Times New Roman" w:cs="Times New Roman"/>
          <w:color w:val="auto"/>
          <w:highlight w:val="none"/>
        </w:rPr>
        <w:t>级标准</w:t>
      </w:r>
      <w:r>
        <w:rPr>
          <w:rFonts w:ascii="Times New Roman" w:hAnsi="Times New Roman" w:cs="Times New Roman"/>
          <w:color w:val="auto"/>
          <w:highlight w:val="none"/>
        </w:rPr>
        <w:t>后排入</w:t>
      </w:r>
      <w:r>
        <w:rPr>
          <w:rFonts w:hint="eastAsia" w:ascii="Times New Roman" w:hAnsi="Times New Roman" w:cs="Times New Roman"/>
          <w:color w:val="auto"/>
          <w:highlight w:val="none"/>
        </w:rPr>
        <w:t>北兴塘</w:t>
      </w:r>
      <w:r>
        <w:rPr>
          <w:rFonts w:ascii="Times New Roman" w:hAnsi="Times New Roman" w:cs="Times New Roman"/>
          <w:color w:val="auto"/>
          <w:highlight w:val="none"/>
        </w:rPr>
        <w:t>河</w:t>
      </w:r>
      <w:r>
        <w:rPr>
          <w:rFonts w:ascii="Times New Roman" w:hAnsi="Times New Roman"/>
          <w:color w:val="auto"/>
          <w:highlight w:val="none"/>
        </w:rPr>
        <w:t>。</w:t>
      </w:r>
    </w:p>
    <w:p w14:paraId="60924C45">
      <w:pPr>
        <w:spacing w:line="360" w:lineRule="auto"/>
        <w:ind w:left="-105" w:right="-105" w:firstLine="480"/>
        <w:rPr>
          <w:rFonts w:ascii="Times New Roman" w:hAnsi="Times New Roman"/>
          <w:color w:val="auto"/>
          <w:highlight w:val="none"/>
        </w:rPr>
      </w:pPr>
      <w:r>
        <w:rPr>
          <w:rFonts w:ascii="Times New Roman" w:hAnsi="Times New Roman"/>
          <w:color w:val="auto"/>
          <w:highlight w:val="none"/>
        </w:rPr>
        <w:t>2、</w:t>
      </w:r>
      <w:r>
        <w:rPr>
          <w:rFonts w:ascii="Times New Roman" w:hAnsi="Times New Roman" w:cs="Times New Roman"/>
          <w:color w:val="auto"/>
          <w:highlight w:val="none"/>
        </w:rPr>
        <w:t>评价内容及范围</w:t>
      </w:r>
    </w:p>
    <w:p w14:paraId="64A18F1C">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全厂产生的生活污水和初期雨水经无锡先进化药化工有限公司处理达标后接入无锡市锡山云林污水处理有限公司，属于间接排放。本项目废水为接管后排放，根据《环境影响评价技术导则-地表水环境》（HJ2.3-2018），本项目为水污染影响型，根据水污染影响型建设项目评价等级判定标准（见表2.4</w:t>
      </w:r>
      <w:r>
        <w:rPr>
          <w:rFonts w:hint="eastAsia" w:ascii="Times New Roman" w:hAnsi="Times New Roman"/>
          <w:color w:val="auto"/>
          <w:highlight w:val="none"/>
        </w:rPr>
        <w:noBreakHyphen/>
      </w:r>
      <w:r>
        <w:rPr>
          <w:rFonts w:hint="eastAsia" w:ascii="Times New Roman" w:hAnsi="Times New Roman"/>
          <w:color w:val="auto"/>
          <w:highlight w:val="none"/>
        </w:rPr>
        <w:t>5），本项目评价等级为三级B。</w:t>
      </w:r>
    </w:p>
    <w:p w14:paraId="1E55F037">
      <w:pPr>
        <w:spacing w:line="360" w:lineRule="auto"/>
        <w:ind w:left="-105" w:right="-105" w:firstLine="480"/>
        <w:rPr>
          <w:rFonts w:ascii="Times New Roman" w:hAnsi="Times New Roman"/>
          <w:color w:val="auto"/>
          <w:highlight w:val="none"/>
        </w:rPr>
      </w:pPr>
      <w:r>
        <w:rPr>
          <w:rFonts w:hint="eastAsia" w:ascii="Times New Roman" w:hAnsi="Times New Roman"/>
          <w:color w:val="auto"/>
          <w:highlight w:val="none"/>
        </w:rPr>
        <w:t>本项目不涉及新增废水排放，废水排放方式也无变动，本报告不再对废水排放情况进行分析评价，也不对依托污染处理设施环境可行性进行分析。</w:t>
      </w:r>
    </w:p>
    <w:p w14:paraId="20E3E498">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90" w:name="_Toc60653561"/>
      <w:bookmarkStart w:id="391" w:name="_Toc14203"/>
      <w:bookmarkStart w:id="392" w:name="_Toc459041306"/>
      <w:r>
        <w:rPr>
          <w:rFonts w:ascii="Times New Roman" w:eastAsia="宋体"/>
          <w:color w:val="auto"/>
          <w:sz w:val="28"/>
          <w:szCs w:val="28"/>
          <w:highlight w:val="none"/>
        </w:rPr>
        <w:t>地下水环境影响分析</w:t>
      </w:r>
      <w:bookmarkEnd w:id="390"/>
      <w:bookmarkEnd w:id="391"/>
    </w:p>
    <w:p w14:paraId="4AEDFBB9">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根据《环境影响评价技术导则-地下水环境》（HJ610-2016）</w:t>
      </w:r>
      <w:r>
        <w:rPr>
          <w:rFonts w:hint="eastAsia" w:ascii="Times New Roman" w:hAnsi="Times New Roman"/>
          <w:color w:val="auto"/>
          <w:highlight w:val="none"/>
        </w:rPr>
        <w:t>“</w:t>
      </w:r>
      <w:r>
        <w:rPr>
          <w:rFonts w:ascii="Times New Roman" w:hAnsi="Times New Roman"/>
          <w:color w:val="auto"/>
          <w:highlight w:val="none"/>
        </w:rPr>
        <w:t>附录A</w:t>
      </w:r>
      <w:r>
        <w:rPr>
          <w:rFonts w:hint="eastAsia" w:ascii="Times New Roman" w:hAnsi="Times New Roman"/>
          <w:color w:val="auto"/>
          <w:highlight w:val="none"/>
        </w:rPr>
        <w:t>”</w:t>
      </w:r>
      <w:r>
        <w:rPr>
          <w:rFonts w:ascii="Times New Roman" w:hAnsi="Times New Roman"/>
          <w:color w:val="auto"/>
          <w:highlight w:val="none"/>
        </w:rPr>
        <w:t>中的建设项目分类，本项目属于</w:t>
      </w:r>
      <w:r>
        <w:rPr>
          <w:rFonts w:hint="eastAsia" w:ascii="Times New Roman" w:hAnsi="Times New Roman"/>
          <w:color w:val="auto"/>
          <w:highlight w:val="none"/>
        </w:rPr>
        <w:t>“K机械、电子82、半导体材料、电子陶瓷、有机薄膜、荧光粉、贵金属粉等电子专用材料”，</w:t>
      </w:r>
      <w:r>
        <w:rPr>
          <w:rFonts w:ascii="Times New Roman" w:hAnsi="Times New Roman"/>
          <w:color w:val="auto"/>
          <w:highlight w:val="none"/>
        </w:rPr>
        <w:t>属于</w:t>
      </w:r>
      <w:r>
        <w:rPr>
          <w:rFonts w:ascii="Times New Roman" w:hAnsi="Times New Roman" w:cs="Times New Roman"/>
          <w:color w:val="auto"/>
          <w:highlight w:val="none"/>
        </w:rPr>
        <w:t>Ⅳ</w:t>
      </w:r>
      <w:r>
        <w:rPr>
          <w:rFonts w:ascii="Times New Roman" w:hAnsi="Times New Roman"/>
          <w:color w:val="auto"/>
          <w:highlight w:val="none"/>
        </w:rPr>
        <w:t>类建设项目</w:t>
      </w:r>
      <w:r>
        <w:rPr>
          <w:rFonts w:hint="eastAsia" w:ascii="Times New Roman" w:hAnsi="Times New Roman"/>
          <w:color w:val="auto"/>
          <w:highlight w:val="none"/>
        </w:rPr>
        <w:t>，建设项目不开展地下水环境影响评价</w:t>
      </w:r>
      <w:r>
        <w:rPr>
          <w:rFonts w:ascii="Times New Roman" w:hAnsi="Times New Roman"/>
          <w:color w:val="auto"/>
          <w:highlight w:val="none"/>
        </w:rPr>
        <w:t>。</w:t>
      </w:r>
    </w:p>
    <w:p w14:paraId="083C923F">
      <w:pPr>
        <w:ind w:left="-105" w:right="-105"/>
        <w:rPr>
          <w:rFonts w:ascii="Times New Roman" w:hAnsi="Times New Roman"/>
          <w:color w:val="auto"/>
          <w:highlight w:val="none"/>
        </w:rPr>
      </w:pPr>
      <w:r>
        <w:rPr>
          <w:rFonts w:ascii="Times New Roman" w:hAnsi="Times New Roman"/>
          <w:color w:val="auto"/>
          <w:highlight w:val="none"/>
        </w:rPr>
        <w:br w:type="page"/>
      </w:r>
    </w:p>
    <w:p w14:paraId="4E06B63A">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393" w:name="_Toc2761"/>
      <w:bookmarkStart w:id="394" w:name="_Toc60653565"/>
      <w:r>
        <w:rPr>
          <w:rFonts w:ascii="Times New Roman" w:eastAsia="宋体"/>
          <w:color w:val="auto"/>
          <w:sz w:val="28"/>
          <w:szCs w:val="28"/>
          <w:highlight w:val="none"/>
        </w:rPr>
        <w:t>土壤环境影响分析</w:t>
      </w:r>
      <w:bookmarkEnd w:id="393"/>
      <w:bookmarkEnd w:id="394"/>
    </w:p>
    <w:p w14:paraId="22C2ED94">
      <w:pPr>
        <w:spacing w:line="360" w:lineRule="auto"/>
        <w:ind w:left="-105" w:right="-105" w:firstLine="480" w:firstLineChars="200"/>
        <w:rPr>
          <w:rFonts w:ascii="Times New Roman" w:hAnsi="Times New Roman"/>
          <w:b/>
          <w:bCs/>
          <w:color w:val="auto"/>
          <w:highlight w:val="none"/>
        </w:rPr>
      </w:pPr>
      <w:r>
        <w:rPr>
          <w:rFonts w:ascii="Times New Roman" w:hAnsi="Times New Roman" w:cs="Times New Roman"/>
          <w:color w:val="auto"/>
          <w:highlight w:val="none"/>
        </w:rPr>
        <w:t>根据《环境影响评价技术导则土壤环境（HJ964-2018）》，本项目土壤评价等级判定为</w:t>
      </w:r>
      <w:r>
        <w:rPr>
          <w:rFonts w:hint="eastAsia" w:ascii="Times New Roman" w:hAnsi="Times New Roman" w:cs="Times New Roman"/>
          <w:color w:val="auto"/>
          <w:highlight w:val="none"/>
        </w:rPr>
        <w:t>二</w:t>
      </w:r>
      <w:r>
        <w:rPr>
          <w:rFonts w:ascii="Times New Roman" w:hAnsi="Times New Roman" w:cs="Times New Roman"/>
          <w:color w:val="auto"/>
          <w:highlight w:val="none"/>
        </w:rPr>
        <w:t>级评价。</w:t>
      </w:r>
    </w:p>
    <w:p w14:paraId="2B3DC43B">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395" w:name="_Toc60653566"/>
      <w:r>
        <w:rPr>
          <w:rFonts w:hint="eastAsia" w:eastAsia="宋体"/>
          <w:color w:val="auto"/>
          <w:sz w:val="28"/>
          <w:szCs w:val="28"/>
          <w:highlight w:val="none"/>
        </w:rPr>
        <w:t>6.4.1</w:t>
      </w:r>
      <w:r>
        <w:rPr>
          <w:rFonts w:eastAsia="宋体"/>
          <w:color w:val="auto"/>
          <w:sz w:val="28"/>
          <w:szCs w:val="28"/>
          <w:highlight w:val="none"/>
        </w:rPr>
        <w:t>土壤环境特征</w:t>
      </w:r>
      <w:bookmarkEnd w:id="395"/>
    </w:p>
    <w:p w14:paraId="56E0EEB7">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根据厂区勘察资料分析，</w:t>
      </w:r>
      <w:r>
        <w:rPr>
          <w:rFonts w:hint="eastAsia" w:ascii="Times New Roman" w:hAnsi="Times New Roman"/>
          <w:color w:val="auto"/>
          <w:highlight w:val="none"/>
        </w:rPr>
        <w:t>拟建场地在勘探深度内均为第四纪冲积、淤积层，属长江中下游冲积层。场地地表下25.2米深范围内土层，呈多层结构，按土类不同，可分为7个层次，各土层基本上为水平层状分布，土层垂直分布（由浅至深）及特征描述于下：</w:t>
      </w:r>
    </w:p>
    <w:p w14:paraId="4BB2977E">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（1）填土：杂色，松软，表部为耕土，含植物根茎，偶含碎破块，均匀性及稳定性差。层厚0.6~2.4m。该层层底标高1.99~3.87m。</w:t>
      </w:r>
    </w:p>
    <w:p w14:paraId="70DAE4FE">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（2）粉质粘土：灰黄色，硬塑状为主，局部为可塑，含铁锰氧化物条斑及其结核，无摇振反应，切面有光泽，干强度和韧性中~高，中等压缩性。该层土普遍分布，层厚3.4~5.2m。该层层底标高-1.65~-0.73m。</w:t>
      </w:r>
    </w:p>
    <w:p w14:paraId="44A577CD">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（3）粉质粘土夹粉土：灰黄色～灰色，软塑状，含云母碎屑，具层里，切面无光泽，干强度中“低、韧性中～低。该层土普遍分布，层厚5.1~8.2m。该层层底标高-9.37~-6.51m。</w:t>
      </w:r>
    </w:p>
    <w:p w14:paraId="0041ABA4">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（3-J）粉土：灰色，稍密，夹粉质粘土，摇震反应中等，干强度和韧性低，中压缩性。该层非全场分布，二工场车间东南角与恒温仓库西南角处渐变为粉质粘土，厚度1.5~2.7m。该层层底标高-9.21~-8.52m。</w:t>
      </w:r>
    </w:p>
    <w:p w14:paraId="25FBA1C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（4）粉质粘土：灰色～灰褐色，可塑~硬可塑状，含铁锰氧化物，无摇震反应，切面有光泽，干强度和韧性中等，中等压缩性。厚度1.5~2.3m。该层层底标高-11.46~-10.69m。</w:t>
      </w:r>
    </w:p>
    <w:p w14:paraId="7A3876EB">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（5）粉质粘土：褐黄色，可塑～硬塑状，含铁锰氧化物，无摇震反应，切面有光泽，干强度和韧性中等。该层厚度在7.6~8.3m,层底标高-19.36~-18.83m。</w:t>
      </w:r>
    </w:p>
    <w:p w14:paraId="5D84C1C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（6）粉质粘土：灰黄色，软塑”可塑状，偶夹粉土，切面稍有光泽，干强度和韧性中等。该层未揭穿。</w:t>
      </w:r>
    </w:p>
    <w:p w14:paraId="32F7B5F3">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4"/>
          <w:highlight w:val="none"/>
        </w:rPr>
      </w:pPr>
      <w:bookmarkStart w:id="396" w:name="_Toc60653567"/>
      <w:r>
        <w:rPr>
          <w:rFonts w:hint="eastAsia" w:eastAsia="宋体"/>
          <w:color w:val="auto"/>
          <w:sz w:val="28"/>
          <w:szCs w:val="24"/>
          <w:highlight w:val="none"/>
        </w:rPr>
        <w:t>6.4.2</w:t>
      </w:r>
      <w:r>
        <w:rPr>
          <w:rFonts w:eastAsia="宋体"/>
          <w:color w:val="auto"/>
          <w:sz w:val="28"/>
          <w:szCs w:val="24"/>
          <w:highlight w:val="none"/>
        </w:rPr>
        <w:t>土壤影响途径</w:t>
      </w:r>
      <w:bookmarkEnd w:id="396"/>
    </w:p>
    <w:p w14:paraId="34C84C64">
      <w:pPr>
        <w:pStyle w:val="97"/>
        <w:spacing w:line="360" w:lineRule="auto"/>
        <w:ind w:left="-105" w:right="-105" w:firstLine="480"/>
        <w:rPr>
          <w:rFonts w:eastAsia="宋体"/>
          <w:color w:val="auto"/>
          <w:kern w:val="0"/>
          <w:sz w:val="24"/>
          <w:highlight w:val="none"/>
        </w:rPr>
      </w:pPr>
      <w:bookmarkStart w:id="397" w:name="_Toc60653568"/>
      <w:r>
        <w:rPr>
          <w:rFonts w:eastAsia="宋体"/>
          <w:color w:val="auto"/>
          <w:kern w:val="0"/>
          <w:sz w:val="24"/>
          <w:highlight w:val="none"/>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286650D8">
      <w:pPr>
        <w:pStyle w:val="97"/>
        <w:spacing w:line="360" w:lineRule="auto"/>
        <w:ind w:left="-105" w:right="-105" w:firstLine="480"/>
        <w:rPr>
          <w:rFonts w:eastAsia="宋体"/>
          <w:color w:val="auto"/>
          <w:kern w:val="0"/>
          <w:sz w:val="24"/>
          <w:highlight w:val="none"/>
        </w:rPr>
      </w:pPr>
      <w:r>
        <w:rPr>
          <w:rFonts w:eastAsia="宋体"/>
          <w:color w:val="auto"/>
          <w:kern w:val="0"/>
          <w:sz w:val="24"/>
          <w:highlight w:val="none"/>
        </w:rPr>
        <w:t>本工程污染物质可以通过多种途径进入土壤，主要类型有以下三种：</w:t>
      </w:r>
    </w:p>
    <w:p w14:paraId="2F6FD4E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（1）大气降尘型：工程经治理后排放的大气污染物，通过降水、扩散和重力作用降落至地面，渗透进入土壤，进而污染土壤环境；</w:t>
      </w:r>
    </w:p>
    <w:p w14:paraId="4FE44524">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（2）泄漏污染型：工程设备在线物料、原料库液态原料，发生输送管道破裂或设备、池体破损导致泄漏事故，未进行及时处理，通过垂直入渗方式或地面漫流方式进入周围环境，将会污染周围土壤环境；</w:t>
      </w:r>
    </w:p>
    <w:p w14:paraId="2C64FE28">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（3）固体废物污染型：项目厂区危险废物、一般工业固体废物、生活垃圾等在运输、贮存或堆放过程中通过扩散、降水淋洗等通过地面漫流形式直接或间接地影响土壤。</w:t>
      </w:r>
    </w:p>
    <w:p w14:paraId="21E53ED8">
      <w:pPr>
        <w:adjustRightInd w:val="0"/>
        <w:snapToGrid w:val="0"/>
        <w:spacing w:line="360" w:lineRule="auto"/>
        <w:ind w:left="-105" w:right="-105" w:firstLine="480" w:firstLineChars="200"/>
        <w:rPr>
          <w:color w:val="auto"/>
          <w:highlight w:val="none"/>
        </w:rPr>
      </w:pPr>
      <w:r>
        <w:rPr>
          <w:rFonts w:hint="eastAsia"/>
          <w:color w:val="auto"/>
          <w:highlight w:val="none"/>
        </w:rPr>
        <w:t>本项目</w:t>
      </w:r>
      <w:r>
        <w:rPr>
          <w:color w:val="auto"/>
          <w:highlight w:val="none"/>
        </w:rPr>
        <w:t>营运期</w:t>
      </w:r>
      <w:r>
        <w:rPr>
          <w:rFonts w:hint="eastAsia"/>
          <w:color w:val="auto"/>
          <w:highlight w:val="none"/>
        </w:rPr>
        <w:t>混合、过滤、取样分析、收缸</w:t>
      </w:r>
      <w:r>
        <w:rPr>
          <w:color w:val="auto"/>
          <w:highlight w:val="none"/>
        </w:rPr>
        <w:t>等工序有机废气外排对土壤有大气沉降影响；危废仓库、</w:t>
      </w:r>
      <w:r>
        <w:rPr>
          <w:rFonts w:hint="eastAsia"/>
          <w:color w:val="auto"/>
          <w:highlight w:val="none"/>
        </w:rPr>
        <w:t>废液储罐</w:t>
      </w:r>
      <w:r>
        <w:rPr>
          <w:color w:val="auto"/>
          <w:highlight w:val="none"/>
        </w:rPr>
        <w:t>在发生渗漏且地面防渗措施失效情况下垂直渗入土壤造成的污染影响，因此本项目土壤环境影响类型为“污染影响型”。</w:t>
      </w:r>
    </w:p>
    <w:p w14:paraId="1AA6D33C">
      <w:pPr>
        <w:pStyle w:val="2"/>
        <w:keepNext w:val="0"/>
        <w:keepLines w:val="0"/>
        <w:pageBreakBefore w:val="0"/>
        <w:widowControl/>
        <w:kinsoku/>
        <w:wordWrap/>
        <w:overflowPunct/>
        <w:topLinePunct w:val="0"/>
        <w:autoSpaceDE/>
        <w:autoSpaceDN/>
        <w:bidi w:val="0"/>
        <w:adjustRightInd w:val="0"/>
        <w:snapToGrid w:val="0"/>
        <w:jc w:val="both"/>
        <w:textAlignment w:val="auto"/>
        <w:rPr>
          <w:color w:val="auto"/>
          <w:highlight w:val="none"/>
        </w:rPr>
      </w:pPr>
      <w:r>
        <w:rPr>
          <w:rFonts w:hint="eastAsia"/>
          <w:color w:val="auto"/>
          <w:highlight w:val="none"/>
          <w:lang w:val="en-US" w:eastAsia="zh-CN"/>
        </w:rPr>
        <w:t>根据企业</w:t>
      </w:r>
      <w:r>
        <w:rPr>
          <w:rFonts w:hint="eastAsia" w:ascii="Times New Roman" w:hAnsi="Times New Roman"/>
          <w:color w:val="auto"/>
          <w:highlight w:val="none"/>
        </w:rPr>
        <w:t>2021年9月2~11日委托无锡精纬计量检验检测有限公司</w:t>
      </w:r>
      <w:r>
        <w:rPr>
          <w:rFonts w:hint="eastAsia" w:ascii="Times New Roman" w:hAnsi="Times New Roman"/>
          <w:color w:val="auto"/>
          <w:highlight w:val="none"/>
          <w:lang w:eastAsia="zh-CN"/>
        </w:rPr>
        <w:t>、</w:t>
      </w:r>
      <w:r>
        <w:rPr>
          <w:rFonts w:hint="eastAsia" w:ascii="Times New Roman" w:hAnsi="Times New Roman"/>
          <w:color w:val="auto"/>
          <w:highlight w:val="none"/>
        </w:rPr>
        <w:t>2023年6月16日委托江苏格林勒斯检测科技有限公司</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2024年4月25日、5月10日</w:t>
      </w:r>
      <w:r>
        <w:rPr>
          <w:rFonts w:hint="eastAsia" w:ascii="Times New Roman" w:hAnsi="Times New Roman"/>
          <w:color w:val="auto"/>
          <w:highlight w:val="none"/>
        </w:rPr>
        <w:t>委托无锡市恒信安全技术服务有限公司</w:t>
      </w:r>
      <w:r>
        <w:rPr>
          <w:rFonts w:hint="eastAsia"/>
          <w:color w:val="auto"/>
          <w:highlight w:val="none"/>
        </w:rPr>
        <w:t>对项目选址地及周边进行了土壤现状调查采样及监测，监测结果表明，项目</w:t>
      </w:r>
      <w:r>
        <w:rPr>
          <w:rFonts w:hint="eastAsia"/>
          <w:color w:val="auto"/>
          <w:highlight w:val="none"/>
        </w:rPr>
        <w:t>所在地土壤环境质量能够满足《土壤环境质量建设用地土壤污染风险管控标准（试行）》（GB36600-2018）中第二类用地要求筛选值要求，敏感点处满足《土壤环境质量建设用地土壤污染风险管控标准（试行）》（GB36600-2018）中第一类用地要求筛选值要求。说明区域土壤环境质量现状总体较好。</w:t>
      </w:r>
    </w:p>
    <w:p w14:paraId="52C6AA7C">
      <w:pPr>
        <w:adjustRightInd w:val="0"/>
        <w:snapToGrid w:val="0"/>
        <w:spacing w:line="360" w:lineRule="auto"/>
        <w:ind w:left="-105" w:right="-105" w:firstLine="480" w:firstLineChars="200"/>
        <w:rPr>
          <w:color w:val="auto"/>
          <w:highlight w:val="none"/>
        </w:rPr>
      </w:pPr>
      <w:r>
        <w:rPr>
          <w:color w:val="auto"/>
          <w:highlight w:val="none"/>
        </w:rPr>
        <w:t>①大气沉降影响途径分析</w:t>
      </w:r>
    </w:p>
    <w:p w14:paraId="31D0BAEE">
      <w:pPr>
        <w:adjustRightInd w:val="0"/>
        <w:snapToGrid w:val="0"/>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本项目营运期废气处理系统产生尾气，其中含有的多种有机物质，可能沉降至项目周边土壤地面。</w:t>
      </w:r>
      <w:r>
        <w:rPr>
          <w:rFonts w:hint="eastAsia"/>
          <w:color w:val="auto"/>
          <w:highlight w:val="none"/>
          <w:lang w:val="en-US" w:eastAsia="zh-CN"/>
        </w:rPr>
        <w:t>烃类有机物</w:t>
      </w:r>
      <w:r>
        <w:rPr>
          <w:rFonts w:hint="eastAsia"/>
          <w:color w:val="auto"/>
          <w:highlight w:val="none"/>
        </w:rPr>
        <w:t>在土壤中积累，会导致土壤理化性质改变，肥力下降，并有可能通过作物进入食物链，影响人群健康。</w:t>
      </w:r>
    </w:p>
    <w:p w14:paraId="4E24B002">
      <w:pPr>
        <w:adjustRightInd w:val="0"/>
        <w:snapToGrid w:val="0"/>
        <w:spacing w:line="360" w:lineRule="auto"/>
        <w:ind w:left="-105" w:right="-105" w:firstLine="480" w:firstLineChars="200"/>
        <w:rPr>
          <w:color w:val="auto"/>
          <w:highlight w:val="none"/>
        </w:rPr>
      </w:pPr>
      <w:r>
        <w:rPr>
          <w:color w:val="auto"/>
          <w:highlight w:val="none"/>
        </w:rPr>
        <w:t>②垂直入渗途径分析</w:t>
      </w:r>
    </w:p>
    <w:p w14:paraId="0DEE2BB8">
      <w:pPr>
        <w:adjustRightInd w:val="0"/>
        <w:snapToGrid w:val="0"/>
        <w:spacing w:line="360" w:lineRule="auto"/>
        <w:ind w:left="-105" w:right="-105" w:firstLine="480" w:firstLineChars="200"/>
        <w:rPr>
          <w:color w:val="auto"/>
          <w:highlight w:val="none"/>
        </w:rPr>
      </w:pPr>
      <w:r>
        <w:rPr>
          <w:rFonts w:hint="eastAsia"/>
          <w:color w:val="auto"/>
          <w:highlight w:val="none"/>
        </w:rPr>
        <w:t>根据调查，现有厂区对车间、仓库</w:t>
      </w:r>
      <w:r>
        <w:rPr>
          <w:rFonts w:hint="eastAsia"/>
          <w:color w:val="auto"/>
          <w:highlight w:val="none"/>
          <w:lang w:eastAsia="zh-CN"/>
        </w:rPr>
        <w:t>（</w:t>
      </w:r>
      <w:r>
        <w:rPr>
          <w:rFonts w:hint="eastAsia"/>
          <w:color w:val="auto"/>
          <w:highlight w:val="none"/>
          <w:lang w:val="en-US" w:eastAsia="zh-CN"/>
        </w:rPr>
        <w:t>危险品仓库、成品仓库</w:t>
      </w:r>
      <w:r>
        <w:rPr>
          <w:rFonts w:hint="eastAsia"/>
          <w:color w:val="auto"/>
          <w:highlight w:val="none"/>
          <w:lang w:eastAsia="zh-CN"/>
        </w:rPr>
        <w:t>）</w:t>
      </w:r>
      <w:r>
        <w:rPr>
          <w:rFonts w:hint="eastAsia"/>
          <w:color w:val="auto"/>
          <w:highlight w:val="none"/>
        </w:rPr>
        <w:t>、环保工程(危废库、</w:t>
      </w:r>
      <w:r>
        <w:rPr>
          <w:rFonts w:hint="eastAsia"/>
          <w:color w:val="auto"/>
          <w:highlight w:val="none"/>
          <w:lang w:val="en-US" w:eastAsia="zh-CN"/>
        </w:rPr>
        <w:t>废液储罐区、</w:t>
      </w:r>
      <w:r>
        <w:rPr>
          <w:rFonts w:hint="eastAsia"/>
          <w:color w:val="auto"/>
          <w:highlight w:val="none"/>
        </w:rPr>
        <w:t>事故应急池</w:t>
      </w:r>
      <w:r>
        <w:rPr>
          <w:rFonts w:hint="eastAsia"/>
          <w:color w:val="auto"/>
          <w:highlight w:val="none"/>
          <w:lang w:eastAsia="zh-CN"/>
        </w:rPr>
        <w:t>、</w:t>
      </w:r>
      <w:r>
        <w:rPr>
          <w:rFonts w:hint="eastAsia"/>
          <w:color w:val="auto"/>
          <w:highlight w:val="none"/>
          <w:lang w:val="en-US" w:eastAsia="zh-CN"/>
        </w:rPr>
        <w:t>初期雨水收集池</w:t>
      </w:r>
      <w:r>
        <w:rPr>
          <w:rFonts w:hint="eastAsia"/>
          <w:color w:val="auto"/>
          <w:highlight w:val="none"/>
        </w:rPr>
        <w:t>)、柴油储罐区等地面采取重点防渗处理。</w:t>
      </w:r>
      <w:r>
        <w:rPr>
          <w:color w:val="auto"/>
          <w:highlight w:val="none"/>
        </w:rPr>
        <w:t>本项目各工艺单元和装置区，大部分为可视场所和设备；在可视场所即使发生泄漏和硬化地面破损，可以被及时发现，建设单位可以及时采取措施，不可能任由物料或污水漫流渗漏，任其渗入土壤。发生垂直入渗几率不大。</w:t>
      </w:r>
    </w:p>
    <w:p w14:paraId="0B9B204A">
      <w:pPr>
        <w:adjustRightInd w:val="0"/>
        <w:snapToGrid w:val="0"/>
        <w:spacing w:line="360" w:lineRule="auto"/>
        <w:ind w:left="-105" w:right="-105" w:firstLine="480" w:firstLineChars="200"/>
        <w:rPr>
          <w:color w:val="auto"/>
          <w:highlight w:val="none"/>
        </w:rPr>
      </w:pPr>
      <w:r>
        <w:rPr>
          <w:rFonts w:hint="eastAsia"/>
          <w:color w:val="auto"/>
          <w:highlight w:val="none"/>
        </w:rPr>
        <w:t>③地面漫流</w:t>
      </w:r>
      <w:r>
        <w:rPr>
          <w:color w:val="auto"/>
          <w:highlight w:val="none"/>
        </w:rPr>
        <w:t>途径分析</w:t>
      </w:r>
    </w:p>
    <w:p w14:paraId="09374FF3">
      <w:pPr>
        <w:adjustRightInd w:val="0"/>
        <w:snapToGrid w:val="0"/>
        <w:spacing w:line="360" w:lineRule="auto"/>
        <w:ind w:left="-105" w:right="-105" w:firstLine="480" w:firstLineChars="200"/>
        <w:rPr>
          <w:color w:val="auto"/>
          <w:highlight w:val="none"/>
        </w:rPr>
      </w:pPr>
      <w:r>
        <w:rPr>
          <w:rFonts w:hint="eastAsia"/>
          <w:color w:val="auto"/>
          <w:highlight w:val="none"/>
        </w:rPr>
        <w:t>本项目各</w:t>
      </w:r>
      <w:r>
        <w:rPr>
          <w:color w:val="auto"/>
          <w:highlight w:val="none"/>
        </w:rPr>
        <w:t>工艺单元</w:t>
      </w:r>
      <w:r>
        <w:rPr>
          <w:rFonts w:hint="eastAsia"/>
          <w:color w:val="auto"/>
          <w:highlight w:val="none"/>
        </w:rPr>
        <w:t>位于洁净车间</w:t>
      </w:r>
      <w:r>
        <w:rPr>
          <w:rFonts w:hint="eastAsia"/>
          <w:color w:val="auto"/>
          <w:highlight w:val="none"/>
          <w:lang w:eastAsia="zh-CN"/>
        </w:rPr>
        <w:t>，</w:t>
      </w:r>
      <w:r>
        <w:rPr>
          <w:rFonts w:hint="eastAsia"/>
          <w:color w:val="auto"/>
          <w:highlight w:val="none"/>
          <w:lang w:val="en-US" w:eastAsia="zh-CN"/>
        </w:rPr>
        <w:t>车间</w:t>
      </w:r>
      <w:r>
        <w:rPr>
          <w:rFonts w:hint="eastAsia"/>
          <w:color w:val="auto"/>
          <w:highlight w:val="none"/>
          <w:lang w:eastAsia="zh-CN"/>
        </w:rPr>
        <w:t>、</w:t>
      </w:r>
      <w:r>
        <w:rPr>
          <w:rFonts w:hint="eastAsia"/>
          <w:color w:val="auto"/>
          <w:highlight w:val="none"/>
          <w:lang w:val="en-US" w:eastAsia="zh-CN"/>
        </w:rPr>
        <w:t>危险品仓库、成品仓库和危废库设置截流沟</w:t>
      </w:r>
      <w:r>
        <w:rPr>
          <w:rFonts w:hint="eastAsia"/>
          <w:color w:val="auto"/>
          <w:highlight w:val="none"/>
        </w:rPr>
        <w:t>、废液储罐周边有围堰，泄漏物料均可通过收集管网进入</w:t>
      </w:r>
      <w:r>
        <w:rPr>
          <w:rFonts w:hint="eastAsia"/>
          <w:color w:val="auto"/>
          <w:highlight w:val="none"/>
          <w:lang w:val="en-US" w:eastAsia="zh-CN"/>
        </w:rPr>
        <w:t>收集池和</w:t>
      </w:r>
      <w:r>
        <w:rPr>
          <w:rFonts w:hint="eastAsia"/>
          <w:color w:val="auto"/>
          <w:highlight w:val="none"/>
        </w:rPr>
        <w:t>厂内事故应急池，本项目</w:t>
      </w:r>
      <w:r>
        <w:rPr>
          <w:rFonts w:hint="eastAsia"/>
          <w:color w:val="auto"/>
          <w:highlight w:val="none"/>
          <w:lang w:val="en-US" w:eastAsia="zh-CN"/>
        </w:rPr>
        <w:t>危化品和</w:t>
      </w:r>
      <w:r>
        <w:rPr>
          <w:rFonts w:hint="eastAsia"/>
          <w:color w:val="auto"/>
          <w:highlight w:val="none"/>
        </w:rPr>
        <w:t>固体废物的贮存所采取的防范或治理措施是可行的，</w:t>
      </w:r>
      <w:r>
        <w:rPr>
          <w:rFonts w:hint="eastAsia"/>
          <w:color w:val="auto"/>
          <w:highlight w:val="none"/>
          <w:lang w:val="en-US" w:eastAsia="zh-CN"/>
        </w:rPr>
        <w:t>正常工况下</w:t>
      </w:r>
      <w:r>
        <w:rPr>
          <w:rFonts w:hint="eastAsia"/>
          <w:color w:val="auto"/>
          <w:highlight w:val="none"/>
        </w:rPr>
        <w:t>不会在厂区地面漫流进入土壤，故发生地面漫流几率不大。</w:t>
      </w:r>
    </w:p>
    <w:p w14:paraId="30ED7C71">
      <w:pPr>
        <w:pStyle w:val="97"/>
        <w:spacing w:line="360" w:lineRule="auto"/>
        <w:ind w:left="-105" w:right="-105" w:firstLine="480"/>
        <w:rPr>
          <w:rFonts w:eastAsia="宋体"/>
          <w:color w:val="auto"/>
          <w:kern w:val="0"/>
          <w:sz w:val="24"/>
          <w:highlight w:val="none"/>
        </w:rPr>
      </w:pPr>
      <w:r>
        <w:rPr>
          <w:rFonts w:eastAsia="宋体"/>
          <w:color w:val="auto"/>
          <w:kern w:val="0"/>
          <w:sz w:val="24"/>
          <w:highlight w:val="none"/>
        </w:rPr>
        <w:t>本项目土壤环境影响识别见</w:t>
      </w:r>
      <w:r>
        <w:rPr>
          <w:rFonts w:eastAsia="宋体"/>
          <w:color w:val="auto"/>
          <w:kern w:val="0"/>
          <w:sz w:val="24"/>
          <w:highlight w:val="none"/>
        </w:rPr>
        <w:fldChar w:fldCharType="begin"/>
      </w:r>
      <w:r>
        <w:rPr>
          <w:rFonts w:eastAsia="宋体"/>
          <w:color w:val="auto"/>
          <w:kern w:val="0"/>
          <w:sz w:val="24"/>
          <w:highlight w:val="none"/>
        </w:rPr>
        <w:instrText xml:space="preserve"> REF _Ref115358838 \h  \* MERGEFORMAT </w:instrText>
      </w:r>
      <w:r>
        <w:rPr>
          <w:rFonts w:eastAsia="宋体"/>
          <w:color w:val="auto"/>
          <w:kern w:val="0"/>
          <w:sz w:val="24"/>
          <w:highlight w:val="none"/>
        </w:rPr>
        <w:fldChar w:fldCharType="separate"/>
      </w:r>
      <w:r>
        <w:rPr>
          <w:rFonts w:eastAsia="宋体"/>
          <w:color w:val="auto"/>
          <w:sz w:val="24"/>
          <w:highlight w:val="none"/>
        </w:rPr>
        <w:t>表</w:t>
      </w:r>
      <w:r>
        <w:rPr>
          <w:rFonts w:eastAsia="宋体"/>
          <w:color w:val="auto"/>
          <w:sz w:val="24"/>
          <w:highlight w:val="none"/>
        </w:rPr>
        <w:fldChar w:fldCharType="begin"/>
      </w:r>
      <w:r>
        <w:rPr>
          <w:rFonts w:eastAsia="宋体"/>
          <w:color w:val="auto"/>
          <w:sz w:val="24"/>
          <w:highlight w:val="none"/>
        </w:rPr>
        <w:instrText xml:space="preserve"> STYLEREF</w:instrText>
      </w:r>
      <w:r>
        <w:rPr>
          <w:color w:val="auto"/>
          <w:sz w:val="24"/>
          <w:highlight w:val="none"/>
        </w:rPr>
        <w:instrText xml:space="preserve"> 2 \s </w:instrText>
      </w:r>
      <w:r>
        <w:rPr>
          <w:color w:val="auto"/>
          <w:sz w:val="24"/>
          <w:highlight w:val="none"/>
        </w:rPr>
        <w:fldChar w:fldCharType="separate"/>
      </w:r>
      <w:r>
        <w:rPr>
          <w:color w:val="auto"/>
          <w:sz w:val="24"/>
          <w:highlight w:val="none"/>
        </w:rPr>
        <w:t>6.4</w:t>
      </w:r>
      <w:r>
        <w:rPr>
          <w:color w:val="auto"/>
          <w:sz w:val="24"/>
          <w:highlight w:val="none"/>
        </w:rPr>
        <w:fldChar w:fldCharType="end"/>
      </w:r>
      <w:r>
        <w:rPr>
          <w:color w:val="auto"/>
          <w:sz w:val="24"/>
          <w:highlight w:val="none"/>
        </w:rPr>
        <w:noBreakHyphen/>
      </w:r>
      <w:r>
        <w:rPr>
          <w:color w:val="auto"/>
          <w:sz w:val="24"/>
          <w:highlight w:val="none"/>
        </w:rPr>
        <w:t>1</w:t>
      </w:r>
      <w:r>
        <w:rPr>
          <w:rFonts w:eastAsia="宋体"/>
          <w:color w:val="auto"/>
          <w:kern w:val="0"/>
          <w:sz w:val="24"/>
          <w:highlight w:val="none"/>
        </w:rPr>
        <w:fldChar w:fldCharType="end"/>
      </w:r>
      <w:r>
        <w:rPr>
          <w:rFonts w:eastAsia="宋体"/>
          <w:color w:val="auto"/>
          <w:kern w:val="0"/>
          <w:sz w:val="24"/>
          <w:highlight w:val="none"/>
        </w:rPr>
        <w:t>。</w:t>
      </w:r>
    </w:p>
    <w:p w14:paraId="21F5100A">
      <w:pPr>
        <w:pStyle w:val="15"/>
        <w:ind w:left="-105" w:right="-105" w:firstLine="482"/>
        <w:rPr>
          <w:rFonts w:eastAsia="宋体"/>
          <w:color w:val="auto"/>
          <w:sz w:val="24"/>
          <w:szCs w:val="24"/>
          <w:highlight w:val="none"/>
        </w:rPr>
      </w:pPr>
      <w:bookmarkStart w:id="398" w:name="_Ref115358838"/>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6.4</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1</w:t>
      </w:r>
      <w:r>
        <w:rPr>
          <w:rFonts w:eastAsia="宋体"/>
          <w:color w:val="auto"/>
          <w:sz w:val="24"/>
          <w:szCs w:val="24"/>
          <w:highlight w:val="none"/>
        </w:rPr>
        <w:fldChar w:fldCharType="end"/>
      </w:r>
      <w:bookmarkEnd w:id="398"/>
      <w:r>
        <w:rPr>
          <w:rFonts w:eastAsia="宋体"/>
          <w:color w:val="auto"/>
          <w:sz w:val="24"/>
          <w:szCs w:val="24"/>
          <w:highlight w:val="none"/>
        </w:rPr>
        <w:t>建设项目土壤环境影响类型与影响途径表</w:t>
      </w:r>
    </w:p>
    <w:tbl>
      <w:tblPr>
        <w:tblStyle w:val="45"/>
        <w:tblW w:w="5000" w:type="pct"/>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43"/>
        <w:gridCol w:w="1744"/>
        <w:gridCol w:w="1744"/>
        <w:gridCol w:w="1744"/>
        <w:gridCol w:w="1745"/>
      </w:tblGrid>
      <w:tr w14:paraId="21E2C9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98" w:type="dxa"/>
            <w:vMerge w:val="restart"/>
            <w:vAlign w:val="center"/>
          </w:tcPr>
          <w:p w14:paraId="648457FD">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不同时段</w:t>
            </w:r>
          </w:p>
        </w:tc>
        <w:tc>
          <w:tcPr>
            <w:tcW w:w="6796" w:type="dxa"/>
            <w:gridSpan w:val="4"/>
            <w:vAlign w:val="center"/>
          </w:tcPr>
          <w:p w14:paraId="7D72402A">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污染影响型</w:t>
            </w:r>
          </w:p>
        </w:tc>
      </w:tr>
      <w:tr w14:paraId="3D0271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98" w:type="dxa"/>
            <w:vMerge w:val="continue"/>
            <w:vAlign w:val="center"/>
          </w:tcPr>
          <w:p w14:paraId="603FCA5B">
            <w:pPr>
              <w:ind w:left="-105" w:right="-105"/>
              <w:jc w:val="center"/>
              <w:rPr>
                <w:rFonts w:ascii="Times New Roman" w:hAnsi="Times New Roman" w:cs="Times New Roman"/>
                <w:b/>
                <w:bCs/>
                <w:color w:val="auto"/>
                <w:sz w:val="21"/>
                <w:szCs w:val="21"/>
                <w:highlight w:val="none"/>
              </w:rPr>
            </w:pPr>
          </w:p>
        </w:tc>
        <w:tc>
          <w:tcPr>
            <w:tcW w:w="1699" w:type="dxa"/>
            <w:vAlign w:val="center"/>
          </w:tcPr>
          <w:p w14:paraId="7C326EF9">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大气沉降</w:t>
            </w:r>
          </w:p>
        </w:tc>
        <w:tc>
          <w:tcPr>
            <w:tcW w:w="1699" w:type="dxa"/>
            <w:vAlign w:val="center"/>
          </w:tcPr>
          <w:p w14:paraId="74FE8F8F">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地面漫流</w:t>
            </w:r>
          </w:p>
        </w:tc>
        <w:tc>
          <w:tcPr>
            <w:tcW w:w="1699" w:type="dxa"/>
            <w:vAlign w:val="center"/>
          </w:tcPr>
          <w:p w14:paraId="59EF0B56">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垂直入渗</w:t>
            </w:r>
          </w:p>
        </w:tc>
        <w:tc>
          <w:tcPr>
            <w:tcW w:w="1699" w:type="dxa"/>
            <w:vAlign w:val="center"/>
          </w:tcPr>
          <w:p w14:paraId="1A2E315C">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其他</w:t>
            </w:r>
          </w:p>
        </w:tc>
      </w:tr>
      <w:tr w14:paraId="53CB7C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98" w:type="dxa"/>
            <w:vAlign w:val="center"/>
          </w:tcPr>
          <w:p w14:paraId="52EF2FA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建设期</w:t>
            </w:r>
          </w:p>
        </w:tc>
        <w:tc>
          <w:tcPr>
            <w:tcW w:w="1699" w:type="dxa"/>
            <w:vAlign w:val="center"/>
          </w:tcPr>
          <w:p w14:paraId="6700DE5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tcPr>
          <w:p w14:paraId="5406FAD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tcPr>
          <w:p w14:paraId="124FF0D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tcPr>
          <w:p w14:paraId="2F1B2FE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0611FB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98" w:type="dxa"/>
            <w:vAlign w:val="center"/>
          </w:tcPr>
          <w:p w14:paraId="0D213B8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营运</w:t>
            </w:r>
            <w:r>
              <w:rPr>
                <w:rFonts w:ascii="Times New Roman" w:hAnsi="Times New Roman" w:cs="Times New Roman"/>
                <w:color w:val="auto"/>
                <w:sz w:val="21"/>
                <w:szCs w:val="21"/>
                <w:highlight w:val="none"/>
              </w:rPr>
              <w:t>期</w:t>
            </w:r>
          </w:p>
        </w:tc>
        <w:tc>
          <w:tcPr>
            <w:tcW w:w="1699" w:type="dxa"/>
          </w:tcPr>
          <w:p w14:paraId="76B002D1">
            <w:pPr>
              <w:ind w:left="-105" w:right="-105"/>
              <w:jc w:val="center"/>
              <w:rPr>
                <w:rFonts w:ascii="Times New Roman" w:hAnsi="Times New Roman" w:cs="Times New Roman"/>
                <w:color w:val="auto"/>
                <w:sz w:val="21"/>
                <w:szCs w:val="21"/>
                <w:highlight w:val="none"/>
              </w:rPr>
            </w:pPr>
            <w:r>
              <w:rPr>
                <w:rFonts w:ascii="Times New Roman" w:hAnsi="Times New Roman" w:eastAsia="仿宋" w:cs="Times New Roman"/>
                <w:color w:val="auto"/>
                <w:sz w:val="21"/>
                <w:szCs w:val="21"/>
                <w:highlight w:val="none"/>
              </w:rPr>
              <w:t>√</w:t>
            </w:r>
          </w:p>
        </w:tc>
        <w:tc>
          <w:tcPr>
            <w:tcW w:w="1699" w:type="dxa"/>
          </w:tcPr>
          <w:p w14:paraId="2E05AE9D">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vAlign w:val="center"/>
          </w:tcPr>
          <w:p w14:paraId="7FC91E7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vAlign w:val="center"/>
          </w:tcPr>
          <w:p w14:paraId="4D39A59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69B15A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98" w:type="dxa"/>
            <w:vAlign w:val="center"/>
          </w:tcPr>
          <w:p w14:paraId="17CD46DB">
            <w:pPr>
              <w:ind w:left="-105" w:right="-10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服务期满后</w:t>
            </w:r>
          </w:p>
        </w:tc>
        <w:tc>
          <w:tcPr>
            <w:tcW w:w="1699" w:type="dxa"/>
            <w:vAlign w:val="center"/>
          </w:tcPr>
          <w:p w14:paraId="093FB983">
            <w:pPr>
              <w:ind w:left="-105" w:leftChars="0" w:right="-105" w:rightChars="0"/>
              <w:jc w:val="center"/>
              <w:rPr>
                <w:rFonts w:ascii="Times New Roman" w:hAnsi="Times New Roman" w:eastAsia="仿宋"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vAlign w:val="top"/>
          </w:tcPr>
          <w:p w14:paraId="18DE6D31">
            <w:pPr>
              <w:ind w:left="-105" w:leftChars="0" w:right="-105" w:right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vAlign w:val="top"/>
          </w:tcPr>
          <w:p w14:paraId="0BA841FF">
            <w:pPr>
              <w:ind w:left="-105" w:leftChars="0" w:right="-105" w:right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9" w:type="dxa"/>
            <w:vAlign w:val="top"/>
          </w:tcPr>
          <w:p w14:paraId="3313AE5B">
            <w:pPr>
              <w:ind w:left="-105" w:leftChars="0" w:right="-105" w:right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14:paraId="4CB7D9EF">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4"/>
          <w:highlight w:val="none"/>
        </w:rPr>
      </w:pPr>
      <w:r>
        <w:rPr>
          <w:rFonts w:hint="eastAsia" w:eastAsia="宋体"/>
          <w:color w:val="auto"/>
          <w:sz w:val="28"/>
          <w:szCs w:val="24"/>
          <w:highlight w:val="none"/>
        </w:rPr>
        <w:t>6.4.3</w:t>
      </w:r>
      <w:bookmarkEnd w:id="397"/>
      <w:r>
        <w:rPr>
          <w:rFonts w:eastAsia="宋体"/>
          <w:color w:val="auto"/>
          <w:sz w:val="28"/>
          <w:szCs w:val="24"/>
          <w:highlight w:val="none"/>
        </w:rPr>
        <w:t>土壤环境影响评价</w:t>
      </w:r>
    </w:p>
    <w:p w14:paraId="54E6A16D">
      <w:pPr>
        <w:pStyle w:val="2"/>
        <w:rPr>
          <w:rFonts w:hint="default"/>
          <w:color w:val="auto"/>
          <w:highlight w:val="none"/>
          <w:lang w:val="en-US" w:eastAsia="zh-CN"/>
        </w:rPr>
      </w:pPr>
      <w:r>
        <w:rPr>
          <w:rFonts w:hint="default"/>
          <w:color w:val="auto"/>
          <w:highlight w:val="none"/>
          <w:lang w:val="en-US" w:eastAsia="zh-CN"/>
        </w:rPr>
        <w:t>拟建项目土壤环境影响类型为</w:t>
      </w:r>
      <w:r>
        <w:rPr>
          <w:rFonts w:hint="eastAsia"/>
          <w:color w:val="auto"/>
          <w:highlight w:val="none"/>
          <w:lang w:val="en-US" w:eastAsia="zh-CN"/>
        </w:rPr>
        <w:t>“</w:t>
      </w:r>
      <w:r>
        <w:rPr>
          <w:rFonts w:hint="default"/>
          <w:color w:val="auto"/>
          <w:highlight w:val="none"/>
          <w:lang w:val="en-US" w:eastAsia="zh-CN"/>
        </w:rPr>
        <w:t>污染影响型</w:t>
      </w:r>
      <w:r>
        <w:rPr>
          <w:rFonts w:hint="eastAsia"/>
          <w:color w:val="auto"/>
          <w:highlight w:val="none"/>
          <w:lang w:val="en-US" w:eastAsia="zh-CN"/>
        </w:rPr>
        <w:t>”</w:t>
      </w:r>
      <w:r>
        <w:rPr>
          <w:rFonts w:hint="default"/>
          <w:color w:val="auto"/>
          <w:highlight w:val="none"/>
          <w:lang w:val="en-US" w:eastAsia="zh-CN"/>
        </w:rPr>
        <w:t>，根据分析，正常工况下，土壤污染物影响途径主要为运营期项目污染物以大气沉降方式进入土壤环境。根据环境质量现状监测结果，相关因子均满足《土壤环境质量建设用地土壤污染风险管控标准（试行）》（GB36600-2018）中相关标准。</w:t>
      </w:r>
      <w:r>
        <w:rPr>
          <w:rFonts w:hint="eastAsia"/>
          <w:color w:val="auto"/>
          <w:highlight w:val="none"/>
          <w:lang w:val="en-US" w:eastAsia="zh-CN"/>
        </w:rPr>
        <w:t>现有项目已</w:t>
      </w:r>
      <w:r>
        <w:rPr>
          <w:rFonts w:hint="default"/>
          <w:color w:val="auto"/>
          <w:highlight w:val="none"/>
          <w:lang w:val="en-US" w:eastAsia="zh-CN"/>
        </w:rPr>
        <w:t>按照相关要求进行防渗处理，</w:t>
      </w:r>
      <w:r>
        <w:rPr>
          <w:rFonts w:hint="eastAsia"/>
          <w:color w:val="auto"/>
          <w:highlight w:val="none"/>
          <w:lang w:val="en-US" w:eastAsia="zh-CN"/>
        </w:rPr>
        <w:t>本项目依托现有</w:t>
      </w:r>
      <w:r>
        <w:rPr>
          <w:rFonts w:hint="default"/>
          <w:color w:val="auto"/>
          <w:highlight w:val="none"/>
          <w:lang w:val="en-US" w:eastAsia="zh-CN"/>
        </w:rPr>
        <w:t>项目</w:t>
      </w:r>
      <w:r>
        <w:rPr>
          <w:rFonts w:hint="eastAsia"/>
          <w:color w:val="auto"/>
          <w:highlight w:val="none"/>
          <w:lang w:val="en-US" w:eastAsia="zh-CN"/>
        </w:rPr>
        <w:t>的公辅工程及厂房，</w:t>
      </w:r>
      <w:r>
        <w:rPr>
          <w:rFonts w:hint="default"/>
          <w:color w:val="auto"/>
          <w:highlight w:val="none"/>
          <w:lang w:val="en-US" w:eastAsia="zh-CN"/>
        </w:rPr>
        <w:t>对土壤环境影响程度较小，所以项目正常运行对区域土壤环境影响可接受。根据本项目工程分析，其土壤影响预测时段主要在于生产运行期阶段可能对土壤环境造成影响。依据《环境影响评价技术导则-土壤环境（试行）》（HJ964-2018）要求，本项目采用类比法进行定性分析。</w:t>
      </w:r>
    </w:p>
    <w:p w14:paraId="1DEF0F40">
      <w:pPr>
        <w:pStyle w:val="2"/>
        <w:rPr>
          <w:rFonts w:hint="default"/>
          <w:color w:val="auto"/>
          <w:highlight w:val="none"/>
          <w:lang w:val="en-US" w:eastAsia="zh-CN"/>
        </w:rPr>
      </w:pPr>
      <w:r>
        <w:rPr>
          <w:rFonts w:hint="default"/>
          <w:color w:val="auto"/>
          <w:highlight w:val="none"/>
          <w:lang w:val="en-US" w:eastAsia="zh-CN"/>
        </w:rPr>
        <w:t>项目运营期，车间、各化学品仓库、危废库等均采取防渗措施，所在地块地势平坦，正常工况下，不会造成垂直入渗及地面漫流的影响，因此本次</w:t>
      </w:r>
      <w:r>
        <w:rPr>
          <w:rFonts w:hint="eastAsia"/>
          <w:color w:val="auto"/>
          <w:highlight w:val="none"/>
          <w:lang w:val="en-US" w:eastAsia="zh-CN"/>
        </w:rPr>
        <w:t>评价</w:t>
      </w:r>
      <w:r>
        <w:rPr>
          <w:rFonts w:hint="default"/>
          <w:color w:val="auto"/>
          <w:highlight w:val="none"/>
          <w:lang w:val="en-US" w:eastAsia="zh-CN"/>
        </w:rPr>
        <w:t>主要考虑大气沉降对土壤造成的污染。根据污染物的排放情况以及影响程度综合考虑，本次</w:t>
      </w:r>
      <w:r>
        <w:rPr>
          <w:rFonts w:hint="eastAsia"/>
          <w:color w:val="auto"/>
          <w:highlight w:val="none"/>
          <w:lang w:val="en-US" w:eastAsia="zh-CN"/>
        </w:rPr>
        <w:t>评价</w:t>
      </w:r>
      <w:r>
        <w:rPr>
          <w:rFonts w:hint="default"/>
          <w:color w:val="auto"/>
          <w:highlight w:val="none"/>
          <w:lang w:val="en-US" w:eastAsia="zh-CN"/>
        </w:rPr>
        <w:t>情景为废气排放非甲烷总烃通过大气沉降对评价范围内土壤的影响。</w:t>
      </w:r>
    </w:p>
    <w:p w14:paraId="09771EEA">
      <w:pPr>
        <w:pStyle w:val="2"/>
        <w:keepNext w:val="0"/>
        <w:keepLines w:val="0"/>
        <w:pageBreakBefore w:val="0"/>
        <w:widowControl/>
        <w:kinsoku/>
        <w:wordWrap/>
        <w:overflowPunct/>
        <w:topLinePunct w:val="0"/>
        <w:autoSpaceDE/>
        <w:autoSpaceDN/>
        <w:bidi w:val="0"/>
        <w:adjustRightInd w:val="0"/>
        <w:snapToGrid w:val="0"/>
        <w:jc w:val="both"/>
        <w:textAlignment w:val="auto"/>
        <w:rPr>
          <w:rFonts w:hint="default"/>
          <w:color w:val="auto"/>
          <w:highlight w:val="none"/>
          <w:lang w:val="en-US" w:eastAsia="zh-CN"/>
        </w:rPr>
      </w:pPr>
      <w:r>
        <w:rPr>
          <w:rFonts w:hint="default"/>
          <w:color w:val="auto"/>
          <w:highlight w:val="none"/>
          <w:lang w:val="en-US" w:eastAsia="zh-CN"/>
        </w:rPr>
        <w:t>类比《</w:t>
      </w:r>
      <w:r>
        <w:rPr>
          <w:rFonts w:hint="eastAsia"/>
          <w:color w:val="auto"/>
          <w:highlight w:val="none"/>
          <w:lang w:val="en-US" w:eastAsia="zh-CN"/>
        </w:rPr>
        <w:t>合肥维信诺科技有限公司剥离液混配系统工程项目环境影响报告书</w:t>
      </w:r>
      <w:r>
        <w:rPr>
          <w:rFonts w:hint="default"/>
          <w:color w:val="auto"/>
          <w:highlight w:val="none"/>
          <w:lang w:val="en-US" w:eastAsia="zh-CN"/>
        </w:rPr>
        <w:t>》预测结果（</w:t>
      </w:r>
      <w:r>
        <w:rPr>
          <w:rFonts w:hint="eastAsia"/>
          <w:color w:val="auto"/>
          <w:highlight w:val="none"/>
          <w:lang w:val="en-US" w:eastAsia="zh-CN"/>
        </w:rPr>
        <w:t>非甲烷总烃排放量为1.58t/a</w:t>
      </w:r>
      <w:r>
        <w:rPr>
          <w:rFonts w:hint="default"/>
          <w:color w:val="auto"/>
          <w:highlight w:val="none"/>
          <w:lang w:val="en-US" w:eastAsia="zh-CN"/>
        </w:rPr>
        <w:t>，根据大气环境影响预测与评价结果，它们将主要进入厂区周围2.5km范围内的土壤中，并与当地的风向频率相对应，按一定的比例分布在受影响的土壤中</w:t>
      </w:r>
      <w:r>
        <w:rPr>
          <w:rFonts w:hint="eastAsia"/>
          <w:color w:val="auto"/>
          <w:highlight w:val="none"/>
          <w:lang w:val="en-US" w:eastAsia="zh-CN"/>
        </w:rPr>
        <w:t>，根据合肥市风频计算各风向下分布率，计算非甲烷总烃16个风向下风方位的分布量，然后计算厂区周围2.5km范围内每个风向下风方位土壤的污染物年输入量，预测时段为1~20年</w:t>
      </w:r>
      <w:r>
        <w:rPr>
          <w:rFonts w:hint="default"/>
          <w:color w:val="auto"/>
          <w:highlight w:val="none"/>
          <w:lang w:val="en-US" w:eastAsia="zh-CN"/>
        </w:rPr>
        <w:t>），非甲烷总烃排放引起的大气沉降对周围环境影响较小，评价范围内工业用地满足《土壤环境质量 建设用地土壤污染风险管控标准》（GB 36600-2018）（试行）中第二类用地筛选值标准</w:t>
      </w:r>
      <w:r>
        <w:rPr>
          <w:rFonts w:hint="eastAsia"/>
          <w:color w:val="auto"/>
          <w:highlight w:val="none"/>
          <w:lang w:val="en-US" w:eastAsia="zh-CN"/>
        </w:rPr>
        <w:t>（参照石油烃标准4500mg/kg）</w:t>
      </w:r>
      <w:r>
        <w:rPr>
          <w:rFonts w:hint="default"/>
          <w:color w:val="auto"/>
          <w:highlight w:val="none"/>
          <w:lang w:val="en-US" w:eastAsia="zh-CN"/>
        </w:rPr>
        <w:t>，土壤环境保护目标</w:t>
      </w:r>
      <w:r>
        <w:rPr>
          <w:rFonts w:hint="eastAsia"/>
          <w:color w:val="auto"/>
          <w:highlight w:val="none"/>
          <w:lang w:val="en-US" w:eastAsia="zh-CN"/>
        </w:rPr>
        <w:t>处</w:t>
      </w:r>
      <w:r>
        <w:rPr>
          <w:rFonts w:hint="default"/>
          <w:color w:val="auto"/>
          <w:highlight w:val="none"/>
          <w:lang w:val="en-US" w:eastAsia="zh-CN"/>
        </w:rPr>
        <w:t>满足《土壤环境质量 建设用地土壤污染风险管控标准》（GB 36600-2018）（试行）中第一类用地筛选值标准。</w:t>
      </w:r>
    </w:p>
    <w:p w14:paraId="16D59FBB">
      <w:pPr>
        <w:pStyle w:val="2"/>
        <w:keepNext w:val="0"/>
        <w:keepLines w:val="0"/>
        <w:pageBreakBefore w:val="0"/>
        <w:widowControl/>
        <w:kinsoku/>
        <w:wordWrap/>
        <w:overflowPunct/>
        <w:topLinePunct w:val="0"/>
        <w:autoSpaceDE/>
        <w:autoSpaceDN/>
        <w:bidi w:val="0"/>
        <w:adjustRightInd w:val="0"/>
        <w:snapToGrid w:val="0"/>
        <w:jc w:val="both"/>
        <w:textAlignment w:val="auto"/>
        <w:rPr>
          <w:rFonts w:hint="default"/>
          <w:color w:val="auto"/>
          <w:highlight w:val="none"/>
          <w:lang w:val="en-US" w:eastAsia="zh-CN"/>
        </w:rPr>
      </w:pPr>
      <w:r>
        <w:rPr>
          <w:rFonts w:hint="default"/>
          <w:color w:val="auto"/>
          <w:highlight w:val="none"/>
          <w:lang w:val="en-US" w:eastAsia="zh-CN"/>
        </w:rPr>
        <w:t>类比《</w:t>
      </w:r>
      <w:r>
        <w:rPr>
          <w:rFonts w:hint="eastAsia"/>
          <w:color w:val="auto"/>
          <w:highlight w:val="none"/>
          <w:lang w:val="en-US" w:eastAsia="zh-CN"/>
        </w:rPr>
        <w:t>苏州润邦半导体材料科技有限公司年产半导体光刻胶750吨、抗反射膜500吨、剥离液150吨、高纯度溶剂200吨项目环境影响评价报告书</w:t>
      </w:r>
      <w:r>
        <w:rPr>
          <w:rFonts w:hint="default"/>
          <w:color w:val="auto"/>
          <w:highlight w:val="none"/>
          <w:lang w:val="en-US" w:eastAsia="zh-CN"/>
        </w:rPr>
        <w:t>》（主要考虑排气筒污染物沉降对周边土壤环境的影响</w:t>
      </w:r>
      <w:r>
        <w:rPr>
          <w:rFonts w:hint="eastAsia"/>
          <w:color w:val="auto"/>
          <w:highlight w:val="none"/>
          <w:lang w:val="en-US" w:eastAsia="zh-CN"/>
        </w:rPr>
        <w:t>，预测因子参照石油烃及其标准，预测时段为5、10、30年</w:t>
      </w:r>
      <w:r>
        <w:rPr>
          <w:rFonts w:hint="default"/>
          <w:color w:val="auto"/>
          <w:highlight w:val="none"/>
          <w:lang w:val="en-US" w:eastAsia="zh-CN"/>
        </w:rPr>
        <w:t>），经预测项目大气沉降对项目土壤污染贡献值有限，项目运营5年、10年和30年后，最终土壤中石油烃的浓度仍满足《土壤环境质量建设用地土壤污染风险管控标准(试行)(GB36600-2018)表1 中筛选值第二类用地标准。因此项目最终建设对周边土壤环境影响不大。</w:t>
      </w:r>
    </w:p>
    <w:p w14:paraId="712D4914">
      <w:pPr>
        <w:pStyle w:val="2"/>
        <w:keepNext w:val="0"/>
        <w:keepLines w:val="0"/>
        <w:pageBreakBefore w:val="0"/>
        <w:widowControl/>
        <w:kinsoku/>
        <w:wordWrap/>
        <w:overflowPunct/>
        <w:topLinePunct w:val="0"/>
        <w:autoSpaceDE/>
        <w:autoSpaceDN/>
        <w:bidi w:val="0"/>
        <w:adjustRightInd w:val="0"/>
        <w:snapToGrid w:val="0"/>
        <w:jc w:val="both"/>
        <w:textAlignment w:val="auto"/>
        <w:rPr>
          <w:rFonts w:hint="default"/>
          <w:color w:val="auto"/>
          <w:highlight w:val="none"/>
          <w:lang w:val="en-US" w:eastAsia="zh-CN"/>
        </w:rPr>
      </w:pPr>
      <w:r>
        <w:rPr>
          <w:rFonts w:hint="eastAsia"/>
          <w:color w:val="auto"/>
          <w:highlight w:val="none"/>
          <w:lang w:val="en-US" w:eastAsia="zh-CN"/>
        </w:rPr>
        <w:t>综上所述，项目在确保厂区各项预防措施良好维护的前提下，项目生产在短期内不会对土壤造成明显的影响；考虑长期影响，要求企业定期开展跟踪监测工作。</w:t>
      </w:r>
    </w:p>
    <w:p w14:paraId="2DDD5D93">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4"/>
          <w:highlight w:val="none"/>
        </w:rPr>
      </w:pPr>
      <w:bookmarkStart w:id="399" w:name="_Toc60653569"/>
      <w:r>
        <w:rPr>
          <w:rFonts w:hint="eastAsia" w:eastAsia="宋体"/>
          <w:color w:val="auto"/>
          <w:sz w:val="28"/>
          <w:szCs w:val="24"/>
          <w:highlight w:val="none"/>
        </w:rPr>
        <w:t>6.4.4</w:t>
      </w:r>
      <w:r>
        <w:rPr>
          <w:rFonts w:eastAsia="宋体"/>
          <w:color w:val="auto"/>
          <w:sz w:val="28"/>
          <w:szCs w:val="24"/>
          <w:highlight w:val="none"/>
        </w:rPr>
        <w:t>土壤环境影响自查表</w:t>
      </w:r>
      <w:bookmarkEnd w:id="399"/>
    </w:p>
    <w:p w14:paraId="0A193428">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本项目土壤环境影响自查</w:t>
      </w:r>
      <w:r>
        <w:rPr>
          <w:rFonts w:ascii="Times New Roman" w:hAnsi="Times New Roman" w:cs="Times New Roman"/>
          <w:color w:val="auto"/>
          <w:highlight w:val="none"/>
        </w:rPr>
        <w:t>如</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_Ref39069206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6.4</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3</w:t>
      </w:r>
      <w:r>
        <w:rPr>
          <w:rFonts w:ascii="Times New Roman" w:hAnsi="Times New Roman" w:cs="Times New Roman"/>
          <w:color w:val="auto"/>
          <w:highlight w:val="none"/>
        </w:rPr>
        <w:fldChar w:fldCharType="end"/>
      </w:r>
      <w:r>
        <w:rPr>
          <w:rFonts w:ascii="Times New Roman" w:hAnsi="Times New Roman" w:cs="Times New Roman"/>
          <w:color w:val="auto"/>
          <w:highlight w:val="none"/>
        </w:rPr>
        <w:t>所示</w:t>
      </w:r>
      <w:r>
        <w:rPr>
          <w:rFonts w:ascii="Times New Roman" w:hAnsi="Times New Roman"/>
          <w:color w:val="auto"/>
          <w:highlight w:val="none"/>
        </w:rPr>
        <w:t>。</w:t>
      </w:r>
    </w:p>
    <w:p w14:paraId="3FECC77E">
      <w:pPr>
        <w:pStyle w:val="15"/>
        <w:spacing w:line="360" w:lineRule="auto"/>
        <w:ind w:left="-105" w:right="-105" w:firstLine="482"/>
        <w:rPr>
          <w:rFonts w:eastAsia="宋体" w:cs="Times New Roman"/>
          <w:color w:val="auto"/>
          <w:sz w:val="24"/>
          <w:szCs w:val="24"/>
          <w:highlight w:val="none"/>
        </w:rPr>
      </w:pPr>
      <w:bookmarkStart w:id="400" w:name="_Ref39069206"/>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6.4</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bookmarkEnd w:id="400"/>
      <w:r>
        <w:rPr>
          <w:rFonts w:eastAsia="宋体" w:cs="Times New Roman"/>
          <w:color w:val="auto"/>
          <w:sz w:val="24"/>
          <w:szCs w:val="24"/>
          <w:highlight w:val="none"/>
        </w:rPr>
        <w:t>土壤环境影响评价自查表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378"/>
        <w:gridCol w:w="1477"/>
        <w:gridCol w:w="259"/>
        <w:gridCol w:w="1109"/>
        <w:gridCol w:w="916"/>
        <w:gridCol w:w="441"/>
        <w:gridCol w:w="1598"/>
        <w:gridCol w:w="1084"/>
      </w:tblGrid>
      <w:tr w14:paraId="265FB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033" w:type="dxa"/>
            <w:gridSpan w:val="2"/>
            <w:tcBorders>
              <w:tl2br w:val="nil"/>
              <w:tr2bl w:val="nil"/>
            </w:tcBorders>
            <w:vAlign w:val="center"/>
          </w:tcPr>
          <w:p w14:paraId="3766CC9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工作内容</w:t>
            </w:r>
          </w:p>
        </w:tc>
        <w:tc>
          <w:tcPr>
            <w:tcW w:w="6432" w:type="dxa"/>
            <w:gridSpan w:val="6"/>
            <w:tcBorders>
              <w:tl2br w:val="nil"/>
              <w:tr2bl w:val="nil"/>
            </w:tcBorders>
            <w:vAlign w:val="center"/>
          </w:tcPr>
          <w:p w14:paraId="660F54F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完成情况</w:t>
            </w:r>
          </w:p>
        </w:tc>
        <w:tc>
          <w:tcPr>
            <w:tcW w:w="1216" w:type="dxa"/>
            <w:tcBorders>
              <w:tl2br w:val="nil"/>
              <w:tr2bl w:val="nil"/>
            </w:tcBorders>
            <w:vAlign w:val="center"/>
          </w:tcPr>
          <w:p w14:paraId="204E38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备注</w:t>
            </w:r>
          </w:p>
        </w:tc>
      </w:tr>
      <w:tr w14:paraId="532F7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64" w:type="dxa"/>
            <w:vMerge w:val="restart"/>
            <w:tcBorders>
              <w:tl2br w:val="nil"/>
              <w:tr2bl w:val="nil"/>
            </w:tcBorders>
            <w:vAlign w:val="center"/>
          </w:tcPr>
          <w:p w14:paraId="10EC98D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影响识别</w:t>
            </w:r>
          </w:p>
        </w:tc>
        <w:tc>
          <w:tcPr>
            <w:tcW w:w="1569" w:type="dxa"/>
            <w:tcBorders>
              <w:tl2br w:val="nil"/>
              <w:tr2bl w:val="nil"/>
            </w:tcBorders>
            <w:vAlign w:val="center"/>
          </w:tcPr>
          <w:p w14:paraId="098CA26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影响类型</w:t>
            </w:r>
          </w:p>
        </w:tc>
        <w:tc>
          <w:tcPr>
            <w:tcW w:w="6432" w:type="dxa"/>
            <w:gridSpan w:val="6"/>
            <w:tcBorders>
              <w:tl2br w:val="nil"/>
              <w:tr2bl w:val="nil"/>
            </w:tcBorders>
            <w:vAlign w:val="center"/>
          </w:tcPr>
          <w:p w14:paraId="13869469">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污染影响型</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；生态影响型□；两种兼有□</w:t>
            </w:r>
          </w:p>
        </w:tc>
        <w:tc>
          <w:tcPr>
            <w:tcW w:w="1216" w:type="dxa"/>
            <w:tcBorders>
              <w:tl2br w:val="nil"/>
              <w:tr2bl w:val="nil"/>
            </w:tcBorders>
            <w:vAlign w:val="center"/>
          </w:tcPr>
          <w:p w14:paraId="494AD63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4B465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64" w:type="dxa"/>
            <w:vMerge w:val="continue"/>
            <w:tcBorders>
              <w:tl2br w:val="nil"/>
              <w:tr2bl w:val="nil"/>
            </w:tcBorders>
            <w:vAlign w:val="center"/>
          </w:tcPr>
          <w:p w14:paraId="19CF12F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48DFF1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土地利用类型</w:t>
            </w:r>
          </w:p>
        </w:tc>
        <w:tc>
          <w:tcPr>
            <w:tcW w:w="6432" w:type="dxa"/>
            <w:gridSpan w:val="6"/>
            <w:tcBorders>
              <w:tl2br w:val="nil"/>
              <w:tr2bl w:val="nil"/>
            </w:tcBorders>
            <w:vAlign w:val="center"/>
          </w:tcPr>
          <w:p w14:paraId="626B60C0">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建设用地</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；农用地□；未利用地□</w:t>
            </w:r>
          </w:p>
        </w:tc>
        <w:tc>
          <w:tcPr>
            <w:tcW w:w="1216" w:type="dxa"/>
            <w:tcBorders>
              <w:tl2br w:val="nil"/>
              <w:tr2bl w:val="nil"/>
            </w:tcBorders>
            <w:vAlign w:val="center"/>
          </w:tcPr>
          <w:p w14:paraId="297EC24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土壤利用类型图</w:t>
            </w:r>
          </w:p>
        </w:tc>
      </w:tr>
      <w:tr w14:paraId="56CC6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3E4173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689B5B1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占地规模</w:t>
            </w:r>
          </w:p>
        </w:tc>
        <w:tc>
          <w:tcPr>
            <w:tcW w:w="6432" w:type="dxa"/>
            <w:gridSpan w:val="6"/>
            <w:tcBorders>
              <w:tl2br w:val="nil"/>
              <w:tr2bl w:val="nil"/>
            </w:tcBorders>
            <w:vAlign w:val="center"/>
          </w:tcPr>
          <w:p w14:paraId="4EC80CDA">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（2.952）hm</w:t>
            </w:r>
            <w:r>
              <w:rPr>
                <w:rFonts w:ascii="Times New Roman" w:hAnsi="Times New Roman"/>
                <w:color w:val="auto"/>
                <w:sz w:val="21"/>
                <w:szCs w:val="21"/>
                <w:highlight w:val="none"/>
                <w:vertAlign w:val="superscript"/>
              </w:rPr>
              <w:t>2</w:t>
            </w:r>
          </w:p>
        </w:tc>
        <w:tc>
          <w:tcPr>
            <w:tcW w:w="1216" w:type="dxa"/>
            <w:tcBorders>
              <w:tl2br w:val="nil"/>
              <w:tr2bl w:val="nil"/>
            </w:tcBorders>
            <w:vAlign w:val="center"/>
          </w:tcPr>
          <w:p w14:paraId="6FC2FCE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737C5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64" w:type="dxa"/>
            <w:vMerge w:val="continue"/>
            <w:tcBorders>
              <w:tl2br w:val="nil"/>
              <w:tr2bl w:val="nil"/>
            </w:tcBorders>
            <w:vAlign w:val="center"/>
          </w:tcPr>
          <w:p w14:paraId="1ADC5E9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35CDEEE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敏感目标信息</w:t>
            </w:r>
          </w:p>
        </w:tc>
        <w:tc>
          <w:tcPr>
            <w:tcW w:w="6432" w:type="dxa"/>
            <w:gridSpan w:val="6"/>
            <w:tcBorders>
              <w:tl2br w:val="nil"/>
              <w:tr2bl w:val="nil"/>
            </w:tcBorders>
            <w:vAlign w:val="center"/>
          </w:tcPr>
          <w:p w14:paraId="79EBA9F8">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敏感目标（</w:t>
            </w:r>
            <w:r>
              <w:rPr>
                <w:rFonts w:hint="eastAsia" w:ascii="Times New Roman" w:hAnsi="Times New Roman"/>
                <w:color w:val="auto"/>
                <w:sz w:val="21"/>
                <w:szCs w:val="21"/>
                <w:highlight w:val="none"/>
              </w:rPr>
              <w:t>周巷头、浦巷上、朱巷村</w:t>
            </w:r>
            <w:r>
              <w:rPr>
                <w:rFonts w:ascii="Times New Roman" w:hAnsi="Times New Roman"/>
                <w:color w:val="auto"/>
                <w:sz w:val="21"/>
                <w:szCs w:val="21"/>
                <w:highlight w:val="none"/>
              </w:rPr>
              <w:t>）、方位（</w:t>
            </w:r>
            <w:r>
              <w:rPr>
                <w:rFonts w:hint="eastAsia" w:ascii="Times New Roman" w:hAnsi="Times New Roman"/>
                <w:color w:val="auto"/>
                <w:sz w:val="21"/>
                <w:szCs w:val="21"/>
                <w:highlight w:val="none"/>
              </w:rPr>
              <w:t>NE、W、SW</w:t>
            </w:r>
            <w:r>
              <w:rPr>
                <w:rFonts w:ascii="Times New Roman" w:hAnsi="Times New Roman"/>
                <w:color w:val="auto"/>
                <w:sz w:val="21"/>
                <w:szCs w:val="21"/>
                <w:highlight w:val="none"/>
              </w:rPr>
              <w:t>）、距离（</w:t>
            </w:r>
            <w:r>
              <w:rPr>
                <w:rFonts w:hint="eastAsia" w:ascii="Times New Roman" w:hAnsi="Times New Roman"/>
                <w:color w:val="auto"/>
                <w:sz w:val="21"/>
                <w:szCs w:val="21"/>
                <w:highlight w:val="none"/>
                <w:lang w:val="en-US" w:eastAsia="zh-CN"/>
              </w:rPr>
              <w:t>30</w:t>
            </w:r>
            <w:r>
              <w:rPr>
                <w:rFonts w:hint="eastAsia" w:ascii="Times New Roman" w:hAnsi="Times New Roman"/>
                <w:color w:val="auto"/>
                <w:sz w:val="21"/>
                <w:szCs w:val="21"/>
                <w:highlight w:val="none"/>
              </w:rPr>
              <w:t>m、100m、140m</w:t>
            </w:r>
            <w:r>
              <w:rPr>
                <w:rFonts w:ascii="Times New Roman" w:hAnsi="Times New Roman"/>
                <w:color w:val="auto"/>
                <w:sz w:val="21"/>
                <w:szCs w:val="21"/>
                <w:highlight w:val="none"/>
              </w:rPr>
              <w:t>）</w:t>
            </w:r>
          </w:p>
        </w:tc>
        <w:tc>
          <w:tcPr>
            <w:tcW w:w="1216" w:type="dxa"/>
            <w:tcBorders>
              <w:tl2br w:val="nil"/>
              <w:tr2bl w:val="nil"/>
            </w:tcBorders>
            <w:vAlign w:val="center"/>
          </w:tcPr>
          <w:p w14:paraId="5BCC201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04641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09092EF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2EEB245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影响途径</w:t>
            </w:r>
          </w:p>
        </w:tc>
        <w:tc>
          <w:tcPr>
            <w:tcW w:w="6432" w:type="dxa"/>
            <w:gridSpan w:val="6"/>
            <w:tcBorders>
              <w:tl2br w:val="nil"/>
              <w:tr2bl w:val="nil"/>
            </w:tcBorders>
            <w:vAlign w:val="center"/>
          </w:tcPr>
          <w:p w14:paraId="29CB53E8">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大气沉降</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；地面漫流</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；垂直入渗</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；地下水位</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；其他（）</w:t>
            </w:r>
          </w:p>
        </w:tc>
        <w:tc>
          <w:tcPr>
            <w:tcW w:w="1216" w:type="dxa"/>
            <w:tcBorders>
              <w:tl2br w:val="nil"/>
              <w:tr2bl w:val="nil"/>
            </w:tcBorders>
            <w:vAlign w:val="center"/>
          </w:tcPr>
          <w:p w14:paraId="3018047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4D03E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21B9D6A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2C3190E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全部污染物</w:t>
            </w:r>
          </w:p>
        </w:tc>
        <w:tc>
          <w:tcPr>
            <w:tcW w:w="6432" w:type="dxa"/>
            <w:gridSpan w:val="6"/>
            <w:tcBorders>
              <w:tl2br w:val="nil"/>
              <w:tr2bl w:val="nil"/>
            </w:tcBorders>
            <w:vAlign w:val="center"/>
          </w:tcPr>
          <w:p w14:paraId="7BD43732">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216" w:type="dxa"/>
            <w:tcBorders>
              <w:tl2br w:val="nil"/>
              <w:tr2bl w:val="nil"/>
            </w:tcBorders>
            <w:vAlign w:val="center"/>
          </w:tcPr>
          <w:p w14:paraId="07E3D12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65916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19D50B6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46A1465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特征因子</w:t>
            </w:r>
          </w:p>
        </w:tc>
        <w:tc>
          <w:tcPr>
            <w:tcW w:w="6432" w:type="dxa"/>
            <w:gridSpan w:val="6"/>
            <w:tcBorders>
              <w:tl2br w:val="nil"/>
              <w:tr2bl w:val="nil"/>
            </w:tcBorders>
            <w:vAlign w:val="center"/>
          </w:tcPr>
          <w:p w14:paraId="43240291">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216" w:type="dxa"/>
            <w:tcBorders>
              <w:tl2br w:val="nil"/>
              <w:tr2bl w:val="nil"/>
            </w:tcBorders>
            <w:vAlign w:val="center"/>
          </w:tcPr>
          <w:p w14:paraId="1389D48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68233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64" w:type="dxa"/>
            <w:vMerge w:val="continue"/>
            <w:tcBorders>
              <w:tl2br w:val="nil"/>
              <w:tr2bl w:val="nil"/>
            </w:tcBorders>
            <w:vAlign w:val="center"/>
          </w:tcPr>
          <w:p w14:paraId="4B25549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00EB4CD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所属土壤环境影响评价项目类别</w:t>
            </w:r>
          </w:p>
        </w:tc>
        <w:tc>
          <w:tcPr>
            <w:tcW w:w="6432" w:type="dxa"/>
            <w:gridSpan w:val="6"/>
            <w:tcBorders>
              <w:tl2br w:val="nil"/>
              <w:tr2bl w:val="nil"/>
            </w:tcBorders>
            <w:vAlign w:val="center"/>
          </w:tcPr>
          <w:p w14:paraId="2E8800FE">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Ⅰ类</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；Ⅱ类</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；Ⅲ类□；Ⅳ类□</w:t>
            </w:r>
          </w:p>
        </w:tc>
        <w:tc>
          <w:tcPr>
            <w:tcW w:w="1216" w:type="dxa"/>
            <w:tcBorders>
              <w:tl2br w:val="nil"/>
              <w:tr2bl w:val="nil"/>
            </w:tcBorders>
            <w:vAlign w:val="center"/>
          </w:tcPr>
          <w:p w14:paraId="693F49E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37F51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4CE5F04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405CB1E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敏感程度</w:t>
            </w:r>
          </w:p>
        </w:tc>
        <w:tc>
          <w:tcPr>
            <w:tcW w:w="6432" w:type="dxa"/>
            <w:gridSpan w:val="6"/>
            <w:tcBorders>
              <w:tl2br w:val="nil"/>
              <w:tr2bl w:val="nil"/>
            </w:tcBorders>
            <w:vAlign w:val="center"/>
          </w:tcPr>
          <w:p w14:paraId="34A0AE45">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敏感□；较敏感□；不敏感</w:t>
            </w:r>
            <w:r>
              <w:rPr>
                <w:rFonts w:hint="eastAsia" w:ascii="Times New Roman" w:hAnsi="Times New Roman"/>
                <w:color w:val="auto"/>
                <w:sz w:val="21"/>
                <w:szCs w:val="21"/>
                <w:highlight w:val="none"/>
              </w:rPr>
              <w:t>☑</w:t>
            </w:r>
          </w:p>
        </w:tc>
        <w:tc>
          <w:tcPr>
            <w:tcW w:w="1216" w:type="dxa"/>
            <w:tcBorders>
              <w:tl2br w:val="nil"/>
              <w:tr2bl w:val="nil"/>
            </w:tcBorders>
            <w:vAlign w:val="center"/>
          </w:tcPr>
          <w:p w14:paraId="0D24836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1B292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033" w:type="dxa"/>
            <w:gridSpan w:val="2"/>
            <w:tcBorders>
              <w:tl2br w:val="nil"/>
              <w:tr2bl w:val="nil"/>
            </w:tcBorders>
            <w:vAlign w:val="center"/>
          </w:tcPr>
          <w:p w14:paraId="570371C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评价工作等级</w:t>
            </w:r>
          </w:p>
        </w:tc>
        <w:tc>
          <w:tcPr>
            <w:tcW w:w="6432" w:type="dxa"/>
            <w:gridSpan w:val="6"/>
            <w:tcBorders>
              <w:tl2br w:val="nil"/>
              <w:tr2bl w:val="nil"/>
            </w:tcBorders>
            <w:vAlign w:val="center"/>
          </w:tcPr>
          <w:p w14:paraId="2F428AE5">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一级□；二级</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；三级□</w:t>
            </w:r>
          </w:p>
        </w:tc>
        <w:tc>
          <w:tcPr>
            <w:tcW w:w="1216" w:type="dxa"/>
            <w:tcBorders>
              <w:tl2br w:val="nil"/>
              <w:tr2bl w:val="nil"/>
            </w:tcBorders>
            <w:vAlign w:val="center"/>
          </w:tcPr>
          <w:p w14:paraId="6BCB5B8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08EAD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64" w:type="dxa"/>
            <w:vMerge w:val="restart"/>
            <w:tcBorders>
              <w:tl2br w:val="nil"/>
              <w:tr2bl w:val="nil"/>
            </w:tcBorders>
            <w:vAlign w:val="center"/>
          </w:tcPr>
          <w:p w14:paraId="20F780F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现状调查内容</w:t>
            </w:r>
          </w:p>
        </w:tc>
        <w:tc>
          <w:tcPr>
            <w:tcW w:w="1569" w:type="dxa"/>
            <w:tcBorders>
              <w:tl2br w:val="nil"/>
              <w:tr2bl w:val="nil"/>
            </w:tcBorders>
            <w:vAlign w:val="center"/>
          </w:tcPr>
          <w:p w14:paraId="7347DE6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资料收集</w:t>
            </w:r>
          </w:p>
        </w:tc>
        <w:tc>
          <w:tcPr>
            <w:tcW w:w="6432" w:type="dxa"/>
            <w:gridSpan w:val="6"/>
            <w:tcBorders>
              <w:tl2br w:val="nil"/>
              <w:tr2bl w:val="nil"/>
            </w:tcBorders>
            <w:vAlign w:val="center"/>
          </w:tcPr>
          <w:p w14:paraId="39D520DC">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a）</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；b）</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；c）</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；d）</w:t>
            </w:r>
            <w:r>
              <w:rPr>
                <w:rFonts w:hint="eastAsia" w:ascii="Times New Roman" w:hAnsi="Times New Roman"/>
                <w:color w:val="auto"/>
                <w:sz w:val="21"/>
                <w:szCs w:val="21"/>
                <w:highlight w:val="none"/>
                <w:lang w:eastAsia="zh-CN"/>
              </w:rPr>
              <w:t>☑</w:t>
            </w:r>
          </w:p>
        </w:tc>
        <w:tc>
          <w:tcPr>
            <w:tcW w:w="1216" w:type="dxa"/>
            <w:tcBorders>
              <w:tl2br w:val="nil"/>
              <w:tr2bl w:val="nil"/>
            </w:tcBorders>
            <w:vAlign w:val="center"/>
          </w:tcPr>
          <w:p w14:paraId="7E59CB8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3FF9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4" w:type="dxa"/>
            <w:vMerge w:val="continue"/>
            <w:tcBorders>
              <w:tl2br w:val="nil"/>
              <w:tr2bl w:val="nil"/>
            </w:tcBorders>
            <w:vAlign w:val="center"/>
          </w:tcPr>
          <w:p w14:paraId="131695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7D4D3E4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理化特性</w:t>
            </w:r>
          </w:p>
          <w:p w14:paraId="5871369C">
            <w:pPr>
              <w:rPr>
                <w:color w:val="auto"/>
                <w:highlight w:val="none"/>
              </w:rPr>
            </w:pPr>
          </w:p>
        </w:tc>
        <w:tc>
          <w:tcPr>
            <w:tcW w:w="6432" w:type="dxa"/>
            <w:gridSpan w:val="6"/>
            <w:tcBorders>
              <w:tl2br w:val="nil"/>
              <w:tr2bl w:val="nil"/>
            </w:tcBorders>
            <w:vAlign w:val="center"/>
          </w:tcPr>
          <w:p w14:paraId="01B0E6C2">
            <w:pPr>
              <w:keepNext w:val="0"/>
              <w:keepLines w:val="0"/>
              <w:pageBreakBefore w:val="0"/>
              <w:widowControl/>
              <w:kinsoku/>
              <w:wordWrap/>
              <w:overflowPunct/>
              <w:topLinePunct w:val="0"/>
              <w:autoSpaceDE/>
              <w:autoSpaceDN/>
              <w:bidi w:val="0"/>
              <w:adjustRightInd/>
              <w:snapToGrid/>
              <w:ind w:left="0" w:right="0"/>
              <w:jc w:val="both"/>
              <w:textAlignment w:val="auto"/>
              <w:rPr>
                <w:rFonts w:hint="default" w:ascii="Times New Roman" w:hAnsi="Times New Roman"/>
                <w:color w:val="auto"/>
                <w:sz w:val="21"/>
                <w:szCs w:val="21"/>
                <w:highlight w:val="none"/>
                <w:vertAlign w:val="baseline"/>
                <w:lang w:val="en-US"/>
              </w:rPr>
            </w:pPr>
            <w:r>
              <w:rPr>
                <w:rFonts w:hint="eastAsia" w:ascii="Times New Roman" w:hAnsi="Times New Roman"/>
                <w:color w:val="auto"/>
                <w:sz w:val="21"/>
                <w:szCs w:val="21"/>
                <w:highlight w:val="none"/>
                <w:lang w:val="en-US" w:eastAsia="zh-CN"/>
              </w:rPr>
              <w:t>厂区内，表土层为棕色、块状型、壤土，砂砾含量10%，水分含量37.8%，氧化还原电位271，土壤容重1.27g/cm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vertAlign w:val="baseline"/>
                <w:lang w:val="en-US" w:eastAsia="zh-CN"/>
              </w:rPr>
              <w:t>，土壤渗透性0.42mm/min；厂区外，</w:t>
            </w:r>
            <w:r>
              <w:rPr>
                <w:rFonts w:hint="eastAsia" w:ascii="Times New Roman" w:hAnsi="Times New Roman"/>
                <w:color w:val="auto"/>
                <w:sz w:val="21"/>
                <w:szCs w:val="21"/>
                <w:highlight w:val="none"/>
                <w:lang w:val="en-US" w:eastAsia="zh-CN"/>
              </w:rPr>
              <w:t>表土层为棕色、块状型、壤土，砂砾含量18%，水分含量53.6%，氧化还原电位288，土壤容重1.19g/cm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vertAlign w:val="baseline"/>
                <w:lang w:val="en-US" w:eastAsia="zh-CN"/>
              </w:rPr>
              <w:t>，土壤渗透性0.477mm/min。</w:t>
            </w:r>
          </w:p>
        </w:tc>
        <w:tc>
          <w:tcPr>
            <w:tcW w:w="1216" w:type="dxa"/>
            <w:tcBorders>
              <w:tl2br w:val="nil"/>
              <w:tr2bl w:val="nil"/>
            </w:tcBorders>
            <w:vAlign w:val="center"/>
          </w:tcPr>
          <w:p w14:paraId="31002B5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同附录C</w:t>
            </w:r>
          </w:p>
        </w:tc>
      </w:tr>
      <w:tr w14:paraId="4911D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61FA7B1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vMerge w:val="restart"/>
            <w:tcBorders>
              <w:tl2br w:val="nil"/>
              <w:tr2bl w:val="nil"/>
            </w:tcBorders>
            <w:vAlign w:val="center"/>
          </w:tcPr>
          <w:p w14:paraId="2B95D9D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现状监测点位</w:t>
            </w:r>
          </w:p>
        </w:tc>
        <w:tc>
          <w:tcPr>
            <w:tcW w:w="1685" w:type="dxa"/>
            <w:tcBorders>
              <w:tl2br w:val="nil"/>
              <w:tr2bl w:val="nil"/>
            </w:tcBorders>
            <w:vAlign w:val="center"/>
          </w:tcPr>
          <w:p w14:paraId="478169A9">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p>
        </w:tc>
        <w:tc>
          <w:tcPr>
            <w:tcW w:w="1529" w:type="dxa"/>
            <w:gridSpan w:val="2"/>
            <w:tcBorders>
              <w:tl2br w:val="nil"/>
              <w:tr2bl w:val="nil"/>
            </w:tcBorders>
            <w:vAlign w:val="center"/>
          </w:tcPr>
          <w:p w14:paraId="265D92E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占地范围内</w:t>
            </w:r>
          </w:p>
        </w:tc>
        <w:tc>
          <w:tcPr>
            <w:tcW w:w="1529" w:type="dxa"/>
            <w:gridSpan w:val="2"/>
            <w:tcBorders>
              <w:tl2br w:val="nil"/>
              <w:tr2bl w:val="nil"/>
            </w:tcBorders>
            <w:vAlign w:val="center"/>
          </w:tcPr>
          <w:p w14:paraId="5A94475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占地范围外</w:t>
            </w:r>
          </w:p>
        </w:tc>
        <w:tc>
          <w:tcPr>
            <w:tcW w:w="1689" w:type="dxa"/>
            <w:tcBorders>
              <w:tl2br w:val="nil"/>
              <w:tr2bl w:val="nil"/>
            </w:tcBorders>
            <w:vAlign w:val="center"/>
          </w:tcPr>
          <w:p w14:paraId="2621C4C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深度</w:t>
            </w:r>
          </w:p>
        </w:tc>
        <w:tc>
          <w:tcPr>
            <w:tcW w:w="1216" w:type="dxa"/>
            <w:vMerge w:val="restart"/>
            <w:tcBorders>
              <w:tl2br w:val="nil"/>
              <w:tr2bl w:val="nil"/>
            </w:tcBorders>
            <w:vAlign w:val="center"/>
          </w:tcPr>
          <w:p w14:paraId="0331ED5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点位布置图</w:t>
            </w:r>
          </w:p>
        </w:tc>
      </w:tr>
      <w:tr w14:paraId="709AC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26830F2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vMerge w:val="continue"/>
            <w:tcBorders>
              <w:tl2br w:val="nil"/>
              <w:tr2bl w:val="nil"/>
            </w:tcBorders>
            <w:vAlign w:val="center"/>
          </w:tcPr>
          <w:p w14:paraId="7CAC13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685" w:type="dxa"/>
            <w:tcBorders>
              <w:tl2br w:val="nil"/>
              <w:tr2bl w:val="nil"/>
            </w:tcBorders>
            <w:vAlign w:val="center"/>
          </w:tcPr>
          <w:p w14:paraId="0D52FBDD">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表层样点数</w:t>
            </w:r>
          </w:p>
        </w:tc>
        <w:tc>
          <w:tcPr>
            <w:tcW w:w="1529" w:type="dxa"/>
            <w:gridSpan w:val="2"/>
            <w:tcBorders>
              <w:tl2br w:val="nil"/>
              <w:tr2bl w:val="nil"/>
            </w:tcBorders>
            <w:vAlign w:val="center"/>
          </w:tcPr>
          <w:p w14:paraId="0A9DFD5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529" w:type="dxa"/>
            <w:gridSpan w:val="2"/>
            <w:tcBorders>
              <w:tl2br w:val="nil"/>
              <w:tr2bl w:val="nil"/>
            </w:tcBorders>
            <w:vAlign w:val="center"/>
          </w:tcPr>
          <w:p w14:paraId="17D21C6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1689" w:type="dxa"/>
            <w:tcBorders>
              <w:tl2br w:val="nil"/>
              <w:tr2bl w:val="nil"/>
            </w:tcBorders>
            <w:vAlign w:val="center"/>
          </w:tcPr>
          <w:p w14:paraId="614862C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0.2</w:t>
            </w:r>
          </w:p>
        </w:tc>
        <w:tc>
          <w:tcPr>
            <w:tcW w:w="1216" w:type="dxa"/>
            <w:vMerge w:val="continue"/>
            <w:tcBorders>
              <w:tl2br w:val="nil"/>
              <w:tr2bl w:val="nil"/>
            </w:tcBorders>
            <w:vAlign w:val="center"/>
          </w:tcPr>
          <w:p w14:paraId="6AC651E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03E02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57BD883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vMerge w:val="continue"/>
            <w:tcBorders>
              <w:tl2br w:val="nil"/>
              <w:tr2bl w:val="nil"/>
            </w:tcBorders>
            <w:vAlign w:val="center"/>
          </w:tcPr>
          <w:p w14:paraId="280B75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685" w:type="dxa"/>
            <w:tcBorders>
              <w:tl2br w:val="nil"/>
              <w:tr2bl w:val="nil"/>
            </w:tcBorders>
            <w:vAlign w:val="center"/>
          </w:tcPr>
          <w:p w14:paraId="5F7905CB">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柱状样点数</w:t>
            </w:r>
          </w:p>
        </w:tc>
        <w:tc>
          <w:tcPr>
            <w:tcW w:w="1529" w:type="dxa"/>
            <w:gridSpan w:val="2"/>
            <w:tcBorders>
              <w:tl2br w:val="nil"/>
              <w:tr2bl w:val="nil"/>
            </w:tcBorders>
            <w:vAlign w:val="center"/>
          </w:tcPr>
          <w:p w14:paraId="3FC4025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3</w:t>
            </w:r>
          </w:p>
        </w:tc>
        <w:tc>
          <w:tcPr>
            <w:tcW w:w="1529" w:type="dxa"/>
            <w:gridSpan w:val="2"/>
            <w:tcBorders>
              <w:tl2br w:val="nil"/>
              <w:tr2bl w:val="nil"/>
            </w:tcBorders>
            <w:vAlign w:val="center"/>
          </w:tcPr>
          <w:p w14:paraId="0858EA8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689" w:type="dxa"/>
            <w:tcBorders>
              <w:tl2br w:val="nil"/>
              <w:tr2bl w:val="nil"/>
            </w:tcBorders>
            <w:vAlign w:val="center"/>
          </w:tcPr>
          <w:p w14:paraId="5543579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0.5/1.</w:t>
            </w:r>
            <w:r>
              <w:rPr>
                <w:rFonts w:hint="eastAsia" w:ascii="Times New Roman" w:hAnsi="Times New Roman"/>
                <w:color w:val="auto"/>
                <w:sz w:val="21"/>
                <w:szCs w:val="21"/>
                <w:highlight w:val="none"/>
              </w:rPr>
              <w:t>0</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2</w:t>
            </w:r>
            <w:r>
              <w:rPr>
                <w:rFonts w:ascii="Times New Roman" w:hAnsi="Times New Roman"/>
                <w:color w:val="auto"/>
                <w:sz w:val="21"/>
                <w:szCs w:val="21"/>
                <w:highlight w:val="none"/>
              </w:rPr>
              <w:t>.0</w:t>
            </w:r>
          </w:p>
        </w:tc>
        <w:tc>
          <w:tcPr>
            <w:tcW w:w="1216" w:type="dxa"/>
            <w:vMerge w:val="continue"/>
            <w:tcBorders>
              <w:tl2br w:val="nil"/>
              <w:tr2bl w:val="nil"/>
            </w:tcBorders>
            <w:vAlign w:val="center"/>
          </w:tcPr>
          <w:p w14:paraId="6A71BC7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17608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64" w:type="dxa"/>
            <w:vMerge w:val="continue"/>
            <w:tcBorders>
              <w:tl2br w:val="nil"/>
              <w:tr2bl w:val="nil"/>
            </w:tcBorders>
            <w:vAlign w:val="center"/>
          </w:tcPr>
          <w:p w14:paraId="51FA237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2648395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现状监测因子</w:t>
            </w:r>
          </w:p>
        </w:tc>
        <w:tc>
          <w:tcPr>
            <w:tcW w:w="6432" w:type="dxa"/>
            <w:gridSpan w:val="6"/>
            <w:tcBorders>
              <w:tl2br w:val="nil"/>
              <w:tr2bl w:val="nil"/>
            </w:tcBorders>
            <w:vAlign w:val="center"/>
          </w:tcPr>
          <w:p w14:paraId="36409951">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pH、汞、砷、镉、铬（六价）、铅、铜、镍、挥发性有机物、半挥发性有机物</w:t>
            </w:r>
          </w:p>
        </w:tc>
        <w:tc>
          <w:tcPr>
            <w:tcW w:w="1216" w:type="dxa"/>
            <w:tcBorders>
              <w:tl2br w:val="nil"/>
              <w:tr2bl w:val="nil"/>
            </w:tcBorders>
            <w:vAlign w:val="center"/>
          </w:tcPr>
          <w:p w14:paraId="68E4ED3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742C5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64" w:type="dxa"/>
            <w:vMerge w:val="restart"/>
            <w:tcBorders>
              <w:tl2br w:val="nil"/>
              <w:tr2bl w:val="nil"/>
            </w:tcBorders>
            <w:vAlign w:val="center"/>
          </w:tcPr>
          <w:p w14:paraId="27EBE07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现状评价</w:t>
            </w:r>
          </w:p>
        </w:tc>
        <w:tc>
          <w:tcPr>
            <w:tcW w:w="1569" w:type="dxa"/>
            <w:tcBorders>
              <w:tl2br w:val="nil"/>
              <w:tr2bl w:val="nil"/>
            </w:tcBorders>
            <w:vAlign w:val="center"/>
          </w:tcPr>
          <w:p w14:paraId="284AE63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评价因子</w:t>
            </w:r>
          </w:p>
        </w:tc>
        <w:tc>
          <w:tcPr>
            <w:tcW w:w="6432" w:type="dxa"/>
            <w:gridSpan w:val="6"/>
            <w:tcBorders>
              <w:tl2br w:val="nil"/>
              <w:tr2bl w:val="nil"/>
            </w:tcBorders>
            <w:vAlign w:val="center"/>
          </w:tcPr>
          <w:p w14:paraId="21938D7A">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pH、汞、砷、镉、铬（六价）、铅、铜、镍、挥发性有机物、半挥发性有机物</w:t>
            </w:r>
          </w:p>
        </w:tc>
        <w:tc>
          <w:tcPr>
            <w:tcW w:w="1216" w:type="dxa"/>
            <w:tcBorders>
              <w:tl2br w:val="nil"/>
              <w:tr2bl w:val="nil"/>
            </w:tcBorders>
            <w:vAlign w:val="center"/>
          </w:tcPr>
          <w:p w14:paraId="3148E81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51FED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64" w:type="dxa"/>
            <w:vMerge w:val="continue"/>
            <w:tcBorders>
              <w:tl2br w:val="nil"/>
              <w:tr2bl w:val="nil"/>
            </w:tcBorders>
            <w:vAlign w:val="center"/>
          </w:tcPr>
          <w:p w14:paraId="3EE716A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1ED2BCA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评价标准</w:t>
            </w:r>
          </w:p>
        </w:tc>
        <w:tc>
          <w:tcPr>
            <w:tcW w:w="6432" w:type="dxa"/>
            <w:gridSpan w:val="6"/>
            <w:tcBorders>
              <w:tl2br w:val="nil"/>
              <w:tr2bl w:val="nil"/>
            </w:tcBorders>
            <w:vAlign w:val="center"/>
          </w:tcPr>
          <w:p w14:paraId="1DCCB6EB">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GB15618□；GB36600</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；表D.1□；表D.2</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；其他（）</w:t>
            </w:r>
          </w:p>
        </w:tc>
        <w:tc>
          <w:tcPr>
            <w:tcW w:w="1216" w:type="dxa"/>
            <w:tcBorders>
              <w:tl2br w:val="nil"/>
              <w:tr2bl w:val="nil"/>
            </w:tcBorders>
            <w:vAlign w:val="center"/>
          </w:tcPr>
          <w:p w14:paraId="31B843F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5832A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64" w:type="dxa"/>
            <w:vMerge w:val="continue"/>
            <w:tcBorders>
              <w:tl2br w:val="nil"/>
              <w:tr2bl w:val="nil"/>
            </w:tcBorders>
            <w:vAlign w:val="center"/>
          </w:tcPr>
          <w:p w14:paraId="09467F7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1F0F118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现状评价结论</w:t>
            </w:r>
          </w:p>
        </w:tc>
        <w:tc>
          <w:tcPr>
            <w:tcW w:w="6432" w:type="dxa"/>
            <w:gridSpan w:val="6"/>
            <w:tcBorders>
              <w:tl2br w:val="nil"/>
              <w:tr2bl w:val="nil"/>
            </w:tcBorders>
            <w:vAlign w:val="center"/>
          </w:tcPr>
          <w:p w14:paraId="6A9026A6">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hint="eastAsia"/>
                <w:color w:val="auto"/>
                <w:sz w:val="21"/>
                <w:szCs w:val="21"/>
                <w:highlight w:val="none"/>
              </w:rPr>
              <w:t>监测结果显示，</w:t>
            </w:r>
            <w:r>
              <w:rPr>
                <w:rFonts w:hint="eastAsia"/>
                <w:color w:val="auto"/>
                <w:sz w:val="21"/>
                <w:szCs w:val="21"/>
                <w:highlight w:val="none"/>
                <w:lang w:val="en-US" w:eastAsia="zh-CN"/>
              </w:rPr>
              <w:t>厂内</w:t>
            </w:r>
            <w:r>
              <w:rPr>
                <w:rFonts w:hint="eastAsia"/>
                <w:color w:val="auto"/>
                <w:sz w:val="21"/>
                <w:szCs w:val="21"/>
                <w:highlight w:val="none"/>
              </w:rPr>
              <w:t>各监测点位土壤中各因子均能够达到《土壤环境质量建设用地土壤污染风险管控标准（试行</w:t>
            </w:r>
            <w:r>
              <w:rPr>
                <w:rFonts w:hint="default" w:ascii="Times New Roman" w:hAnsi="Times New Roman" w:cs="Times New Roman"/>
                <w:color w:val="auto"/>
                <w:sz w:val="21"/>
                <w:szCs w:val="21"/>
                <w:highlight w:val="none"/>
              </w:rPr>
              <w:t>）》（GB36600-2018）中表1筛选值中“第二类用地”标准，敏感点处满足《土壤环境质量建设用地土壤污染风险管控标准（试行）》（GB36600-2018）中第一类用地要求筛选值要求，pH达到《环境影响评价技术导则 土壤环境（试行）》（HJ964-2018）表D.2中标准，土壤无酸化或碱化情况。</w:t>
            </w:r>
          </w:p>
        </w:tc>
        <w:tc>
          <w:tcPr>
            <w:tcW w:w="1216" w:type="dxa"/>
            <w:tcBorders>
              <w:tl2br w:val="nil"/>
              <w:tr2bl w:val="nil"/>
            </w:tcBorders>
            <w:vAlign w:val="center"/>
          </w:tcPr>
          <w:p w14:paraId="76AD90F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677F7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4" w:type="dxa"/>
            <w:vMerge w:val="restart"/>
            <w:tcBorders>
              <w:tl2br w:val="nil"/>
              <w:tr2bl w:val="nil"/>
            </w:tcBorders>
            <w:vAlign w:val="center"/>
          </w:tcPr>
          <w:p w14:paraId="051EA26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影响预测</w:t>
            </w:r>
          </w:p>
        </w:tc>
        <w:tc>
          <w:tcPr>
            <w:tcW w:w="1569" w:type="dxa"/>
            <w:tcBorders>
              <w:tl2br w:val="nil"/>
              <w:tr2bl w:val="nil"/>
            </w:tcBorders>
            <w:vAlign w:val="center"/>
          </w:tcPr>
          <w:p w14:paraId="32C02A8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预测因子</w:t>
            </w:r>
          </w:p>
        </w:tc>
        <w:tc>
          <w:tcPr>
            <w:tcW w:w="6432" w:type="dxa"/>
            <w:gridSpan w:val="6"/>
            <w:tcBorders>
              <w:tl2br w:val="nil"/>
              <w:tr2bl w:val="nil"/>
            </w:tcBorders>
            <w:vAlign w:val="center"/>
          </w:tcPr>
          <w:p w14:paraId="7A4F2DA0">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非甲烷总烃</w:t>
            </w:r>
          </w:p>
        </w:tc>
        <w:tc>
          <w:tcPr>
            <w:tcW w:w="1216" w:type="dxa"/>
            <w:tcBorders>
              <w:tl2br w:val="nil"/>
              <w:tr2bl w:val="nil"/>
            </w:tcBorders>
            <w:vAlign w:val="center"/>
          </w:tcPr>
          <w:p w14:paraId="014DCC8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1ABB9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4" w:type="dxa"/>
            <w:vMerge w:val="continue"/>
            <w:tcBorders>
              <w:tl2br w:val="nil"/>
              <w:tr2bl w:val="nil"/>
            </w:tcBorders>
            <w:vAlign w:val="center"/>
          </w:tcPr>
          <w:p w14:paraId="69359C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1742ADB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预测方法</w:t>
            </w:r>
          </w:p>
        </w:tc>
        <w:tc>
          <w:tcPr>
            <w:tcW w:w="6432" w:type="dxa"/>
            <w:gridSpan w:val="6"/>
            <w:tcBorders>
              <w:tl2br w:val="nil"/>
              <w:tr2bl w:val="nil"/>
            </w:tcBorders>
            <w:vAlign w:val="center"/>
          </w:tcPr>
          <w:p w14:paraId="355AB918">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附录E</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；附录F</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；其他（）</w:t>
            </w:r>
          </w:p>
        </w:tc>
        <w:tc>
          <w:tcPr>
            <w:tcW w:w="1216" w:type="dxa"/>
            <w:tcBorders>
              <w:tl2br w:val="nil"/>
              <w:tr2bl w:val="nil"/>
            </w:tcBorders>
            <w:vAlign w:val="center"/>
          </w:tcPr>
          <w:p w14:paraId="6F59312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487E5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4" w:type="dxa"/>
            <w:vMerge w:val="continue"/>
            <w:tcBorders>
              <w:tl2br w:val="nil"/>
              <w:tr2bl w:val="nil"/>
            </w:tcBorders>
            <w:vAlign w:val="center"/>
          </w:tcPr>
          <w:p w14:paraId="2027342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405D260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预测分析内容</w:t>
            </w:r>
          </w:p>
        </w:tc>
        <w:tc>
          <w:tcPr>
            <w:tcW w:w="6432" w:type="dxa"/>
            <w:gridSpan w:val="6"/>
            <w:tcBorders>
              <w:tl2br w:val="nil"/>
              <w:tr2bl w:val="nil"/>
            </w:tcBorders>
            <w:vAlign w:val="center"/>
          </w:tcPr>
          <w:p w14:paraId="52C55C07">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影响范围（</w:t>
            </w:r>
            <w:r>
              <w:rPr>
                <w:rFonts w:hint="eastAsia" w:ascii="Times New Roman" w:hAnsi="Times New Roman"/>
                <w:color w:val="auto"/>
                <w:sz w:val="21"/>
                <w:szCs w:val="21"/>
                <w:highlight w:val="none"/>
              </w:rPr>
              <w:t>厂界外200米内</w:t>
            </w:r>
            <w:r>
              <w:rPr>
                <w:rFonts w:ascii="Times New Roman" w:hAnsi="Times New Roman"/>
                <w:color w:val="auto"/>
                <w:sz w:val="21"/>
                <w:szCs w:val="21"/>
                <w:highlight w:val="none"/>
              </w:rPr>
              <w:t>）</w:t>
            </w:r>
          </w:p>
          <w:p w14:paraId="5E8DE462">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影响程度（</w:t>
            </w:r>
            <w:r>
              <w:rPr>
                <w:rFonts w:hint="eastAsia" w:ascii="Times New Roman" w:hAnsi="Times New Roman"/>
                <w:color w:val="auto"/>
                <w:sz w:val="21"/>
                <w:szCs w:val="21"/>
                <w:highlight w:val="none"/>
              </w:rPr>
              <w:t>项目最终建设对周边土壤环境影响不大</w:t>
            </w:r>
            <w:r>
              <w:rPr>
                <w:rFonts w:ascii="Times New Roman" w:hAnsi="Times New Roman"/>
                <w:color w:val="auto"/>
                <w:sz w:val="21"/>
                <w:szCs w:val="21"/>
                <w:highlight w:val="none"/>
              </w:rPr>
              <w:t>）</w:t>
            </w:r>
          </w:p>
        </w:tc>
        <w:tc>
          <w:tcPr>
            <w:tcW w:w="1216" w:type="dxa"/>
            <w:tcBorders>
              <w:tl2br w:val="nil"/>
              <w:tr2bl w:val="nil"/>
            </w:tcBorders>
            <w:vAlign w:val="center"/>
          </w:tcPr>
          <w:p w14:paraId="7C2A360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1ABC0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4" w:type="dxa"/>
            <w:vMerge w:val="continue"/>
            <w:tcBorders>
              <w:tl2br w:val="nil"/>
              <w:tr2bl w:val="nil"/>
            </w:tcBorders>
            <w:vAlign w:val="center"/>
          </w:tcPr>
          <w:p w14:paraId="3802704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3B1CFC3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预测结论</w:t>
            </w:r>
          </w:p>
        </w:tc>
        <w:tc>
          <w:tcPr>
            <w:tcW w:w="6432" w:type="dxa"/>
            <w:gridSpan w:val="6"/>
            <w:tcBorders>
              <w:tl2br w:val="nil"/>
              <w:tr2bl w:val="nil"/>
            </w:tcBorders>
            <w:vAlign w:val="center"/>
          </w:tcPr>
          <w:p w14:paraId="12DB0DF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达标结论：a）</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；b）□；c）□</w:t>
            </w:r>
          </w:p>
          <w:p w14:paraId="6148832E">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不达标结论：a）□；b）□</w:t>
            </w:r>
          </w:p>
        </w:tc>
        <w:tc>
          <w:tcPr>
            <w:tcW w:w="1216" w:type="dxa"/>
            <w:tcBorders>
              <w:tl2br w:val="nil"/>
              <w:tr2bl w:val="nil"/>
            </w:tcBorders>
            <w:vAlign w:val="center"/>
          </w:tcPr>
          <w:p w14:paraId="66B588D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50E60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64" w:type="dxa"/>
            <w:vMerge w:val="restart"/>
            <w:tcBorders>
              <w:tl2br w:val="nil"/>
              <w:tr2bl w:val="nil"/>
            </w:tcBorders>
            <w:vAlign w:val="center"/>
          </w:tcPr>
          <w:p w14:paraId="159DAAE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防治措施</w:t>
            </w:r>
          </w:p>
        </w:tc>
        <w:tc>
          <w:tcPr>
            <w:tcW w:w="1569" w:type="dxa"/>
            <w:tcBorders>
              <w:tl2br w:val="nil"/>
              <w:tr2bl w:val="nil"/>
            </w:tcBorders>
            <w:vAlign w:val="center"/>
          </w:tcPr>
          <w:p w14:paraId="40EB855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防控措施</w:t>
            </w:r>
          </w:p>
        </w:tc>
        <w:tc>
          <w:tcPr>
            <w:tcW w:w="6432" w:type="dxa"/>
            <w:gridSpan w:val="6"/>
            <w:tcBorders>
              <w:tl2br w:val="nil"/>
              <w:tr2bl w:val="nil"/>
            </w:tcBorders>
            <w:vAlign w:val="center"/>
          </w:tcPr>
          <w:p w14:paraId="0A0B893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土壤环境质量现状保障□；源头控制</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；过程防控</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；其他（）</w:t>
            </w:r>
          </w:p>
        </w:tc>
        <w:tc>
          <w:tcPr>
            <w:tcW w:w="1216" w:type="dxa"/>
            <w:tcBorders>
              <w:tl2br w:val="nil"/>
              <w:tr2bl w:val="nil"/>
            </w:tcBorders>
            <w:vAlign w:val="center"/>
          </w:tcPr>
          <w:p w14:paraId="0ED95E9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558AF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74A6190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vMerge w:val="restart"/>
            <w:tcBorders>
              <w:tl2br w:val="nil"/>
              <w:tr2bl w:val="nil"/>
            </w:tcBorders>
            <w:vAlign w:val="center"/>
          </w:tcPr>
          <w:p w14:paraId="3BF8E7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跟踪措施</w:t>
            </w:r>
          </w:p>
        </w:tc>
        <w:tc>
          <w:tcPr>
            <w:tcW w:w="1973" w:type="dxa"/>
            <w:gridSpan w:val="2"/>
            <w:tcBorders>
              <w:tl2br w:val="nil"/>
              <w:tr2bl w:val="nil"/>
            </w:tcBorders>
            <w:vAlign w:val="center"/>
          </w:tcPr>
          <w:p w14:paraId="63DBFAF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监测点数</w:t>
            </w:r>
          </w:p>
        </w:tc>
        <w:tc>
          <w:tcPr>
            <w:tcW w:w="2261" w:type="dxa"/>
            <w:gridSpan w:val="2"/>
            <w:tcBorders>
              <w:tl2br w:val="nil"/>
              <w:tr2bl w:val="nil"/>
            </w:tcBorders>
            <w:vAlign w:val="center"/>
          </w:tcPr>
          <w:p w14:paraId="67C553F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监测指标</w:t>
            </w:r>
          </w:p>
        </w:tc>
        <w:tc>
          <w:tcPr>
            <w:tcW w:w="2198" w:type="dxa"/>
            <w:gridSpan w:val="2"/>
            <w:tcBorders>
              <w:tl2br w:val="nil"/>
              <w:tr2bl w:val="nil"/>
            </w:tcBorders>
            <w:vAlign w:val="center"/>
          </w:tcPr>
          <w:p w14:paraId="541D7F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监测频次</w:t>
            </w:r>
          </w:p>
        </w:tc>
        <w:tc>
          <w:tcPr>
            <w:tcW w:w="1216" w:type="dxa"/>
            <w:tcBorders>
              <w:tl2br w:val="nil"/>
              <w:tr2bl w:val="nil"/>
            </w:tcBorders>
            <w:vAlign w:val="center"/>
          </w:tcPr>
          <w:p w14:paraId="5C79144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7F064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582B83E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vMerge w:val="continue"/>
            <w:tcBorders>
              <w:tl2br w:val="nil"/>
              <w:tr2bl w:val="nil"/>
            </w:tcBorders>
            <w:vAlign w:val="center"/>
          </w:tcPr>
          <w:p w14:paraId="3350693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973" w:type="dxa"/>
            <w:gridSpan w:val="2"/>
            <w:tcBorders>
              <w:tl2br w:val="nil"/>
              <w:tr2bl w:val="nil"/>
            </w:tcBorders>
            <w:vAlign w:val="center"/>
          </w:tcPr>
          <w:p w14:paraId="6880E9D8">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2261" w:type="dxa"/>
            <w:gridSpan w:val="2"/>
            <w:tcBorders>
              <w:tl2br w:val="nil"/>
              <w:tr2bl w:val="nil"/>
            </w:tcBorders>
            <w:vAlign w:val="center"/>
          </w:tcPr>
          <w:p w14:paraId="72D3ECA9">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pH、汞、砷、镉、铬（六价）、铅、铜、镍、挥发性有机物、半挥发性有机物</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石油烃</w:t>
            </w:r>
          </w:p>
        </w:tc>
        <w:tc>
          <w:tcPr>
            <w:tcW w:w="2198" w:type="dxa"/>
            <w:gridSpan w:val="2"/>
            <w:tcBorders>
              <w:tl2br w:val="nil"/>
              <w:tr2bl w:val="nil"/>
            </w:tcBorders>
            <w:vAlign w:val="center"/>
          </w:tcPr>
          <w:p w14:paraId="62BCC4B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1次/年</w:t>
            </w:r>
          </w:p>
        </w:tc>
        <w:tc>
          <w:tcPr>
            <w:tcW w:w="1216" w:type="dxa"/>
            <w:tcBorders>
              <w:tl2br w:val="nil"/>
              <w:tr2bl w:val="nil"/>
            </w:tcBorders>
            <w:vAlign w:val="center"/>
          </w:tcPr>
          <w:p w14:paraId="626C036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45448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64" w:type="dxa"/>
            <w:vMerge w:val="continue"/>
            <w:tcBorders>
              <w:tl2br w:val="nil"/>
              <w:tr2bl w:val="nil"/>
            </w:tcBorders>
            <w:vAlign w:val="center"/>
          </w:tcPr>
          <w:p w14:paraId="30F33A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c>
          <w:tcPr>
            <w:tcW w:w="1569" w:type="dxa"/>
            <w:tcBorders>
              <w:tl2br w:val="nil"/>
              <w:tr2bl w:val="nil"/>
            </w:tcBorders>
            <w:vAlign w:val="center"/>
          </w:tcPr>
          <w:p w14:paraId="21B600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信息公开指标</w:t>
            </w:r>
          </w:p>
        </w:tc>
        <w:tc>
          <w:tcPr>
            <w:tcW w:w="6432" w:type="dxa"/>
            <w:gridSpan w:val="6"/>
            <w:tcBorders>
              <w:tl2br w:val="nil"/>
              <w:tr2bl w:val="nil"/>
            </w:tcBorders>
            <w:vAlign w:val="center"/>
          </w:tcPr>
          <w:p w14:paraId="1DAA5BD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pH、汞、砷、镉、铬（六价）、铅、铜、镍、挥发性有机物、半挥发性有机物</w:t>
            </w:r>
          </w:p>
        </w:tc>
        <w:tc>
          <w:tcPr>
            <w:tcW w:w="1216" w:type="dxa"/>
            <w:tcBorders>
              <w:tl2br w:val="nil"/>
              <w:tr2bl w:val="nil"/>
            </w:tcBorders>
            <w:vAlign w:val="center"/>
          </w:tcPr>
          <w:p w14:paraId="4762BE2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6CE7D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2033" w:type="dxa"/>
            <w:gridSpan w:val="2"/>
            <w:tcBorders>
              <w:tl2br w:val="nil"/>
              <w:tr2bl w:val="nil"/>
            </w:tcBorders>
            <w:vAlign w:val="center"/>
          </w:tcPr>
          <w:p w14:paraId="3E50D6B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评价结论</w:t>
            </w:r>
          </w:p>
        </w:tc>
        <w:tc>
          <w:tcPr>
            <w:tcW w:w="6432" w:type="dxa"/>
            <w:gridSpan w:val="6"/>
            <w:tcBorders>
              <w:tl2br w:val="nil"/>
              <w:tr2bl w:val="nil"/>
            </w:tcBorders>
            <w:vAlign w:val="center"/>
          </w:tcPr>
          <w:p w14:paraId="3A461F9E">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根据现状监测结果，</w:t>
            </w:r>
            <w:r>
              <w:rPr>
                <w:rFonts w:hint="eastAsia"/>
                <w:color w:val="auto"/>
                <w:sz w:val="21"/>
                <w:szCs w:val="21"/>
                <w:highlight w:val="none"/>
                <w:lang w:val="en-US" w:eastAsia="zh-CN"/>
              </w:rPr>
              <w:t>厂内</w:t>
            </w:r>
            <w:r>
              <w:rPr>
                <w:rFonts w:hint="eastAsia"/>
                <w:color w:val="auto"/>
                <w:sz w:val="21"/>
                <w:szCs w:val="21"/>
                <w:highlight w:val="none"/>
              </w:rPr>
              <w:t>各监测点位土壤中各因子均能够达到《土壤环境质量建设用地土壤污染风险管控标准（试行</w:t>
            </w:r>
            <w:r>
              <w:rPr>
                <w:rFonts w:hint="default" w:ascii="Times New Roman" w:hAnsi="Times New Roman" w:cs="Times New Roman"/>
                <w:color w:val="auto"/>
                <w:sz w:val="21"/>
                <w:szCs w:val="21"/>
                <w:highlight w:val="none"/>
              </w:rPr>
              <w:t>）》（GB36600-2018）中表1筛选值中“第二类用地”标准，敏感点处满足《土壤环境质量建设用地土壤污染风险管控标准（试行）》（GB36600-2018）中第一类用地要求筛选值要求，pH达到《环境影响评价技术导则 土壤环境（试行）》（HJ964-2018）表D.2中标准，土壤无酸化或碱化情况</w:t>
            </w:r>
            <w:r>
              <w:rPr>
                <w:rFonts w:ascii="Times New Roman" w:hAnsi="Times New Roman"/>
                <w:color w:val="auto"/>
                <w:sz w:val="21"/>
                <w:szCs w:val="21"/>
                <w:highlight w:val="none"/>
              </w:rPr>
              <w:t>，所采取的土壤污染防控措施合理、可行、有效，从土壤环境影响的角度，本项目的建设时可行的。</w:t>
            </w:r>
          </w:p>
        </w:tc>
        <w:tc>
          <w:tcPr>
            <w:tcW w:w="1216" w:type="dxa"/>
            <w:tcBorders>
              <w:tl2br w:val="nil"/>
              <w:tr2bl w:val="nil"/>
            </w:tcBorders>
            <w:vAlign w:val="center"/>
          </w:tcPr>
          <w:p w14:paraId="7562E8E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olor w:val="auto"/>
                <w:sz w:val="21"/>
                <w:szCs w:val="21"/>
                <w:highlight w:val="none"/>
              </w:rPr>
            </w:pPr>
          </w:p>
        </w:tc>
      </w:tr>
      <w:tr w14:paraId="6C0F8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681" w:type="dxa"/>
            <w:gridSpan w:val="9"/>
            <w:tcBorders>
              <w:tl2br w:val="nil"/>
              <w:tr2bl w:val="nil"/>
            </w:tcBorders>
            <w:vAlign w:val="center"/>
          </w:tcPr>
          <w:p w14:paraId="432ABA40">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注1：“□”为勾选项，可√；“（）”为内容填写项；“备注”为其他补充内容。</w:t>
            </w:r>
          </w:p>
          <w:p w14:paraId="07041B2E">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注2：需要分别开展土壤环境影响评级工作的，分别填写自查表。</w:t>
            </w:r>
          </w:p>
        </w:tc>
      </w:tr>
    </w:tbl>
    <w:p w14:paraId="6CC62343">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01" w:name="_Toc60653570"/>
      <w:bookmarkStart w:id="402" w:name="_Toc28497"/>
      <w:r>
        <w:rPr>
          <w:rFonts w:ascii="Times New Roman" w:eastAsia="宋体"/>
          <w:color w:val="auto"/>
          <w:sz w:val="28"/>
          <w:szCs w:val="28"/>
          <w:highlight w:val="none"/>
        </w:rPr>
        <w:t>声环境影响分析</w:t>
      </w:r>
      <w:bookmarkEnd w:id="401"/>
      <w:bookmarkEnd w:id="402"/>
    </w:p>
    <w:p w14:paraId="4212DEAC">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03" w:name="_Toc60653571"/>
      <w:r>
        <w:rPr>
          <w:rFonts w:hint="eastAsia" w:eastAsia="宋体"/>
          <w:color w:val="auto"/>
          <w:sz w:val="28"/>
          <w:szCs w:val="28"/>
          <w:highlight w:val="none"/>
        </w:rPr>
        <w:t>6.5.1</w:t>
      </w:r>
      <w:r>
        <w:rPr>
          <w:rFonts w:eastAsia="宋体"/>
          <w:color w:val="auto"/>
          <w:sz w:val="28"/>
          <w:szCs w:val="28"/>
          <w:highlight w:val="none"/>
        </w:rPr>
        <w:t>预测模式</w:t>
      </w:r>
      <w:bookmarkEnd w:id="403"/>
    </w:p>
    <w:p w14:paraId="5C9825E7">
      <w:pPr>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szCs w:val="22"/>
          <w:highlight w:val="none"/>
        </w:rPr>
        <w:t>根据《环境影响评价技术导则——声环境》（HJ2.4-2021）的规定：</w:t>
      </w:r>
      <w:r>
        <w:rPr>
          <w:rFonts w:ascii="Times New Roman" w:hAnsi="Times New Roman" w:cs="Times New Roman"/>
          <w:color w:val="auto"/>
          <w:highlight w:val="none"/>
        </w:rPr>
        <w:t>户外声传播衰减包括几何发散（A</w:t>
      </w:r>
      <w:r>
        <w:rPr>
          <w:rFonts w:ascii="Times New Roman" w:hAnsi="Times New Roman" w:cs="Times New Roman"/>
          <w:color w:val="auto"/>
          <w:highlight w:val="none"/>
          <w:vertAlign w:val="subscript"/>
        </w:rPr>
        <w:t>div</w:t>
      </w:r>
      <w:r>
        <w:rPr>
          <w:rFonts w:ascii="Times New Roman" w:hAnsi="Times New Roman" w:cs="Times New Roman"/>
          <w:color w:val="auto"/>
          <w:highlight w:val="none"/>
        </w:rPr>
        <w:t>）、大气吸收（A</w:t>
      </w:r>
      <w:r>
        <w:rPr>
          <w:rFonts w:ascii="Times New Roman" w:hAnsi="Times New Roman" w:cs="Times New Roman"/>
          <w:color w:val="auto"/>
          <w:highlight w:val="none"/>
          <w:vertAlign w:val="subscript"/>
        </w:rPr>
        <w:t>atm</w:t>
      </w:r>
      <w:r>
        <w:rPr>
          <w:rFonts w:ascii="Times New Roman" w:hAnsi="Times New Roman" w:cs="Times New Roman"/>
          <w:color w:val="auto"/>
          <w:highlight w:val="none"/>
        </w:rPr>
        <w:t>）、地面效应（A</w:t>
      </w:r>
      <w:r>
        <w:rPr>
          <w:rFonts w:ascii="Times New Roman" w:hAnsi="Times New Roman" w:cs="Times New Roman"/>
          <w:color w:val="auto"/>
          <w:highlight w:val="none"/>
          <w:vertAlign w:val="subscript"/>
        </w:rPr>
        <w:t>gr</w:t>
      </w:r>
      <w:r>
        <w:rPr>
          <w:rFonts w:ascii="Times New Roman" w:hAnsi="Times New Roman" w:cs="Times New Roman"/>
          <w:color w:val="auto"/>
          <w:highlight w:val="none"/>
        </w:rPr>
        <w:t>）、障碍物屏蔽（A</w:t>
      </w:r>
      <w:r>
        <w:rPr>
          <w:rFonts w:ascii="Times New Roman" w:hAnsi="Times New Roman" w:cs="Times New Roman"/>
          <w:color w:val="auto"/>
          <w:highlight w:val="none"/>
          <w:vertAlign w:val="subscript"/>
        </w:rPr>
        <w:t>bar</w:t>
      </w:r>
      <w:r>
        <w:rPr>
          <w:rFonts w:ascii="Times New Roman" w:hAnsi="Times New Roman" w:cs="Times New Roman"/>
          <w:color w:val="auto"/>
          <w:highlight w:val="none"/>
        </w:rPr>
        <w:t>）、其他多方面效应（A</w:t>
      </w:r>
      <w:r>
        <w:rPr>
          <w:rFonts w:ascii="Times New Roman" w:hAnsi="Times New Roman" w:cs="Times New Roman"/>
          <w:color w:val="auto"/>
          <w:highlight w:val="none"/>
          <w:vertAlign w:val="subscript"/>
        </w:rPr>
        <w:t>misc</w:t>
      </w:r>
      <w:r>
        <w:rPr>
          <w:rFonts w:ascii="Times New Roman" w:hAnsi="Times New Roman" w:cs="Times New Roman"/>
          <w:color w:val="auto"/>
          <w:highlight w:val="none"/>
        </w:rPr>
        <w:t>）引起的衰减。</w:t>
      </w:r>
    </w:p>
    <w:p w14:paraId="39412F4B">
      <w:pPr>
        <w:pStyle w:val="44"/>
        <w:ind w:left="0" w:leftChars="0" w:right="-105" w:firstLine="0" w:firstLineChars="0"/>
        <w:jc w:val="center"/>
        <w:rPr>
          <w:color w:val="auto"/>
          <w:sz w:val="24"/>
          <w:highlight w:val="none"/>
        </w:rPr>
      </w:pPr>
      <w:r>
        <w:rPr>
          <w:color w:val="auto"/>
          <w:sz w:val="24"/>
          <w:highlight w:val="none"/>
        </w:rPr>
        <w:t>Lp(r)＝Lp(r</w:t>
      </w:r>
      <w:r>
        <w:rPr>
          <w:color w:val="auto"/>
          <w:sz w:val="24"/>
          <w:highlight w:val="none"/>
          <w:vertAlign w:val="subscript"/>
        </w:rPr>
        <w:t>0</w:t>
      </w:r>
      <w:r>
        <w:rPr>
          <w:color w:val="auto"/>
          <w:sz w:val="24"/>
          <w:highlight w:val="none"/>
        </w:rPr>
        <w:t>)+DC－(A</w:t>
      </w:r>
      <w:r>
        <w:rPr>
          <w:color w:val="auto"/>
          <w:sz w:val="24"/>
          <w:highlight w:val="none"/>
          <w:vertAlign w:val="subscript"/>
        </w:rPr>
        <w:t>div</w:t>
      </w:r>
      <w:r>
        <w:rPr>
          <w:color w:val="auto"/>
          <w:sz w:val="24"/>
          <w:highlight w:val="none"/>
        </w:rPr>
        <w:t>＋A</w:t>
      </w:r>
      <w:r>
        <w:rPr>
          <w:color w:val="auto"/>
          <w:sz w:val="24"/>
          <w:highlight w:val="none"/>
          <w:vertAlign w:val="subscript"/>
        </w:rPr>
        <w:t>atm</w:t>
      </w:r>
      <w:r>
        <w:rPr>
          <w:color w:val="auto"/>
          <w:sz w:val="24"/>
          <w:highlight w:val="none"/>
        </w:rPr>
        <w:t>＋A</w:t>
      </w:r>
      <w:r>
        <w:rPr>
          <w:color w:val="auto"/>
          <w:sz w:val="24"/>
          <w:highlight w:val="none"/>
          <w:vertAlign w:val="subscript"/>
        </w:rPr>
        <w:t>gr</w:t>
      </w:r>
      <w:r>
        <w:rPr>
          <w:color w:val="auto"/>
          <w:sz w:val="24"/>
          <w:highlight w:val="none"/>
        </w:rPr>
        <w:t>＋A</w:t>
      </w:r>
      <w:r>
        <w:rPr>
          <w:color w:val="auto"/>
          <w:sz w:val="24"/>
          <w:highlight w:val="none"/>
          <w:vertAlign w:val="subscript"/>
        </w:rPr>
        <w:t>bar</w:t>
      </w:r>
      <w:r>
        <w:rPr>
          <w:color w:val="auto"/>
          <w:sz w:val="24"/>
          <w:highlight w:val="none"/>
        </w:rPr>
        <w:t>＋A</w:t>
      </w:r>
      <w:r>
        <w:rPr>
          <w:color w:val="auto"/>
          <w:sz w:val="24"/>
          <w:highlight w:val="none"/>
          <w:vertAlign w:val="subscript"/>
        </w:rPr>
        <w:t>misc</w:t>
      </w:r>
      <w:r>
        <w:rPr>
          <w:color w:val="auto"/>
          <w:sz w:val="24"/>
          <w:highlight w:val="none"/>
        </w:rPr>
        <w:t>)</w:t>
      </w:r>
    </w:p>
    <w:p w14:paraId="143274FA">
      <w:pPr>
        <w:pStyle w:val="105"/>
        <w:spacing w:line="360" w:lineRule="auto"/>
        <w:ind w:firstLine="480" w:firstLineChars="200"/>
        <w:rPr>
          <w:rFonts w:ascii="Times New Roman" w:cs="Times New Roman"/>
          <w:color w:val="auto"/>
          <w:highlight w:val="none"/>
        </w:rPr>
      </w:pPr>
      <w:r>
        <w:rPr>
          <w:rFonts w:ascii="Times New Roman" w:cs="Times New Roman"/>
          <w:color w:val="auto"/>
          <w:highlight w:val="none"/>
        </w:rPr>
        <w:t>式中：Lp(r)——预测点处声压级，dB；</w:t>
      </w:r>
    </w:p>
    <w:p w14:paraId="1BA6FD30">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Lp(r</w:t>
      </w:r>
      <w:r>
        <w:rPr>
          <w:rFonts w:ascii="Times New Roman" w:cs="Times New Roman"/>
          <w:color w:val="auto"/>
          <w:highlight w:val="none"/>
          <w:vertAlign w:val="subscript"/>
        </w:rPr>
        <w:t>0</w:t>
      </w:r>
      <w:r>
        <w:rPr>
          <w:rFonts w:ascii="Times New Roman" w:cs="Times New Roman"/>
          <w:color w:val="auto"/>
          <w:highlight w:val="none"/>
        </w:rPr>
        <w:t>)——参考位置r0处的声压级，dB；</w:t>
      </w:r>
    </w:p>
    <w:p w14:paraId="432D33CC">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DC——指向性校正，它描述点声源的等效连续声压级与产生声功率级Lw的全向点声源在规定方向的声级的偏差程度，dB；</w:t>
      </w:r>
    </w:p>
    <w:p w14:paraId="63D63761">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A</w:t>
      </w:r>
      <w:r>
        <w:rPr>
          <w:rFonts w:ascii="Times New Roman" w:cs="Times New Roman"/>
          <w:color w:val="auto"/>
          <w:highlight w:val="none"/>
          <w:vertAlign w:val="subscript"/>
        </w:rPr>
        <w:t>div</w:t>
      </w:r>
      <w:r>
        <w:rPr>
          <w:rFonts w:ascii="Times New Roman" w:cs="Times New Roman"/>
          <w:color w:val="auto"/>
          <w:highlight w:val="none"/>
        </w:rPr>
        <w:t>——几何发散引起的衰减，dB；</w:t>
      </w:r>
    </w:p>
    <w:p w14:paraId="49DD4719">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A</w:t>
      </w:r>
      <w:r>
        <w:rPr>
          <w:rFonts w:ascii="Times New Roman" w:cs="Times New Roman"/>
          <w:color w:val="auto"/>
          <w:highlight w:val="none"/>
          <w:vertAlign w:val="subscript"/>
        </w:rPr>
        <w:t>atm</w:t>
      </w:r>
      <w:r>
        <w:rPr>
          <w:rFonts w:ascii="Times New Roman" w:cs="Times New Roman"/>
          <w:color w:val="auto"/>
          <w:highlight w:val="none"/>
        </w:rPr>
        <w:t>——大气吸收引起的衰减，dB；</w:t>
      </w:r>
    </w:p>
    <w:p w14:paraId="7DA8965F">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A</w:t>
      </w:r>
      <w:r>
        <w:rPr>
          <w:rFonts w:ascii="Times New Roman" w:cs="Times New Roman"/>
          <w:color w:val="auto"/>
          <w:highlight w:val="none"/>
          <w:vertAlign w:val="subscript"/>
        </w:rPr>
        <w:t>gr</w:t>
      </w:r>
      <w:r>
        <w:rPr>
          <w:rFonts w:ascii="Times New Roman" w:cs="Times New Roman"/>
          <w:color w:val="auto"/>
          <w:highlight w:val="none"/>
        </w:rPr>
        <w:t>——地面效应引起的衰减，dB；</w:t>
      </w:r>
    </w:p>
    <w:p w14:paraId="312F485F">
      <w:pPr>
        <w:pStyle w:val="105"/>
        <w:spacing w:line="360" w:lineRule="auto"/>
        <w:ind w:firstLine="1200" w:firstLineChars="500"/>
        <w:rPr>
          <w:rFonts w:ascii="Times New Roman" w:cs="Times New Roman"/>
          <w:color w:val="auto"/>
          <w:highlight w:val="none"/>
        </w:rPr>
      </w:pPr>
      <w:r>
        <w:rPr>
          <w:rFonts w:ascii="Times New Roman" w:cs="Times New Roman"/>
          <w:color w:val="auto"/>
          <w:highlight w:val="none"/>
        </w:rPr>
        <w:t>A</w:t>
      </w:r>
      <w:r>
        <w:rPr>
          <w:rFonts w:ascii="Times New Roman" w:cs="Times New Roman"/>
          <w:color w:val="auto"/>
          <w:highlight w:val="none"/>
          <w:vertAlign w:val="subscript"/>
        </w:rPr>
        <w:t>bar</w:t>
      </w:r>
      <w:r>
        <w:rPr>
          <w:rFonts w:ascii="Times New Roman" w:cs="Times New Roman"/>
          <w:color w:val="auto"/>
          <w:highlight w:val="none"/>
        </w:rPr>
        <w:t>——障碍物屏蔽引起的衰减，dB；</w:t>
      </w:r>
    </w:p>
    <w:p w14:paraId="0D969B7D">
      <w:pPr>
        <w:pStyle w:val="44"/>
        <w:spacing w:after="0" w:line="360" w:lineRule="auto"/>
        <w:ind w:left="0" w:leftChars="0" w:right="-105" w:firstLine="1200" w:firstLineChars="500"/>
        <w:rPr>
          <w:rFonts w:eastAsia="宋体"/>
          <w:color w:val="auto"/>
          <w:sz w:val="24"/>
          <w:highlight w:val="none"/>
        </w:rPr>
      </w:pPr>
      <w:r>
        <w:rPr>
          <w:rFonts w:eastAsia="宋体"/>
          <w:color w:val="auto"/>
          <w:sz w:val="24"/>
          <w:highlight w:val="none"/>
        </w:rPr>
        <w:t>A</w:t>
      </w:r>
      <w:r>
        <w:rPr>
          <w:rFonts w:eastAsia="宋体"/>
          <w:color w:val="auto"/>
          <w:sz w:val="24"/>
          <w:highlight w:val="none"/>
          <w:vertAlign w:val="subscript"/>
        </w:rPr>
        <w:t>misc</w:t>
      </w:r>
      <w:r>
        <w:rPr>
          <w:rFonts w:eastAsia="宋体"/>
          <w:color w:val="auto"/>
          <w:sz w:val="24"/>
          <w:highlight w:val="none"/>
        </w:rPr>
        <w:t>——其他多方面效应引起的衰减，dB。</w:t>
      </w:r>
    </w:p>
    <w:p w14:paraId="4844D1ED">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根据具体情况作必要简化，只考虑几何发散衰减，计算过程如下：</w:t>
      </w:r>
    </w:p>
    <w:p w14:paraId="6429350C">
      <w:pPr>
        <w:pStyle w:val="44"/>
        <w:ind w:left="0" w:leftChars="0" w:right="-105" w:firstLine="0" w:firstLineChars="0"/>
        <w:jc w:val="center"/>
        <w:rPr>
          <w:color w:val="auto"/>
          <w:sz w:val="24"/>
          <w:highlight w:val="none"/>
        </w:rPr>
      </w:pPr>
      <w:r>
        <w:rPr>
          <w:color w:val="auto"/>
          <w:sz w:val="24"/>
          <w:highlight w:val="none"/>
        </w:rPr>
        <w:t>L</w:t>
      </w:r>
      <w:r>
        <w:rPr>
          <w:color w:val="auto"/>
          <w:sz w:val="24"/>
          <w:highlight w:val="none"/>
          <w:vertAlign w:val="subscript"/>
        </w:rPr>
        <w:t>A</w:t>
      </w:r>
      <w:r>
        <w:rPr>
          <w:color w:val="auto"/>
          <w:sz w:val="24"/>
          <w:highlight w:val="none"/>
        </w:rPr>
        <w:t>(r)＝L</w:t>
      </w:r>
      <w:r>
        <w:rPr>
          <w:color w:val="auto"/>
          <w:sz w:val="24"/>
          <w:highlight w:val="none"/>
          <w:vertAlign w:val="subscript"/>
        </w:rPr>
        <w:t>A</w:t>
      </w:r>
      <w:r>
        <w:rPr>
          <w:color w:val="auto"/>
          <w:sz w:val="24"/>
          <w:highlight w:val="none"/>
        </w:rPr>
        <w:t>(r</w:t>
      </w:r>
      <w:r>
        <w:rPr>
          <w:color w:val="auto"/>
          <w:sz w:val="24"/>
          <w:highlight w:val="none"/>
          <w:vertAlign w:val="subscript"/>
        </w:rPr>
        <w:t>0</w:t>
      </w:r>
      <w:r>
        <w:rPr>
          <w:color w:val="auto"/>
          <w:sz w:val="24"/>
          <w:highlight w:val="none"/>
        </w:rPr>
        <w:t>)－A</w:t>
      </w:r>
      <w:r>
        <w:rPr>
          <w:color w:val="auto"/>
          <w:sz w:val="24"/>
          <w:highlight w:val="none"/>
          <w:vertAlign w:val="subscript"/>
        </w:rPr>
        <w:t>div</w:t>
      </w:r>
    </w:p>
    <w:p w14:paraId="5923B7C2">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式中：L</w:t>
      </w:r>
      <w:r>
        <w:rPr>
          <w:rFonts w:ascii="Times New Roman" w:hAnsi="Times New Roman" w:cs="Times New Roman"/>
          <w:color w:val="auto"/>
          <w:szCs w:val="22"/>
          <w:highlight w:val="none"/>
          <w:vertAlign w:val="subscript"/>
        </w:rPr>
        <w:t>A</w:t>
      </w:r>
      <w:r>
        <w:rPr>
          <w:rFonts w:ascii="Times New Roman" w:hAnsi="Times New Roman" w:cs="Times New Roman"/>
          <w:color w:val="auto"/>
          <w:szCs w:val="22"/>
          <w:highlight w:val="none"/>
        </w:rPr>
        <w:t>（r）——预测点r处A声级，dB（A）；</w:t>
      </w:r>
    </w:p>
    <w:p w14:paraId="6E5D7A42">
      <w:pPr>
        <w:spacing w:line="360" w:lineRule="auto"/>
        <w:ind w:left="-105" w:right="-105" w:firstLine="1200" w:firstLineChars="500"/>
        <w:rPr>
          <w:rFonts w:ascii="Times New Roman" w:hAnsi="Times New Roman" w:cs="Times New Roman"/>
          <w:color w:val="auto"/>
          <w:szCs w:val="22"/>
          <w:highlight w:val="none"/>
        </w:rPr>
      </w:pPr>
      <w:r>
        <w:rPr>
          <w:rFonts w:ascii="Times New Roman" w:hAnsi="Times New Roman" w:cs="Times New Roman"/>
          <w:color w:val="auto"/>
          <w:szCs w:val="22"/>
          <w:highlight w:val="none"/>
        </w:rPr>
        <w:t>L</w:t>
      </w:r>
      <w:r>
        <w:rPr>
          <w:rFonts w:ascii="Times New Roman" w:hAnsi="Times New Roman" w:cs="Times New Roman"/>
          <w:color w:val="auto"/>
          <w:szCs w:val="22"/>
          <w:highlight w:val="none"/>
          <w:vertAlign w:val="subscript"/>
        </w:rPr>
        <w:t>A</w:t>
      </w:r>
      <w:r>
        <w:rPr>
          <w:rFonts w:ascii="Times New Roman" w:hAnsi="Times New Roman" w:cs="Times New Roman"/>
          <w:color w:val="auto"/>
          <w:szCs w:val="22"/>
          <w:highlight w:val="none"/>
        </w:rPr>
        <w:t>（r</w:t>
      </w:r>
      <w:r>
        <w:rPr>
          <w:rFonts w:ascii="Times New Roman" w:hAnsi="Times New Roman" w:cs="Times New Roman"/>
          <w:color w:val="auto"/>
          <w:szCs w:val="22"/>
          <w:highlight w:val="none"/>
          <w:vertAlign w:val="subscript"/>
        </w:rPr>
        <w:t>0</w:t>
      </w:r>
      <w:r>
        <w:rPr>
          <w:rFonts w:ascii="Times New Roman" w:hAnsi="Times New Roman" w:cs="Times New Roman"/>
          <w:color w:val="auto"/>
          <w:szCs w:val="22"/>
          <w:highlight w:val="none"/>
        </w:rPr>
        <w:t>）——r</w:t>
      </w:r>
      <w:r>
        <w:rPr>
          <w:rFonts w:ascii="Times New Roman" w:hAnsi="Times New Roman" w:cs="Times New Roman"/>
          <w:color w:val="auto"/>
          <w:szCs w:val="22"/>
          <w:highlight w:val="none"/>
          <w:vertAlign w:val="subscript"/>
        </w:rPr>
        <w:t>0</w:t>
      </w:r>
      <w:r>
        <w:rPr>
          <w:rFonts w:ascii="Times New Roman" w:hAnsi="Times New Roman" w:cs="Times New Roman"/>
          <w:color w:val="auto"/>
          <w:szCs w:val="22"/>
          <w:highlight w:val="none"/>
        </w:rPr>
        <w:t>处A声级，dB（A）；</w:t>
      </w:r>
    </w:p>
    <w:p w14:paraId="5CC1976A">
      <w:pPr>
        <w:spacing w:line="360" w:lineRule="auto"/>
        <w:ind w:left="-105" w:right="-105" w:firstLine="1200" w:firstLineChars="500"/>
        <w:rPr>
          <w:rFonts w:ascii="Times New Roman" w:hAnsi="Times New Roman" w:cs="Times New Roman"/>
          <w:color w:val="auto"/>
          <w:szCs w:val="22"/>
          <w:highlight w:val="none"/>
        </w:rPr>
      </w:pPr>
      <w:r>
        <w:rPr>
          <w:rFonts w:ascii="Times New Roman" w:hAnsi="Times New Roman" w:cs="Times New Roman"/>
          <w:color w:val="auto"/>
          <w:highlight w:val="none"/>
        </w:rPr>
        <w:t>A</w:t>
      </w:r>
      <w:r>
        <w:rPr>
          <w:rFonts w:ascii="Times New Roman" w:hAnsi="Times New Roman" w:cs="Times New Roman"/>
          <w:color w:val="auto"/>
          <w:highlight w:val="none"/>
          <w:vertAlign w:val="subscript"/>
        </w:rPr>
        <w:t>div</w:t>
      </w:r>
      <w:r>
        <w:rPr>
          <w:rFonts w:ascii="Times New Roman" w:hAnsi="Times New Roman" w:cs="Times New Roman"/>
          <w:color w:val="auto"/>
          <w:highlight w:val="none"/>
        </w:rPr>
        <w:t>——几何发散引起的衰减，dB</w:t>
      </w:r>
      <w:r>
        <w:rPr>
          <w:rFonts w:ascii="Times New Roman" w:hAnsi="Times New Roman" w:cs="Times New Roman"/>
          <w:color w:val="auto"/>
          <w:szCs w:val="22"/>
          <w:highlight w:val="none"/>
        </w:rPr>
        <w:t>；</w:t>
      </w:r>
    </w:p>
    <w:p w14:paraId="1895EC90">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在环境噪声预测中各噪声源作为点声源处理，故几何发散衰减：</w:t>
      </w:r>
    </w:p>
    <w:p w14:paraId="0D99B18F">
      <w:pPr>
        <w:spacing w:before="120" w:beforeLines="50" w:after="120" w:afterLines="50" w:line="360" w:lineRule="auto"/>
        <w:ind w:left="-105" w:right="-105"/>
        <w:jc w:val="center"/>
        <w:rPr>
          <w:rFonts w:ascii="Times New Roman" w:hAnsi="Times New Roman" w:cs="Times New Roman"/>
          <w:color w:val="auto"/>
          <w:szCs w:val="22"/>
          <w:highlight w:val="none"/>
        </w:rPr>
      </w:pPr>
      <w:r>
        <w:rPr>
          <w:rFonts w:ascii="Times New Roman" w:hAnsi="Times New Roman" w:cs="Times New Roman"/>
          <w:color w:val="auto"/>
          <w:highlight w:val="none"/>
        </w:rPr>
        <w:drawing>
          <wp:inline distT="0" distB="0" distL="0" distR="0">
            <wp:extent cx="1240155" cy="412115"/>
            <wp:effectExtent l="0" t="0" r="17145" b="698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240155" cy="412115"/>
                    </a:xfrm>
                    <a:prstGeom prst="rect">
                      <a:avLst/>
                    </a:prstGeom>
                    <a:noFill/>
                    <a:ln>
                      <a:noFill/>
                    </a:ln>
                  </pic:spPr>
                </pic:pic>
              </a:graphicData>
            </a:graphic>
          </wp:inline>
        </w:drawing>
      </w:r>
    </w:p>
    <w:p w14:paraId="1B5A112F">
      <w:pPr>
        <w:spacing w:line="360" w:lineRule="auto"/>
        <w:ind w:left="-105" w:right="-105" w:firstLine="480"/>
        <w:rPr>
          <w:rFonts w:ascii="Times New Roman" w:hAnsi="Times New Roman" w:cs="Times New Roman"/>
          <w:iCs/>
          <w:color w:val="auto"/>
          <w:szCs w:val="22"/>
          <w:highlight w:val="none"/>
        </w:rPr>
      </w:pPr>
      <w:r>
        <w:rPr>
          <w:rFonts w:ascii="Times New Roman" w:hAnsi="Times New Roman" w:cs="Times New Roman"/>
          <w:color w:val="auto"/>
          <w:szCs w:val="22"/>
          <w:highlight w:val="none"/>
        </w:rPr>
        <w:t>式中：</w:t>
      </w:r>
      <w:r>
        <w:rPr>
          <w:rFonts w:ascii="Times New Roman" w:hAnsi="Times New Roman" w:cs="Times New Roman"/>
          <w:iCs/>
          <w:color w:val="auto"/>
          <w:szCs w:val="22"/>
          <w:highlight w:val="none"/>
        </w:rPr>
        <w:t>A</w:t>
      </w:r>
      <w:r>
        <w:rPr>
          <w:rFonts w:ascii="Times New Roman" w:hAnsi="Times New Roman" w:cs="Times New Roman"/>
          <w:iCs/>
          <w:color w:val="auto"/>
          <w:szCs w:val="22"/>
          <w:highlight w:val="none"/>
          <w:vertAlign w:val="subscript"/>
        </w:rPr>
        <w:t>div</w:t>
      </w:r>
      <w:r>
        <w:rPr>
          <w:rFonts w:ascii="Times New Roman" w:hAnsi="Times New Roman" w:cs="Times New Roman"/>
          <w:iCs/>
          <w:color w:val="auto"/>
          <w:szCs w:val="22"/>
          <w:highlight w:val="none"/>
        </w:rPr>
        <w:t>——几何发散衰减；</w:t>
      </w:r>
    </w:p>
    <w:p w14:paraId="3D363FBD">
      <w:pPr>
        <w:spacing w:line="360" w:lineRule="auto"/>
        <w:ind w:left="-105" w:right="-105" w:firstLine="1200" w:firstLineChars="500"/>
        <w:rPr>
          <w:rFonts w:ascii="Times New Roman" w:hAnsi="Times New Roman" w:cs="Times New Roman"/>
          <w:iCs/>
          <w:color w:val="auto"/>
          <w:szCs w:val="22"/>
          <w:highlight w:val="none"/>
        </w:rPr>
      </w:pPr>
      <w:r>
        <w:rPr>
          <w:rFonts w:ascii="Times New Roman" w:hAnsi="Times New Roman" w:cs="Times New Roman"/>
          <w:iCs/>
          <w:color w:val="auto"/>
          <w:szCs w:val="22"/>
          <w:highlight w:val="none"/>
        </w:rPr>
        <w:t>r</w:t>
      </w:r>
      <w:r>
        <w:rPr>
          <w:rFonts w:ascii="Times New Roman" w:hAnsi="Times New Roman" w:cs="Times New Roman"/>
          <w:iCs/>
          <w:color w:val="auto"/>
          <w:szCs w:val="22"/>
          <w:highlight w:val="none"/>
          <w:vertAlign w:val="subscript"/>
        </w:rPr>
        <w:t>0</w:t>
      </w:r>
      <w:r>
        <w:rPr>
          <w:rFonts w:ascii="Times New Roman" w:hAnsi="Times New Roman" w:cs="Times New Roman"/>
          <w:iCs/>
          <w:color w:val="auto"/>
          <w:szCs w:val="22"/>
          <w:highlight w:val="none"/>
        </w:rPr>
        <w:t>——噪声合成点与噪声源的距离，m；</w:t>
      </w:r>
    </w:p>
    <w:p w14:paraId="3C223448">
      <w:pPr>
        <w:spacing w:line="360" w:lineRule="auto"/>
        <w:ind w:left="-105" w:right="-105" w:firstLine="1200" w:firstLineChars="500"/>
        <w:rPr>
          <w:rFonts w:ascii="Times New Roman" w:hAnsi="Times New Roman" w:cs="Times New Roman"/>
          <w:iCs/>
          <w:color w:val="auto"/>
          <w:szCs w:val="22"/>
          <w:highlight w:val="none"/>
        </w:rPr>
      </w:pPr>
      <w:r>
        <w:rPr>
          <w:rFonts w:ascii="Times New Roman" w:hAnsi="Times New Roman" w:cs="Times New Roman"/>
          <w:iCs/>
          <w:color w:val="auto"/>
          <w:szCs w:val="22"/>
          <w:highlight w:val="none"/>
        </w:rPr>
        <w:t>r——预测点与噪声源的距离，m。</w:t>
      </w:r>
    </w:p>
    <w:p w14:paraId="0BBBA311">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建设项目预测点处A声级，可简化为：</w:t>
      </w:r>
    </w:p>
    <w:p w14:paraId="63D62994">
      <w:pPr>
        <w:pStyle w:val="44"/>
        <w:ind w:left="0" w:leftChars="0" w:right="-105" w:firstLine="0" w:firstLineChars="0"/>
        <w:jc w:val="center"/>
        <w:rPr>
          <w:color w:val="auto"/>
          <w:sz w:val="24"/>
          <w:highlight w:val="none"/>
        </w:rPr>
      </w:pPr>
      <w:r>
        <w:rPr>
          <w:color w:val="auto"/>
          <w:sz w:val="24"/>
          <w:highlight w:val="none"/>
        </w:rPr>
        <w:t>L</w:t>
      </w:r>
      <w:r>
        <w:rPr>
          <w:color w:val="auto"/>
          <w:sz w:val="24"/>
          <w:highlight w:val="none"/>
          <w:vertAlign w:val="subscript"/>
        </w:rPr>
        <w:t>A</w:t>
      </w:r>
      <w:r>
        <w:rPr>
          <w:color w:val="auto"/>
          <w:sz w:val="24"/>
          <w:highlight w:val="none"/>
        </w:rPr>
        <w:t>(r)＝L</w:t>
      </w:r>
      <w:r>
        <w:rPr>
          <w:color w:val="auto"/>
          <w:sz w:val="24"/>
          <w:highlight w:val="none"/>
          <w:vertAlign w:val="subscript"/>
        </w:rPr>
        <w:t>A</w:t>
      </w:r>
      <w:r>
        <w:rPr>
          <w:color w:val="auto"/>
          <w:sz w:val="24"/>
          <w:highlight w:val="none"/>
        </w:rPr>
        <w:t>(r</w:t>
      </w:r>
      <w:r>
        <w:rPr>
          <w:color w:val="auto"/>
          <w:sz w:val="24"/>
          <w:highlight w:val="none"/>
          <w:vertAlign w:val="subscript"/>
        </w:rPr>
        <w:t>0</w:t>
      </w:r>
      <w:r>
        <w:rPr>
          <w:color w:val="auto"/>
          <w:sz w:val="24"/>
          <w:highlight w:val="none"/>
        </w:rPr>
        <w:t>)-20lg（r/r</w:t>
      </w:r>
      <w:r>
        <w:rPr>
          <w:color w:val="auto"/>
          <w:sz w:val="24"/>
          <w:highlight w:val="none"/>
          <w:vertAlign w:val="subscript"/>
        </w:rPr>
        <w:t>0</w:t>
      </w:r>
      <w:r>
        <w:rPr>
          <w:color w:val="auto"/>
          <w:sz w:val="24"/>
          <w:highlight w:val="none"/>
        </w:rPr>
        <w:t>）</w:t>
      </w:r>
    </w:p>
    <w:p w14:paraId="6414A8DD">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建设项目声源在预测点产生的贡献值（</w:t>
      </w:r>
      <w:r>
        <w:rPr>
          <w:rFonts w:ascii="Times New Roman" w:hAnsi="Times New Roman" w:cs="Times New Roman"/>
          <w:i/>
          <w:iCs/>
          <w:color w:val="auto"/>
          <w:szCs w:val="22"/>
          <w:highlight w:val="none"/>
        </w:rPr>
        <w:t>L</w:t>
      </w:r>
      <w:r>
        <w:rPr>
          <w:rFonts w:ascii="Times New Roman" w:hAnsi="Times New Roman" w:cs="Times New Roman"/>
          <w:i/>
          <w:iCs/>
          <w:color w:val="auto"/>
          <w:szCs w:val="22"/>
          <w:highlight w:val="none"/>
          <w:vertAlign w:val="subscript"/>
        </w:rPr>
        <w:t>eqg</w:t>
      </w:r>
      <w:r>
        <w:rPr>
          <w:rFonts w:ascii="Times New Roman" w:hAnsi="Times New Roman" w:cs="Times New Roman"/>
          <w:color w:val="auto"/>
          <w:szCs w:val="22"/>
          <w:highlight w:val="none"/>
        </w:rPr>
        <w:t>）计算公式：</w:t>
      </w:r>
    </w:p>
    <w:p w14:paraId="3A8F4847">
      <w:pPr>
        <w:spacing w:before="120" w:beforeLines="50" w:after="240" w:afterLines="100" w:line="360" w:lineRule="auto"/>
        <w:ind w:left="-105" w:right="-105"/>
        <w:jc w:val="center"/>
        <w:rPr>
          <w:rFonts w:ascii="Times New Roman" w:hAnsi="Times New Roman" w:cs="Times New Roman"/>
          <w:color w:val="auto"/>
          <w:szCs w:val="22"/>
          <w:highlight w:val="none"/>
        </w:rPr>
      </w:pPr>
      <w:r>
        <w:rPr>
          <w:rFonts w:ascii="Times New Roman" w:hAnsi="Times New Roman" w:cs="Times New Roman"/>
          <w:color w:val="auto"/>
          <w:highlight w:val="none"/>
        </w:rPr>
        <w:drawing>
          <wp:inline distT="0" distB="0" distL="0" distR="0">
            <wp:extent cx="2887980" cy="552450"/>
            <wp:effectExtent l="0" t="0" r="7620" b="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87980" cy="552450"/>
                    </a:xfrm>
                    <a:prstGeom prst="rect">
                      <a:avLst/>
                    </a:prstGeom>
                    <a:noFill/>
                    <a:ln>
                      <a:noFill/>
                    </a:ln>
                  </pic:spPr>
                </pic:pic>
              </a:graphicData>
            </a:graphic>
          </wp:inline>
        </w:drawing>
      </w:r>
    </w:p>
    <w:p w14:paraId="3F1B2613">
      <w:pPr>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式中：：L</w:t>
      </w:r>
      <w:r>
        <w:rPr>
          <w:rFonts w:ascii="Times New Roman" w:hAnsi="Times New Roman" w:cs="Times New Roman"/>
          <w:color w:val="auto"/>
          <w:highlight w:val="none"/>
          <w:vertAlign w:val="subscript"/>
        </w:rPr>
        <w:t>eqg</w:t>
      </w:r>
      <w:r>
        <w:rPr>
          <w:rFonts w:ascii="Times New Roman" w:hAnsi="Times New Roman" w:cs="Times New Roman"/>
          <w:color w:val="auto"/>
          <w:highlight w:val="none"/>
        </w:rPr>
        <w:t>——建设项目声源在预测点产生的噪声贡献值，dB；</w:t>
      </w:r>
    </w:p>
    <w:p w14:paraId="2D584F50">
      <w:pPr>
        <w:widowControl w:val="0"/>
        <w:autoSpaceDE w:val="0"/>
        <w:autoSpaceDN w:val="0"/>
        <w:adjustRightInd w:val="0"/>
        <w:spacing w:line="360" w:lineRule="auto"/>
        <w:ind w:left="-105" w:right="-105" w:firstLine="1440" w:firstLineChars="600"/>
        <w:rPr>
          <w:rFonts w:ascii="Times New Roman" w:hAnsi="Times New Roman" w:cs="Times New Roman"/>
          <w:color w:val="auto"/>
          <w:highlight w:val="none"/>
        </w:rPr>
      </w:pPr>
      <w:r>
        <w:rPr>
          <w:rFonts w:ascii="Times New Roman" w:hAnsi="Times New Roman" w:cs="Times New Roman"/>
          <w:color w:val="auto"/>
          <w:highlight w:val="none"/>
        </w:rPr>
        <w:t>T——用于计算等效声级的时间，s；</w:t>
      </w:r>
    </w:p>
    <w:p w14:paraId="27207DB8">
      <w:pPr>
        <w:widowControl w:val="0"/>
        <w:autoSpaceDE w:val="0"/>
        <w:autoSpaceDN w:val="0"/>
        <w:adjustRightInd w:val="0"/>
        <w:spacing w:line="360" w:lineRule="auto"/>
        <w:ind w:left="-105" w:right="-105" w:firstLine="1440" w:firstLineChars="600"/>
        <w:rPr>
          <w:rFonts w:ascii="Times New Roman" w:hAnsi="Times New Roman" w:cs="Times New Roman"/>
          <w:color w:val="auto"/>
          <w:highlight w:val="none"/>
        </w:rPr>
      </w:pPr>
      <w:r>
        <w:rPr>
          <w:rFonts w:ascii="Times New Roman" w:hAnsi="Times New Roman" w:cs="Times New Roman"/>
          <w:color w:val="auto"/>
          <w:highlight w:val="none"/>
        </w:rPr>
        <w:t>N—室外声源个数</w:t>
      </w:r>
    </w:p>
    <w:p w14:paraId="7700EA5F">
      <w:pPr>
        <w:widowControl w:val="0"/>
        <w:autoSpaceDE w:val="0"/>
        <w:autoSpaceDN w:val="0"/>
        <w:adjustRightInd w:val="0"/>
        <w:spacing w:line="360" w:lineRule="auto"/>
        <w:ind w:left="-105" w:right="-105" w:firstLine="1440" w:firstLineChars="600"/>
        <w:rPr>
          <w:rFonts w:ascii="Times New Roman" w:hAnsi="Times New Roman" w:cs="Times New Roman"/>
          <w:color w:val="auto"/>
          <w:highlight w:val="none"/>
        </w:rPr>
      </w:pPr>
      <w:r>
        <w:rPr>
          <w:rFonts w:ascii="Times New Roman" w:hAnsi="Times New Roman" w:cs="Times New Roman"/>
          <w:color w:val="auto"/>
          <w:highlight w:val="none"/>
        </w:rPr>
        <w:t>t</w:t>
      </w:r>
      <w:r>
        <w:rPr>
          <w:rFonts w:ascii="Times New Roman" w:hAnsi="Times New Roman" w:cs="Times New Roman"/>
          <w:color w:val="auto"/>
          <w:highlight w:val="none"/>
          <w:vertAlign w:val="subscript"/>
        </w:rPr>
        <w:t>i</w:t>
      </w:r>
      <w:r>
        <w:rPr>
          <w:rFonts w:ascii="Times New Roman" w:hAnsi="Times New Roman" w:cs="Times New Roman"/>
          <w:color w:val="auto"/>
          <w:highlight w:val="none"/>
        </w:rPr>
        <w:t>——在T时段内i声源工作时间，s；</w:t>
      </w:r>
    </w:p>
    <w:p w14:paraId="07BC82D1">
      <w:pPr>
        <w:widowControl w:val="0"/>
        <w:autoSpaceDE w:val="0"/>
        <w:autoSpaceDN w:val="0"/>
        <w:adjustRightInd w:val="0"/>
        <w:spacing w:line="360" w:lineRule="auto"/>
        <w:ind w:left="-105" w:right="-105" w:firstLine="1440" w:firstLineChars="600"/>
        <w:rPr>
          <w:rFonts w:ascii="Times New Roman" w:hAnsi="Times New Roman" w:cs="Times New Roman"/>
          <w:color w:val="auto"/>
          <w:highlight w:val="none"/>
        </w:rPr>
      </w:pPr>
      <w:r>
        <w:rPr>
          <w:rFonts w:ascii="Times New Roman" w:hAnsi="Times New Roman" w:cs="Times New Roman"/>
          <w:color w:val="auto"/>
          <w:highlight w:val="none"/>
        </w:rPr>
        <w:t>M—等效室外声源个数</w:t>
      </w:r>
    </w:p>
    <w:p w14:paraId="49B47DB0">
      <w:pPr>
        <w:widowControl w:val="0"/>
        <w:autoSpaceDE w:val="0"/>
        <w:autoSpaceDN w:val="0"/>
        <w:adjustRightInd w:val="0"/>
        <w:spacing w:line="360" w:lineRule="auto"/>
        <w:ind w:left="-105" w:right="-105" w:firstLine="1440" w:firstLineChars="600"/>
        <w:rPr>
          <w:rFonts w:ascii="Times New Roman" w:hAnsi="Times New Roman" w:cs="Times New Roman"/>
          <w:color w:val="auto"/>
          <w:highlight w:val="none"/>
        </w:rPr>
      </w:pPr>
      <w:r>
        <w:rPr>
          <w:rFonts w:ascii="Times New Roman" w:hAnsi="Times New Roman" w:cs="Times New Roman"/>
          <w:color w:val="auto"/>
          <w:highlight w:val="none"/>
        </w:rPr>
        <w:t>t</w:t>
      </w:r>
      <w:r>
        <w:rPr>
          <w:rFonts w:ascii="Times New Roman" w:hAnsi="Times New Roman" w:cs="Times New Roman"/>
          <w:color w:val="auto"/>
          <w:highlight w:val="none"/>
          <w:vertAlign w:val="subscript"/>
        </w:rPr>
        <w:t>j</w:t>
      </w:r>
      <w:r>
        <w:rPr>
          <w:rFonts w:ascii="Times New Roman" w:hAnsi="Times New Roman" w:cs="Times New Roman"/>
          <w:color w:val="auto"/>
          <w:highlight w:val="none"/>
        </w:rPr>
        <w:t>——在T时段内j声源工作时间，s。</w:t>
      </w:r>
    </w:p>
    <w:p w14:paraId="69106D31">
      <w:pPr>
        <w:spacing w:line="360" w:lineRule="auto"/>
        <w:ind w:left="-105" w:right="-105"/>
        <w:rPr>
          <w:rFonts w:ascii="Times New Roman" w:hAnsi="Times New Roman" w:cs="Times New Roman"/>
          <w:color w:val="auto"/>
          <w:szCs w:val="22"/>
          <w:highlight w:val="none"/>
        </w:rPr>
      </w:pPr>
      <w:r>
        <w:rPr>
          <w:rFonts w:ascii="Times New Roman" w:hAnsi="Times New Roman" w:cs="Times New Roman"/>
          <w:color w:val="auto"/>
          <w:szCs w:val="22"/>
          <w:highlight w:val="none"/>
        </w:rPr>
        <w:t>预测点的预测等效声级（</w:t>
      </w:r>
      <w:r>
        <w:rPr>
          <w:rFonts w:ascii="Times New Roman" w:hAnsi="Times New Roman" w:cs="Times New Roman"/>
          <w:i/>
          <w:iCs/>
          <w:color w:val="auto"/>
          <w:szCs w:val="22"/>
          <w:highlight w:val="none"/>
        </w:rPr>
        <w:t>L</w:t>
      </w:r>
      <w:r>
        <w:rPr>
          <w:rFonts w:ascii="Times New Roman" w:hAnsi="Times New Roman" w:cs="Times New Roman"/>
          <w:i/>
          <w:iCs/>
          <w:color w:val="auto"/>
          <w:szCs w:val="22"/>
          <w:highlight w:val="none"/>
          <w:vertAlign w:val="subscript"/>
        </w:rPr>
        <w:t>eq</w:t>
      </w:r>
      <w:r>
        <w:rPr>
          <w:rFonts w:ascii="Times New Roman" w:hAnsi="Times New Roman" w:cs="Times New Roman"/>
          <w:color w:val="auto"/>
          <w:szCs w:val="22"/>
          <w:highlight w:val="none"/>
        </w:rPr>
        <w:t>）计算公式：</w:t>
      </w:r>
    </w:p>
    <w:p w14:paraId="726273B1">
      <w:pPr>
        <w:spacing w:before="120" w:beforeLines="50" w:after="120" w:afterLines="50" w:line="360" w:lineRule="auto"/>
        <w:ind w:left="-105" w:right="-105"/>
        <w:jc w:val="center"/>
        <w:rPr>
          <w:rFonts w:ascii="Times New Roman" w:hAnsi="Times New Roman" w:cs="Times New Roman"/>
          <w:color w:val="auto"/>
          <w:szCs w:val="22"/>
          <w:highlight w:val="none"/>
        </w:rPr>
      </w:pPr>
      <w:r>
        <w:rPr>
          <w:rFonts w:ascii="Times New Roman" w:hAnsi="Times New Roman" w:cs="Times New Roman"/>
          <w:color w:val="auto"/>
          <w:highlight w:val="none"/>
        </w:rPr>
        <w:drawing>
          <wp:inline distT="0" distB="0" distL="0" distR="0">
            <wp:extent cx="1924050" cy="380365"/>
            <wp:effectExtent l="0" t="0" r="0" b="635"/>
            <wp:docPr id="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24050" cy="380365"/>
                    </a:xfrm>
                    <a:prstGeom prst="rect">
                      <a:avLst/>
                    </a:prstGeom>
                    <a:noFill/>
                    <a:ln>
                      <a:noFill/>
                    </a:ln>
                  </pic:spPr>
                </pic:pic>
              </a:graphicData>
            </a:graphic>
          </wp:inline>
        </w:drawing>
      </w:r>
    </w:p>
    <w:p w14:paraId="0206DEC3">
      <w:pPr>
        <w:spacing w:line="360" w:lineRule="auto"/>
        <w:ind w:left="-105" w:right="-105" w:firstLine="480"/>
        <w:rPr>
          <w:rFonts w:ascii="Times New Roman" w:hAnsi="Times New Roman" w:cs="Times New Roman"/>
          <w:color w:val="auto"/>
          <w:szCs w:val="22"/>
          <w:highlight w:val="none"/>
        </w:rPr>
      </w:pPr>
      <w:r>
        <w:rPr>
          <w:rFonts w:ascii="Times New Roman" w:hAnsi="Times New Roman" w:cs="Times New Roman"/>
          <w:color w:val="auto"/>
          <w:szCs w:val="22"/>
          <w:highlight w:val="none"/>
        </w:rPr>
        <w:t>式中：</w:t>
      </w:r>
    </w:p>
    <w:p w14:paraId="4264A404">
      <w:pPr>
        <w:spacing w:line="360" w:lineRule="auto"/>
        <w:ind w:left="-105" w:right="-105" w:firstLine="1200" w:firstLineChars="500"/>
        <w:rPr>
          <w:rFonts w:ascii="Times New Roman" w:hAnsi="Times New Roman" w:cs="Times New Roman"/>
          <w:color w:val="auto"/>
          <w:szCs w:val="22"/>
          <w:highlight w:val="none"/>
        </w:rPr>
      </w:pPr>
      <w:r>
        <w:rPr>
          <w:rFonts w:ascii="Times New Roman" w:hAnsi="Times New Roman" w:cs="Times New Roman"/>
          <w:color w:val="auto"/>
          <w:szCs w:val="22"/>
          <w:highlight w:val="none"/>
        </w:rPr>
        <w:t>L</w:t>
      </w:r>
      <w:r>
        <w:rPr>
          <w:rFonts w:ascii="Times New Roman" w:hAnsi="Times New Roman" w:cs="Times New Roman"/>
          <w:color w:val="auto"/>
          <w:szCs w:val="22"/>
          <w:highlight w:val="none"/>
          <w:vertAlign w:val="subscript"/>
        </w:rPr>
        <w:t>eqg</w:t>
      </w:r>
      <w:r>
        <w:rPr>
          <w:rFonts w:ascii="Times New Roman" w:hAnsi="Times New Roman" w:cs="Times New Roman"/>
          <w:color w:val="auto"/>
          <w:szCs w:val="22"/>
          <w:highlight w:val="none"/>
        </w:rPr>
        <w:t>—建设项目声源在预测点的等效声级贡献值，dB（A）；</w:t>
      </w:r>
    </w:p>
    <w:p w14:paraId="6C86AB18">
      <w:pPr>
        <w:spacing w:line="360" w:lineRule="auto"/>
        <w:ind w:left="-105" w:right="-105" w:firstLine="1200" w:firstLineChars="500"/>
        <w:rPr>
          <w:rFonts w:ascii="Times New Roman" w:hAnsi="Times New Roman"/>
          <w:color w:val="auto"/>
          <w:highlight w:val="none"/>
        </w:rPr>
      </w:pPr>
      <w:r>
        <w:rPr>
          <w:rFonts w:ascii="Times New Roman" w:hAnsi="Times New Roman" w:cs="Times New Roman"/>
          <w:color w:val="auto"/>
          <w:szCs w:val="22"/>
          <w:highlight w:val="none"/>
        </w:rPr>
        <w:t>L</w:t>
      </w:r>
      <w:r>
        <w:rPr>
          <w:rFonts w:ascii="Times New Roman" w:hAnsi="Times New Roman" w:cs="Times New Roman"/>
          <w:color w:val="auto"/>
          <w:szCs w:val="22"/>
          <w:highlight w:val="none"/>
          <w:vertAlign w:val="subscript"/>
        </w:rPr>
        <w:t>eqb</w:t>
      </w:r>
      <w:r>
        <w:rPr>
          <w:rFonts w:ascii="Times New Roman" w:hAnsi="Times New Roman" w:cs="Times New Roman"/>
          <w:color w:val="auto"/>
          <w:szCs w:val="22"/>
          <w:highlight w:val="none"/>
        </w:rPr>
        <w:t>—预测点的背景值，dB（A）。</w:t>
      </w:r>
    </w:p>
    <w:p w14:paraId="7FDEE229">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04" w:name="_Toc60653572"/>
      <w:r>
        <w:rPr>
          <w:rFonts w:hint="eastAsia" w:eastAsia="宋体"/>
          <w:color w:val="auto"/>
          <w:sz w:val="28"/>
          <w:szCs w:val="28"/>
          <w:highlight w:val="none"/>
        </w:rPr>
        <w:t>6.5.2</w:t>
      </w:r>
      <w:r>
        <w:rPr>
          <w:rFonts w:eastAsia="宋体"/>
          <w:color w:val="auto"/>
          <w:sz w:val="28"/>
          <w:szCs w:val="28"/>
          <w:highlight w:val="none"/>
        </w:rPr>
        <w:t>预测范围</w:t>
      </w:r>
      <w:bookmarkEnd w:id="404"/>
    </w:p>
    <w:p w14:paraId="3C916034">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本项目声环境评价工作等级为三级，根据《环境影响评价技术导则——声环境》（HJ2.4-2021）的规定，本项目预测范围应与评价范围相同，则预测范围为厂界外200米。</w:t>
      </w:r>
    </w:p>
    <w:p w14:paraId="69CA771B">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05" w:name="_Toc60653573"/>
      <w:r>
        <w:rPr>
          <w:rFonts w:hint="eastAsia" w:eastAsia="宋体"/>
          <w:color w:val="auto"/>
          <w:sz w:val="28"/>
          <w:szCs w:val="28"/>
          <w:highlight w:val="none"/>
        </w:rPr>
        <w:t>6.5.3</w:t>
      </w:r>
      <w:r>
        <w:rPr>
          <w:rFonts w:eastAsia="宋体"/>
          <w:color w:val="auto"/>
          <w:sz w:val="28"/>
          <w:szCs w:val="28"/>
          <w:highlight w:val="none"/>
        </w:rPr>
        <w:t>主要声源设备噪声</w:t>
      </w:r>
      <w:bookmarkEnd w:id="405"/>
    </w:p>
    <w:p w14:paraId="6BB0F36D">
      <w:pPr>
        <w:spacing w:line="360" w:lineRule="auto"/>
        <w:ind w:left="-105" w:right="-105" w:firstLine="480" w:firstLineChars="200"/>
        <w:rPr>
          <w:rFonts w:hint="default" w:ascii="Times New Roman" w:hAnsi="Times New Roman" w:cs="Times New Roman"/>
          <w:color w:val="auto"/>
          <w:highlight w:val="none"/>
        </w:rPr>
      </w:pPr>
      <w:r>
        <w:rPr>
          <w:rFonts w:ascii="Times New Roman" w:hAnsi="Times New Roman"/>
          <w:color w:val="auto"/>
          <w:highlight w:val="none"/>
        </w:rPr>
        <w:t>经减振动、隔声等降噪措施后，本项目的主要噪声设备源强</w:t>
      </w:r>
      <w:r>
        <w:rPr>
          <w:rFonts w:hint="default" w:ascii="Times New Roman" w:hAnsi="Times New Roman" w:cs="Times New Roman"/>
          <w:color w:val="auto"/>
          <w:highlight w:val="none"/>
        </w:rPr>
        <w:t>情况见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_Ref61965174 \h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 w:val="24"/>
          <w:szCs w:val="18"/>
          <w:highlight w:val="none"/>
        </w:rPr>
        <w:t>表</w:t>
      </w:r>
      <w:r>
        <w:rPr>
          <w:rFonts w:hint="default" w:ascii="Times New Roman" w:hAnsi="Times New Roman" w:eastAsia="宋体" w:cs="Times New Roman"/>
          <w:color w:val="auto"/>
          <w:sz w:val="24"/>
          <w:szCs w:val="18"/>
          <w:highlight w:val="none"/>
        </w:rPr>
        <w:fldChar w:fldCharType="begin"/>
      </w:r>
      <w:r>
        <w:rPr>
          <w:rFonts w:hint="default" w:ascii="Times New Roman" w:hAnsi="Times New Roman" w:eastAsia="宋体" w:cs="Times New Roman"/>
          <w:color w:val="auto"/>
          <w:sz w:val="24"/>
          <w:szCs w:val="18"/>
          <w:highlight w:val="none"/>
        </w:rPr>
        <w:instrText xml:space="preserve"> STYLEREF 2 \s </w:instrText>
      </w:r>
      <w:r>
        <w:rPr>
          <w:rFonts w:hint="default" w:ascii="Times New Roman" w:hAnsi="Times New Roman" w:eastAsia="宋体" w:cs="Times New Roman"/>
          <w:color w:val="auto"/>
          <w:sz w:val="24"/>
          <w:szCs w:val="18"/>
          <w:highlight w:val="none"/>
        </w:rPr>
        <w:fldChar w:fldCharType="separate"/>
      </w:r>
      <w:r>
        <w:rPr>
          <w:rFonts w:hint="default" w:ascii="Times New Roman" w:hAnsi="Times New Roman" w:eastAsia="宋体" w:cs="Times New Roman"/>
          <w:color w:val="auto"/>
          <w:sz w:val="24"/>
          <w:szCs w:val="18"/>
          <w:highlight w:val="none"/>
        </w:rPr>
        <w:t>4.6</w:t>
      </w:r>
      <w:r>
        <w:rPr>
          <w:rFonts w:hint="default" w:ascii="Times New Roman" w:hAnsi="Times New Roman" w:eastAsia="宋体" w:cs="Times New Roman"/>
          <w:color w:val="auto"/>
          <w:sz w:val="24"/>
          <w:szCs w:val="18"/>
          <w:highlight w:val="none"/>
        </w:rPr>
        <w:fldChar w:fldCharType="end"/>
      </w:r>
      <w:r>
        <w:rPr>
          <w:rFonts w:hint="default" w:ascii="Times New Roman" w:hAnsi="Times New Roman" w:eastAsia="宋体" w:cs="Times New Roman"/>
          <w:color w:val="auto"/>
          <w:sz w:val="24"/>
          <w:szCs w:val="18"/>
          <w:highlight w:val="none"/>
        </w:rPr>
        <w:noBreakHyphen/>
      </w:r>
      <w:r>
        <w:rPr>
          <w:rFonts w:hint="default" w:ascii="Times New Roman" w:hAnsi="Times New Roman" w:eastAsia="宋体" w:cs="Times New Roman"/>
          <w:color w:val="auto"/>
          <w:sz w:val="24"/>
          <w:szCs w:val="18"/>
          <w:highlight w:val="none"/>
        </w:rPr>
        <w:t>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59BB8531">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06" w:name="_Toc60653574"/>
      <w:r>
        <w:rPr>
          <w:rFonts w:hint="eastAsia" w:eastAsia="宋体"/>
          <w:color w:val="auto"/>
          <w:sz w:val="28"/>
          <w:szCs w:val="28"/>
          <w:highlight w:val="none"/>
        </w:rPr>
        <w:t>6.5.4</w:t>
      </w:r>
      <w:r>
        <w:rPr>
          <w:rFonts w:eastAsia="宋体"/>
          <w:color w:val="auto"/>
          <w:sz w:val="28"/>
          <w:szCs w:val="28"/>
          <w:highlight w:val="none"/>
        </w:rPr>
        <w:t>噪声影响预测与评价</w:t>
      </w:r>
      <w:bookmarkEnd w:id="406"/>
    </w:p>
    <w:p w14:paraId="6F674FB4">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本项目主要噪声为设备运行时产生，本项目室外声源有</w:t>
      </w:r>
      <w:r>
        <w:rPr>
          <w:rFonts w:hint="eastAsia" w:ascii="Times New Roman" w:hAnsi="Times New Roman" w:cs="Times New Roman"/>
          <w:color w:val="auto"/>
          <w:highlight w:val="none"/>
        </w:rPr>
        <w:t>洁净室引风风机</w:t>
      </w:r>
      <w:r>
        <w:rPr>
          <w:rFonts w:hint="eastAsia" w:ascii="Times New Roman" w:hAnsi="Times New Roman" w:cs="Times New Roman"/>
          <w:color w:val="auto"/>
          <w:highlight w:val="none"/>
        </w:rPr>
        <w:t>和2套二级活性炭吸附装置及配套风机（DA006）。本项目</w:t>
      </w:r>
      <w:r>
        <w:rPr>
          <w:rFonts w:hint="eastAsia" w:ascii="Times New Roman" w:hAnsi="Times New Roman"/>
          <w:color w:val="auto"/>
          <w:szCs w:val="18"/>
          <w:highlight w:val="none"/>
        </w:rPr>
        <w:t>实行一</w:t>
      </w:r>
      <w:r>
        <w:rPr>
          <w:rFonts w:ascii="Times New Roman" w:hAnsi="Times New Roman"/>
          <w:color w:val="auto"/>
          <w:szCs w:val="18"/>
          <w:highlight w:val="none"/>
        </w:rPr>
        <w:t>班制</w:t>
      </w:r>
      <w:r>
        <w:rPr>
          <w:rFonts w:ascii="Times New Roman" w:hAnsi="Times New Roman" w:cs="Times New Roman"/>
          <w:color w:val="auto"/>
          <w:highlight w:val="none"/>
        </w:rPr>
        <w:t>生产</w:t>
      </w:r>
      <w:r>
        <w:rPr>
          <w:rFonts w:hint="eastAsia" w:ascii="Times New Roman" w:hAnsi="Times New Roman" w:cs="Times New Roman"/>
          <w:color w:val="auto"/>
          <w:highlight w:val="none"/>
        </w:rPr>
        <w:t>、</w:t>
      </w:r>
      <w:r>
        <w:rPr>
          <w:rFonts w:hint="eastAsia" w:ascii="Times New Roman" w:hAnsi="Times New Roman"/>
          <w:color w:val="auto"/>
          <w:szCs w:val="18"/>
          <w:highlight w:val="none"/>
        </w:rPr>
        <w:t>现有项目实行三</w:t>
      </w:r>
      <w:r>
        <w:rPr>
          <w:rFonts w:ascii="Times New Roman" w:hAnsi="Times New Roman"/>
          <w:color w:val="auto"/>
          <w:szCs w:val="18"/>
          <w:highlight w:val="none"/>
        </w:rPr>
        <w:t>班制</w:t>
      </w:r>
      <w:r>
        <w:rPr>
          <w:rFonts w:hint="eastAsia" w:ascii="Times New Roman" w:hAnsi="Times New Roman"/>
          <w:color w:val="auto"/>
          <w:szCs w:val="18"/>
          <w:highlight w:val="none"/>
        </w:rPr>
        <w:t>运转生产</w:t>
      </w:r>
      <w:r>
        <w:rPr>
          <w:rFonts w:ascii="Times New Roman" w:hAnsi="Times New Roman" w:cs="Times New Roman"/>
          <w:color w:val="auto"/>
          <w:highlight w:val="none"/>
        </w:rPr>
        <w:t>。</w:t>
      </w:r>
    </w:p>
    <w:p w14:paraId="368A644B">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1 \* GB3 </w:instrText>
      </w:r>
      <w:r>
        <w:rPr>
          <w:rFonts w:ascii="Times New Roman" w:hAnsi="Times New Roman" w:cs="Times New Roman"/>
          <w:color w:val="auto"/>
          <w:highlight w:val="none"/>
        </w:rPr>
        <w:fldChar w:fldCharType="separate"/>
      </w:r>
      <w:r>
        <w:rPr>
          <w:rFonts w:hint="eastAsia"/>
          <w:color w:val="auto"/>
          <w:highlight w:val="none"/>
        </w:rPr>
        <w:t>①</w:t>
      </w:r>
      <w:r>
        <w:rPr>
          <w:rFonts w:ascii="Times New Roman" w:hAnsi="Times New Roman" w:cs="Times New Roman"/>
          <w:color w:val="auto"/>
          <w:highlight w:val="none"/>
        </w:rPr>
        <w:fldChar w:fldCharType="end"/>
      </w:r>
      <w:r>
        <w:rPr>
          <w:rFonts w:ascii="Times New Roman" w:hAnsi="Times New Roman" w:cs="Times New Roman"/>
          <w:color w:val="auto"/>
          <w:highlight w:val="none"/>
        </w:rPr>
        <w:t>设计降噪量的确定</w:t>
      </w:r>
    </w:p>
    <w:p w14:paraId="0B4FBA44">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为确保厂界噪声达标，各噪声源设计降噪量的确定原则如下：</w:t>
      </w:r>
    </w:p>
    <w:p w14:paraId="72550584">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a.以所采用降噪措施的最保守效果确定设计降噪量；</w:t>
      </w:r>
    </w:p>
    <w:p w14:paraId="0F15134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b.原则上将计算降噪量加3～5dB作为设计降噪量，以确保声环境质量达标。</w:t>
      </w:r>
    </w:p>
    <w:p w14:paraId="04D4F25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各噪声源设计降噪量及降噪措施见下表：</w:t>
      </w:r>
    </w:p>
    <w:p w14:paraId="5C13C3CF">
      <w:pPr>
        <w:pStyle w:val="15"/>
        <w:ind w:left="-105" w:right="-105" w:firstLine="482"/>
        <w:rPr>
          <w:rFonts w:eastAsia="宋体"/>
          <w:color w:val="auto"/>
          <w:sz w:val="22"/>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6.5</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color w:val="auto"/>
          <w:sz w:val="24"/>
          <w:szCs w:val="18"/>
          <w:highlight w:val="none"/>
        </w:rPr>
        <w:t>各噪声源的设计降噪量及降噪措施</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0" w:type="dxa"/>
          <w:bottom w:w="28" w:type="dxa"/>
          <w:right w:w="0" w:type="dxa"/>
        </w:tblCellMar>
      </w:tblPr>
      <w:tblGrid>
        <w:gridCol w:w="3544"/>
        <w:gridCol w:w="1506"/>
        <w:gridCol w:w="3454"/>
      </w:tblGrid>
      <w:tr w14:paraId="182D98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0" w:type="dxa"/>
            <w:bottom w:w="28" w:type="dxa"/>
            <w:right w:w="0" w:type="dxa"/>
          </w:tblCellMar>
        </w:tblPrEx>
        <w:trPr>
          <w:cantSplit/>
          <w:trHeight w:val="217" w:hRule="atLeast"/>
          <w:tblHeader/>
          <w:jc w:val="center"/>
        </w:trPr>
        <w:tc>
          <w:tcPr>
            <w:tcW w:w="3544" w:type="dxa"/>
            <w:noWrap/>
            <w:vAlign w:val="center"/>
          </w:tcPr>
          <w:p w14:paraId="075BA085">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噪声源</w:t>
            </w:r>
          </w:p>
        </w:tc>
        <w:tc>
          <w:tcPr>
            <w:tcW w:w="1506" w:type="dxa"/>
            <w:noWrap/>
            <w:vAlign w:val="center"/>
          </w:tcPr>
          <w:p w14:paraId="13D38535">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设计降噪量dB（A）</w:t>
            </w:r>
          </w:p>
        </w:tc>
        <w:tc>
          <w:tcPr>
            <w:tcW w:w="3454" w:type="dxa"/>
            <w:vAlign w:val="center"/>
          </w:tcPr>
          <w:p w14:paraId="056AE215">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降噪措施</w:t>
            </w:r>
          </w:p>
        </w:tc>
      </w:tr>
      <w:tr w14:paraId="4B42C7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0" w:type="dxa"/>
            <w:bottom w:w="28" w:type="dxa"/>
            <w:right w:w="0" w:type="dxa"/>
          </w:tblCellMar>
        </w:tblPrEx>
        <w:trPr>
          <w:cantSplit/>
          <w:trHeight w:val="171" w:hRule="atLeast"/>
          <w:jc w:val="center"/>
        </w:trPr>
        <w:tc>
          <w:tcPr>
            <w:tcW w:w="3544" w:type="dxa"/>
            <w:noWrap/>
            <w:vAlign w:val="center"/>
          </w:tcPr>
          <w:p w14:paraId="001401F1">
            <w:pPr>
              <w:keepNext w:val="0"/>
              <w:keepLines w:val="0"/>
              <w:pageBreakBefore w:val="0"/>
              <w:kinsoku/>
              <w:wordWrap/>
              <w:overflowPunct/>
              <w:topLinePunct w:val="0"/>
              <w:autoSpaceDE/>
              <w:autoSpaceDN/>
              <w:bidi w:val="0"/>
              <w:adjustRightInd/>
              <w:snapToGrid/>
              <w:ind w:left="0" w:right="0"/>
              <w:jc w:val="center"/>
              <w:textAlignment w:val="auto"/>
              <w:rPr>
                <w:snapToGrid w:val="0"/>
                <w:color w:val="auto"/>
                <w:sz w:val="21"/>
                <w:szCs w:val="21"/>
                <w:highlight w:val="none"/>
              </w:rPr>
            </w:pPr>
            <w:r>
              <w:rPr>
                <w:rFonts w:hint="eastAsia" w:ascii="Times New Roman" w:hAnsi="Times New Roman" w:cs="Times New Roman"/>
                <w:color w:val="auto"/>
                <w:sz w:val="21"/>
                <w:szCs w:val="21"/>
                <w:highlight w:val="none"/>
              </w:rPr>
              <w:t>洁净室引风风机</w:t>
            </w:r>
          </w:p>
        </w:tc>
        <w:tc>
          <w:tcPr>
            <w:tcW w:w="1506" w:type="dxa"/>
            <w:noWrap/>
            <w:vAlign w:val="center"/>
          </w:tcPr>
          <w:p w14:paraId="6EAF935C">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25</w:t>
            </w:r>
          </w:p>
        </w:tc>
        <w:tc>
          <w:tcPr>
            <w:tcW w:w="3454" w:type="dxa"/>
            <w:vMerge w:val="restart"/>
            <w:vAlign w:val="center"/>
          </w:tcPr>
          <w:p w14:paraId="59614ECA">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安装减振垫，风机安装隔声罩</w:t>
            </w:r>
          </w:p>
        </w:tc>
      </w:tr>
      <w:tr w14:paraId="5E5E2F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0" w:type="dxa"/>
            <w:bottom w:w="28" w:type="dxa"/>
            <w:right w:w="0" w:type="dxa"/>
          </w:tblCellMar>
        </w:tblPrEx>
        <w:trPr>
          <w:cantSplit/>
          <w:trHeight w:val="171" w:hRule="atLeast"/>
          <w:jc w:val="center"/>
        </w:trPr>
        <w:tc>
          <w:tcPr>
            <w:tcW w:w="3544" w:type="dxa"/>
            <w:noWrap/>
            <w:vAlign w:val="center"/>
          </w:tcPr>
          <w:p w14:paraId="41610D32">
            <w:pPr>
              <w:keepNext w:val="0"/>
              <w:keepLines w:val="0"/>
              <w:pageBreakBefore w:val="0"/>
              <w:kinsoku/>
              <w:wordWrap/>
              <w:overflowPunct/>
              <w:topLinePunct w:val="0"/>
              <w:autoSpaceDE/>
              <w:autoSpaceDN/>
              <w:bidi w:val="0"/>
              <w:adjustRightInd/>
              <w:snapToGrid/>
              <w:ind w:left="0" w:right="0"/>
              <w:jc w:val="center"/>
              <w:textAlignment w:val="auto"/>
              <w:rPr>
                <w:snapToGrid w:val="0"/>
                <w:color w:val="auto"/>
                <w:sz w:val="21"/>
                <w:szCs w:val="21"/>
                <w:highlight w:val="none"/>
              </w:rPr>
            </w:pPr>
            <w:r>
              <w:rPr>
                <w:rFonts w:hint="eastAsia" w:ascii="Times New Roman" w:hAnsi="Times New Roman" w:cs="Times New Roman"/>
                <w:color w:val="auto"/>
                <w:sz w:val="21"/>
                <w:szCs w:val="21"/>
                <w:highlight w:val="none"/>
              </w:rPr>
              <w:t>2套二级活性炭吸附</w:t>
            </w:r>
            <w:r>
              <w:rPr>
                <w:rFonts w:ascii="Times New Roman" w:hAnsi="Times New Roman" w:cs="Times New Roman"/>
                <w:color w:val="auto"/>
                <w:sz w:val="21"/>
                <w:szCs w:val="21"/>
                <w:highlight w:val="none"/>
              </w:rPr>
              <w:t>装置及配套风机</w:t>
            </w:r>
            <w:r>
              <w:rPr>
                <w:rFonts w:hint="eastAsia" w:ascii="Times New Roman" w:hAnsi="Times New Roman" w:cs="Times New Roman"/>
                <w:color w:val="auto"/>
                <w:sz w:val="21"/>
                <w:szCs w:val="21"/>
                <w:highlight w:val="none"/>
              </w:rPr>
              <w:t>（DA006）</w:t>
            </w:r>
          </w:p>
        </w:tc>
        <w:tc>
          <w:tcPr>
            <w:tcW w:w="1506" w:type="dxa"/>
            <w:noWrap/>
            <w:vAlign w:val="center"/>
          </w:tcPr>
          <w:p w14:paraId="5C10B716">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25</w:t>
            </w:r>
          </w:p>
        </w:tc>
        <w:tc>
          <w:tcPr>
            <w:tcW w:w="3454" w:type="dxa"/>
            <w:vMerge w:val="continue"/>
            <w:vAlign w:val="center"/>
          </w:tcPr>
          <w:p w14:paraId="5C4C4DAC">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p>
        </w:tc>
      </w:tr>
    </w:tbl>
    <w:p w14:paraId="7E5B740D">
      <w:pPr>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2 \* GB3 </w:instrText>
      </w:r>
      <w:r>
        <w:rPr>
          <w:rFonts w:ascii="Times New Roman" w:hAnsi="Times New Roman" w:cs="Times New Roman"/>
          <w:color w:val="auto"/>
          <w:highlight w:val="none"/>
        </w:rPr>
        <w:fldChar w:fldCharType="separate"/>
      </w:r>
      <w:r>
        <w:rPr>
          <w:rFonts w:hint="eastAsia"/>
          <w:color w:val="auto"/>
          <w:highlight w:val="none"/>
        </w:rPr>
        <w:t>②</w:t>
      </w:r>
      <w:r>
        <w:rPr>
          <w:rFonts w:ascii="Times New Roman" w:hAnsi="Times New Roman" w:cs="Times New Roman"/>
          <w:color w:val="auto"/>
          <w:highlight w:val="none"/>
        </w:rPr>
        <w:fldChar w:fldCharType="end"/>
      </w:r>
      <w:r>
        <w:rPr>
          <w:rFonts w:ascii="Times New Roman" w:hAnsi="Times New Roman" w:cs="Times New Roman"/>
          <w:color w:val="auto"/>
          <w:highlight w:val="none"/>
        </w:rPr>
        <w:t>厂界噪声影响预测</w:t>
      </w:r>
    </w:p>
    <w:p w14:paraId="6E3FF500">
      <w:pPr>
        <w:spacing w:line="360" w:lineRule="auto"/>
        <w:ind w:left="-105" w:right="-105" w:firstLine="480" w:firstLineChars="200"/>
        <w:rPr>
          <w:rFonts w:ascii="Times New Roman" w:hAnsi="Times New Roman"/>
          <w:color w:val="auto"/>
          <w:highlight w:val="none"/>
        </w:rPr>
      </w:pPr>
      <w:r>
        <w:rPr>
          <w:rFonts w:ascii="Times New Roman" w:hAnsi="Times New Roman" w:cs="Times New Roman"/>
          <w:color w:val="auto"/>
          <w:highlight w:val="none"/>
        </w:rPr>
        <w:t>噪声源采取降噪措施后，各厂界噪声预测结果见下表</w:t>
      </w:r>
      <w:r>
        <w:rPr>
          <w:rFonts w:ascii="Times New Roman" w:hAnsi="Times New Roman"/>
          <w:color w:val="auto"/>
          <w:highlight w:val="none"/>
        </w:rPr>
        <w:t>。</w:t>
      </w:r>
      <w:bookmarkStart w:id="407" w:name="_Ref39130429"/>
    </w:p>
    <w:p w14:paraId="5AE86B37">
      <w:pPr>
        <w:pStyle w:val="15"/>
        <w:ind w:left="-105" w:right="-105" w:firstLine="482"/>
        <w:rPr>
          <w:rFonts w:eastAsia="宋体"/>
          <w:color w:val="auto"/>
          <w:sz w:val="24"/>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6.5</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2</w:t>
      </w:r>
      <w:r>
        <w:rPr>
          <w:rFonts w:eastAsia="宋体"/>
          <w:color w:val="auto"/>
          <w:sz w:val="24"/>
          <w:szCs w:val="18"/>
          <w:highlight w:val="none"/>
        </w:rPr>
        <w:fldChar w:fldCharType="end"/>
      </w:r>
      <w:bookmarkEnd w:id="407"/>
      <w:r>
        <w:rPr>
          <w:rFonts w:eastAsia="宋体"/>
          <w:color w:val="auto"/>
          <w:sz w:val="24"/>
          <w:szCs w:val="18"/>
          <w:highlight w:val="none"/>
        </w:rPr>
        <w:t>本项目厂界噪声预测值影响结果表</w:t>
      </w:r>
      <w:r>
        <w:rPr>
          <w:rFonts w:hint="eastAsia" w:eastAsia="宋体"/>
          <w:color w:val="auto"/>
          <w:sz w:val="24"/>
          <w:szCs w:val="18"/>
          <w:highlight w:val="none"/>
          <w:lang w:val="en-US" w:eastAsia="zh-CN"/>
        </w:rPr>
        <w:t xml:space="preserve"> </w:t>
      </w:r>
      <w:r>
        <w:rPr>
          <w:rFonts w:eastAsia="宋体"/>
          <w:color w:val="auto"/>
          <w:sz w:val="24"/>
          <w:szCs w:val="18"/>
          <w:highlight w:val="none"/>
        </w:rPr>
        <w:t>单位：dB（A）</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3"/>
        <w:gridCol w:w="1868"/>
        <w:gridCol w:w="795"/>
        <w:gridCol w:w="795"/>
        <w:gridCol w:w="795"/>
        <w:gridCol w:w="798"/>
        <w:gridCol w:w="727"/>
        <w:gridCol w:w="727"/>
        <w:gridCol w:w="727"/>
        <w:gridCol w:w="729"/>
      </w:tblGrid>
      <w:tr w14:paraId="61740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543" w:type="dxa"/>
            <w:vMerge w:val="restart"/>
            <w:vAlign w:val="center"/>
          </w:tcPr>
          <w:p w14:paraId="77AF0801">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序号</w:t>
            </w:r>
          </w:p>
        </w:tc>
        <w:tc>
          <w:tcPr>
            <w:tcW w:w="1868" w:type="dxa"/>
            <w:vMerge w:val="restart"/>
            <w:vAlign w:val="center"/>
          </w:tcPr>
          <w:p w14:paraId="02C8E6BE">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设备名称</w:t>
            </w:r>
          </w:p>
        </w:tc>
        <w:tc>
          <w:tcPr>
            <w:tcW w:w="3183" w:type="dxa"/>
            <w:gridSpan w:val="4"/>
            <w:vAlign w:val="center"/>
          </w:tcPr>
          <w:p w14:paraId="6C6C770F">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采取措施后等效源强dB（A）</w:t>
            </w:r>
          </w:p>
        </w:tc>
        <w:tc>
          <w:tcPr>
            <w:tcW w:w="2910" w:type="dxa"/>
            <w:gridSpan w:val="4"/>
            <w:vAlign w:val="center"/>
          </w:tcPr>
          <w:p w14:paraId="7620CA5C">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噪声源对各厂界的贡献值dB（A）</w:t>
            </w:r>
          </w:p>
        </w:tc>
      </w:tr>
      <w:tr w14:paraId="26CBB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543" w:type="dxa"/>
            <w:vMerge w:val="continue"/>
            <w:vAlign w:val="center"/>
          </w:tcPr>
          <w:p w14:paraId="36CECD5C">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1868" w:type="dxa"/>
            <w:vMerge w:val="continue"/>
            <w:vAlign w:val="center"/>
          </w:tcPr>
          <w:p w14:paraId="450A9DE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p>
        </w:tc>
        <w:tc>
          <w:tcPr>
            <w:tcW w:w="795" w:type="dxa"/>
            <w:vAlign w:val="center"/>
          </w:tcPr>
          <w:p w14:paraId="3D2C9BD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东</w:t>
            </w:r>
          </w:p>
        </w:tc>
        <w:tc>
          <w:tcPr>
            <w:tcW w:w="795" w:type="dxa"/>
            <w:vAlign w:val="center"/>
          </w:tcPr>
          <w:p w14:paraId="7A428B6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南</w:t>
            </w:r>
          </w:p>
        </w:tc>
        <w:tc>
          <w:tcPr>
            <w:tcW w:w="795" w:type="dxa"/>
            <w:vAlign w:val="center"/>
          </w:tcPr>
          <w:p w14:paraId="00DF65F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西</w:t>
            </w:r>
          </w:p>
        </w:tc>
        <w:tc>
          <w:tcPr>
            <w:tcW w:w="798" w:type="dxa"/>
            <w:vAlign w:val="center"/>
          </w:tcPr>
          <w:p w14:paraId="125D494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北</w:t>
            </w:r>
          </w:p>
        </w:tc>
        <w:tc>
          <w:tcPr>
            <w:tcW w:w="727" w:type="dxa"/>
            <w:vAlign w:val="center"/>
          </w:tcPr>
          <w:p w14:paraId="798D7EB0">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东</w:t>
            </w:r>
          </w:p>
        </w:tc>
        <w:tc>
          <w:tcPr>
            <w:tcW w:w="727" w:type="dxa"/>
            <w:vAlign w:val="center"/>
          </w:tcPr>
          <w:p w14:paraId="604E0C01">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南</w:t>
            </w:r>
          </w:p>
        </w:tc>
        <w:tc>
          <w:tcPr>
            <w:tcW w:w="727" w:type="dxa"/>
            <w:vAlign w:val="center"/>
          </w:tcPr>
          <w:p w14:paraId="77F7661E">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西</w:t>
            </w:r>
          </w:p>
        </w:tc>
        <w:tc>
          <w:tcPr>
            <w:tcW w:w="729" w:type="dxa"/>
            <w:vAlign w:val="center"/>
          </w:tcPr>
          <w:p w14:paraId="4897E0D1">
            <w:pPr>
              <w:pStyle w:val="154"/>
              <w:keepNext w:val="0"/>
              <w:keepLines w:val="0"/>
              <w:pageBreakBefore w:val="0"/>
              <w:kinsoku/>
              <w:wordWrap/>
              <w:overflowPunct/>
              <w:topLinePunct w:val="0"/>
              <w:autoSpaceDE/>
              <w:autoSpaceDN/>
              <w:bidi w:val="0"/>
              <w:adjustRightInd/>
              <w:snapToGrid/>
              <w:ind w:left="0" w:right="0"/>
              <w:textAlignment w:val="auto"/>
              <w:rPr>
                <w:b/>
                <w:bCs/>
                <w:color w:val="auto"/>
                <w:sz w:val="21"/>
                <w:szCs w:val="21"/>
                <w:highlight w:val="none"/>
              </w:rPr>
            </w:pPr>
            <w:r>
              <w:rPr>
                <w:b/>
                <w:bCs/>
                <w:color w:val="auto"/>
                <w:sz w:val="21"/>
                <w:szCs w:val="21"/>
                <w:highlight w:val="none"/>
              </w:rPr>
              <w:t>北</w:t>
            </w:r>
          </w:p>
        </w:tc>
      </w:tr>
      <w:tr w14:paraId="7CBFE1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43" w:type="dxa"/>
            <w:shd w:val="clear" w:color="auto" w:fill="auto"/>
            <w:vAlign w:val="center"/>
          </w:tcPr>
          <w:p w14:paraId="25985936">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1</w:t>
            </w:r>
          </w:p>
        </w:tc>
        <w:tc>
          <w:tcPr>
            <w:tcW w:w="1868" w:type="dxa"/>
            <w:shd w:val="clear" w:color="auto" w:fill="auto"/>
            <w:vAlign w:val="center"/>
          </w:tcPr>
          <w:p w14:paraId="0E94F726">
            <w:pPr>
              <w:keepNext w:val="0"/>
              <w:keepLines w:val="0"/>
              <w:pageBreakBefore w:val="0"/>
              <w:kinsoku/>
              <w:wordWrap/>
              <w:overflowPunct/>
              <w:topLinePunct w:val="0"/>
              <w:autoSpaceDE/>
              <w:autoSpaceDN/>
              <w:bidi w:val="0"/>
              <w:adjustRightInd/>
              <w:snapToGrid/>
              <w:ind w:left="0" w:right="0"/>
              <w:jc w:val="center"/>
              <w:textAlignment w:val="auto"/>
              <w:rPr>
                <w:snapToGrid w:val="0"/>
                <w:color w:val="auto"/>
                <w:sz w:val="21"/>
                <w:szCs w:val="21"/>
                <w:highlight w:val="none"/>
              </w:rPr>
            </w:pPr>
            <w:r>
              <w:rPr>
                <w:rFonts w:hint="eastAsia" w:ascii="Times New Roman" w:hAnsi="Times New Roman" w:cs="Times New Roman"/>
                <w:color w:val="auto"/>
                <w:sz w:val="21"/>
                <w:szCs w:val="21"/>
                <w:highlight w:val="none"/>
              </w:rPr>
              <w:t>洁净室引风风机</w:t>
            </w:r>
          </w:p>
        </w:tc>
        <w:tc>
          <w:tcPr>
            <w:tcW w:w="795" w:type="dxa"/>
            <w:shd w:val="clear" w:color="auto" w:fill="auto"/>
            <w:vAlign w:val="center"/>
          </w:tcPr>
          <w:p w14:paraId="6D0777C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795" w:type="dxa"/>
            <w:shd w:val="clear" w:color="auto" w:fill="auto"/>
            <w:vAlign w:val="center"/>
          </w:tcPr>
          <w:p w14:paraId="1E11BA9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795" w:type="dxa"/>
            <w:shd w:val="clear" w:color="auto" w:fill="auto"/>
            <w:vAlign w:val="center"/>
          </w:tcPr>
          <w:p w14:paraId="1B9A9F0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798" w:type="dxa"/>
            <w:shd w:val="clear" w:color="auto" w:fill="auto"/>
            <w:vAlign w:val="center"/>
          </w:tcPr>
          <w:p w14:paraId="2C6B6C8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70</w:t>
            </w:r>
          </w:p>
        </w:tc>
        <w:tc>
          <w:tcPr>
            <w:tcW w:w="727" w:type="dxa"/>
            <w:shd w:val="clear" w:color="auto" w:fill="auto"/>
            <w:vAlign w:val="center"/>
          </w:tcPr>
          <w:p w14:paraId="1D15741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38.0</w:t>
            </w:r>
          </w:p>
        </w:tc>
        <w:tc>
          <w:tcPr>
            <w:tcW w:w="727" w:type="dxa"/>
            <w:shd w:val="clear" w:color="auto" w:fill="auto"/>
            <w:vAlign w:val="center"/>
          </w:tcPr>
          <w:p w14:paraId="3FE4936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35.7</w:t>
            </w:r>
          </w:p>
        </w:tc>
        <w:tc>
          <w:tcPr>
            <w:tcW w:w="727" w:type="dxa"/>
            <w:shd w:val="clear" w:color="auto" w:fill="auto"/>
            <w:vAlign w:val="center"/>
          </w:tcPr>
          <w:p w14:paraId="75D92E5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46.6</w:t>
            </w:r>
          </w:p>
        </w:tc>
        <w:tc>
          <w:tcPr>
            <w:tcW w:w="729" w:type="dxa"/>
            <w:shd w:val="clear" w:color="auto" w:fill="FFFFFF"/>
            <w:vAlign w:val="center"/>
          </w:tcPr>
          <w:p w14:paraId="473152A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41.1</w:t>
            </w:r>
          </w:p>
        </w:tc>
      </w:tr>
      <w:tr w14:paraId="7E427C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43" w:type="dxa"/>
            <w:shd w:val="clear" w:color="auto" w:fill="auto"/>
            <w:vAlign w:val="center"/>
          </w:tcPr>
          <w:p w14:paraId="4C8D048F">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2</w:t>
            </w:r>
          </w:p>
        </w:tc>
        <w:tc>
          <w:tcPr>
            <w:tcW w:w="1868" w:type="dxa"/>
            <w:shd w:val="clear" w:color="auto" w:fill="auto"/>
            <w:vAlign w:val="center"/>
          </w:tcPr>
          <w:p w14:paraId="583CEAA4">
            <w:pPr>
              <w:keepNext w:val="0"/>
              <w:keepLines w:val="0"/>
              <w:pageBreakBefore w:val="0"/>
              <w:kinsoku/>
              <w:wordWrap/>
              <w:overflowPunct/>
              <w:topLinePunct w:val="0"/>
              <w:autoSpaceDE/>
              <w:autoSpaceDN/>
              <w:bidi w:val="0"/>
              <w:adjustRightInd/>
              <w:snapToGrid/>
              <w:ind w:left="0" w:right="0"/>
              <w:jc w:val="center"/>
              <w:textAlignment w:val="auto"/>
              <w:rPr>
                <w:snapToGrid w:val="0"/>
                <w:color w:val="auto"/>
                <w:sz w:val="21"/>
                <w:szCs w:val="21"/>
                <w:highlight w:val="none"/>
              </w:rPr>
            </w:pPr>
            <w:r>
              <w:rPr>
                <w:rFonts w:hint="eastAsia" w:ascii="Times New Roman" w:hAnsi="Times New Roman" w:cs="Times New Roman"/>
                <w:color w:val="auto"/>
                <w:sz w:val="21"/>
                <w:szCs w:val="21"/>
                <w:highlight w:val="none"/>
              </w:rPr>
              <w:t>2套二级活性炭吸附</w:t>
            </w:r>
            <w:r>
              <w:rPr>
                <w:rFonts w:ascii="Times New Roman" w:hAnsi="Times New Roman" w:cs="Times New Roman"/>
                <w:color w:val="auto"/>
                <w:sz w:val="21"/>
                <w:szCs w:val="21"/>
                <w:highlight w:val="none"/>
              </w:rPr>
              <w:t>装置及配套风机</w:t>
            </w:r>
            <w:r>
              <w:rPr>
                <w:rFonts w:hint="eastAsia" w:ascii="Times New Roman" w:hAnsi="Times New Roman" w:cs="Times New Roman"/>
                <w:color w:val="auto"/>
                <w:sz w:val="21"/>
                <w:szCs w:val="21"/>
                <w:highlight w:val="none"/>
              </w:rPr>
              <w:t>（DA006）</w:t>
            </w:r>
          </w:p>
        </w:tc>
        <w:tc>
          <w:tcPr>
            <w:tcW w:w="795" w:type="dxa"/>
            <w:shd w:val="clear" w:color="auto" w:fill="auto"/>
            <w:vAlign w:val="center"/>
          </w:tcPr>
          <w:p w14:paraId="20EBE10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795" w:type="dxa"/>
            <w:shd w:val="clear" w:color="auto" w:fill="auto"/>
            <w:vAlign w:val="center"/>
          </w:tcPr>
          <w:p w14:paraId="7868212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795" w:type="dxa"/>
            <w:shd w:val="clear" w:color="auto" w:fill="auto"/>
            <w:vAlign w:val="center"/>
          </w:tcPr>
          <w:p w14:paraId="70158CB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798" w:type="dxa"/>
            <w:shd w:val="clear" w:color="auto" w:fill="auto"/>
            <w:vAlign w:val="center"/>
          </w:tcPr>
          <w:p w14:paraId="4BCAF1A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73</w:t>
            </w:r>
          </w:p>
        </w:tc>
        <w:tc>
          <w:tcPr>
            <w:tcW w:w="727" w:type="dxa"/>
            <w:shd w:val="clear" w:color="auto" w:fill="auto"/>
            <w:vAlign w:val="center"/>
          </w:tcPr>
          <w:p w14:paraId="34D3C97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47.2</w:t>
            </w:r>
          </w:p>
        </w:tc>
        <w:tc>
          <w:tcPr>
            <w:tcW w:w="727" w:type="dxa"/>
            <w:shd w:val="clear" w:color="auto" w:fill="auto"/>
            <w:vAlign w:val="center"/>
          </w:tcPr>
          <w:p w14:paraId="48B2B7C1">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47.9</w:t>
            </w:r>
          </w:p>
        </w:tc>
        <w:tc>
          <w:tcPr>
            <w:tcW w:w="727" w:type="dxa"/>
            <w:shd w:val="clear" w:color="auto" w:fill="auto"/>
            <w:vAlign w:val="center"/>
          </w:tcPr>
          <w:p w14:paraId="7D49281C">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41.7</w:t>
            </w:r>
          </w:p>
        </w:tc>
        <w:tc>
          <w:tcPr>
            <w:tcW w:w="729" w:type="dxa"/>
            <w:shd w:val="clear" w:color="auto" w:fill="FFFFFF"/>
            <w:vAlign w:val="center"/>
          </w:tcPr>
          <w:p w14:paraId="6957B3F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39.9</w:t>
            </w:r>
          </w:p>
        </w:tc>
      </w:tr>
      <w:tr w14:paraId="75F266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restart"/>
            <w:tcBorders>
              <w:right w:val="single" w:color="auto" w:sz="4" w:space="0"/>
            </w:tcBorders>
            <w:shd w:val="clear" w:color="auto" w:fill="auto"/>
            <w:vAlign w:val="center"/>
          </w:tcPr>
          <w:p w14:paraId="504529F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背景值*</w:t>
            </w:r>
          </w:p>
        </w:tc>
        <w:tc>
          <w:tcPr>
            <w:tcW w:w="3183" w:type="dxa"/>
            <w:gridSpan w:val="4"/>
            <w:tcBorders>
              <w:left w:val="single" w:color="auto" w:sz="4" w:space="0"/>
              <w:bottom w:val="single" w:color="auto" w:sz="4" w:space="0"/>
            </w:tcBorders>
            <w:shd w:val="clear" w:color="auto" w:fill="auto"/>
            <w:vAlign w:val="center"/>
          </w:tcPr>
          <w:p w14:paraId="7101E5E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727" w:type="dxa"/>
            <w:tcBorders>
              <w:bottom w:val="single" w:color="auto" w:sz="4" w:space="0"/>
            </w:tcBorders>
            <w:shd w:val="clear" w:color="auto" w:fill="auto"/>
            <w:vAlign w:val="center"/>
          </w:tcPr>
          <w:p w14:paraId="7534512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w:t>
            </w:r>
          </w:p>
        </w:tc>
        <w:tc>
          <w:tcPr>
            <w:tcW w:w="727" w:type="dxa"/>
            <w:shd w:val="clear" w:color="auto" w:fill="auto"/>
            <w:vAlign w:val="center"/>
          </w:tcPr>
          <w:p w14:paraId="0B52F59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w:t>
            </w:r>
          </w:p>
        </w:tc>
        <w:tc>
          <w:tcPr>
            <w:tcW w:w="727" w:type="dxa"/>
            <w:shd w:val="clear" w:color="auto" w:fill="auto"/>
            <w:vAlign w:val="center"/>
          </w:tcPr>
          <w:p w14:paraId="087B99C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w:t>
            </w:r>
          </w:p>
        </w:tc>
        <w:tc>
          <w:tcPr>
            <w:tcW w:w="729" w:type="dxa"/>
            <w:shd w:val="clear" w:color="auto" w:fill="FFFFFF"/>
            <w:vAlign w:val="center"/>
          </w:tcPr>
          <w:p w14:paraId="7184DC22">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w:t>
            </w:r>
          </w:p>
        </w:tc>
      </w:tr>
      <w:tr w14:paraId="3F15E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continue"/>
            <w:tcBorders>
              <w:right w:val="single" w:color="auto" w:sz="4" w:space="0"/>
            </w:tcBorders>
            <w:shd w:val="clear" w:color="auto" w:fill="auto"/>
            <w:vAlign w:val="center"/>
          </w:tcPr>
          <w:p w14:paraId="1B6084C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3183" w:type="dxa"/>
            <w:gridSpan w:val="4"/>
            <w:tcBorders>
              <w:top w:val="single" w:color="auto" w:sz="4" w:space="0"/>
              <w:left w:val="single" w:color="auto" w:sz="4" w:space="0"/>
            </w:tcBorders>
            <w:shd w:val="clear" w:color="auto" w:fill="auto"/>
            <w:vAlign w:val="center"/>
          </w:tcPr>
          <w:p w14:paraId="545D26C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727" w:type="dxa"/>
            <w:tcBorders>
              <w:top w:val="single" w:color="auto" w:sz="4" w:space="0"/>
            </w:tcBorders>
            <w:shd w:val="clear" w:color="auto" w:fill="auto"/>
            <w:vAlign w:val="center"/>
          </w:tcPr>
          <w:p w14:paraId="1DD68AA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49</w:t>
            </w:r>
          </w:p>
        </w:tc>
        <w:tc>
          <w:tcPr>
            <w:tcW w:w="727" w:type="dxa"/>
            <w:shd w:val="clear" w:color="auto" w:fill="auto"/>
            <w:vAlign w:val="center"/>
          </w:tcPr>
          <w:p w14:paraId="04A2DEE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49</w:t>
            </w:r>
          </w:p>
        </w:tc>
        <w:tc>
          <w:tcPr>
            <w:tcW w:w="727" w:type="dxa"/>
            <w:shd w:val="clear" w:color="auto" w:fill="auto"/>
            <w:vAlign w:val="center"/>
          </w:tcPr>
          <w:p w14:paraId="57B18B3A">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48</w:t>
            </w:r>
          </w:p>
        </w:tc>
        <w:tc>
          <w:tcPr>
            <w:tcW w:w="729" w:type="dxa"/>
            <w:shd w:val="clear" w:color="auto" w:fill="FFFFFF"/>
            <w:vAlign w:val="center"/>
          </w:tcPr>
          <w:p w14:paraId="68D15544">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48</w:t>
            </w:r>
          </w:p>
        </w:tc>
      </w:tr>
      <w:tr w14:paraId="563498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restart"/>
            <w:tcBorders>
              <w:right w:val="single" w:color="auto" w:sz="4" w:space="0"/>
            </w:tcBorders>
            <w:shd w:val="clear" w:color="auto" w:fill="auto"/>
            <w:vAlign w:val="center"/>
          </w:tcPr>
          <w:p w14:paraId="352ED7F1">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预测</w:t>
            </w:r>
            <w:r>
              <w:rPr>
                <w:rFonts w:hint="eastAsia" w:ascii="Times New Roman" w:hAnsi="Times New Roman" w:cs="Times New Roman"/>
                <w:color w:val="auto"/>
                <w:sz w:val="21"/>
                <w:szCs w:val="21"/>
                <w:highlight w:val="none"/>
              </w:rPr>
              <w:t>值</w:t>
            </w:r>
          </w:p>
        </w:tc>
        <w:tc>
          <w:tcPr>
            <w:tcW w:w="3183" w:type="dxa"/>
            <w:gridSpan w:val="4"/>
            <w:tcBorders>
              <w:left w:val="single" w:color="auto" w:sz="4" w:space="0"/>
            </w:tcBorders>
            <w:shd w:val="clear" w:color="auto" w:fill="auto"/>
            <w:vAlign w:val="center"/>
          </w:tcPr>
          <w:p w14:paraId="0B64BDF7">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727" w:type="dxa"/>
            <w:shd w:val="clear" w:color="auto" w:fill="auto"/>
            <w:vAlign w:val="center"/>
          </w:tcPr>
          <w:p w14:paraId="0CAC1A0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58.4</w:t>
            </w:r>
          </w:p>
        </w:tc>
        <w:tc>
          <w:tcPr>
            <w:tcW w:w="727" w:type="dxa"/>
            <w:shd w:val="clear" w:color="auto" w:fill="auto"/>
            <w:vAlign w:val="center"/>
          </w:tcPr>
          <w:p w14:paraId="1FBD3E8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58.4</w:t>
            </w:r>
          </w:p>
        </w:tc>
        <w:tc>
          <w:tcPr>
            <w:tcW w:w="727" w:type="dxa"/>
            <w:shd w:val="clear" w:color="auto" w:fill="auto"/>
            <w:vAlign w:val="center"/>
          </w:tcPr>
          <w:p w14:paraId="686A939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58.4</w:t>
            </w:r>
          </w:p>
        </w:tc>
        <w:tc>
          <w:tcPr>
            <w:tcW w:w="729" w:type="dxa"/>
            <w:shd w:val="clear" w:color="auto" w:fill="FFFFFF"/>
            <w:vAlign w:val="center"/>
          </w:tcPr>
          <w:p w14:paraId="10C40501">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58.2</w:t>
            </w:r>
          </w:p>
        </w:tc>
      </w:tr>
      <w:tr w14:paraId="24215A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continue"/>
            <w:tcBorders>
              <w:right w:val="single" w:color="auto" w:sz="4" w:space="0"/>
            </w:tcBorders>
            <w:shd w:val="clear" w:color="auto" w:fill="auto"/>
            <w:vAlign w:val="center"/>
          </w:tcPr>
          <w:p w14:paraId="67B8C8A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3183" w:type="dxa"/>
            <w:gridSpan w:val="4"/>
            <w:tcBorders>
              <w:left w:val="single" w:color="auto" w:sz="4" w:space="0"/>
            </w:tcBorders>
            <w:shd w:val="clear" w:color="auto" w:fill="auto"/>
            <w:vAlign w:val="center"/>
          </w:tcPr>
          <w:p w14:paraId="46D11226">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727" w:type="dxa"/>
            <w:shd w:val="clear" w:color="auto" w:fill="auto"/>
            <w:vAlign w:val="center"/>
          </w:tcPr>
          <w:p w14:paraId="0DAA4B0E">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51.4</w:t>
            </w:r>
          </w:p>
        </w:tc>
        <w:tc>
          <w:tcPr>
            <w:tcW w:w="727" w:type="dxa"/>
            <w:shd w:val="clear" w:color="auto" w:fill="auto"/>
            <w:vAlign w:val="center"/>
          </w:tcPr>
          <w:p w14:paraId="5D3DA120">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51.6</w:t>
            </w:r>
          </w:p>
        </w:tc>
        <w:tc>
          <w:tcPr>
            <w:tcW w:w="727" w:type="dxa"/>
            <w:shd w:val="clear" w:color="auto" w:fill="auto"/>
            <w:vAlign w:val="center"/>
          </w:tcPr>
          <w:p w14:paraId="4C67D77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50.9</w:t>
            </w:r>
          </w:p>
        </w:tc>
        <w:tc>
          <w:tcPr>
            <w:tcW w:w="729" w:type="dxa"/>
            <w:shd w:val="clear" w:color="auto" w:fill="FFFFFF"/>
            <w:vAlign w:val="center"/>
          </w:tcPr>
          <w:p w14:paraId="603C009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49.3</w:t>
            </w:r>
          </w:p>
        </w:tc>
      </w:tr>
      <w:tr w14:paraId="7F6C6A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restart"/>
            <w:shd w:val="clear" w:color="auto" w:fill="BEBEBE" w:themeFill="background1" w:themeFillShade="BF"/>
            <w:vAlign w:val="center"/>
          </w:tcPr>
          <w:p w14:paraId="253B75C4">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rFonts w:hint="eastAsia"/>
                <w:color w:val="auto"/>
                <w:sz w:val="21"/>
                <w:szCs w:val="21"/>
                <w:highlight w:val="none"/>
              </w:rPr>
              <w:t>标准值</w:t>
            </w:r>
          </w:p>
        </w:tc>
        <w:tc>
          <w:tcPr>
            <w:tcW w:w="3183" w:type="dxa"/>
            <w:gridSpan w:val="4"/>
            <w:shd w:val="clear" w:color="auto" w:fill="BEBEBE" w:themeFill="background1" w:themeFillShade="BF"/>
            <w:vAlign w:val="center"/>
          </w:tcPr>
          <w:p w14:paraId="31775AA8">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昼间</w:t>
            </w:r>
          </w:p>
        </w:tc>
        <w:tc>
          <w:tcPr>
            <w:tcW w:w="727" w:type="dxa"/>
            <w:shd w:val="clear" w:color="auto" w:fill="BEBEBE" w:themeFill="background1" w:themeFillShade="BF"/>
            <w:vAlign w:val="center"/>
          </w:tcPr>
          <w:p w14:paraId="6CA428CF">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65</w:t>
            </w:r>
          </w:p>
        </w:tc>
        <w:tc>
          <w:tcPr>
            <w:tcW w:w="727" w:type="dxa"/>
            <w:shd w:val="clear" w:color="auto" w:fill="BEBEBE" w:themeFill="background1" w:themeFillShade="BF"/>
            <w:vAlign w:val="center"/>
          </w:tcPr>
          <w:p w14:paraId="7321350B">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65</w:t>
            </w:r>
          </w:p>
        </w:tc>
        <w:tc>
          <w:tcPr>
            <w:tcW w:w="727" w:type="dxa"/>
            <w:shd w:val="clear" w:color="auto" w:fill="BEBEBE" w:themeFill="background1" w:themeFillShade="BF"/>
            <w:vAlign w:val="center"/>
          </w:tcPr>
          <w:p w14:paraId="2F6E668C">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65</w:t>
            </w:r>
          </w:p>
        </w:tc>
        <w:tc>
          <w:tcPr>
            <w:tcW w:w="729" w:type="dxa"/>
            <w:shd w:val="clear" w:color="auto" w:fill="BEBEBE" w:themeFill="background1" w:themeFillShade="BF"/>
            <w:vAlign w:val="center"/>
          </w:tcPr>
          <w:p w14:paraId="22EA2A0E">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65</w:t>
            </w:r>
          </w:p>
        </w:tc>
      </w:tr>
      <w:tr w14:paraId="694B11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1" w:type="dxa"/>
            <w:gridSpan w:val="2"/>
            <w:vMerge w:val="continue"/>
            <w:shd w:val="clear" w:color="auto" w:fill="BEBEBE" w:themeFill="background1" w:themeFillShade="BF"/>
            <w:vAlign w:val="center"/>
          </w:tcPr>
          <w:p w14:paraId="4B1927E8">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p>
        </w:tc>
        <w:tc>
          <w:tcPr>
            <w:tcW w:w="3183" w:type="dxa"/>
            <w:gridSpan w:val="4"/>
            <w:shd w:val="clear" w:color="auto" w:fill="BEBEBE" w:themeFill="background1" w:themeFillShade="BF"/>
            <w:vAlign w:val="center"/>
          </w:tcPr>
          <w:p w14:paraId="76B18BC3">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夜间</w:t>
            </w:r>
          </w:p>
        </w:tc>
        <w:tc>
          <w:tcPr>
            <w:tcW w:w="727" w:type="dxa"/>
            <w:shd w:val="clear" w:color="auto" w:fill="BEBEBE" w:themeFill="background1" w:themeFillShade="BF"/>
            <w:vAlign w:val="center"/>
          </w:tcPr>
          <w:p w14:paraId="255E669F">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55</w:t>
            </w:r>
          </w:p>
        </w:tc>
        <w:tc>
          <w:tcPr>
            <w:tcW w:w="727" w:type="dxa"/>
            <w:shd w:val="clear" w:color="auto" w:fill="BEBEBE" w:themeFill="background1" w:themeFillShade="BF"/>
            <w:vAlign w:val="center"/>
          </w:tcPr>
          <w:p w14:paraId="5AA5115A">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55</w:t>
            </w:r>
          </w:p>
        </w:tc>
        <w:tc>
          <w:tcPr>
            <w:tcW w:w="727" w:type="dxa"/>
            <w:shd w:val="clear" w:color="auto" w:fill="BEBEBE" w:themeFill="background1" w:themeFillShade="BF"/>
            <w:vAlign w:val="center"/>
          </w:tcPr>
          <w:p w14:paraId="232C2BCB">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55</w:t>
            </w:r>
          </w:p>
        </w:tc>
        <w:tc>
          <w:tcPr>
            <w:tcW w:w="729" w:type="dxa"/>
            <w:shd w:val="clear" w:color="auto" w:fill="BEBEBE" w:themeFill="background1" w:themeFillShade="BF"/>
            <w:vAlign w:val="center"/>
          </w:tcPr>
          <w:p w14:paraId="33088411">
            <w:pPr>
              <w:pStyle w:val="154"/>
              <w:keepNext w:val="0"/>
              <w:keepLines w:val="0"/>
              <w:pageBreakBefore w:val="0"/>
              <w:kinsoku/>
              <w:wordWrap/>
              <w:overflowPunct/>
              <w:topLinePunct w:val="0"/>
              <w:autoSpaceDE/>
              <w:autoSpaceDN/>
              <w:bidi w:val="0"/>
              <w:adjustRightInd/>
              <w:snapToGrid/>
              <w:ind w:left="0" w:right="0"/>
              <w:textAlignment w:val="auto"/>
              <w:rPr>
                <w:color w:val="auto"/>
                <w:sz w:val="21"/>
                <w:szCs w:val="21"/>
                <w:highlight w:val="none"/>
              </w:rPr>
            </w:pPr>
            <w:r>
              <w:rPr>
                <w:color w:val="auto"/>
                <w:sz w:val="21"/>
                <w:szCs w:val="21"/>
                <w:highlight w:val="none"/>
              </w:rPr>
              <w:t>55</w:t>
            </w:r>
          </w:p>
        </w:tc>
      </w:tr>
      <w:tr w14:paraId="38AFC8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94" w:type="dxa"/>
            <w:gridSpan w:val="6"/>
            <w:shd w:val="clear" w:color="auto" w:fill="BEBEBE" w:themeFill="background1" w:themeFillShade="BF"/>
            <w:vAlign w:val="center"/>
          </w:tcPr>
          <w:p w14:paraId="4277E59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color w:val="auto"/>
                <w:sz w:val="21"/>
                <w:szCs w:val="21"/>
                <w:highlight w:val="none"/>
              </w:rPr>
              <w:t>达标情况</w:t>
            </w:r>
          </w:p>
        </w:tc>
        <w:tc>
          <w:tcPr>
            <w:tcW w:w="727" w:type="dxa"/>
            <w:shd w:val="clear" w:color="auto" w:fill="BEBEBE" w:themeFill="background1" w:themeFillShade="BF"/>
            <w:vAlign w:val="center"/>
          </w:tcPr>
          <w:p w14:paraId="6DA73955">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c>
          <w:tcPr>
            <w:tcW w:w="727" w:type="dxa"/>
            <w:shd w:val="clear" w:color="auto" w:fill="BEBEBE" w:themeFill="background1" w:themeFillShade="BF"/>
            <w:vAlign w:val="center"/>
          </w:tcPr>
          <w:p w14:paraId="0074586B">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c>
          <w:tcPr>
            <w:tcW w:w="727" w:type="dxa"/>
            <w:shd w:val="clear" w:color="auto" w:fill="BEBEBE" w:themeFill="background1" w:themeFillShade="BF"/>
            <w:vAlign w:val="center"/>
          </w:tcPr>
          <w:p w14:paraId="287089C9">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c>
          <w:tcPr>
            <w:tcW w:w="729" w:type="dxa"/>
            <w:shd w:val="clear" w:color="auto" w:fill="BEBEBE" w:themeFill="background1" w:themeFillShade="BF"/>
            <w:vAlign w:val="center"/>
          </w:tcPr>
          <w:p w14:paraId="238A67EF">
            <w:pPr>
              <w:keepNext w:val="0"/>
              <w:keepLines w:val="0"/>
              <w:pageBreakBefore w:val="0"/>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r>
    </w:tbl>
    <w:p w14:paraId="25151F61">
      <w:pPr>
        <w:ind w:left="-105" w:right="-105" w:firstLine="422"/>
        <w:rPr>
          <w:b/>
          <w:bCs/>
          <w:color w:val="auto"/>
          <w:sz w:val="21"/>
          <w:szCs w:val="21"/>
          <w:highlight w:val="none"/>
        </w:rPr>
      </w:pPr>
      <w:r>
        <w:rPr>
          <w:rFonts w:hint="eastAsia"/>
          <w:b/>
          <w:bCs/>
          <w:color w:val="auto"/>
          <w:sz w:val="21"/>
          <w:szCs w:val="21"/>
          <w:highlight w:val="none"/>
        </w:rPr>
        <w:t>注：背景值取厂界现状监测最大值。</w:t>
      </w:r>
    </w:p>
    <w:p w14:paraId="27317AD0">
      <w:pPr>
        <w:keepNext w:val="0"/>
        <w:keepLines w:val="0"/>
        <w:pageBreakBefore w:val="0"/>
        <w:widowControl/>
        <w:kinsoku/>
        <w:wordWrap/>
        <w:overflowPunct/>
        <w:topLinePunct w:val="0"/>
        <w:autoSpaceDE/>
        <w:autoSpaceDN/>
        <w:bidi w:val="0"/>
        <w:adjustRightInd/>
        <w:snapToGrid/>
        <w:spacing w:line="360" w:lineRule="auto"/>
        <w:ind w:left="0" w:right="0" w:firstLine="482"/>
        <w:jc w:val="center"/>
        <w:textAlignment w:val="auto"/>
        <w:rPr>
          <w:rFonts w:hint="eastAsia" w:ascii="Times New Roman" w:hAnsi="Times New Roman" w:eastAsia="宋体" w:cstheme="majorBidi"/>
          <w:b/>
          <w:color w:val="auto"/>
          <w:kern w:val="2"/>
          <w:sz w:val="24"/>
          <w:szCs w:val="18"/>
          <w:highlight w:val="none"/>
          <w:lang w:val="en-US" w:eastAsia="zh-CN" w:bidi="ar-SA"/>
        </w:rPr>
      </w:pPr>
      <w:r>
        <w:rPr>
          <w:rFonts w:ascii="Times New Roman" w:hAnsi="Times New Roman" w:eastAsia="宋体" w:cstheme="majorBidi"/>
          <w:b/>
          <w:color w:val="auto"/>
          <w:kern w:val="2"/>
          <w:sz w:val="24"/>
          <w:szCs w:val="18"/>
          <w:highlight w:val="none"/>
          <w:lang w:val="en-US" w:eastAsia="zh-CN" w:bidi="ar-SA"/>
        </w:rPr>
        <w:t>表</w:t>
      </w:r>
      <w:r>
        <w:rPr>
          <w:rFonts w:ascii="Times New Roman" w:hAnsi="Times New Roman" w:eastAsia="宋体" w:cstheme="majorBidi"/>
          <w:b/>
          <w:color w:val="auto"/>
          <w:kern w:val="2"/>
          <w:sz w:val="24"/>
          <w:szCs w:val="18"/>
          <w:highlight w:val="none"/>
          <w:lang w:val="en-US" w:eastAsia="zh-CN" w:bidi="ar-SA"/>
        </w:rPr>
        <w:fldChar w:fldCharType="begin"/>
      </w:r>
      <w:r>
        <w:rPr>
          <w:rFonts w:ascii="Times New Roman" w:hAnsi="Times New Roman" w:eastAsia="宋体" w:cstheme="majorBidi"/>
          <w:b/>
          <w:color w:val="auto"/>
          <w:kern w:val="2"/>
          <w:sz w:val="24"/>
          <w:szCs w:val="18"/>
          <w:highlight w:val="none"/>
          <w:lang w:val="en-US" w:eastAsia="zh-CN" w:bidi="ar-SA"/>
        </w:rPr>
        <w:instrText xml:space="preserve"> STYLEREF 2 \s </w:instrText>
      </w:r>
      <w:r>
        <w:rPr>
          <w:rFonts w:ascii="Times New Roman" w:hAnsi="Times New Roman" w:eastAsia="宋体" w:cstheme="majorBidi"/>
          <w:b/>
          <w:color w:val="auto"/>
          <w:kern w:val="2"/>
          <w:sz w:val="24"/>
          <w:szCs w:val="18"/>
          <w:highlight w:val="none"/>
          <w:lang w:val="en-US" w:eastAsia="zh-CN" w:bidi="ar-SA"/>
        </w:rPr>
        <w:fldChar w:fldCharType="separate"/>
      </w:r>
      <w:r>
        <w:rPr>
          <w:rFonts w:ascii="Times New Roman" w:hAnsi="Times New Roman" w:eastAsia="宋体" w:cstheme="majorBidi"/>
          <w:b/>
          <w:color w:val="auto"/>
          <w:kern w:val="2"/>
          <w:sz w:val="24"/>
          <w:szCs w:val="18"/>
          <w:highlight w:val="none"/>
          <w:lang w:val="en-US" w:eastAsia="zh-CN" w:bidi="ar-SA"/>
        </w:rPr>
        <w:t>6.5</w:t>
      </w:r>
      <w:r>
        <w:rPr>
          <w:rFonts w:ascii="Times New Roman" w:hAnsi="Times New Roman" w:eastAsia="宋体" w:cstheme="majorBidi"/>
          <w:b/>
          <w:color w:val="auto"/>
          <w:kern w:val="2"/>
          <w:sz w:val="24"/>
          <w:szCs w:val="18"/>
          <w:highlight w:val="none"/>
          <w:lang w:val="en-US" w:eastAsia="zh-CN" w:bidi="ar-SA"/>
        </w:rPr>
        <w:fldChar w:fldCharType="end"/>
      </w:r>
      <w:r>
        <w:rPr>
          <w:rFonts w:ascii="Times New Roman" w:hAnsi="Times New Roman" w:eastAsia="宋体" w:cstheme="majorBidi"/>
          <w:b/>
          <w:color w:val="auto"/>
          <w:kern w:val="2"/>
          <w:sz w:val="24"/>
          <w:szCs w:val="18"/>
          <w:highlight w:val="none"/>
          <w:lang w:val="en-US" w:eastAsia="zh-CN" w:bidi="ar-SA"/>
        </w:rPr>
        <w:noBreakHyphen/>
      </w:r>
      <w:r>
        <w:rPr>
          <w:rFonts w:ascii="Times New Roman" w:hAnsi="Times New Roman" w:eastAsia="宋体" w:cstheme="majorBidi"/>
          <w:b/>
          <w:color w:val="auto"/>
          <w:kern w:val="2"/>
          <w:sz w:val="24"/>
          <w:szCs w:val="18"/>
          <w:highlight w:val="none"/>
          <w:lang w:val="en-US" w:eastAsia="zh-CN" w:bidi="ar-SA"/>
        </w:rPr>
        <w:fldChar w:fldCharType="begin"/>
      </w:r>
      <w:r>
        <w:rPr>
          <w:rFonts w:ascii="Times New Roman" w:hAnsi="Times New Roman" w:eastAsia="宋体" w:cstheme="majorBidi"/>
          <w:b/>
          <w:color w:val="auto"/>
          <w:kern w:val="2"/>
          <w:sz w:val="24"/>
          <w:szCs w:val="18"/>
          <w:highlight w:val="none"/>
          <w:lang w:val="en-US" w:eastAsia="zh-CN" w:bidi="ar-SA"/>
        </w:rPr>
        <w:instrText xml:space="preserve"> SEQ 表 \* ARABIC \s 2 </w:instrText>
      </w:r>
      <w:r>
        <w:rPr>
          <w:rFonts w:ascii="Times New Roman" w:hAnsi="Times New Roman" w:eastAsia="宋体" w:cstheme="majorBidi"/>
          <w:b/>
          <w:color w:val="auto"/>
          <w:kern w:val="2"/>
          <w:sz w:val="24"/>
          <w:szCs w:val="18"/>
          <w:highlight w:val="none"/>
          <w:lang w:val="en-US" w:eastAsia="zh-CN" w:bidi="ar-SA"/>
        </w:rPr>
        <w:fldChar w:fldCharType="separate"/>
      </w:r>
      <w:r>
        <w:rPr>
          <w:rFonts w:ascii="Times New Roman" w:hAnsi="Times New Roman" w:eastAsia="宋体" w:cstheme="majorBidi"/>
          <w:b/>
          <w:color w:val="auto"/>
          <w:kern w:val="2"/>
          <w:sz w:val="24"/>
          <w:szCs w:val="18"/>
          <w:highlight w:val="none"/>
          <w:lang w:val="en-US" w:eastAsia="zh-CN" w:bidi="ar-SA"/>
        </w:rPr>
        <w:t>3</w:t>
      </w:r>
      <w:r>
        <w:rPr>
          <w:rFonts w:ascii="Times New Roman" w:hAnsi="Times New Roman" w:eastAsia="宋体" w:cstheme="majorBidi"/>
          <w:b/>
          <w:color w:val="auto"/>
          <w:kern w:val="2"/>
          <w:sz w:val="24"/>
          <w:szCs w:val="18"/>
          <w:highlight w:val="none"/>
          <w:lang w:val="en-US" w:eastAsia="zh-CN" w:bidi="ar-SA"/>
        </w:rPr>
        <w:fldChar w:fldCharType="end"/>
      </w:r>
      <w:r>
        <w:rPr>
          <w:rFonts w:hint="eastAsia" w:ascii="Times New Roman" w:hAnsi="Times New Roman" w:eastAsia="宋体" w:cstheme="majorBidi"/>
          <w:b/>
          <w:color w:val="auto"/>
          <w:kern w:val="2"/>
          <w:sz w:val="24"/>
          <w:szCs w:val="18"/>
          <w:highlight w:val="none"/>
          <w:lang w:val="en-US" w:eastAsia="zh-CN" w:bidi="ar-SA"/>
        </w:rPr>
        <w:t>工业企业声环境保护目标噪声预测结果与达标分析</w:t>
      </w:r>
      <w:r>
        <w:rPr>
          <w:rFonts w:ascii="Times New Roman" w:hAnsi="Times New Roman" w:eastAsia="宋体" w:cstheme="majorBidi"/>
          <w:b/>
          <w:color w:val="auto"/>
          <w:kern w:val="2"/>
          <w:sz w:val="24"/>
          <w:szCs w:val="18"/>
          <w:highlight w:val="none"/>
          <w:lang w:val="en-US" w:eastAsia="zh-CN" w:bidi="ar-SA"/>
        </w:rPr>
        <w:t>表</w:t>
      </w:r>
      <w:r>
        <w:rPr>
          <w:rFonts w:hint="eastAsia" w:ascii="Times New Roman" w:hAnsi="Times New Roman" w:eastAsia="宋体" w:cstheme="majorBidi"/>
          <w:b/>
          <w:color w:val="auto"/>
          <w:kern w:val="2"/>
          <w:sz w:val="24"/>
          <w:szCs w:val="18"/>
          <w:highlight w:val="none"/>
          <w:lang w:val="en-US" w:eastAsia="zh-CN" w:bidi="ar-SA"/>
        </w:rPr>
        <w:t xml:space="preserve"> </w:t>
      </w:r>
      <w:r>
        <w:rPr>
          <w:rFonts w:ascii="Times New Roman" w:hAnsi="Times New Roman" w:eastAsia="宋体" w:cstheme="majorBidi"/>
          <w:b/>
          <w:color w:val="auto"/>
          <w:kern w:val="2"/>
          <w:sz w:val="24"/>
          <w:szCs w:val="18"/>
          <w:highlight w:val="none"/>
          <w:lang w:val="en-US" w:eastAsia="zh-CN" w:bidi="ar-SA"/>
        </w:rPr>
        <w:t>单位：dB（A）</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82"/>
        <w:gridCol w:w="726"/>
        <w:gridCol w:w="727"/>
        <w:gridCol w:w="727"/>
        <w:gridCol w:w="727"/>
        <w:gridCol w:w="727"/>
        <w:gridCol w:w="727"/>
        <w:gridCol w:w="727"/>
        <w:gridCol w:w="727"/>
        <w:gridCol w:w="727"/>
        <w:gridCol w:w="727"/>
      </w:tblGrid>
      <w:tr w14:paraId="56CCF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9" w:type="dxa"/>
            <w:vMerge w:val="restart"/>
            <w:tcBorders>
              <w:tl2br w:val="nil"/>
              <w:tr2bl w:val="nil"/>
            </w:tcBorders>
            <w:vAlign w:val="center"/>
          </w:tcPr>
          <w:p w14:paraId="344F4E59">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序号</w:t>
            </w:r>
          </w:p>
        </w:tc>
        <w:tc>
          <w:tcPr>
            <w:tcW w:w="882" w:type="dxa"/>
            <w:vMerge w:val="restart"/>
            <w:tcBorders>
              <w:tl2br w:val="nil"/>
              <w:tr2bl w:val="nil"/>
            </w:tcBorders>
            <w:vAlign w:val="center"/>
          </w:tcPr>
          <w:p w14:paraId="20A0527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声环境保护目标名称</w:t>
            </w:r>
          </w:p>
        </w:tc>
        <w:tc>
          <w:tcPr>
            <w:tcW w:w="1453" w:type="dxa"/>
            <w:gridSpan w:val="2"/>
            <w:tcBorders>
              <w:tl2br w:val="nil"/>
              <w:tr2bl w:val="nil"/>
            </w:tcBorders>
            <w:vAlign w:val="center"/>
          </w:tcPr>
          <w:p w14:paraId="75B3455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现状值</w:t>
            </w:r>
          </w:p>
        </w:tc>
        <w:tc>
          <w:tcPr>
            <w:tcW w:w="1454" w:type="dxa"/>
            <w:gridSpan w:val="2"/>
            <w:tcBorders>
              <w:tl2br w:val="nil"/>
              <w:tr2bl w:val="nil"/>
            </w:tcBorders>
            <w:vAlign w:val="center"/>
          </w:tcPr>
          <w:p w14:paraId="07DFD814">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噪声标准</w:t>
            </w:r>
          </w:p>
        </w:tc>
        <w:tc>
          <w:tcPr>
            <w:tcW w:w="1454" w:type="dxa"/>
            <w:gridSpan w:val="2"/>
            <w:tcBorders>
              <w:tl2br w:val="nil"/>
              <w:tr2bl w:val="nil"/>
            </w:tcBorders>
            <w:vAlign w:val="center"/>
          </w:tcPr>
          <w:p w14:paraId="0043349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预测值</w:t>
            </w:r>
          </w:p>
        </w:tc>
        <w:tc>
          <w:tcPr>
            <w:tcW w:w="1454" w:type="dxa"/>
            <w:gridSpan w:val="2"/>
            <w:tcBorders>
              <w:tl2br w:val="nil"/>
              <w:tr2bl w:val="nil"/>
            </w:tcBorders>
            <w:vAlign w:val="center"/>
          </w:tcPr>
          <w:p w14:paraId="7E3D2196">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较现状增量</w:t>
            </w:r>
          </w:p>
        </w:tc>
        <w:tc>
          <w:tcPr>
            <w:tcW w:w="1454" w:type="dxa"/>
            <w:gridSpan w:val="2"/>
            <w:tcBorders>
              <w:tl2br w:val="nil"/>
              <w:tr2bl w:val="nil"/>
            </w:tcBorders>
            <w:vAlign w:val="center"/>
          </w:tcPr>
          <w:p w14:paraId="2A3D2C76">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达标情况</w:t>
            </w:r>
          </w:p>
        </w:tc>
      </w:tr>
      <w:tr w14:paraId="74E9F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9" w:type="dxa"/>
            <w:vMerge w:val="continue"/>
            <w:tcBorders>
              <w:tl2br w:val="nil"/>
              <w:tr2bl w:val="nil"/>
            </w:tcBorders>
            <w:vAlign w:val="center"/>
          </w:tcPr>
          <w:p w14:paraId="534B23D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rPr>
            </w:pPr>
          </w:p>
        </w:tc>
        <w:tc>
          <w:tcPr>
            <w:tcW w:w="882" w:type="dxa"/>
            <w:vMerge w:val="continue"/>
            <w:tcBorders>
              <w:tl2br w:val="nil"/>
              <w:tr2bl w:val="nil"/>
            </w:tcBorders>
            <w:vAlign w:val="center"/>
          </w:tcPr>
          <w:p w14:paraId="7160B553">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rPr>
            </w:pPr>
          </w:p>
        </w:tc>
        <w:tc>
          <w:tcPr>
            <w:tcW w:w="726" w:type="dxa"/>
            <w:tcBorders>
              <w:tl2br w:val="nil"/>
              <w:tr2bl w:val="nil"/>
            </w:tcBorders>
            <w:vAlign w:val="center"/>
          </w:tcPr>
          <w:p w14:paraId="4070B3D7">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昼间</w:t>
            </w:r>
          </w:p>
        </w:tc>
        <w:tc>
          <w:tcPr>
            <w:tcW w:w="727" w:type="dxa"/>
            <w:tcBorders>
              <w:tl2br w:val="nil"/>
              <w:tr2bl w:val="nil"/>
            </w:tcBorders>
            <w:vAlign w:val="center"/>
          </w:tcPr>
          <w:p w14:paraId="0FB40E4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夜间</w:t>
            </w:r>
          </w:p>
        </w:tc>
        <w:tc>
          <w:tcPr>
            <w:tcW w:w="727" w:type="dxa"/>
            <w:tcBorders>
              <w:tl2br w:val="nil"/>
              <w:tr2bl w:val="nil"/>
            </w:tcBorders>
            <w:vAlign w:val="center"/>
          </w:tcPr>
          <w:p w14:paraId="16DDC0E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昼间</w:t>
            </w:r>
          </w:p>
        </w:tc>
        <w:tc>
          <w:tcPr>
            <w:tcW w:w="727" w:type="dxa"/>
            <w:tcBorders>
              <w:tl2br w:val="nil"/>
              <w:tr2bl w:val="nil"/>
            </w:tcBorders>
            <w:vAlign w:val="center"/>
          </w:tcPr>
          <w:p w14:paraId="36D1A4A5">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夜间</w:t>
            </w:r>
          </w:p>
        </w:tc>
        <w:tc>
          <w:tcPr>
            <w:tcW w:w="727" w:type="dxa"/>
            <w:tcBorders>
              <w:tl2br w:val="nil"/>
              <w:tr2bl w:val="nil"/>
            </w:tcBorders>
            <w:vAlign w:val="center"/>
          </w:tcPr>
          <w:p w14:paraId="33A690F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昼间</w:t>
            </w:r>
          </w:p>
        </w:tc>
        <w:tc>
          <w:tcPr>
            <w:tcW w:w="727" w:type="dxa"/>
            <w:tcBorders>
              <w:tl2br w:val="nil"/>
              <w:tr2bl w:val="nil"/>
            </w:tcBorders>
            <w:vAlign w:val="center"/>
          </w:tcPr>
          <w:p w14:paraId="68FFD4B8">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夜间</w:t>
            </w:r>
          </w:p>
        </w:tc>
        <w:tc>
          <w:tcPr>
            <w:tcW w:w="727" w:type="dxa"/>
            <w:tcBorders>
              <w:tl2br w:val="nil"/>
              <w:tr2bl w:val="nil"/>
            </w:tcBorders>
            <w:vAlign w:val="center"/>
          </w:tcPr>
          <w:p w14:paraId="46714DFE">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昼间</w:t>
            </w:r>
          </w:p>
        </w:tc>
        <w:tc>
          <w:tcPr>
            <w:tcW w:w="727" w:type="dxa"/>
            <w:tcBorders>
              <w:tl2br w:val="nil"/>
              <w:tr2bl w:val="nil"/>
            </w:tcBorders>
            <w:vAlign w:val="center"/>
          </w:tcPr>
          <w:p w14:paraId="114680A6">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夜间</w:t>
            </w:r>
          </w:p>
        </w:tc>
        <w:tc>
          <w:tcPr>
            <w:tcW w:w="727" w:type="dxa"/>
            <w:tcBorders>
              <w:tl2br w:val="nil"/>
              <w:tr2bl w:val="nil"/>
            </w:tcBorders>
            <w:vAlign w:val="center"/>
          </w:tcPr>
          <w:p w14:paraId="41658B2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昼间</w:t>
            </w:r>
          </w:p>
        </w:tc>
        <w:tc>
          <w:tcPr>
            <w:tcW w:w="727" w:type="dxa"/>
            <w:tcBorders>
              <w:tl2br w:val="nil"/>
              <w:tr2bl w:val="nil"/>
            </w:tcBorders>
            <w:vAlign w:val="center"/>
          </w:tcPr>
          <w:p w14:paraId="538437FD">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auto"/>
                <w:sz w:val="21"/>
                <w:szCs w:val="21"/>
                <w:highlight w:val="none"/>
                <w:vertAlign w:val="baseline"/>
              </w:rPr>
            </w:pPr>
            <w:r>
              <w:rPr>
                <w:rFonts w:hint="eastAsia" w:ascii="Times New Roman" w:hAnsi="Times New Roman" w:cs="Times New Roman"/>
                <w:b/>
                <w:bCs/>
                <w:color w:val="auto"/>
                <w:sz w:val="21"/>
                <w:szCs w:val="21"/>
                <w:highlight w:val="none"/>
                <w:vertAlign w:val="baseline"/>
                <w:lang w:val="en-US" w:eastAsia="zh-CN"/>
              </w:rPr>
              <w:t>夜间</w:t>
            </w:r>
          </w:p>
        </w:tc>
      </w:tr>
      <w:tr w14:paraId="604B1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9" w:type="dxa"/>
            <w:tcBorders>
              <w:tl2br w:val="nil"/>
              <w:tr2bl w:val="nil"/>
            </w:tcBorders>
            <w:vAlign w:val="center"/>
          </w:tcPr>
          <w:p w14:paraId="0C675C80">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882" w:type="dxa"/>
            <w:tcBorders>
              <w:tl2br w:val="nil"/>
              <w:tr2bl w:val="nil"/>
            </w:tcBorders>
            <w:vAlign w:val="center"/>
          </w:tcPr>
          <w:p w14:paraId="5CD247F4">
            <w:pPr>
              <w:ind w:left="-105" w:leftChars="0" w:right="-105" w:rightChars="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olor w:val="auto"/>
                <w:sz w:val="21"/>
                <w:szCs w:val="21"/>
                <w:highlight w:val="none"/>
                <w:lang w:bidi="zh-CN"/>
              </w:rPr>
              <w:t>周巷头</w:t>
            </w:r>
          </w:p>
        </w:tc>
        <w:tc>
          <w:tcPr>
            <w:tcW w:w="726" w:type="dxa"/>
            <w:tcBorders>
              <w:tl2br w:val="nil"/>
              <w:tr2bl w:val="nil"/>
            </w:tcBorders>
            <w:vAlign w:val="center"/>
          </w:tcPr>
          <w:p w14:paraId="3ADA9ED7">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727" w:type="dxa"/>
            <w:tcBorders>
              <w:tl2br w:val="nil"/>
              <w:tr2bl w:val="nil"/>
            </w:tcBorders>
            <w:vAlign w:val="center"/>
          </w:tcPr>
          <w:p w14:paraId="08BE6CEE">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w:t>
            </w:r>
          </w:p>
        </w:tc>
        <w:tc>
          <w:tcPr>
            <w:tcW w:w="727" w:type="dxa"/>
            <w:tcBorders>
              <w:tl2br w:val="nil"/>
              <w:tr2bl w:val="nil"/>
            </w:tcBorders>
            <w:vAlign w:val="center"/>
          </w:tcPr>
          <w:p w14:paraId="318B2CA5">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727" w:type="dxa"/>
            <w:tcBorders>
              <w:tl2br w:val="nil"/>
              <w:tr2bl w:val="nil"/>
            </w:tcBorders>
            <w:vAlign w:val="center"/>
          </w:tcPr>
          <w:p w14:paraId="227D05C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727" w:type="dxa"/>
            <w:tcBorders>
              <w:tl2br w:val="nil"/>
              <w:tr2bl w:val="nil"/>
            </w:tcBorders>
            <w:vAlign w:val="center"/>
          </w:tcPr>
          <w:p w14:paraId="4192F2EE">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57.1</w:t>
            </w:r>
          </w:p>
        </w:tc>
        <w:tc>
          <w:tcPr>
            <w:tcW w:w="727" w:type="dxa"/>
            <w:tcBorders>
              <w:tl2br w:val="nil"/>
              <w:tr2bl w:val="nil"/>
            </w:tcBorders>
            <w:vAlign w:val="center"/>
          </w:tcPr>
          <w:p w14:paraId="184352D7">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47.8</w:t>
            </w:r>
          </w:p>
        </w:tc>
        <w:tc>
          <w:tcPr>
            <w:tcW w:w="727" w:type="dxa"/>
            <w:tcBorders>
              <w:tl2br w:val="nil"/>
              <w:tr2bl w:val="nil"/>
            </w:tcBorders>
            <w:vAlign w:val="center"/>
          </w:tcPr>
          <w:p w14:paraId="3422C02A">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727" w:type="dxa"/>
            <w:tcBorders>
              <w:tl2br w:val="nil"/>
              <w:tr2bl w:val="nil"/>
            </w:tcBorders>
            <w:vAlign w:val="center"/>
          </w:tcPr>
          <w:p w14:paraId="0902AED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0.8</w:t>
            </w:r>
          </w:p>
        </w:tc>
        <w:tc>
          <w:tcPr>
            <w:tcW w:w="727" w:type="dxa"/>
            <w:tcBorders>
              <w:tl2br w:val="nil"/>
              <w:tr2bl w:val="nil"/>
            </w:tcBorders>
            <w:vAlign w:val="center"/>
          </w:tcPr>
          <w:p w14:paraId="3C03EAE5">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c>
          <w:tcPr>
            <w:tcW w:w="727" w:type="dxa"/>
            <w:tcBorders>
              <w:tl2br w:val="nil"/>
              <w:tr2bl w:val="nil"/>
            </w:tcBorders>
            <w:vAlign w:val="center"/>
          </w:tcPr>
          <w:p w14:paraId="6920B936">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达标</w:t>
            </w:r>
          </w:p>
        </w:tc>
      </w:tr>
      <w:tr w14:paraId="2A69C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9" w:type="dxa"/>
            <w:tcBorders>
              <w:tl2br w:val="nil"/>
              <w:tr2bl w:val="nil"/>
            </w:tcBorders>
            <w:vAlign w:val="center"/>
          </w:tcPr>
          <w:p w14:paraId="1C4AACC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882" w:type="dxa"/>
            <w:tcBorders>
              <w:tl2br w:val="nil"/>
              <w:tr2bl w:val="nil"/>
            </w:tcBorders>
            <w:vAlign w:val="center"/>
          </w:tcPr>
          <w:p w14:paraId="3157FBE4">
            <w:pPr>
              <w:ind w:left="-105" w:leftChars="0" w:right="-105" w:rightChars="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olor w:val="auto"/>
                <w:sz w:val="21"/>
                <w:szCs w:val="21"/>
                <w:highlight w:val="none"/>
                <w:lang w:bidi="zh-CN"/>
              </w:rPr>
              <w:t>浦巷上</w:t>
            </w:r>
          </w:p>
        </w:tc>
        <w:tc>
          <w:tcPr>
            <w:tcW w:w="726" w:type="dxa"/>
            <w:tcBorders>
              <w:tl2br w:val="nil"/>
              <w:tr2bl w:val="nil"/>
            </w:tcBorders>
            <w:vAlign w:val="center"/>
          </w:tcPr>
          <w:p w14:paraId="2D07A297">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727" w:type="dxa"/>
            <w:tcBorders>
              <w:tl2br w:val="nil"/>
              <w:tr2bl w:val="nil"/>
            </w:tcBorders>
            <w:vAlign w:val="center"/>
          </w:tcPr>
          <w:p w14:paraId="55D7E18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w:t>
            </w:r>
          </w:p>
        </w:tc>
        <w:tc>
          <w:tcPr>
            <w:tcW w:w="727" w:type="dxa"/>
            <w:tcBorders>
              <w:tl2br w:val="nil"/>
              <w:tr2bl w:val="nil"/>
            </w:tcBorders>
            <w:vAlign w:val="center"/>
          </w:tcPr>
          <w:p w14:paraId="3AD020B1">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60</w:t>
            </w:r>
          </w:p>
        </w:tc>
        <w:tc>
          <w:tcPr>
            <w:tcW w:w="727" w:type="dxa"/>
            <w:tcBorders>
              <w:tl2br w:val="nil"/>
              <w:tr2bl w:val="nil"/>
            </w:tcBorders>
            <w:vAlign w:val="center"/>
          </w:tcPr>
          <w:p w14:paraId="410AC49C">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50</w:t>
            </w:r>
          </w:p>
        </w:tc>
        <w:tc>
          <w:tcPr>
            <w:tcW w:w="727" w:type="dxa"/>
            <w:tcBorders>
              <w:tl2br w:val="nil"/>
              <w:tr2bl w:val="nil"/>
            </w:tcBorders>
            <w:vAlign w:val="center"/>
          </w:tcPr>
          <w:p w14:paraId="05285C9D">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57.1</w:t>
            </w:r>
          </w:p>
        </w:tc>
        <w:tc>
          <w:tcPr>
            <w:tcW w:w="727" w:type="dxa"/>
            <w:tcBorders>
              <w:tl2br w:val="nil"/>
              <w:tr2bl w:val="nil"/>
            </w:tcBorders>
            <w:vAlign w:val="center"/>
          </w:tcPr>
          <w:p w14:paraId="4ADC7C00">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48.4</w:t>
            </w:r>
          </w:p>
        </w:tc>
        <w:tc>
          <w:tcPr>
            <w:tcW w:w="727" w:type="dxa"/>
            <w:tcBorders>
              <w:tl2br w:val="nil"/>
              <w:tr2bl w:val="nil"/>
            </w:tcBorders>
            <w:vAlign w:val="center"/>
          </w:tcPr>
          <w:p w14:paraId="412D75A9">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0.1</w:t>
            </w:r>
          </w:p>
        </w:tc>
        <w:tc>
          <w:tcPr>
            <w:tcW w:w="727" w:type="dxa"/>
            <w:tcBorders>
              <w:tl2br w:val="nil"/>
              <w:tr2bl w:val="nil"/>
            </w:tcBorders>
            <w:vAlign w:val="center"/>
          </w:tcPr>
          <w:p w14:paraId="052DCB1B">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727" w:type="dxa"/>
            <w:tcBorders>
              <w:tl2br w:val="nil"/>
              <w:tr2bl w:val="nil"/>
            </w:tcBorders>
            <w:vAlign w:val="center"/>
          </w:tcPr>
          <w:p w14:paraId="37CF99AB">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达标</w:t>
            </w:r>
          </w:p>
        </w:tc>
        <w:tc>
          <w:tcPr>
            <w:tcW w:w="727" w:type="dxa"/>
            <w:tcBorders>
              <w:tl2br w:val="nil"/>
              <w:tr2bl w:val="nil"/>
            </w:tcBorders>
            <w:vAlign w:val="center"/>
          </w:tcPr>
          <w:p w14:paraId="13D60C0F">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达标</w:t>
            </w:r>
          </w:p>
        </w:tc>
      </w:tr>
      <w:tr w14:paraId="5741B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9" w:type="dxa"/>
            <w:tcBorders>
              <w:tl2br w:val="nil"/>
              <w:tr2bl w:val="nil"/>
            </w:tcBorders>
            <w:vAlign w:val="center"/>
          </w:tcPr>
          <w:p w14:paraId="586FA286">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82" w:type="dxa"/>
            <w:tcBorders>
              <w:tl2br w:val="nil"/>
              <w:tr2bl w:val="nil"/>
            </w:tcBorders>
            <w:vAlign w:val="center"/>
          </w:tcPr>
          <w:p w14:paraId="504F1E74">
            <w:pPr>
              <w:ind w:left="-105" w:leftChars="0" w:right="-105" w:rightChars="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olor w:val="auto"/>
                <w:sz w:val="21"/>
                <w:szCs w:val="21"/>
                <w:highlight w:val="none"/>
                <w:lang w:bidi="zh-CN"/>
              </w:rPr>
              <w:t>朱巷村</w:t>
            </w:r>
          </w:p>
        </w:tc>
        <w:tc>
          <w:tcPr>
            <w:tcW w:w="726" w:type="dxa"/>
            <w:tcBorders>
              <w:tl2br w:val="nil"/>
              <w:tr2bl w:val="nil"/>
            </w:tcBorders>
            <w:vAlign w:val="center"/>
          </w:tcPr>
          <w:p w14:paraId="0DA366CB">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727" w:type="dxa"/>
            <w:tcBorders>
              <w:tl2br w:val="nil"/>
              <w:tr2bl w:val="nil"/>
            </w:tcBorders>
            <w:vAlign w:val="center"/>
          </w:tcPr>
          <w:p w14:paraId="704CF9C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w:t>
            </w:r>
          </w:p>
        </w:tc>
        <w:tc>
          <w:tcPr>
            <w:tcW w:w="727" w:type="dxa"/>
            <w:tcBorders>
              <w:tl2br w:val="nil"/>
              <w:tr2bl w:val="nil"/>
            </w:tcBorders>
            <w:vAlign w:val="center"/>
          </w:tcPr>
          <w:p w14:paraId="70B188BE">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60</w:t>
            </w:r>
          </w:p>
        </w:tc>
        <w:tc>
          <w:tcPr>
            <w:tcW w:w="727" w:type="dxa"/>
            <w:tcBorders>
              <w:tl2br w:val="nil"/>
              <w:tr2bl w:val="nil"/>
            </w:tcBorders>
            <w:vAlign w:val="center"/>
          </w:tcPr>
          <w:p w14:paraId="2E03C46D">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50</w:t>
            </w:r>
          </w:p>
        </w:tc>
        <w:tc>
          <w:tcPr>
            <w:tcW w:w="727" w:type="dxa"/>
            <w:tcBorders>
              <w:tl2br w:val="nil"/>
              <w:tr2bl w:val="nil"/>
            </w:tcBorders>
            <w:vAlign w:val="center"/>
          </w:tcPr>
          <w:p w14:paraId="1C3CA41A">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57.1</w:t>
            </w:r>
          </w:p>
        </w:tc>
        <w:tc>
          <w:tcPr>
            <w:tcW w:w="727" w:type="dxa"/>
            <w:tcBorders>
              <w:tl2br w:val="nil"/>
              <w:tr2bl w:val="nil"/>
            </w:tcBorders>
            <w:vAlign w:val="center"/>
          </w:tcPr>
          <w:p w14:paraId="26B96385">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48.4</w:t>
            </w:r>
          </w:p>
        </w:tc>
        <w:tc>
          <w:tcPr>
            <w:tcW w:w="727" w:type="dxa"/>
            <w:tcBorders>
              <w:tl2br w:val="nil"/>
              <w:tr2bl w:val="nil"/>
            </w:tcBorders>
            <w:vAlign w:val="center"/>
          </w:tcPr>
          <w:p w14:paraId="284F2B58">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0.1</w:t>
            </w:r>
          </w:p>
        </w:tc>
        <w:tc>
          <w:tcPr>
            <w:tcW w:w="727" w:type="dxa"/>
            <w:tcBorders>
              <w:tl2br w:val="nil"/>
              <w:tr2bl w:val="nil"/>
            </w:tcBorders>
            <w:vAlign w:val="center"/>
          </w:tcPr>
          <w:p w14:paraId="082F6089">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727" w:type="dxa"/>
            <w:tcBorders>
              <w:tl2br w:val="nil"/>
              <w:tr2bl w:val="nil"/>
            </w:tcBorders>
            <w:vAlign w:val="center"/>
          </w:tcPr>
          <w:p w14:paraId="3B4048D3">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达标</w:t>
            </w:r>
          </w:p>
        </w:tc>
        <w:tc>
          <w:tcPr>
            <w:tcW w:w="727" w:type="dxa"/>
            <w:tcBorders>
              <w:tl2br w:val="nil"/>
              <w:tr2bl w:val="nil"/>
            </w:tcBorders>
            <w:vAlign w:val="center"/>
          </w:tcPr>
          <w:p w14:paraId="56734C90">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达标</w:t>
            </w:r>
          </w:p>
        </w:tc>
      </w:tr>
    </w:tbl>
    <w:p w14:paraId="3C9F7EB5">
      <w:pPr>
        <w:ind w:left="-105" w:right="-105" w:firstLine="422"/>
        <w:rPr>
          <w:b/>
          <w:bCs/>
          <w:color w:val="auto"/>
          <w:sz w:val="21"/>
          <w:szCs w:val="21"/>
          <w:highlight w:val="none"/>
        </w:rPr>
      </w:pPr>
      <w:r>
        <w:rPr>
          <w:rFonts w:hint="eastAsia"/>
          <w:b/>
          <w:bCs/>
          <w:color w:val="auto"/>
          <w:sz w:val="21"/>
          <w:szCs w:val="21"/>
          <w:highlight w:val="none"/>
        </w:rPr>
        <w:t>注：</w:t>
      </w:r>
      <w:r>
        <w:rPr>
          <w:rFonts w:hint="eastAsia"/>
          <w:b/>
          <w:bCs/>
          <w:color w:val="auto"/>
          <w:sz w:val="21"/>
          <w:szCs w:val="21"/>
          <w:highlight w:val="none"/>
          <w:lang w:val="en-US" w:eastAsia="zh-CN"/>
        </w:rPr>
        <w:t>现状</w:t>
      </w:r>
      <w:r>
        <w:rPr>
          <w:rFonts w:hint="eastAsia"/>
          <w:b/>
          <w:bCs/>
          <w:color w:val="auto"/>
          <w:sz w:val="21"/>
          <w:szCs w:val="21"/>
          <w:highlight w:val="none"/>
        </w:rPr>
        <w:t>值取厂界现状监测最大值。</w:t>
      </w:r>
    </w:p>
    <w:p w14:paraId="393369AE">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由预测结果可见，本项目建成后主要噪声源</w:t>
      </w:r>
      <w:r>
        <w:rPr>
          <w:rFonts w:hint="eastAsia" w:ascii="Times New Roman" w:hAnsi="Times New Roman" w:cs="Times New Roman"/>
          <w:color w:val="auto"/>
          <w:highlight w:val="none"/>
          <w:lang w:val="en-US" w:eastAsia="zh-CN"/>
        </w:rPr>
        <w:t>预测</w:t>
      </w:r>
      <w:r>
        <w:rPr>
          <w:rFonts w:hint="eastAsia" w:ascii="Times New Roman" w:hAnsi="Times New Roman" w:cs="Times New Roman"/>
          <w:color w:val="auto"/>
          <w:highlight w:val="none"/>
        </w:rPr>
        <w:t>值可达到《工业企业厂界环境噪声排放标准》（GB12348-2008）中3类标准的要求，即昼间不大于65dB(A)，夜间不大于55dB(A)。</w:t>
      </w:r>
      <w:r>
        <w:rPr>
          <w:rFonts w:hint="eastAsia" w:ascii="Times New Roman" w:hAnsi="Times New Roman" w:cs="Times New Roman"/>
          <w:color w:val="auto"/>
          <w:highlight w:val="none"/>
        </w:rPr>
        <w:t>敏感点处预测值满足《声环境质量标准》（GB 3096-2008）中2类区标准，即昼间不大于6</w:t>
      </w:r>
      <w:r>
        <w:rPr>
          <w:rFonts w:hint="eastAsia" w:ascii="Times New Roman" w:hAnsi="Times New Roman" w:cs="Times New Roman"/>
          <w:color w:val="auto"/>
          <w:highlight w:val="none"/>
          <w:lang w:val="en-US" w:eastAsia="zh-CN"/>
        </w:rPr>
        <w:t>0</w:t>
      </w:r>
      <w:r>
        <w:rPr>
          <w:rFonts w:hint="eastAsia" w:ascii="Times New Roman" w:hAnsi="Times New Roman" w:cs="Times New Roman"/>
          <w:color w:val="auto"/>
          <w:highlight w:val="none"/>
        </w:rPr>
        <w:t>dB(A)，夜间不大于5</w:t>
      </w:r>
      <w:r>
        <w:rPr>
          <w:rFonts w:hint="eastAsia" w:ascii="Times New Roman" w:hAnsi="Times New Roman" w:cs="Times New Roman"/>
          <w:color w:val="auto"/>
          <w:highlight w:val="none"/>
          <w:lang w:val="en-US" w:eastAsia="zh-CN"/>
        </w:rPr>
        <w:t>0</w:t>
      </w:r>
      <w:r>
        <w:rPr>
          <w:rFonts w:hint="eastAsia" w:ascii="Times New Roman" w:hAnsi="Times New Roman" w:cs="Times New Roman"/>
          <w:color w:val="auto"/>
          <w:highlight w:val="none"/>
        </w:rPr>
        <w:t>dB(A)。</w:t>
      </w:r>
    </w:p>
    <w:p w14:paraId="652A91DC">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6.5.5声环境影响评价自查表</w:t>
      </w:r>
    </w:p>
    <w:p w14:paraId="0C261EB8">
      <w:pPr>
        <w:pStyle w:val="15"/>
        <w:ind w:left="-105" w:right="-105" w:firstLine="482"/>
        <w:rPr>
          <w:rFonts w:eastAsia="宋体"/>
          <w:bCs/>
          <w:color w:val="auto"/>
          <w:sz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6.5</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4</w:t>
      </w:r>
      <w:r>
        <w:rPr>
          <w:rFonts w:eastAsia="宋体"/>
          <w:color w:val="auto"/>
          <w:sz w:val="24"/>
          <w:szCs w:val="18"/>
          <w:highlight w:val="none"/>
        </w:rPr>
        <w:fldChar w:fldCharType="end"/>
      </w:r>
      <w:r>
        <w:rPr>
          <w:rFonts w:eastAsia="宋体"/>
          <w:bCs/>
          <w:color w:val="auto"/>
          <w:sz w:val="24"/>
          <w:highlight w:val="none"/>
        </w:rPr>
        <w:t>声环境影响评价自查表</w:t>
      </w:r>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52"/>
        <w:gridCol w:w="1448"/>
        <w:gridCol w:w="929"/>
        <w:gridCol w:w="521"/>
        <w:gridCol w:w="522"/>
        <w:gridCol w:w="1017"/>
        <w:gridCol w:w="478"/>
        <w:gridCol w:w="591"/>
        <w:gridCol w:w="522"/>
        <w:gridCol w:w="484"/>
        <w:gridCol w:w="1071"/>
      </w:tblGrid>
      <w:tr w14:paraId="493EF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392" w:type="dxa"/>
            <w:gridSpan w:val="2"/>
            <w:tcBorders>
              <w:tl2br w:val="nil"/>
              <w:tr2bl w:val="nil"/>
            </w:tcBorders>
            <w:vAlign w:val="center"/>
          </w:tcPr>
          <w:p w14:paraId="23291835">
            <w:pPr>
              <w:pStyle w:val="98"/>
              <w:keepNext w:val="0"/>
              <w:keepLines w:val="0"/>
              <w:pageBreakBefore w:val="0"/>
              <w:widowControl w:val="0"/>
              <w:kinsoku/>
              <w:wordWrap/>
              <w:overflowPunct/>
              <w:topLinePunct w:val="0"/>
              <w:autoSpaceDE w:val="0"/>
              <w:autoSpaceDN w:val="0"/>
              <w:bidi w:val="0"/>
              <w:adjustRightInd/>
              <w:snapToGrid/>
              <w:ind w:left="0" w:right="0"/>
              <w:textAlignment w:val="auto"/>
              <w:rPr>
                <w:b/>
                <w:bCs/>
                <w:color w:val="auto"/>
                <w:sz w:val="21"/>
                <w:szCs w:val="21"/>
                <w:highlight w:val="none"/>
                <w:lang w:eastAsia="en-US"/>
              </w:rPr>
            </w:pPr>
            <w:r>
              <w:rPr>
                <w:rFonts w:hint="eastAsia" w:ascii="宋体" w:hAnsi="宋体" w:eastAsia="宋体" w:cs="宋体"/>
                <w:b/>
                <w:bCs/>
                <w:color w:val="auto"/>
                <w:sz w:val="21"/>
                <w:szCs w:val="21"/>
                <w:highlight w:val="none"/>
                <w:lang w:eastAsia="en-US"/>
              </w:rPr>
              <w:t>工作内容</w:t>
            </w:r>
          </w:p>
        </w:tc>
        <w:tc>
          <w:tcPr>
            <w:tcW w:w="6112" w:type="dxa"/>
            <w:gridSpan w:val="9"/>
            <w:tcBorders>
              <w:tl2br w:val="nil"/>
              <w:tr2bl w:val="nil"/>
            </w:tcBorders>
            <w:vAlign w:val="center"/>
          </w:tcPr>
          <w:p w14:paraId="1203FA4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b/>
                <w:bCs/>
                <w:color w:val="auto"/>
                <w:sz w:val="21"/>
                <w:szCs w:val="21"/>
                <w:highlight w:val="none"/>
                <w:lang w:eastAsia="en-US"/>
              </w:rPr>
            </w:pPr>
            <w:r>
              <w:rPr>
                <w:rFonts w:hint="eastAsia" w:ascii="宋体" w:hAnsi="宋体" w:eastAsia="宋体" w:cs="宋体"/>
                <w:b/>
                <w:bCs/>
                <w:color w:val="auto"/>
                <w:sz w:val="21"/>
                <w:szCs w:val="21"/>
                <w:highlight w:val="none"/>
                <w:lang w:eastAsia="en-US"/>
              </w:rPr>
              <w:t>自查项目</w:t>
            </w:r>
          </w:p>
        </w:tc>
      </w:tr>
      <w:tr w14:paraId="331B3E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restart"/>
            <w:tcBorders>
              <w:tl2br w:val="nil"/>
              <w:tr2bl w:val="nil"/>
            </w:tcBorders>
            <w:vAlign w:val="center"/>
          </w:tcPr>
          <w:p w14:paraId="773536C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评价等级与范围</w:t>
            </w:r>
          </w:p>
        </w:tc>
        <w:tc>
          <w:tcPr>
            <w:tcW w:w="1443" w:type="dxa"/>
            <w:tcBorders>
              <w:tl2br w:val="nil"/>
              <w:tr2bl w:val="nil"/>
            </w:tcBorders>
            <w:vAlign w:val="center"/>
          </w:tcPr>
          <w:p w14:paraId="2431C01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评价等级</w:t>
            </w:r>
          </w:p>
        </w:tc>
        <w:tc>
          <w:tcPr>
            <w:tcW w:w="6112" w:type="dxa"/>
            <w:gridSpan w:val="9"/>
            <w:tcBorders>
              <w:tl2br w:val="nil"/>
              <w:tr2bl w:val="nil"/>
            </w:tcBorders>
            <w:vAlign w:val="center"/>
          </w:tcPr>
          <w:p w14:paraId="3FE6F068">
            <w:pPr>
              <w:pStyle w:val="98"/>
              <w:keepNext w:val="0"/>
              <w:keepLines w:val="0"/>
              <w:pageBreakBefore w:val="0"/>
              <w:widowControl w:val="0"/>
              <w:tabs>
                <w:tab w:val="left" w:pos="2103"/>
                <w:tab w:val="left" w:pos="3635"/>
              </w:tabs>
              <w:kinsoku/>
              <w:wordWrap/>
              <w:overflowPunct/>
              <w:topLinePunct w:val="0"/>
              <w:autoSpaceDE w:val="0"/>
              <w:autoSpaceDN w:val="0"/>
              <w:bidi w:val="0"/>
              <w:adjustRightInd/>
              <w:snapToGrid/>
              <w:ind w:left="0" w:right="0"/>
              <w:textAlignment w:val="auto"/>
              <w:rPr>
                <w:rFonts w:eastAsia="宋体"/>
                <w:color w:val="auto"/>
                <w:sz w:val="21"/>
                <w:szCs w:val="21"/>
                <w:highlight w:val="none"/>
              </w:rPr>
            </w:pPr>
            <w:r>
              <w:rPr>
                <w:rFonts w:hint="eastAsia" w:ascii="宋体" w:hAnsi="宋体" w:eastAsia="宋体" w:cs="宋体"/>
                <w:color w:val="auto"/>
                <w:sz w:val="21"/>
                <w:szCs w:val="21"/>
                <w:highlight w:val="none"/>
                <w:lang w:eastAsia="en-US"/>
              </w:rPr>
              <w:t>一级</w:t>
            </w:r>
            <w:r>
              <w:rPr>
                <w:rFonts w:hint="eastAsia" w:eastAsia="宋体"/>
                <w:color w:val="auto"/>
                <w:sz w:val="21"/>
                <w:szCs w:val="21"/>
                <w:highlight w:val="none"/>
                <w:lang w:eastAsia="zh-CN"/>
              </w:rPr>
              <w:t>□</w:t>
            </w:r>
            <w:r>
              <w:rPr>
                <w:color w:val="auto"/>
                <w:sz w:val="21"/>
                <w:szCs w:val="21"/>
                <w:highlight w:val="none"/>
                <w:lang w:eastAsia="en-US"/>
              </w:rPr>
              <w:tab/>
            </w:r>
            <w:r>
              <w:rPr>
                <w:rFonts w:hint="eastAsia" w:ascii="宋体" w:hAnsi="宋体" w:eastAsia="宋体" w:cs="宋体"/>
                <w:color w:val="auto"/>
                <w:sz w:val="21"/>
                <w:szCs w:val="21"/>
                <w:highlight w:val="none"/>
                <w:lang w:eastAsia="en-US"/>
              </w:rPr>
              <w:t>二</w:t>
            </w:r>
            <w:r>
              <w:rPr>
                <w:rFonts w:hint="eastAsia" w:ascii="宋体" w:hAnsi="宋体" w:eastAsia="宋体" w:cs="宋体"/>
                <w:color w:val="auto"/>
                <w:spacing w:val="-3"/>
                <w:sz w:val="21"/>
                <w:szCs w:val="21"/>
                <w:highlight w:val="none"/>
                <w:lang w:eastAsia="en-US"/>
              </w:rPr>
              <w:t>级</w:t>
            </w:r>
            <w:r>
              <w:rPr>
                <w:rFonts w:hint="eastAsia" w:eastAsia="宋体"/>
                <w:color w:val="auto"/>
                <w:sz w:val="21"/>
                <w:szCs w:val="21"/>
                <w:highlight w:val="none"/>
                <w:lang w:eastAsia="zh-CN"/>
              </w:rPr>
              <w:t>□</w:t>
            </w:r>
            <w:r>
              <w:rPr>
                <w:color w:val="auto"/>
                <w:sz w:val="21"/>
                <w:szCs w:val="21"/>
                <w:highlight w:val="none"/>
                <w:lang w:eastAsia="en-US"/>
              </w:rPr>
              <w:tab/>
            </w:r>
            <w:r>
              <w:rPr>
                <w:rFonts w:hint="eastAsia" w:ascii="宋体" w:hAnsi="宋体" w:eastAsia="宋体" w:cs="宋体"/>
                <w:color w:val="auto"/>
                <w:sz w:val="21"/>
                <w:szCs w:val="21"/>
                <w:highlight w:val="none"/>
                <w:lang w:eastAsia="en-US"/>
              </w:rPr>
              <w:t>三级</w:t>
            </w:r>
            <w:r>
              <w:rPr>
                <w:rFonts w:hint="eastAsia" w:eastAsia="宋体"/>
                <w:color w:val="auto"/>
                <w:sz w:val="21"/>
                <w:szCs w:val="21"/>
                <w:highlight w:val="none"/>
              </w:rPr>
              <w:t>☑</w:t>
            </w:r>
          </w:p>
        </w:tc>
      </w:tr>
      <w:tr w14:paraId="3DE05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37215D9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58E62B7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评价范围</w:t>
            </w:r>
          </w:p>
        </w:tc>
        <w:tc>
          <w:tcPr>
            <w:tcW w:w="6112" w:type="dxa"/>
            <w:gridSpan w:val="9"/>
            <w:tcBorders>
              <w:tl2br w:val="nil"/>
              <w:tr2bl w:val="nil"/>
            </w:tcBorders>
            <w:vAlign w:val="center"/>
          </w:tcPr>
          <w:p w14:paraId="0C8830D5">
            <w:pPr>
              <w:pStyle w:val="98"/>
              <w:keepNext w:val="0"/>
              <w:keepLines w:val="0"/>
              <w:pageBreakBefore w:val="0"/>
              <w:widowControl w:val="0"/>
              <w:tabs>
                <w:tab w:val="left" w:pos="2384"/>
                <w:tab w:val="left" w:pos="5315"/>
              </w:tabs>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rPr>
              <w:t>200m</w:t>
            </w:r>
            <w:r>
              <w:rPr>
                <w:rFonts w:hint="eastAsia" w:eastAsia="宋体"/>
                <w:color w:val="auto"/>
                <w:sz w:val="21"/>
                <w:szCs w:val="21"/>
                <w:highlight w:val="none"/>
              </w:rPr>
              <w:t>☑</w:t>
            </w:r>
            <w:r>
              <w:rPr>
                <w:rFonts w:hint="eastAsia" w:eastAsia="宋体"/>
                <w:color w:val="auto"/>
                <w:sz w:val="21"/>
                <w:szCs w:val="21"/>
                <w:highlight w:val="none"/>
                <w:lang w:val="en-US" w:eastAsia="zh-CN"/>
              </w:rPr>
              <w:t xml:space="preserve">    </w:t>
            </w:r>
            <w:r>
              <w:rPr>
                <w:rFonts w:hint="eastAsia" w:ascii="宋体" w:hAnsi="宋体" w:eastAsia="宋体" w:cs="宋体"/>
                <w:color w:val="auto"/>
                <w:spacing w:val="-3"/>
                <w:sz w:val="21"/>
                <w:szCs w:val="21"/>
                <w:highlight w:val="none"/>
              </w:rPr>
              <w:t>大</w:t>
            </w:r>
            <w:r>
              <w:rPr>
                <w:rFonts w:hint="eastAsia" w:ascii="宋体" w:hAnsi="宋体" w:eastAsia="宋体" w:cs="宋体"/>
                <w:color w:val="auto"/>
                <w:sz w:val="21"/>
                <w:szCs w:val="21"/>
                <w:highlight w:val="none"/>
              </w:rPr>
              <w:t>于</w:t>
            </w:r>
            <w:r>
              <w:rPr>
                <w:color w:val="auto"/>
                <w:sz w:val="21"/>
                <w:szCs w:val="21"/>
                <w:highlight w:val="none"/>
              </w:rPr>
              <w:t>200m</w:t>
            </w: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 xml:space="preserve">    </w:t>
            </w:r>
            <w:r>
              <w:rPr>
                <w:rFonts w:hint="eastAsia" w:ascii="宋体" w:hAnsi="宋体" w:eastAsia="宋体" w:cs="宋体"/>
                <w:color w:val="auto"/>
                <w:sz w:val="21"/>
                <w:szCs w:val="21"/>
                <w:highlight w:val="none"/>
              </w:rPr>
              <w:t>小于</w:t>
            </w:r>
            <w:r>
              <w:rPr>
                <w:color w:val="auto"/>
                <w:sz w:val="21"/>
                <w:szCs w:val="21"/>
                <w:highlight w:val="none"/>
              </w:rPr>
              <w:t>200m</w:t>
            </w:r>
            <w:r>
              <w:rPr>
                <w:rFonts w:hint="eastAsia" w:eastAsia="宋体"/>
                <w:color w:val="auto"/>
                <w:sz w:val="21"/>
                <w:szCs w:val="21"/>
                <w:highlight w:val="none"/>
                <w:lang w:eastAsia="zh-CN"/>
              </w:rPr>
              <w:t>□</w:t>
            </w:r>
          </w:p>
        </w:tc>
      </w:tr>
      <w:tr w14:paraId="40EFE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tcBorders>
              <w:tl2br w:val="nil"/>
              <w:tr2bl w:val="nil"/>
            </w:tcBorders>
            <w:vAlign w:val="center"/>
          </w:tcPr>
          <w:p w14:paraId="608F0E0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评价因子</w:t>
            </w:r>
          </w:p>
        </w:tc>
        <w:tc>
          <w:tcPr>
            <w:tcW w:w="1443" w:type="dxa"/>
            <w:tcBorders>
              <w:tl2br w:val="nil"/>
              <w:tr2bl w:val="nil"/>
            </w:tcBorders>
            <w:vAlign w:val="center"/>
          </w:tcPr>
          <w:p w14:paraId="7424940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评价因子</w:t>
            </w:r>
          </w:p>
        </w:tc>
        <w:tc>
          <w:tcPr>
            <w:tcW w:w="1965" w:type="dxa"/>
            <w:gridSpan w:val="3"/>
            <w:tcBorders>
              <w:tl2br w:val="nil"/>
              <w:tr2bl w:val="nil"/>
            </w:tcBorders>
            <w:vAlign w:val="center"/>
          </w:tcPr>
          <w:p w14:paraId="5EB9BFB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等效连续</w:t>
            </w:r>
            <w:r>
              <w:rPr>
                <w:color w:val="auto"/>
                <w:sz w:val="21"/>
                <w:szCs w:val="21"/>
                <w:highlight w:val="none"/>
                <w:lang w:eastAsia="en-US"/>
              </w:rPr>
              <w:t>A</w:t>
            </w:r>
            <w:r>
              <w:rPr>
                <w:rFonts w:hint="eastAsia" w:ascii="宋体" w:hAnsi="宋体" w:eastAsia="宋体" w:cs="宋体"/>
                <w:color w:val="auto"/>
                <w:sz w:val="21"/>
                <w:szCs w:val="21"/>
                <w:highlight w:val="none"/>
                <w:lang w:eastAsia="en-US"/>
              </w:rPr>
              <w:t>声级</w:t>
            </w:r>
            <w:r>
              <w:rPr>
                <w:rFonts w:hint="eastAsia" w:eastAsia="宋体"/>
                <w:color w:val="auto"/>
                <w:sz w:val="21"/>
                <w:szCs w:val="21"/>
                <w:highlight w:val="none"/>
              </w:rPr>
              <w:t>☑</w:t>
            </w:r>
          </w:p>
        </w:tc>
        <w:tc>
          <w:tcPr>
            <w:tcW w:w="1489" w:type="dxa"/>
            <w:gridSpan w:val="2"/>
            <w:tcBorders>
              <w:tl2br w:val="nil"/>
              <w:tr2bl w:val="nil"/>
            </w:tcBorders>
            <w:vAlign w:val="center"/>
          </w:tcPr>
          <w:p w14:paraId="7BBEEE2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最大</w:t>
            </w:r>
            <w:r>
              <w:rPr>
                <w:color w:val="auto"/>
                <w:sz w:val="21"/>
                <w:szCs w:val="21"/>
                <w:highlight w:val="none"/>
                <w:lang w:eastAsia="en-US"/>
              </w:rPr>
              <w:t>A</w:t>
            </w:r>
            <w:r>
              <w:rPr>
                <w:rFonts w:hint="eastAsia" w:ascii="宋体" w:hAnsi="宋体" w:eastAsia="宋体" w:cs="宋体"/>
                <w:color w:val="auto"/>
                <w:sz w:val="21"/>
                <w:szCs w:val="21"/>
                <w:highlight w:val="none"/>
                <w:lang w:eastAsia="en-US"/>
              </w:rPr>
              <w:t>声级</w:t>
            </w:r>
            <w:r>
              <w:rPr>
                <w:rFonts w:hint="eastAsia" w:eastAsia="宋体"/>
                <w:color w:val="auto"/>
                <w:sz w:val="21"/>
                <w:szCs w:val="21"/>
                <w:highlight w:val="none"/>
                <w:lang w:eastAsia="zh-CN"/>
              </w:rPr>
              <w:t>☑</w:t>
            </w:r>
          </w:p>
        </w:tc>
        <w:tc>
          <w:tcPr>
            <w:tcW w:w="2658" w:type="dxa"/>
            <w:gridSpan w:val="4"/>
            <w:tcBorders>
              <w:tl2br w:val="nil"/>
              <w:tr2bl w:val="nil"/>
            </w:tcBorders>
            <w:vAlign w:val="center"/>
          </w:tcPr>
          <w:p w14:paraId="3D5FD97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计权等效连续感觉噪声级</w:t>
            </w:r>
            <w:r>
              <w:rPr>
                <w:rFonts w:hint="eastAsia" w:eastAsia="宋体"/>
                <w:color w:val="auto"/>
                <w:sz w:val="21"/>
                <w:szCs w:val="21"/>
                <w:highlight w:val="none"/>
                <w:lang w:eastAsia="zh-CN"/>
              </w:rPr>
              <w:t>□</w:t>
            </w:r>
          </w:p>
        </w:tc>
      </w:tr>
      <w:tr w14:paraId="6D418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tcBorders>
              <w:tl2br w:val="nil"/>
              <w:tr2bl w:val="nil"/>
            </w:tcBorders>
            <w:vAlign w:val="center"/>
          </w:tcPr>
          <w:p w14:paraId="2D7BC7C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评价标准</w:t>
            </w:r>
          </w:p>
        </w:tc>
        <w:tc>
          <w:tcPr>
            <w:tcW w:w="1443" w:type="dxa"/>
            <w:tcBorders>
              <w:tl2br w:val="nil"/>
              <w:tr2bl w:val="nil"/>
            </w:tcBorders>
            <w:vAlign w:val="center"/>
          </w:tcPr>
          <w:p w14:paraId="3AA2CD1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评价标准</w:t>
            </w:r>
          </w:p>
        </w:tc>
        <w:tc>
          <w:tcPr>
            <w:tcW w:w="1965" w:type="dxa"/>
            <w:gridSpan w:val="3"/>
            <w:tcBorders>
              <w:tl2br w:val="nil"/>
              <w:tr2bl w:val="nil"/>
            </w:tcBorders>
            <w:vAlign w:val="center"/>
          </w:tcPr>
          <w:p w14:paraId="2546250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国家标准</w:t>
            </w:r>
            <w:r>
              <w:rPr>
                <w:rFonts w:hint="eastAsia" w:eastAsia="宋体"/>
                <w:color w:val="auto"/>
                <w:sz w:val="21"/>
                <w:szCs w:val="21"/>
                <w:highlight w:val="none"/>
              </w:rPr>
              <w:t>☑</w:t>
            </w:r>
          </w:p>
        </w:tc>
        <w:tc>
          <w:tcPr>
            <w:tcW w:w="1489" w:type="dxa"/>
            <w:gridSpan w:val="2"/>
            <w:tcBorders>
              <w:tl2br w:val="nil"/>
              <w:tr2bl w:val="nil"/>
            </w:tcBorders>
            <w:vAlign w:val="center"/>
          </w:tcPr>
          <w:p w14:paraId="46CC243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地方标准</w:t>
            </w:r>
            <w:r>
              <w:rPr>
                <w:rFonts w:hint="eastAsia" w:eastAsia="宋体"/>
                <w:color w:val="auto"/>
                <w:sz w:val="21"/>
                <w:szCs w:val="21"/>
                <w:highlight w:val="none"/>
                <w:lang w:eastAsia="zh-CN"/>
              </w:rPr>
              <w:t>□</w:t>
            </w:r>
          </w:p>
        </w:tc>
        <w:tc>
          <w:tcPr>
            <w:tcW w:w="2658" w:type="dxa"/>
            <w:gridSpan w:val="4"/>
            <w:tcBorders>
              <w:tl2br w:val="nil"/>
              <w:tr2bl w:val="nil"/>
            </w:tcBorders>
            <w:vAlign w:val="center"/>
          </w:tcPr>
          <w:p w14:paraId="5EC0F26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国外标准</w:t>
            </w:r>
            <w:r>
              <w:rPr>
                <w:rFonts w:hint="eastAsia" w:eastAsia="宋体"/>
                <w:color w:val="auto"/>
                <w:sz w:val="21"/>
                <w:szCs w:val="21"/>
                <w:highlight w:val="none"/>
                <w:lang w:eastAsia="zh-CN"/>
              </w:rPr>
              <w:t>□</w:t>
            </w:r>
          </w:p>
        </w:tc>
      </w:tr>
      <w:tr w14:paraId="75E33B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restart"/>
            <w:tcBorders>
              <w:tl2br w:val="nil"/>
              <w:tr2bl w:val="nil"/>
            </w:tcBorders>
            <w:vAlign w:val="center"/>
          </w:tcPr>
          <w:p w14:paraId="55429AC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现状评价</w:t>
            </w:r>
          </w:p>
        </w:tc>
        <w:tc>
          <w:tcPr>
            <w:tcW w:w="1443" w:type="dxa"/>
            <w:tcBorders>
              <w:tl2br w:val="nil"/>
              <w:tr2bl w:val="nil"/>
            </w:tcBorders>
            <w:vAlign w:val="center"/>
          </w:tcPr>
          <w:p w14:paraId="6C83BF2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环境功能区</w:t>
            </w:r>
          </w:p>
        </w:tc>
        <w:tc>
          <w:tcPr>
            <w:tcW w:w="926" w:type="dxa"/>
            <w:tcBorders>
              <w:tl2br w:val="nil"/>
              <w:tr2bl w:val="nil"/>
            </w:tcBorders>
            <w:vAlign w:val="center"/>
          </w:tcPr>
          <w:p w14:paraId="79466FE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lang w:eastAsia="en-US"/>
              </w:rPr>
              <w:t>0</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lang w:eastAsia="zh-CN"/>
              </w:rPr>
              <w:t>□</w:t>
            </w:r>
          </w:p>
        </w:tc>
        <w:tc>
          <w:tcPr>
            <w:tcW w:w="1039" w:type="dxa"/>
            <w:gridSpan w:val="2"/>
            <w:tcBorders>
              <w:tl2br w:val="nil"/>
              <w:tr2bl w:val="nil"/>
            </w:tcBorders>
            <w:vAlign w:val="center"/>
          </w:tcPr>
          <w:p w14:paraId="1FFC3A0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lang w:eastAsia="en-US"/>
              </w:rPr>
              <w:t>1</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lang w:eastAsia="zh-CN"/>
              </w:rPr>
              <w:t>□</w:t>
            </w:r>
          </w:p>
        </w:tc>
        <w:tc>
          <w:tcPr>
            <w:tcW w:w="1013" w:type="dxa"/>
            <w:tcBorders>
              <w:tl2br w:val="nil"/>
              <w:tr2bl w:val="nil"/>
            </w:tcBorders>
            <w:vAlign w:val="center"/>
          </w:tcPr>
          <w:p w14:paraId="12B7C50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lang w:eastAsia="en-US"/>
              </w:rPr>
              <w:t>2</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lang w:eastAsia="zh-CN"/>
              </w:rPr>
              <w:t>□</w:t>
            </w:r>
          </w:p>
        </w:tc>
        <w:tc>
          <w:tcPr>
            <w:tcW w:w="1065" w:type="dxa"/>
            <w:gridSpan w:val="2"/>
            <w:tcBorders>
              <w:tl2br w:val="nil"/>
              <w:tr2bl w:val="nil"/>
            </w:tcBorders>
            <w:vAlign w:val="center"/>
          </w:tcPr>
          <w:p w14:paraId="151E720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color w:val="auto"/>
                <w:sz w:val="21"/>
                <w:szCs w:val="21"/>
                <w:highlight w:val="none"/>
                <w:lang w:eastAsia="en-US"/>
              </w:rPr>
              <w:t>3</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rPr>
              <w:t>☑</w:t>
            </w:r>
          </w:p>
        </w:tc>
        <w:tc>
          <w:tcPr>
            <w:tcW w:w="1002" w:type="dxa"/>
            <w:gridSpan w:val="2"/>
            <w:tcBorders>
              <w:tl2br w:val="nil"/>
              <w:tr2bl w:val="nil"/>
            </w:tcBorders>
            <w:vAlign w:val="center"/>
          </w:tcPr>
          <w:p w14:paraId="1F81897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lang w:eastAsia="en-US"/>
              </w:rPr>
              <w:t>4a</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lang w:eastAsia="zh-CN"/>
              </w:rPr>
              <w:t>□</w:t>
            </w:r>
          </w:p>
        </w:tc>
        <w:tc>
          <w:tcPr>
            <w:tcW w:w="1067" w:type="dxa"/>
            <w:tcBorders>
              <w:tl2br w:val="nil"/>
              <w:tr2bl w:val="nil"/>
            </w:tcBorders>
            <w:vAlign w:val="center"/>
          </w:tcPr>
          <w:p w14:paraId="47B1F7C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color w:val="auto"/>
                <w:sz w:val="21"/>
                <w:szCs w:val="21"/>
                <w:highlight w:val="none"/>
                <w:lang w:eastAsia="en-US"/>
              </w:rPr>
              <w:t>4b</w:t>
            </w:r>
            <w:r>
              <w:rPr>
                <w:rFonts w:hint="eastAsia" w:ascii="宋体" w:hAnsi="宋体" w:eastAsia="宋体" w:cs="宋体"/>
                <w:color w:val="auto"/>
                <w:sz w:val="21"/>
                <w:szCs w:val="21"/>
                <w:highlight w:val="none"/>
                <w:lang w:eastAsia="en-US"/>
              </w:rPr>
              <w:t>类区</w:t>
            </w:r>
            <w:r>
              <w:rPr>
                <w:rFonts w:hint="eastAsia" w:eastAsia="宋体"/>
                <w:color w:val="auto"/>
                <w:sz w:val="21"/>
                <w:szCs w:val="21"/>
                <w:highlight w:val="none"/>
                <w:lang w:eastAsia="zh-CN"/>
              </w:rPr>
              <w:t>□</w:t>
            </w:r>
          </w:p>
        </w:tc>
      </w:tr>
      <w:tr w14:paraId="2B66C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72BAE52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67C2E5E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评价年度</w:t>
            </w:r>
          </w:p>
        </w:tc>
        <w:tc>
          <w:tcPr>
            <w:tcW w:w="1445" w:type="dxa"/>
            <w:gridSpan w:val="2"/>
            <w:tcBorders>
              <w:tl2br w:val="nil"/>
              <w:tr2bl w:val="nil"/>
            </w:tcBorders>
            <w:vAlign w:val="center"/>
          </w:tcPr>
          <w:p w14:paraId="1F68731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初期</w:t>
            </w:r>
            <w:r>
              <w:rPr>
                <w:rFonts w:hint="eastAsia" w:eastAsia="宋体"/>
                <w:color w:val="auto"/>
                <w:sz w:val="21"/>
                <w:szCs w:val="21"/>
                <w:highlight w:val="none"/>
                <w:lang w:eastAsia="zh-CN"/>
              </w:rPr>
              <w:t>□</w:t>
            </w:r>
          </w:p>
        </w:tc>
        <w:tc>
          <w:tcPr>
            <w:tcW w:w="1533" w:type="dxa"/>
            <w:gridSpan w:val="2"/>
            <w:tcBorders>
              <w:tl2br w:val="nil"/>
              <w:tr2bl w:val="nil"/>
            </w:tcBorders>
            <w:vAlign w:val="center"/>
          </w:tcPr>
          <w:p w14:paraId="377366F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eastAsia="宋体"/>
                <w:color w:val="auto"/>
                <w:sz w:val="21"/>
                <w:szCs w:val="21"/>
                <w:highlight w:val="none"/>
              </w:rPr>
            </w:pPr>
            <w:r>
              <w:rPr>
                <w:rFonts w:hint="eastAsia" w:ascii="宋体" w:hAnsi="宋体" w:eastAsia="宋体" w:cs="宋体"/>
                <w:color w:val="auto"/>
                <w:sz w:val="21"/>
                <w:szCs w:val="21"/>
                <w:highlight w:val="none"/>
                <w:lang w:eastAsia="en-US"/>
              </w:rPr>
              <w:t>近期</w:t>
            </w:r>
            <w:r>
              <w:rPr>
                <w:rFonts w:hint="eastAsia" w:eastAsia="宋体"/>
                <w:color w:val="auto"/>
                <w:sz w:val="21"/>
                <w:szCs w:val="21"/>
                <w:highlight w:val="none"/>
              </w:rPr>
              <w:t>☑</w:t>
            </w:r>
          </w:p>
        </w:tc>
        <w:tc>
          <w:tcPr>
            <w:tcW w:w="1585" w:type="dxa"/>
            <w:gridSpan w:val="3"/>
            <w:tcBorders>
              <w:tl2br w:val="nil"/>
              <w:tr2bl w:val="nil"/>
            </w:tcBorders>
            <w:vAlign w:val="center"/>
          </w:tcPr>
          <w:p w14:paraId="1B678315">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中期</w:t>
            </w:r>
            <w:r>
              <w:rPr>
                <w:rFonts w:hint="eastAsia" w:eastAsia="宋体"/>
                <w:color w:val="auto"/>
                <w:sz w:val="21"/>
                <w:szCs w:val="21"/>
                <w:highlight w:val="none"/>
                <w:lang w:eastAsia="zh-CN"/>
              </w:rPr>
              <w:t>□</w:t>
            </w:r>
          </w:p>
        </w:tc>
        <w:tc>
          <w:tcPr>
            <w:tcW w:w="1549" w:type="dxa"/>
            <w:gridSpan w:val="2"/>
            <w:tcBorders>
              <w:tl2br w:val="nil"/>
              <w:tr2bl w:val="nil"/>
            </w:tcBorders>
            <w:vAlign w:val="center"/>
          </w:tcPr>
          <w:p w14:paraId="48B7C51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远期</w:t>
            </w:r>
            <w:r>
              <w:rPr>
                <w:rFonts w:hint="eastAsia" w:eastAsia="宋体"/>
                <w:color w:val="auto"/>
                <w:sz w:val="21"/>
                <w:szCs w:val="21"/>
                <w:highlight w:val="none"/>
              </w:rPr>
              <w:t>□</w:t>
            </w:r>
          </w:p>
        </w:tc>
      </w:tr>
      <w:tr w14:paraId="45DC2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163FF8F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774C807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现状调查方法</w:t>
            </w:r>
          </w:p>
        </w:tc>
        <w:tc>
          <w:tcPr>
            <w:tcW w:w="1965" w:type="dxa"/>
            <w:gridSpan w:val="3"/>
            <w:tcBorders>
              <w:tl2br w:val="nil"/>
              <w:tr2bl w:val="nil"/>
            </w:tcBorders>
            <w:vAlign w:val="center"/>
          </w:tcPr>
          <w:p w14:paraId="1A8B8C3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现场实测法</w:t>
            </w:r>
            <w:r>
              <w:rPr>
                <w:rFonts w:hint="eastAsia" w:eastAsia="宋体"/>
                <w:color w:val="auto"/>
                <w:sz w:val="21"/>
                <w:szCs w:val="21"/>
                <w:highlight w:val="none"/>
              </w:rPr>
              <w:t>☑</w:t>
            </w:r>
          </w:p>
        </w:tc>
        <w:tc>
          <w:tcPr>
            <w:tcW w:w="2598" w:type="dxa"/>
            <w:gridSpan w:val="4"/>
            <w:tcBorders>
              <w:tl2br w:val="nil"/>
              <w:tr2bl w:val="nil"/>
            </w:tcBorders>
            <w:vAlign w:val="center"/>
          </w:tcPr>
          <w:p w14:paraId="79B53C2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现场实测加模型计算法</w:t>
            </w:r>
            <w:r>
              <w:rPr>
                <w:rFonts w:hint="eastAsia" w:eastAsia="宋体"/>
                <w:color w:val="auto"/>
                <w:sz w:val="21"/>
                <w:szCs w:val="21"/>
                <w:highlight w:val="none"/>
                <w:lang w:eastAsia="zh-CN"/>
              </w:rPr>
              <w:t>□</w:t>
            </w:r>
          </w:p>
        </w:tc>
        <w:tc>
          <w:tcPr>
            <w:tcW w:w="1549" w:type="dxa"/>
            <w:gridSpan w:val="2"/>
            <w:tcBorders>
              <w:tl2br w:val="nil"/>
              <w:tr2bl w:val="nil"/>
            </w:tcBorders>
            <w:vAlign w:val="center"/>
          </w:tcPr>
          <w:p w14:paraId="6F4193E5">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收集资料</w:t>
            </w:r>
            <w:r>
              <w:rPr>
                <w:rFonts w:hint="eastAsia" w:eastAsia="宋体"/>
                <w:color w:val="auto"/>
                <w:sz w:val="21"/>
                <w:szCs w:val="21"/>
                <w:highlight w:val="none"/>
                <w:lang w:eastAsia="zh-CN"/>
              </w:rPr>
              <w:t>□</w:t>
            </w:r>
          </w:p>
        </w:tc>
      </w:tr>
      <w:tr w14:paraId="24CCC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5221DB9F">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4035D3D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现状评价</w:t>
            </w:r>
          </w:p>
        </w:tc>
        <w:tc>
          <w:tcPr>
            <w:tcW w:w="1965" w:type="dxa"/>
            <w:gridSpan w:val="3"/>
            <w:tcBorders>
              <w:tl2br w:val="nil"/>
              <w:tr2bl w:val="nil"/>
            </w:tcBorders>
            <w:vAlign w:val="center"/>
          </w:tcPr>
          <w:p w14:paraId="1C37C19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达标百分比</w:t>
            </w:r>
          </w:p>
        </w:tc>
        <w:tc>
          <w:tcPr>
            <w:tcW w:w="4147" w:type="dxa"/>
            <w:gridSpan w:val="6"/>
            <w:tcBorders>
              <w:tl2br w:val="nil"/>
              <w:tr2bl w:val="nil"/>
            </w:tcBorders>
            <w:vAlign w:val="center"/>
          </w:tcPr>
          <w:p w14:paraId="3E59A82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eastAsia="等线"/>
                <w:color w:val="auto"/>
                <w:sz w:val="21"/>
                <w:szCs w:val="21"/>
                <w:highlight w:val="none"/>
              </w:rPr>
            </w:pPr>
            <w:r>
              <w:rPr>
                <w:rFonts w:eastAsia="等线"/>
                <w:color w:val="auto"/>
                <w:sz w:val="21"/>
                <w:szCs w:val="21"/>
                <w:highlight w:val="none"/>
              </w:rPr>
              <w:t>100%</w:t>
            </w:r>
          </w:p>
        </w:tc>
      </w:tr>
      <w:tr w14:paraId="78486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tcBorders>
              <w:tl2br w:val="nil"/>
              <w:tr2bl w:val="nil"/>
            </w:tcBorders>
            <w:vAlign w:val="center"/>
          </w:tcPr>
          <w:p w14:paraId="67D52FD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噪声源调查</w:t>
            </w:r>
          </w:p>
        </w:tc>
        <w:tc>
          <w:tcPr>
            <w:tcW w:w="1443" w:type="dxa"/>
            <w:tcBorders>
              <w:tl2br w:val="nil"/>
              <w:tr2bl w:val="nil"/>
            </w:tcBorders>
            <w:vAlign w:val="center"/>
          </w:tcPr>
          <w:p w14:paraId="25FF290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噪声源调查方法</w:t>
            </w:r>
          </w:p>
        </w:tc>
        <w:tc>
          <w:tcPr>
            <w:tcW w:w="1965" w:type="dxa"/>
            <w:gridSpan w:val="3"/>
            <w:tcBorders>
              <w:tl2br w:val="nil"/>
              <w:tr2bl w:val="nil"/>
            </w:tcBorders>
            <w:vAlign w:val="center"/>
          </w:tcPr>
          <w:p w14:paraId="65E4D65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现场实测</w:t>
            </w:r>
            <w:r>
              <w:rPr>
                <w:rFonts w:hint="eastAsia" w:eastAsia="宋体"/>
                <w:color w:val="auto"/>
                <w:sz w:val="21"/>
                <w:szCs w:val="21"/>
                <w:highlight w:val="none"/>
              </w:rPr>
              <w:t>□</w:t>
            </w:r>
          </w:p>
        </w:tc>
        <w:tc>
          <w:tcPr>
            <w:tcW w:w="2078" w:type="dxa"/>
            <w:gridSpan w:val="3"/>
            <w:tcBorders>
              <w:tl2br w:val="nil"/>
              <w:tr2bl w:val="nil"/>
            </w:tcBorders>
            <w:vAlign w:val="center"/>
          </w:tcPr>
          <w:p w14:paraId="36510FB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已有资料</w:t>
            </w:r>
            <w:r>
              <w:rPr>
                <w:rFonts w:hint="eastAsia" w:eastAsia="宋体"/>
                <w:color w:val="auto"/>
                <w:sz w:val="21"/>
                <w:szCs w:val="21"/>
                <w:highlight w:val="none"/>
              </w:rPr>
              <w:t>☑</w:t>
            </w:r>
          </w:p>
        </w:tc>
        <w:tc>
          <w:tcPr>
            <w:tcW w:w="2069" w:type="dxa"/>
            <w:gridSpan w:val="3"/>
            <w:tcBorders>
              <w:tl2br w:val="nil"/>
              <w:tr2bl w:val="nil"/>
            </w:tcBorders>
            <w:vAlign w:val="center"/>
          </w:tcPr>
          <w:p w14:paraId="3F4277C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研究成果</w:t>
            </w:r>
            <w:r>
              <w:rPr>
                <w:rFonts w:hint="eastAsia" w:eastAsia="宋体"/>
                <w:color w:val="auto"/>
                <w:sz w:val="21"/>
                <w:szCs w:val="21"/>
                <w:highlight w:val="none"/>
                <w:lang w:eastAsia="zh-CN"/>
              </w:rPr>
              <w:t>□</w:t>
            </w:r>
          </w:p>
        </w:tc>
      </w:tr>
      <w:tr w14:paraId="381A66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restart"/>
            <w:tcBorders>
              <w:tl2br w:val="nil"/>
              <w:tr2bl w:val="nil"/>
            </w:tcBorders>
            <w:vAlign w:val="center"/>
          </w:tcPr>
          <w:p w14:paraId="4EE4505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声环境影响预测与评价</w:t>
            </w:r>
          </w:p>
        </w:tc>
        <w:tc>
          <w:tcPr>
            <w:tcW w:w="1443" w:type="dxa"/>
            <w:tcBorders>
              <w:tl2br w:val="nil"/>
              <w:tr2bl w:val="nil"/>
            </w:tcBorders>
            <w:vAlign w:val="center"/>
          </w:tcPr>
          <w:p w14:paraId="06D50C0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预测模型</w:t>
            </w:r>
          </w:p>
        </w:tc>
        <w:tc>
          <w:tcPr>
            <w:tcW w:w="2978" w:type="dxa"/>
            <w:gridSpan w:val="4"/>
            <w:tcBorders>
              <w:tl2br w:val="nil"/>
              <w:tr2bl w:val="nil"/>
            </w:tcBorders>
            <w:vAlign w:val="center"/>
          </w:tcPr>
          <w:p w14:paraId="3664FAA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导则推荐模型</w:t>
            </w:r>
            <w:r>
              <w:rPr>
                <w:rFonts w:hint="eastAsia" w:eastAsia="宋体"/>
                <w:color w:val="auto"/>
                <w:sz w:val="21"/>
                <w:szCs w:val="21"/>
                <w:highlight w:val="none"/>
              </w:rPr>
              <w:t>☑</w:t>
            </w:r>
          </w:p>
        </w:tc>
        <w:tc>
          <w:tcPr>
            <w:tcW w:w="3134" w:type="dxa"/>
            <w:gridSpan w:val="5"/>
            <w:tcBorders>
              <w:tl2br w:val="nil"/>
              <w:tr2bl w:val="nil"/>
            </w:tcBorders>
            <w:vAlign w:val="center"/>
          </w:tcPr>
          <w:p w14:paraId="71502477">
            <w:pPr>
              <w:pStyle w:val="98"/>
              <w:keepNext w:val="0"/>
              <w:keepLines w:val="0"/>
              <w:pageBreakBefore w:val="0"/>
              <w:widowControl w:val="0"/>
              <w:tabs>
                <w:tab w:val="left" w:pos="1633"/>
              </w:tabs>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其他</w:t>
            </w:r>
            <w:r>
              <w:rPr>
                <w:rFonts w:hint="eastAsia" w:eastAsia="宋体"/>
                <w:color w:val="auto"/>
                <w:sz w:val="21"/>
                <w:szCs w:val="21"/>
                <w:highlight w:val="none"/>
                <w:lang w:eastAsia="zh-CN"/>
              </w:rPr>
              <w:t>□</w:t>
            </w:r>
          </w:p>
        </w:tc>
      </w:tr>
      <w:tr w14:paraId="5890F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3DBAF0DD">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3A6BA0C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预测范围</w:t>
            </w:r>
          </w:p>
        </w:tc>
        <w:tc>
          <w:tcPr>
            <w:tcW w:w="1965" w:type="dxa"/>
            <w:gridSpan w:val="3"/>
            <w:tcBorders>
              <w:tl2br w:val="nil"/>
              <w:tr2bl w:val="nil"/>
            </w:tcBorders>
            <w:vAlign w:val="center"/>
          </w:tcPr>
          <w:p w14:paraId="1E454DE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color w:val="auto"/>
                <w:sz w:val="21"/>
                <w:szCs w:val="21"/>
                <w:highlight w:val="none"/>
                <w:lang w:eastAsia="en-US"/>
              </w:rPr>
              <w:t>200m</w:t>
            </w:r>
            <w:r>
              <w:rPr>
                <w:rFonts w:hint="eastAsia" w:eastAsia="宋体"/>
                <w:color w:val="auto"/>
                <w:sz w:val="21"/>
                <w:szCs w:val="21"/>
                <w:highlight w:val="none"/>
              </w:rPr>
              <w:t>☑</w:t>
            </w:r>
          </w:p>
        </w:tc>
        <w:tc>
          <w:tcPr>
            <w:tcW w:w="2078" w:type="dxa"/>
            <w:gridSpan w:val="3"/>
            <w:tcBorders>
              <w:tl2br w:val="nil"/>
              <w:tr2bl w:val="nil"/>
            </w:tcBorders>
            <w:vAlign w:val="center"/>
          </w:tcPr>
          <w:p w14:paraId="69E72FA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大于</w:t>
            </w:r>
            <w:r>
              <w:rPr>
                <w:color w:val="auto"/>
                <w:sz w:val="21"/>
                <w:szCs w:val="21"/>
                <w:highlight w:val="none"/>
                <w:lang w:eastAsia="en-US"/>
              </w:rPr>
              <w:t>200m</w:t>
            </w:r>
            <w:r>
              <w:rPr>
                <w:rFonts w:hint="eastAsia" w:eastAsia="宋体"/>
                <w:color w:val="auto"/>
                <w:sz w:val="21"/>
                <w:szCs w:val="21"/>
                <w:highlight w:val="none"/>
                <w:lang w:eastAsia="zh-CN"/>
              </w:rPr>
              <w:t>□</w:t>
            </w:r>
          </w:p>
        </w:tc>
        <w:tc>
          <w:tcPr>
            <w:tcW w:w="2069" w:type="dxa"/>
            <w:gridSpan w:val="3"/>
            <w:tcBorders>
              <w:tl2br w:val="nil"/>
              <w:tr2bl w:val="nil"/>
            </w:tcBorders>
            <w:vAlign w:val="center"/>
          </w:tcPr>
          <w:p w14:paraId="0D28E23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小于</w:t>
            </w:r>
            <w:r>
              <w:rPr>
                <w:color w:val="auto"/>
                <w:sz w:val="21"/>
                <w:szCs w:val="21"/>
                <w:highlight w:val="none"/>
                <w:lang w:eastAsia="en-US"/>
              </w:rPr>
              <w:t>200m</w:t>
            </w:r>
            <w:r>
              <w:rPr>
                <w:rFonts w:hint="eastAsia" w:eastAsia="宋体"/>
                <w:color w:val="auto"/>
                <w:sz w:val="21"/>
                <w:szCs w:val="21"/>
                <w:highlight w:val="none"/>
                <w:lang w:eastAsia="zh-CN"/>
              </w:rPr>
              <w:t>□</w:t>
            </w:r>
          </w:p>
        </w:tc>
      </w:tr>
      <w:tr w14:paraId="4A19B8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00EEF468">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458A551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预测因子</w:t>
            </w:r>
          </w:p>
        </w:tc>
        <w:tc>
          <w:tcPr>
            <w:tcW w:w="1965" w:type="dxa"/>
            <w:gridSpan w:val="3"/>
            <w:tcBorders>
              <w:tl2br w:val="nil"/>
              <w:tr2bl w:val="nil"/>
            </w:tcBorders>
            <w:vAlign w:val="center"/>
          </w:tcPr>
          <w:p w14:paraId="4C3FFB1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等效连续</w:t>
            </w:r>
            <w:r>
              <w:rPr>
                <w:color w:val="auto"/>
                <w:sz w:val="21"/>
                <w:szCs w:val="21"/>
                <w:highlight w:val="none"/>
                <w:lang w:eastAsia="en-US"/>
              </w:rPr>
              <w:t>A</w:t>
            </w:r>
            <w:r>
              <w:rPr>
                <w:rFonts w:hint="eastAsia" w:ascii="宋体" w:hAnsi="宋体" w:eastAsia="宋体" w:cs="宋体"/>
                <w:color w:val="auto"/>
                <w:sz w:val="21"/>
                <w:szCs w:val="21"/>
                <w:highlight w:val="none"/>
                <w:lang w:eastAsia="en-US"/>
              </w:rPr>
              <w:t>声级</w:t>
            </w:r>
            <w:r>
              <w:rPr>
                <w:rFonts w:hint="eastAsia" w:eastAsia="宋体"/>
                <w:color w:val="auto"/>
                <w:sz w:val="21"/>
                <w:szCs w:val="21"/>
                <w:highlight w:val="none"/>
              </w:rPr>
              <w:t>☑</w:t>
            </w:r>
          </w:p>
        </w:tc>
        <w:tc>
          <w:tcPr>
            <w:tcW w:w="1489" w:type="dxa"/>
            <w:gridSpan w:val="2"/>
            <w:tcBorders>
              <w:tl2br w:val="nil"/>
              <w:tr2bl w:val="nil"/>
            </w:tcBorders>
            <w:vAlign w:val="center"/>
          </w:tcPr>
          <w:p w14:paraId="36BF883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最大</w:t>
            </w:r>
            <w:r>
              <w:rPr>
                <w:color w:val="auto"/>
                <w:sz w:val="21"/>
                <w:szCs w:val="21"/>
                <w:highlight w:val="none"/>
                <w:lang w:eastAsia="en-US"/>
              </w:rPr>
              <w:t>A</w:t>
            </w:r>
            <w:r>
              <w:rPr>
                <w:rFonts w:hint="eastAsia" w:ascii="宋体" w:hAnsi="宋体" w:eastAsia="宋体" w:cs="宋体"/>
                <w:color w:val="auto"/>
                <w:sz w:val="21"/>
                <w:szCs w:val="21"/>
                <w:highlight w:val="none"/>
                <w:lang w:eastAsia="en-US"/>
              </w:rPr>
              <w:t>声级</w:t>
            </w:r>
            <w:r>
              <w:rPr>
                <w:rFonts w:hint="eastAsia" w:eastAsia="宋体"/>
                <w:color w:val="auto"/>
                <w:sz w:val="21"/>
                <w:szCs w:val="21"/>
                <w:highlight w:val="none"/>
                <w:lang w:eastAsia="zh-CN"/>
              </w:rPr>
              <w:t>□</w:t>
            </w:r>
          </w:p>
        </w:tc>
        <w:tc>
          <w:tcPr>
            <w:tcW w:w="2658" w:type="dxa"/>
            <w:gridSpan w:val="4"/>
            <w:tcBorders>
              <w:tl2br w:val="nil"/>
              <w:tr2bl w:val="nil"/>
            </w:tcBorders>
            <w:vAlign w:val="center"/>
          </w:tcPr>
          <w:p w14:paraId="25F8111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计权等效连续感觉噪声级</w:t>
            </w:r>
            <w:r>
              <w:rPr>
                <w:rFonts w:hint="eastAsia" w:eastAsia="宋体"/>
                <w:color w:val="auto"/>
                <w:sz w:val="21"/>
                <w:szCs w:val="21"/>
                <w:highlight w:val="none"/>
                <w:lang w:eastAsia="zh-CN"/>
              </w:rPr>
              <w:t>□</w:t>
            </w:r>
          </w:p>
        </w:tc>
      </w:tr>
      <w:tr w14:paraId="294A3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32109386">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rPr>
            </w:pPr>
          </w:p>
        </w:tc>
        <w:tc>
          <w:tcPr>
            <w:tcW w:w="1443" w:type="dxa"/>
            <w:tcBorders>
              <w:tl2br w:val="nil"/>
              <w:tr2bl w:val="nil"/>
            </w:tcBorders>
            <w:vAlign w:val="center"/>
          </w:tcPr>
          <w:p w14:paraId="18C7892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厂界噪声贡献值</w:t>
            </w:r>
          </w:p>
        </w:tc>
        <w:tc>
          <w:tcPr>
            <w:tcW w:w="2978" w:type="dxa"/>
            <w:gridSpan w:val="4"/>
            <w:tcBorders>
              <w:tl2br w:val="nil"/>
              <w:tr2bl w:val="nil"/>
            </w:tcBorders>
            <w:vAlign w:val="center"/>
          </w:tcPr>
          <w:p w14:paraId="01993AC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达标</w:t>
            </w:r>
            <w:r>
              <w:rPr>
                <w:rFonts w:hint="eastAsia" w:eastAsia="宋体"/>
                <w:color w:val="auto"/>
                <w:sz w:val="21"/>
                <w:szCs w:val="21"/>
                <w:highlight w:val="none"/>
              </w:rPr>
              <w:t>☑</w:t>
            </w:r>
          </w:p>
        </w:tc>
        <w:tc>
          <w:tcPr>
            <w:tcW w:w="3134" w:type="dxa"/>
            <w:gridSpan w:val="5"/>
            <w:tcBorders>
              <w:tl2br w:val="nil"/>
              <w:tr2bl w:val="nil"/>
            </w:tcBorders>
            <w:vAlign w:val="center"/>
          </w:tcPr>
          <w:p w14:paraId="03838B9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不达标</w:t>
            </w:r>
            <w:r>
              <w:rPr>
                <w:rFonts w:hint="eastAsia" w:eastAsia="宋体"/>
                <w:color w:val="auto"/>
                <w:sz w:val="21"/>
                <w:szCs w:val="21"/>
                <w:highlight w:val="none"/>
                <w:lang w:eastAsia="zh-CN"/>
              </w:rPr>
              <w:t>□</w:t>
            </w:r>
          </w:p>
        </w:tc>
      </w:tr>
      <w:tr w14:paraId="6F799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441F1AB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7CEFB8B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声环境保护目标处噪声值</w:t>
            </w:r>
          </w:p>
        </w:tc>
        <w:tc>
          <w:tcPr>
            <w:tcW w:w="2978" w:type="dxa"/>
            <w:gridSpan w:val="4"/>
            <w:tcBorders>
              <w:tl2br w:val="nil"/>
              <w:tr2bl w:val="nil"/>
            </w:tcBorders>
            <w:vAlign w:val="center"/>
          </w:tcPr>
          <w:p w14:paraId="03F18DE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eastAsia="宋体"/>
                <w:color w:val="auto"/>
                <w:sz w:val="21"/>
                <w:szCs w:val="21"/>
                <w:highlight w:val="none"/>
              </w:rPr>
            </w:pPr>
            <w:r>
              <w:rPr>
                <w:rFonts w:hint="eastAsia" w:ascii="宋体" w:hAnsi="宋体" w:eastAsia="宋体" w:cs="宋体"/>
                <w:color w:val="auto"/>
                <w:sz w:val="21"/>
                <w:szCs w:val="21"/>
                <w:highlight w:val="none"/>
                <w:lang w:eastAsia="en-US"/>
              </w:rPr>
              <w:t>达标</w:t>
            </w:r>
            <w:r>
              <w:rPr>
                <w:rFonts w:hint="eastAsia" w:eastAsia="宋体"/>
                <w:color w:val="auto"/>
                <w:sz w:val="21"/>
                <w:szCs w:val="21"/>
                <w:highlight w:val="none"/>
              </w:rPr>
              <w:t>☑</w:t>
            </w:r>
          </w:p>
        </w:tc>
        <w:tc>
          <w:tcPr>
            <w:tcW w:w="3134" w:type="dxa"/>
            <w:gridSpan w:val="5"/>
            <w:tcBorders>
              <w:tl2br w:val="nil"/>
              <w:tr2bl w:val="nil"/>
            </w:tcBorders>
            <w:vAlign w:val="center"/>
          </w:tcPr>
          <w:p w14:paraId="3CD4B5E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eastAsia="en-US"/>
              </w:rPr>
              <w:t>不达标</w:t>
            </w:r>
            <w:r>
              <w:rPr>
                <w:rFonts w:hint="eastAsia" w:eastAsia="宋体"/>
                <w:color w:val="auto"/>
                <w:sz w:val="21"/>
                <w:szCs w:val="21"/>
                <w:highlight w:val="none"/>
                <w:lang w:eastAsia="zh-CN"/>
              </w:rPr>
              <w:t>□</w:t>
            </w:r>
          </w:p>
        </w:tc>
      </w:tr>
      <w:tr w14:paraId="03718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restart"/>
            <w:tcBorders>
              <w:tl2br w:val="nil"/>
              <w:tr2bl w:val="nil"/>
            </w:tcBorders>
            <w:vAlign w:val="center"/>
          </w:tcPr>
          <w:p w14:paraId="10B8792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环境监测计划</w:t>
            </w:r>
          </w:p>
        </w:tc>
        <w:tc>
          <w:tcPr>
            <w:tcW w:w="1443" w:type="dxa"/>
            <w:tcBorders>
              <w:tl2br w:val="nil"/>
              <w:tr2bl w:val="nil"/>
            </w:tcBorders>
            <w:vAlign w:val="center"/>
          </w:tcPr>
          <w:p w14:paraId="42AAF22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排放监测</w:t>
            </w:r>
          </w:p>
        </w:tc>
        <w:tc>
          <w:tcPr>
            <w:tcW w:w="2978" w:type="dxa"/>
            <w:gridSpan w:val="4"/>
            <w:tcBorders>
              <w:tl2br w:val="nil"/>
              <w:tr2bl w:val="nil"/>
            </w:tcBorders>
            <w:vAlign w:val="center"/>
          </w:tcPr>
          <w:p w14:paraId="09578026">
            <w:pPr>
              <w:pStyle w:val="98"/>
              <w:keepNext w:val="0"/>
              <w:keepLines w:val="0"/>
              <w:pageBreakBefore w:val="0"/>
              <w:widowControl w:val="0"/>
              <w:tabs>
                <w:tab w:val="left" w:pos="1621"/>
              </w:tabs>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厂界监测</w:t>
            </w:r>
            <w:r>
              <w:rPr>
                <w:rFonts w:hint="eastAsia" w:eastAsia="宋体"/>
                <w:color w:val="auto"/>
                <w:sz w:val="21"/>
                <w:szCs w:val="21"/>
                <w:highlight w:val="none"/>
              </w:rPr>
              <w:t>☑</w:t>
            </w:r>
            <w:r>
              <w:rPr>
                <w:rFonts w:hint="eastAsia" w:ascii="宋体" w:hAnsi="宋体" w:eastAsia="宋体" w:cs="宋体"/>
                <w:color w:val="auto"/>
                <w:sz w:val="21"/>
                <w:szCs w:val="21"/>
                <w:highlight w:val="none"/>
              </w:rPr>
              <w:t>固定位置监</w:t>
            </w:r>
            <w:r>
              <w:rPr>
                <w:rFonts w:hint="eastAsia" w:ascii="宋体" w:hAnsi="宋体" w:eastAsia="宋体" w:cs="宋体"/>
                <w:color w:val="auto"/>
                <w:spacing w:val="-3"/>
                <w:sz w:val="21"/>
                <w:szCs w:val="21"/>
                <w:highlight w:val="none"/>
              </w:rPr>
              <w:t>测</w:t>
            </w:r>
            <w:r>
              <w:rPr>
                <w:color w:val="auto"/>
                <w:sz w:val="21"/>
                <w:szCs w:val="21"/>
                <w:highlight w:val="none"/>
              </w:rPr>
              <w:t>□</w:t>
            </w:r>
          </w:p>
        </w:tc>
        <w:tc>
          <w:tcPr>
            <w:tcW w:w="2067" w:type="dxa"/>
            <w:gridSpan w:val="4"/>
            <w:tcBorders>
              <w:tl2br w:val="nil"/>
              <w:tr2bl w:val="nil"/>
            </w:tcBorders>
            <w:vAlign w:val="center"/>
          </w:tcPr>
          <w:p w14:paraId="281B133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自动监测</w:t>
            </w:r>
            <w:r>
              <w:rPr>
                <w:color w:val="auto"/>
                <w:sz w:val="21"/>
                <w:szCs w:val="21"/>
                <w:highlight w:val="none"/>
              </w:rPr>
              <w:t>□</w:t>
            </w:r>
            <w:r>
              <w:rPr>
                <w:rFonts w:hint="eastAsia" w:ascii="宋体" w:hAnsi="宋体" w:eastAsia="宋体" w:cs="宋体"/>
                <w:color w:val="auto"/>
                <w:sz w:val="21"/>
                <w:szCs w:val="21"/>
                <w:highlight w:val="none"/>
              </w:rPr>
              <w:t>手动监测</w:t>
            </w:r>
            <w:r>
              <w:rPr>
                <w:rFonts w:hint="eastAsia" w:eastAsia="宋体"/>
                <w:color w:val="auto"/>
                <w:sz w:val="21"/>
                <w:szCs w:val="21"/>
                <w:highlight w:val="none"/>
              </w:rPr>
              <w:t>☑</w:t>
            </w:r>
          </w:p>
        </w:tc>
        <w:tc>
          <w:tcPr>
            <w:tcW w:w="1067" w:type="dxa"/>
            <w:tcBorders>
              <w:tl2br w:val="nil"/>
              <w:tr2bl w:val="nil"/>
            </w:tcBorders>
            <w:vAlign w:val="center"/>
          </w:tcPr>
          <w:p w14:paraId="3D693DA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eastAsia="宋体"/>
                <w:color w:val="auto"/>
                <w:sz w:val="21"/>
                <w:szCs w:val="21"/>
                <w:highlight w:val="none"/>
              </w:rPr>
            </w:pPr>
            <w:r>
              <w:rPr>
                <w:rFonts w:hint="eastAsia" w:ascii="宋体" w:hAnsi="宋体" w:eastAsia="宋体" w:cs="宋体"/>
                <w:color w:val="auto"/>
                <w:sz w:val="21"/>
                <w:szCs w:val="21"/>
                <w:highlight w:val="none"/>
                <w:lang w:eastAsia="en-US"/>
              </w:rPr>
              <w:t>无监测</w:t>
            </w:r>
            <w:r>
              <w:rPr>
                <w:rFonts w:hint="eastAsia" w:eastAsia="宋体"/>
                <w:color w:val="auto"/>
                <w:sz w:val="21"/>
                <w:szCs w:val="21"/>
                <w:highlight w:val="none"/>
              </w:rPr>
              <w:t>□</w:t>
            </w:r>
          </w:p>
        </w:tc>
      </w:tr>
      <w:tr w14:paraId="6456ED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vMerge w:val="continue"/>
            <w:tcBorders>
              <w:tl2br w:val="nil"/>
              <w:tr2bl w:val="nil"/>
            </w:tcBorders>
            <w:vAlign w:val="center"/>
          </w:tcPr>
          <w:p w14:paraId="53175811">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color w:val="auto"/>
                <w:sz w:val="21"/>
                <w:szCs w:val="21"/>
                <w:highlight w:val="none"/>
                <w:lang w:eastAsia="en-US"/>
              </w:rPr>
            </w:pPr>
          </w:p>
        </w:tc>
        <w:tc>
          <w:tcPr>
            <w:tcW w:w="1443" w:type="dxa"/>
            <w:tcBorders>
              <w:tl2br w:val="nil"/>
              <w:tr2bl w:val="nil"/>
            </w:tcBorders>
            <w:vAlign w:val="center"/>
          </w:tcPr>
          <w:p w14:paraId="58D35A4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声环境保护目标处噪声监测</w:t>
            </w:r>
          </w:p>
        </w:tc>
        <w:tc>
          <w:tcPr>
            <w:tcW w:w="2978" w:type="dxa"/>
            <w:gridSpan w:val="4"/>
            <w:tcBorders>
              <w:tl2br w:val="nil"/>
              <w:tr2bl w:val="nil"/>
            </w:tcBorders>
            <w:vAlign w:val="center"/>
          </w:tcPr>
          <w:p w14:paraId="5345EBB5">
            <w:pPr>
              <w:pStyle w:val="98"/>
              <w:keepNext w:val="0"/>
              <w:keepLines w:val="0"/>
              <w:pageBreakBefore w:val="0"/>
              <w:widowControl w:val="0"/>
              <w:tabs>
                <w:tab w:val="left" w:pos="2252"/>
              </w:tabs>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监测因子</w:t>
            </w:r>
            <w:r>
              <w:rPr>
                <w:rFonts w:hint="eastAsia" w:ascii="宋体" w:hAnsi="宋体" w:eastAsia="宋体" w:cs="宋体"/>
                <w:color w:val="auto"/>
                <w:spacing w:val="-92"/>
                <w:sz w:val="21"/>
                <w:szCs w:val="21"/>
                <w:highlight w:val="none"/>
              </w:rPr>
              <w:t>：</w:t>
            </w:r>
            <w:r>
              <w:rPr>
                <w:rFonts w:hint="eastAsia" w:ascii="宋体" w:hAnsi="宋体" w:eastAsia="宋体" w:cs="宋体"/>
                <w:color w:val="auto"/>
                <w:sz w:val="21"/>
                <w:szCs w:val="21"/>
                <w:highlight w:val="none"/>
              </w:rPr>
              <w:t>（等效连续</w:t>
            </w:r>
            <w:r>
              <w:rPr>
                <w:rFonts w:eastAsia="宋体"/>
                <w:color w:val="auto"/>
                <w:sz w:val="21"/>
                <w:szCs w:val="21"/>
                <w:highlight w:val="none"/>
              </w:rPr>
              <w:t>A</w:t>
            </w:r>
            <w:r>
              <w:rPr>
                <w:rFonts w:hint="eastAsia" w:ascii="宋体" w:hAnsi="宋体" w:eastAsia="宋体" w:cs="宋体"/>
                <w:color w:val="auto"/>
                <w:sz w:val="21"/>
                <w:szCs w:val="21"/>
                <w:highlight w:val="none"/>
              </w:rPr>
              <w:t>声级）</w:t>
            </w:r>
          </w:p>
        </w:tc>
        <w:tc>
          <w:tcPr>
            <w:tcW w:w="2067" w:type="dxa"/>
            <w:gridSpan w:val="4"/>
            <w:tcBorders>
              <w:tl2br w:val="nil"/>
              <w:tr2bl w:val="nil"/>
            </w:tcBorders>
            <w:vAlign w:val="center"/>
          </w:tcPr>
          <w:p w14:paraId="47595FD6">
            <w:pPr>
              <w:pStyle w:val="98"/>
              <w:keepNext w:val="0"/>
              <w:keepLines w:val="0"/>
              <w:pageBreakBefore w:val="0"/>
              <w:widowControl w:val="0"/>
              <w:tabs>
                <w:tab w:val="left" w:pos="1735"/>
              </w:tabs>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监测点位数（</w:t>
            </w:r>
            <w:r>
              <w:rPr>
                <w:rFonts w:hint="eastAsia" w:eastAsia="宋体"/>
                <w:color w:val="auto"/>
                <w:sz w:val="21"/>
                <w:szCs w:val="21"/>
                <w:highlight w:val="none"/>
                <w:lang w:val="en-US" w:eastAsia="zh-CN"/>
              </w:rPr>
              <w:t>3</w:t>
            </w:r>
            <w:r>
              <w:rPr>
                <w:rFonts w:hint="eastAsia" w:ascii="宋体" w:hAnsi="宋体" w:eastAsia="宋体" w:cs="宋体"/>
                <w:color w:val="auto"/>
                <w:sz w:val="21"/>
                <w:szCs w:val="21"/>
                <w:highlight w:val="none"/>
                <w:lang w:eastAsia="en-US"/>
              </w:rPr>
              <w:t>）</w:t>
            </w:r>
          </w:p>
        </w:tc>
        <w:tc>
          <w:tcPr>
            <w:tcW w:w="1067" w:type="dxa"/>
            <w:tcBorders>
              <w:tl2br w:val="nil"/>
              <w:tr2bl w:val="nil"/>
            </w:tcBorders>
            <w:vAlign w:val="center"/>
          </w:tcPr>
          <w:p w14:paraId="53859EB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无监测</w:t>
            </w:r>
            <w:r>
              <w:rPr>
                <w:rFonts w:hint="eastAsia" w:eastAsia="宋体"/>
                <w:color w:val="auto"/>
                <w:sz w:val="21"/>
                <w:szCs w:val="21"/>
                <w:highlight w:val="none"/>
              </w:rPr>
              <w:t>□</w:t>
            </w:r>
          </w:p>
        </w:tc>
      </w:tr>
      <w:tr w14:paraId="09B08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9" w:type="dxa"/>
            <w:tcBorders>
              <w:tl2br w:val="nil"/>
              <w:tr2bl w:val="nil"/>
            </w:tcBorders>
            <w:vAlign w:val="center"/>
          </w:tcPr>
          <w:p w14:paraId="56FE7ED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评价结论</w:t>
            </w:r>
          </w:p>
        </w:tc>
        <w:tc>
          <w:tcPr>
            <w:tcW w:w="1443" w:type="dxa"/>
            <w:tcBorders>
              <w:tl2br w:val="nil"/>
              <w:tr2bl w:val="nil"/>
            </w:tcBorders>
            <w:vAlign w:val="center"/>
          </w:tcPr>
          <w:p w14:paraId="05F0874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环境影响</w:t>
            </w:r>
          </w:p>
        </w:tc>
        <w:tc>
          <w:tcPr>
            <w:tcW w:w="6112" w:type="dxa"/>
            <w:gridSpan w:val="9"/>
            <w:tcBorders>
              <w:tl2br w:val="nil"/>
              <w:tr2bl w:val="nil"/>
            </w:tcBorders>
            <w:vAlign w:val="center"/>
          </w:tcPr>
          <w:p w14:paraId="36030DC8">
            <w:pPr>
              <w:pStyle w:val="98"/>
              <w:keepNext w:val="0"/>
              <w:keepLines w:val="0"/>
              <w:pageBreakBefore w:val="0"/>
              <w:widowControl w:val="0"/>
              <w:tabs>
                <w:tab w:val="left" w:pos="1202"/>
              </w:tabs>
              <w:kinsoku/>
              <w:wordWrap/>
              <w:overflowPunct/>
              <w:topLinePunct w:val="0"/>
              <w:autoSpaceDE w:val="0"/>
              <w:autoSpaceDN w:val="0"/>
              <w:bidi w:val="0"/>
              <w:adjustRightInd/>
              <w:snapToGrid/>
              <w:ind w:left="0" w:right="0"/>
              <w:textAlignment w:val="auto"/>
              <w:rPr>
                <w:color w:val="auto"/>
                <w:sz w:val="21"/>
                <w:szCs w:val="21"/>
                <w:highlight w:val="none"/>
                <w:lang w:eastAsia="en-US"/>
              </w:rPr>
            </w:pPr>
            <w:r>
              <w:rPr>
                <w:rFonts w:hint="eastAsia" w:ascii="宋体" w:hAnsi="宋体" w:eastAsia="宋体" w:cs="宋体"/>
                <w:color w:val="auto"/>
                <w:sz w:val="21"/>
                <w:szCs w:val="21"/>
                <w:highlight w:val="none"/>
                <w:lang w:eastAsia="en-US"/>
              </w:rPr>
              <w:t>可行</w:t>
            </w:r>
            <w:r>
              <w:rPr>
                <w:rFonts w:hint="eastAsia" w:eastAsia="宋体"/>
                <w:color w:val="auto"/>
                <w:sz w:val="21"/>
                <w:szCs w:val="21"/>
                <w:highlight w:val="none"/>
              </w:rPr>
              <w:t>☑</w:t>
            </w:r>
            <w:r>
              <w:rPr>
                <w:color w:val="auto"/>
                <w:sz w:val="21"/>
                <w:szCs w:val="21"/>
                <w:highlight w:val="none"/>
                <w:lang w:eastAsia="en-US"/>
              </w:rPr>
              <w:tab/>
            </w:r>
            <w:r>
              <w:rPr>
                <w:rFonts w:hint="eastAsia" w:ascii="宋体" w:hAnsi="宋体" w:eastAsia="宋体" w:cs="宋体"/>
                <w:color w:val="auto"/>
                <w:sz w:val="21"/>
                <w:szCs w:val="21"/>
                <w:highlight w:val="none"/>
                <w:lang w:eastAsia="en-US"/>
              </w:rPr>
              <w:t>不可行</w:t>
            </w:r>
            <w:r>
              <w:rPr>
                <w:color w:val="auto"/>
                <w:sz w:val="21"/>
                <w:szCs w:val="21"/>
                <w:highlight w:val="none"/>
                <w:lang w:eastAsia="en-US"/>
              </w:rPr>
              <w:t>□</w:t>
            </w:r>
          </w:p>
        </w:tc>
      </w:tr>
      <w:tr w14:paraId="44C26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04" w:type="dxa"/>
            <w:gridSpan w:val="11"/>
            <w:tcBorders>
              <w:tl2br w:val="nil"/>
              <w:tr2bl w:val="nil"/>
            </w:tcBorders>
            <w:vAlign w:val="center"/>
          </w:tcPr>
          <w:p w14:paraId="3959F7CE">
            <w:pPr>
              <w:pStyle w:val="98"/>
              <w:keepNext w:val="0"/>
              <w:keepLines w:val="0"/>
              <w:pageBreakBefore w:val="0"/>
              <w:widowControl w:val="0"/>
              <w:tabs>
                <w:tab w:val="left" w:pos="3079"/>
              </w:tabs>
              <w:kinsoku/>
              <w:wordWrap/>
              <w:overflowPunct/>
              <w:topLinePunct w:val="0"/>
              <w:autoSpaceDE w:val="0"/>
              <w:autoSpaceDN w:val="0"/>
              <w:bidi w:val="0"/>
              <w:adjustRightInd/>
              <w:snapToGrid/>
              <w:ind w:left="0" w:right="0"/>
              <w:textAlignment w:val="auto"/>
              <w:rPr>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pacing w:val="-92"/>
                <w:sz w:val="21"/>
                <w:szCs w:val="21"/>
                <w:highlight w:val="none"/>
              </w:rPr>
              <w:t>：</w:t>
            </w:r>
            <w:r>
              <w:rPr>
                <w:color w:val="auto"/>
                <w:sz w:val="21"/>
                <w:szCs w:val="21"/>
                <w:highlight w:val="none"/>
              </w:rPr>
              <w:t>“□”</w:t>
            </w:r>
            <w:r>
              <w:rPr>
                <w:rFonts w:hint="eastAsia" w:ascii="宋体" w:hAnsi="宋体" w:eastAsia="宋体" w:cs="宋体"/>
                <w:color w:val="auto"/>
                <w:sz w:val="21"/>
                <w:szCs w:val="21"/>
                <w:highlight w:val="none"/>
              </w:rPr>
              <w:t>为勾选项，可</w:t>
            </w:r>
            <w:r>
              <w:rPr>
                <w:color w:val="auto"/>
                <w:sz w:val="21"/>
                <w:szCs w:val="21"/>
                <w:highlight w:val="none"/>
              </w:rPr>
              <w:t>√</w:t>
            </w:r>
            <w:r>
              <w:rPr>
                <w:rFonts w:hint="eastAsia" w:ascii="宋体" w:hAnsi="宋体" w:eastAsia="宋体" w:cs="宋体"/>
                <w:color w:val="auto"/>
                <w:spacing w:val="-92"/>
                <w:sz w:val="21"/>
                <w:szCs w:val="21"/>
                <w:highlight w:val="none"/>
              </w:rPr>
              <w:t>；</w:t>
            </w:r>
            <w:r>
              <w:rPr>
                <w:color w:val="auto"/>
                <w:spacing w:val="-92"/>
                <w:sz w:val="21"/>
                <w:szCs w:val="21"/>
                <w:highlight w:val="none"/>
              </w:rPr>
              <w:t>“</w:t>
            </w:r>
            <w:r>
              <w:rPr>
                <w:rFonts w:hint="eastAsia" w:ascii="宋体" w:hAnsi="宋体" w:eastAsia="宋体" w:cs="宋体"/>
                <w:color w:val="auto"/>
                <w:sz w:val="21"/>
                <w:szCs w:val="21"/>
                <w:highlight w:val="none"/>
              </w:rPr>
              <w:t>（</w:t>
            </w:r>
            <w:r>
              <w:rPr>
                <w:color w:val="auto"/>
                <w:sz w:val="21"/>
                <w:szCs w:val="21"/>
                <w:highlight w:val="none"/>
              </w:rPr>
              <w:tab/>
            </w:r>
            <w:r>
              <w:rPr>
                <w:rFonts w:hint="eastAsia" w:ascii="宋体" w:hAnsi="宋体" w:eastAsia="宋体" w:cs="宋体"/>
                <w:color w:val="auto"/>
                <w:spacing w:val="-92"/>
                <w:sz w:val="21"/>
                <w:szCs w:val="21"/>
                <w:highlight w:val="none"/>
              </w:rPr>
              <w:t>）</w:t>
            </w:r>
            <w:r>
              <w:rPr>
                <w:color w:val="auto"/>
                <w:sz w:val="21"/>
                <w:szCs w:val="21"/>
                <w:highlight w:val="none"/>
              </w:rPr>
              <w:t>”</w:t>
            </w:r>
            <w:r>
              <w:rPr>
                <w:rFonts w:hint="eastAsia" w:ascii="宋体" w:hAnsi="宋体" w:eastAsia="宋体" w:cs="宋体"/>
                <w:color w:val="auto"/>
                <w:sz w:val="21"/>
                <w:szCs w:val="21"/>
                <w:highlight w:val="none"/>
              </w:rPr>
              <w:t>为内容填写项。</w:t>
            </w:r>
          </w:p>
        </w:tc>
      </w:tr>
    </w:tbl>
    <w:p w14:paraId="3B873B62">
      <w:pPr>
        <w:ind w:left="-105" w:right="-105"/>
        <w:rPr>
          <w:color w:val="auto"/>
          <w:highlight w:val="none"/>
        </w:rPr>
      </w:pPr>
    </w:p>
    <w:p w14:paraId="5CA2DCA9">
      <w:pPr>
        <w:ind w:left="-105" w:right="-105"/>
        <w:rPr>
          <w:color w:val="auto"/>
          <w:highlight w:val="none"/>
        </w:rPr>
      </w:pPr>
    </w:p>
    <w:p w14:paraId="00D70826">
      <w:pPr>
        <w:pStyle w:val="15"/>
        <w:spacing w:line="360" w:lineRule="auto"/>
        <w:ind w:left="-105" w:right="-105" w:firstLine="482"/>
        <w:rPr>
          <w:rFonts w:eastAsia="宋体" w:cs="Times New Roman"/>
          <w:color w:val="auto"/>
          <w:sz w:val="24"/>
          <w:szCs w:val="24"/>
          <w:highlight w:val="none"/>
        </w:rPr>
      </w:pPr>
    </w:p>
    <w:p w14:paraId="0D0D7E1A">
      <w:pPr>
        <w:spacing w:line="360" w:lineRule="auto"/>
        <w:ind w:left="-105" w:right="-105" w:firstLine="480" w:firstLineChars="200"/>
        <w:rPr>
          <w:rFonts w:ascii="Times New Roman" w:hAnsi="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4E4B6946">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08" w:name="_Toc16211"/>
      <w:bookmarkStart w:id="409" w:name="_Toc60653575"/>
      <w:r>
        <w:rPr>
          <w:rFonts w:ascii="Times New Roman" w:eastAsia="宋体"/>
          <w:color w:val="auto"/>
          <w:sz w:val="28"/>
          <w:szCs w:val="28"/>
          <w:highlight w:val="none"/>
        </w:rPr>
        <w:t>固体废弃物环境影响分析</w:t>
      </w:r>
      <w:bookmarkEnd w:id="408"/>
      <w:bookmarkEnd w:id="409"/>
    </w:p>
    <w:p w14:paraId="2C41B99B">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根据工程分析可知，本项目固废主要为废滤芯、实验废液、废实验耗材、废包装桶、废包装袋、废活性炭（废气处理）等危险废物，废过滤介质、废活性炭（纯水制备）、废RO膜等一般固废。固废产生情况见上文固体废弃物污染源分析章节</w:t>
      </w:r>
      <w:r>
        <w:rPr>
          <w:rFonts w:ascii="Times New Roman" w:hAnsi="Times New Roman"/>
          <w:color w:val="auto"/>
          <w:highlight w:val="none"/>
        </w:rPr>
        <w:t>。</w:t>
      </w:r>
    </w:p>
    <w:p w14:paraId="05C297DF">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10" w:name="_Toc60653576"/>
      <w:r>
        <w:rPr>
          <w:rFonts w:hint="eastAsia" w:eastAsia="宋体"/>
          <w:color w:val="auto"/>
          <w:sz w:val="28"/>
          <w:szCs w:val="28"/>
          <w:highlight w:val="none"/>
        </w:rPr>
        <w:t>6.6.1</w:t>
      </w:r>
      <w:bookmarkEnd w:id="410"/>
      <w:r>
        <w:rPr>
          <w:rFonts w:hint="eastAsia" w:eastAsia="宋体"/>
          <w:color w:val="auto"/>
          <w:sz w:val="28"/>
          <w:szCs w:val="28"/>
          <w:highlight w:val="none"/>
        </w:rPr>
        <w:t>一般工业固废环境影响分析</w:t>
      </w:r>
    </w:p>
    <w:p w14:paraId="71147A76">
      <w:pPr>
        <w:spacing w:line="360" w:lineRule="auto"/>
        <w:ind w:left="-105" w:right="-105" w:firstLine="480" w:firstLineChars="200"/>
        <w:jc w:val="both"/>
        <w:rPr>
          <w:rFonts w:ascii="Times New Roman" w:hAnsi="Times New Roman" w:cs="Times New Roman"/>
          <w:bCs/>
          <w:color w:val="auto"/>
          <w:szCs w:val="21"/>
          <w:highlight w:val="none"/>
        </w:rPr>
      </w:pPr>
      <w:r>
        <w:rPr>
          <w:rFonts w:ascii="Times New Roman" w:hAnsi="Times New Roman" w:cs="Times New Roman"/>
          <w:color w:val="auto"/>
          <w:szCs w:val="28"/>
          <w:highlight w:val="none"/>
          <w:lang w:val="zh-CN"/>
        </w:rPr>
        <w:t>根据工程分析，本项目一般工业固废主要为</w:t>
      </w:r>
      <w:r>
        <w:rPr>
          <w:rFonts w:hint="eastAsia" w:ascii="Times New Roman" w:hAnsi="Times New Roman"/>
          <w:color w:val="auto"/>
          <w:highlight w:val="none"/>
        </w:rPr>
        <w:t>废过滤介质、废活性炭（纯水制备）、废RO膜</w:t>
      </w:r>
      <w:r>
        <w:rPr>
          <w:rFonts w:ascii="Times New Roman" w:hAnsi="Times New Roman" w:cs="Times New Roman"/>
          <w:color w:val="auto"/>
          <w:szCs w:val="28"/>
          <w:highlight w:val="none"/>
          <w:lang w:val="zh-CN"/>
        </w:rPr>
        <w:t>等，</w:t>
      </w:r>
      <w:r>
        <w:rPr>
          <w:rFonts w:ascii="Times New Roman" w:hAnsi="Times New Roman" w:cs="Times New Roman"/>
          <w:bCs/>
          <w:color w:val="auto"/>
          <w:szCs w:val="21"/>
          <w:highlight w:val="none"/>
        </w:rPr>
        <w:t>贮存在一般固废仓库内。</w:t>
      </w:r>
    </w:p>
    <w:p w14:paraId="6B8BF793">
      <w:pPr>
        <w:spacing w:line="360" w:lineRule="auto"/>
        <w:ind w:left="-105" w:right="-105" w:firstLine="480" w:firstLineChars="200"/>
        <w:jc w:val="both"/>
        <w:rPr>
          <w:rFonts w:ascii="Times New Roman" w:hAnsi="Times New Roman"/>
          <w:color w:val="auto"/>
          <w:highlight w:val="none"/>
        </w:rPr>
      </w:pPr>
      <w:r>
        <w:rPr>
          <w:rFonts w:ascii="Times New Roman" w:hAnsi="Times New Roman" w:cs="Times New Roman"/>
          <w:color w:val="auto"/>
          <w:highlight w:val="none"/>
        </w:rPr>
        <w:t>企业设置一般工业固废暂存场所约</w:t>
      </w:r>
      <w:r>
        <w:rPr>
          <w:rFonts w:hint="eastAsia" w:ascii="Times New Roman" w:hAnsi="Times New Roman" w:cs="Times New Roman"/>
          <w:color w:val="auto"/>
          <w:highlight w:val="none"/>
        </w:rPr>
        <w:t>8</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，一般工业固废产生量约为</w:t>
      </w:r>
      <w:r>
        <w:rPr>
          <w:rFonts w:hint="eastAsia" w:ascii="Times New Roman" w:hAnsi="Times New Roman" w:cs="Times New Roman"/>
          <w:color w:val="auto"/>
          <w:szCs w:val="28"/>
          <w:highlight w:val="none"/>
        </w:rPr>
        <w:t>3.5</w:t>
      </w:r>
      <w:r>
        <w:rPr>
          <w:rFonts w:ascii="Times New Roman" w:hAnsi="Times New Roman" w:cs="Times New Roman"/>
          <w:color w:val="auto"/>
          <w:szCs w:val="28"/>
          <w:highlight w:val="none"/>
          <w:lang w:val="zh-CN"/>
        </w:rPr>
        <w:t>t/a</w:t>
      </w:r>
      <w:r>
        <w:rPr>
          <w:rFonts w:ascii="Times New Roman" w:hAnsi="Times New Roman" w:cs="Times New Roman"/>
          <w:color w:val="auto"/>
          <w:highlight w:val="none"/>
        </w:rPr>
        <w:t>。一般固废暂存期为</w:t>
      </w:r>
      <w:r>
        <w:rPr>
          <w:rFonts w:hint="eastAsia" w:ascii="Times New Roman" w:hAnsi="Times New Roman" w:cs="Times New Roman"/>
          <w:color w:val="auto"/>
          <w:highlight w:val="none"/>
        </w:rPr>
        <w:t>3~6个月</w:t>
      </w:r>
      <w:r>
        <w:rPr>
          <w:rFonts w:ascii="Times New Roman" w:hAnsi="Times New Roman" w:cs="Times New Roman"/>
          <w:color w:val="auto"/>
          <w:highlight w:val="none"/>
        </w:rPr>
        <w:t>，暂存量约</w:t>
      </w:r>
      <w:r>
        <w:rPr>
          <w:rFonts w:hint="eastAsia" w:ascii="Times New Roman" w:hAnsi="Times New Roman" w:cs="Times New Roman"/>
          <w:color w:val="auto"/>
          <w:highlight w:val="none"/>
        </w:rPr>
        <w:t>3.5</w:t>
      </w:r>
      <w:r>
        <w:rPr>
          <w:rFonts w:ascii="Times New Roman" w:hAnsi="Times New Roman" w:cs="Times New Roman"/>
          <w:color w:val="auto"/>
          <w:highlight w:val="none"/>
        </w:rPr>
        <w:t>t，综合密度按1t/m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，则所需储存体积约</w:t>
      </w:r>
      <w:r>
        <w:rPr>
          <w:rFonts w:hint="eastAsia" w:ascii="Times New Roman" w:hAnsi="Times New Roman" w:cs="Times New Roman"/>
          <w:color w:val="auto"/>
          <w:highlight w:val="none"/>
        </w:rPr>
        <w:t>3.5</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，堆放高度按1m计，则所需面积为</w:t>
      </w:r>
      <w:r>
        <w:rPr>
          <w:rFonts w:hint="eastAsia" w:ascii="Times New Roman" w:hAnsi="Times New Roman" w:cs="Times New Roman"/>
          <w:color w:val="auto"/>
          <w:highlight w:val="none"/>
        </w:rPr>
        <w:t>3.5</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，设置的</w:t>
      </w:r>
      <w:r>
        <w:rPr>
          <w:rFonts w:hint="eastAsia" w:ascii="Times New Roman" w:hAnsi="Times New Roman" w:cs="Times New Roman"/>
          <w:color w:val="auto"/>
          <w:highlight w:val="none"/>
        </w:rPr>
        <w:t>8</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一般工业固废暂存场所容量能满足暂存一般工业固废产生量需求。</w:t>
      </w:r>
      <w:r>
        <w:rPr>
          <w:rFonts w:ascii="Times New Roman" w:hAnsi="Times New Roman" w:cs="Times New Roman"/>
          <w:bCs/>
          <w:color w:val="auto"/>
          <w:highlight w:val="none"/>
        </w:rPr>
        <w:t>一般工业固废经分类收集后，定期委托物资回收单位利用。因此，本项目</w:t>
      </w:r>
      <w:r>
        <w:rPr>
          <w:rFonts w:ascii="Times New Roman" w:hAnsi="Times New Roman" w:cs="Times New Roman"/>
          <w:color w:val="auto"/>
          <w:highlight w:val="none"/>
        </w:rPr>
        <w:t>一般工业固废暂存场所的设置按照《一般工业固体废物贮存和填埋污染控制标准》（GB18599-2020）和《关于加强一般工业固体废物管理的通知》（锡环办[2021]138号）的</w:t>
      </w:r>
      <w:r>
        <w:rPr>
          <w:rFonts w:ascii="Times New Roman" w:hAnsi="Times New Roman" w:cs="Times New Roman"/>
          <w:color w:val="auto"/>
          <w:szCs w:val="28"/>
          <w:highlight w:val="none"/>
          <w:lang w:val="zh-CN"/>
        </w:rPr>
        <w:t>相关要求执行，对周围环境影响较小，无二次污染。</w:t>
      </w:r>
    </w:p>
    <w:p w14:paraId="347ADE1E">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11" w:name="_Toc60653577"/>
      <w:r>
        <w:rPr>
          <w:rFonts w:hint="eastAsia" w:eastAsia="宋体"/>
          <w:color w:val="auto"/>
          <w:sz w:val="28"/>
          <w:szCs w:val="28"/>
          <w:highlight w:val="none"/>
        </w:rPr>
        <w:t>6.6.2</w:t>
      </w:r>
      <w:bookmarkEnd w:id="411"/>
      <w:r>
        <w:rPr>
          <w:rFonts w:hint="eastAsia" w:eastAsia="宋体"/>
          <w:color w:val="auto"/>
          <w:sz w:val="28"/>
          <w:szCs w:val="28"/>
          <w:highlight w:val="none"/>
        </w:rPr>
        <w:t>危险废物环境影响分析</w:t>
      </w:r>
    </w:p>
    <w:p w14:paraId="247B9422">
      <w:pPr>
        <w:pStyle w:val="6"/>
        <w:keepLines w:val="0"/>
        <w:widowControl/>
        <w:numPr>
          <w:ilvl w:val="3"/>
          <w:numId w:val="0"/>
        </w:numPr>
        <w:spacing w:before="120" w:beforeLines="50" w:after="120" w:afterLines="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6.6.2.1</w:t>
      </w:r>
      <w:r>
        <w:rPr>
          <w:rFonts w:ascii="Times New Roman" w:hAnsi="Times New Roman"/>
          <w:color w:val="auto"/>
          <w:sz w:val="24"/>
          <w:szCs w:val="24"/>
          <w:highlight w:val="none"/>
        </w:rPr>
        <w:t>贮存场所（设施）环境影响分析</w:t>
      </w:r>
    </w:p>
    <w:p w14:paraId="205D2BF0">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bCs/>
          <w:color w:val="auto"/>
          <w:szCs w:val="21"/>
          <w:highlight w:val="none"/>
        </w:rPr>
        <w:t>本项目主要危险废物为</w:t>
      </w:r>
      <w:r>
        <w:rPr>
          <w:rFonts w:hint="eastAsia" w:ascii="Times New Roman" w:hAnsi="Times New Roman"/>
          <w:color w:val="auto"/>
          <w:highlight w:val="none"/>
        </w:rPr>
        <w:t>废滤芯、废实验耗材、废包装桶、废包装袋、废活性炭（废气处理）</w:t>
      </w:r>
      <w:r>
        <w:rPr>
          <w:rFonts w:ascii="Times New Roman" w:hAnsi="Times New Roman" w:cs="Times New Roman"/>
          <w:bCs/>
          <w:color w:val="auto"/>
          <w:szCs w:val="21"/>
          <w:highlight w:val="none"/>
        </w:rPr>
        <w:t>等，贮存在危废仓库内，</w:t>
      </w:r>
      <w:r>
        <w:rPr>
          <w:rFonts w:hint="eastAsia" w:ascii="Times New Roman" w:hAnsi="Times New Roman"/>
          <w:color w:val="auto"/>
          <w:highlight w:val="none"/>
        </w:rPr>
        <w:t>实验废液</w:t>
      </w:r>
      <w:r>
        <w:rPr>
          <w:rFonts w:ascii="Times New Roman" w:hAnsi="Times New Roman" w:cs="Times New Roman"/>
          <w:bCs/>
          <w:color w:val="auto"/>
          <w:szCs w:val="21"/>
          <w:highlight w:val="none"/>
        </w:rPr>
        <w:t>贮存在</w:t>
      </w:r>
      <w:r>
        <w:rPr>
          <w:rFonts w:hint="eastAsia" w:ascii="Times New Roman" w:hAnsi="Times New Roman" w:cs="Times New Roman"/>
          <w:bCs/>
          <w:color w:val="auto"/>
          <w:szCs w:val="21"/>
          <w:highlight w:val="none"/>
        </w:rPr>
        <w:t>废液储罐</w:t>
      </w:r>
      <w:r>
        <w:rPr>
          <w:rFonts w:ascii="Times New Roman" w:hAnsi="Times New Roman" w:cs="Times New Roman"/>
          <w:bCs/>
          <w:color w:val="auto"/>
          <w:szCs w:val="21"/>
          <w:highlight w:val="none"/>
        </w:rPr>
        <w:t>内。</w:t>
      </w:r>
      <w:r>
        <w:rPr>
          <w:rFonts w:ascii="Times New Roman" w:hAnsi="Times New Roman" w:cs="Times New Roman"/>
          <w:color w:val="auto"/>
          <w:highlight w:val="none"/>
        </w:rPr>
        <w:t>企业设置</w:t>
      </w:r>
      <w:r>
        <w:rPr>
          <w:rFonts w:hint="eastAsia" w:ascii="Times New Roman" w:hAnsi="Times New Roman" w:cs="Times New Roman"/>
          <w:color w:val="auto"/>
          <w:highlight w:val="none"/>
        </w:rPr>
        <w:t>危废贮存间</w:t>
      </w:r>
      <w:r>
        <w:rPr>
          <w:rFonts w:ascii="Times New Roman" w:hAnsi="Times New Roman" w:cs="Times New Roman"/>
          <w:color w:val="auto"/>
          <w:highlight w:val="none"/>
        </w:rPr>
        <w:t>约</w:t>
      </w:r>
      <w:r>
        <w:rPr>
          <w:rFonts w:hint="eastAsia" w:ascii="Times New Roman" w:hAnsi="Times New Roman" w:cs="Times New Roman"/>
          <w:color w:val="auto"/>
          <w:highlight w:val="none"/>
        </w:rPr>
        <w:t>50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，危险废物产生量（除</w:t>
      </w:r>
      <w:r>
        <w:rPr>
          <w:rFonts w:hint="eastAsia" w:ascii="Times New Roman" w:hAnsi="Times New Roman"/>
          <w:color w:val="auto"/>
          <w:highlight w:val="none"/>
        </w:rPr>
        <w:t>实验废液</w:t>
      </w:r>
      <w:r>
        <w:rPr>
          <w:rFonts w:ascii="Times New Roman" w:hAnsi="Times New Roman" w:cs="Times New Roman"/>
          <w:color w:val="auto"/>
          <w:highlight w:val="none"/>
        </w:rPr>
        <w:t>外）约为</w:t>
      </w:r>
      <w:r>
        <w:rPr>
          <w:rFonts w:hint="eastAsia" w:ascii="Times New Roman" w:hAnsi="Times New Roman" w:cs="Times New Roman"/>
          <w:color w:val="auto"/>
          <w:highlight w:val="none"/>
        </w:rPr>
        <w:t>19.59</w:t>
      </w:r>
      <w:r>
        <w:rPr>
          <w:rFonts w:ascii="Times New Roman" w:hAnsi="Times New Roman" w:cs="Times New Roman"/>
          <w:color w:val="auto"/>
          <w:szCs w:val="28"/>
          <w:highlight w:val="none"/>
          <w:lang w:val="zh-CN"/>
        </w:rPr>
        <w:t>t/a，危险废物平均</w:t>
      </w:r>
      <w:r>
        <w:rPr>
          <w:rFonts w:ascii="Times New Roman" w:hAnsi="Times New Roman" w:cs="Times New Roman"/>
          <w:color w:val="auto"/>
          <w:highlight w:val="none"/>
        </w:rPr>
        <w:t>暂存期为1个月，暂存量约</w:t>
      </w:r>
      <w:r>
        <w:rPr>
          <w:rFonts w:hint="eastAsia" w:ascii="Times New Roman" w:hAnsi="Times New Roman" w:cs="Times New Roman"/>
          <w:color w:val="auto"/>
          <w:highlight w:val="none"/>
        </w:rPr>
        <w:t>20</w:t>
      </w:r>
      <w:r>
        <w:rPr>
          <w:rFonts w:ascii="Times New Roman" w:hAnsi="Times New Roman" w:cs="Times New Roman"/>
          <w:color w:val="auto"/>
          <w:highlight w:val="none"/>
        </w:rPr>
        <w:t>t，综合密度按1t/m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，则所需储存体积约</w:t>
      </w:r>
      <w:r>
        <w:rPr>
          <w:rFonts w:hint="eastAsia" w:ascii="Times New Roman" w:hAnsi="Times New Roman" w:cs="Times New Roman"/>
          <w:color w:val="auto"/>
          <w:highlight w:val="none"/>
        </w:rPr>
        <w:t>20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，堆放高度按1m计，则所需面积为</w:t>
      </w:r>
      <w:r>
        <w:rPr>
          <w:rFonts w:hint="eastAsia" w:ascii="Times New Roman" w:hAnsi="Times New Roman" w:cs="Times New Roman"/>
          <w:color w:val="auto"/>
          <w:highlight w:val="none"/>
        </w:rPr>
        <w:t>20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，设置的</w:t>
      </w:r>
      <w:r>
        <w:rPr>
          <w:rFonts w:hint="eastAsia" w:ascii="Times New Roman" w:hAnsi="Times New Roman" w:cs="Times New Roman"/>
          <w:color w:val="auto"/>
          <w:highlight w:val="none"/>
        </w:rPr>
        <w:t>50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危险废物暂存场所容量能满足暂存危险废物产生量需求。</w:t>
      </w:r>
    </w:p>
    <w:p w14:paraId="2C47ABF2">
      <w:pPr>
        <w:spacing w:line="360" w:lineRule="auto"/>
        <w:ind w:left="-105" w:right="-105" w:firstLine="480" w:firstLineChars="200"/>
        <w:rPr>
          <w:rFonts w:ascii="Times New Roman" w:hAnsi="Times New Roman"/>
          <w:color w:val="auto"/>
          <w:highlight w:val="none"/>
        </w:rPr>
      </w:pPr>
      <w:r>
        <w:rPr>
          <w:rFonts w:hint="eastAsia" w:ascii="Times New Roman" w:hAnsi="Times New Roman" w:cs="Times New Roman"/>
          <w:color w:val="auto"/>
          <w:highlight w:val="none"/>
        </w:rPr>
        <w:t>本项目实验废液产生量为0.5t/a，现有项目设置有2个20m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和1个15m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废液收集储罐，</w:t>
      </w:r>
      <w:r>
        <w:rPr>
          <w:rFonts w:ascii="Times New Roman" w:hAnsi="Times New Roman" w:cs="Times New Roman"/>
          <w:color w:val="auto"/>
          <w:highlight w:val="none"/>
        </w:rPr>
        <w:t>能满足暂存危险废物产生量需求</w:t>
      </w:r>
      <w:r>
        <w:rPr>
          <w:rFonts w:ascii="Times New Roman" w:hAnsi="Times New Roman"/>
          <w:color w:val="auto"/>
          <w:highlight w:val="none"/>
        </w:rPr>
        <w:t>。</w:t>
      </w:r>
    </w:p>
    <w:p w14:paraId="579D680B">
      <w:pPr>
        <w:spacing w:line="360" w:lineRule="auto"/>
        <w:ind w:left="-105" w:right="-105" w:firstLine="480" w:firstLineChars="200"/>
        <w:rPr>
          <w:rFonts w:ascii="Times New Roman" w:hAnsi="Times New Roman"/>
          <w:color w:val="auto"/>
          <w:highlight w:val="none"/>
        </w:rPr>
      </w:pPr>
      <w:r>
        <w:rPr>
          <w:rFonts w:ascii="Times New Roman" w:hAnsi="Times New Roman" w:cs="Times New Roman"/>
          <w:bCs/>
          <w:color w:val="auto"/>
          <w:szCs w:val="21"/>
          <w:highlight w:val="none"/>
        </w:rPr>
        <w:t>各类危险废物</w:t>
      </w:r>
      <w:r>
        <w:rPr>
          <w:rFonts w:ascii="Times New Roman" w:hAnsi="Times New Roman" w:cs="Times New Roman"/>
          <w:color w:val="auto"/>
          <w:szCs w:val="21"/>
          <w:highlight w:val="none"/>
        </w:rPr>
        <w:t>可装于吨袋或</w:t>
      </w:r>
      <w:r>
        <w:rPr>
          <w:rFonts w:hint="eastAsia" w:ascii="Times New Roman" w:hAnsi="Times New Roman" w:cs="Times New Roman"/>
          <w:color w:val="auto"/>
          <w:szCs w:val="21"/>
          <w:highlight w:val="none"/>
        </w:rPr>
        <w:t>储罐</w:t>
      </w:r>
      <w:r>
        <w:rPr>
          <w:rFonts w:ascii="Times New Roman" w:hAnsi="Times New Roman" w:cs="Times New Roman"/>
          <w:color w:val="auto"/>
          <w:szCs w:val="21"/>
          <w:highlight w:val="none"/>
        </w:rPr>
        <w:t>中，</w:t>
      </w:r>
      <w:r>
        <w:rPr>
          <w:rFonts w:ascii="Times New Roman" w:hAnsi="Times New Roman" w:cs="Times New Roman"/>
          <w:bCs/>
          <w:color w:val="auto"/>
          <w:szCs w:val="21"/>
          <w:highlight w:val="none"/>
        </w:rPr>
        <w:t>危险废物的贮存满足《危险废物贮存污染控制标准》（GB18597-2023）相关要求。因此，危险废物贮存场所（设施）不会对区域大气、地表水、地下水、土壤以及环境敏感保护目标造成明显不利影响。</w:t>
      </w:r>
    </w:p>
    <w:p w14:paraId="353583D1">
      <w:pPr>
        <w:pStyle w:val="6"/>
        <w:keepLines w:val="0"/>
        <w:widowControl/>
        <w:numPr>
          <w:ilvl w:val="3"/>
          <w:numId w:val="0"/>
        </w:numPr>
        <w:spacing w:before="120" w:beforeLines="50" w:after="120" w:afterLines="50" w:line="360" w:lineRule="auto"/>
        <w:ind w:right="-105"/>
        <w:rPr>
          <w:rFonts w:ascii="Times New Roman" w:hAnsi="Times New Roman"/>
          <w:color w:val="auto"/>
          <w:sz w:val="24"/>
          <w:szCs w:val="24"/>
          <w:highlight w:val="none"/>
        </w:rPr>
      </w:pPr>
      <w:bookmarkStart w:id="412" w:name="_Toc60653578"/>
      <w:r>
        <w:rPr>
          <w:rFonts w:hint="eastAsia" w:ascii="Times New Roman" w:hAnsi="Times New Roman"/>
          <w:color w:val="auto"/>
          <w:sz w:val="24"/>
          <w:szCs w:val="24"/>
          <w:highlight w:val="none"/>
        </w:rPr>
        <w:t>6.6.</w:t>
      </w:r>
      <w:bookmarkEnd w:id="412"/>
      <w:r>
        <w:rPr>
          <w:rFonts w:hint="eastAsia" w:ascii="Times New Roman" w:hAnsi="Times New Roman"/>
          <w:color w:val="auto"/>
          <w:sz w:val="24"/>
          <w:szCs w:val="24"/>
          <w:highlight w:val="none"/>
        </w:rPr>
        <w:t>2.2运输过程环境影响分析</w:t>
      </w:r>
    </w:p>
    <w:p w14:paraId="6A1D3DD3">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在固体废物外运处置过程中，根据与处置单位的协议约定，产生单位负责无泄漏包装并做好标识，提供产生危废的数量、种类、成分及含量等有效资料；处置单位落实有资质的运输单位进行运输，并负责运输过程中的安全、环保事宜，企业严格按照《危险废物收集贮存运输技术规范》（HJ2025-2012）、《危险废物转移联单管理办法》的要求进行管理，运输车辆装设有GPS定位系统，随时监控车辆的状况，运输时按照划定的运输路线进行运输。</w:t>
      </w:r>
      <w:r>
        <w:rPr>
          <w:rFonts w:ascii="Times New Roman" w:hAnsi="Times New Roman" w:cs="Times New Roman"/>
          <w:color w:val="auto"/>
          <w:highlight w:val="none"/>
        </w:rPr>
        <w:t>本项目危废采用有内村吨袋和密封桶装，</w:t>
      </w:r>
      <w:r>
        <w:rPr>
          <w:rFonts w:hint="eastAsia" w:ascii="Times New Roman" w:hAnsi="Times New Roman" w:cs="Times New Roman"/>
          <w:color w:val="auto"/>
          <w:highlight w:val="none"/>
          <w:lang w:val="en-US" w:eastAsia="zh-CN"/>
        </w:rPr>
        <w:t>储罐内的废液转输至密封吨桶后转移，</w:t>
      </w:r>
      <w:r>
        <w:rPr>
          <w:rFonts w:ascii="Times New Roman" w:hAnsi="Times New Roman" w:cs="Times New Roman"/>
          <w:color w:val="auto"/>
          <w:highlight w:val="none"/>
        </w:rPr>
        <w:t>可避免运输时的外溢而造成的沿途污染。</w:t>
      </w:r>
      <w:r>
        <w:rPr>
          <w:rFonts w:ascii="Times New Roman" w:hAnsi="Times New Roman" w:cs="Times New Roman"/>
          <w:color w:val="auto"/>
          <w:highlight w:val="none"/>
        </w:rPr>
        <w:t>因而项目在包装运输过程基本不会有泄漏和洒落，从而污染地下水、土壤、空气。</w:t>
      </w:r>
    </w:p>
    <w:p w14:paraId="16290D5C">
      <w:pPr>
        <w:pStyle w:val="6"/>
        <w:keepLines w:val="0"/>
        <w:widowControl/>
        <w:numPr>
          <w:ilvl w:val="3"/>
          <w:numId w:val="0"/>
        </w:numPr>
        <w:spacing w:before="120" w:beforeLines="50" w:after="120" w:afterLines="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6.6.2.3委托处置的环境影响分析</w:t>
      </w:r>
    </w:p>
    <w:p w14:paraId="212B976D">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bCs/>
          <w:color w:val="auto"/>
          <w:highlight w:val="none"/>
        </w:rPr>
        <w:t>项目产生的危险固废可委托江苏省内有资质单位处置，本次评价列举以下有资质单位供选择，见下表。</w:t>
      </w:r>
    </w:p>
    <w:p w14:paraId="4B5CE464">
      <w:pPr>
        <w:pStyle w:val="15"/>
        <w:ind w:left="-105" w:right="-105" w:firstLine="482"/>
        <w:rPr>
          <w:rFonts w:eastAsia="宋体"/>
          <w:b w:val="0"/>
          <w:color w:val="auto"/>
          <w:sz w:val="24"/>
          <w:szCs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6.6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bCs/>
          <w:color w:val="auto"/>
          <w:sz w:val="24"/>
          <w:szCs w:val="24"/>
          <w:highlight w:val="none"/>
        </w:rPr>
        <w:t>危险废物经营许可单位</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8"/>
        <w:gridCol w:w="504"/>
        <w:gridCol w:w="683"/>
        <w:gridCol w:w="543"/>
        <w:gridCol w:w="6056"/>
      </w:tblGrid>
      <w:tr w14:paraId="11C73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9" w:hRule="atLeast"/>
          <w:tblHeader/>
          <w:jc w:val="center"/>
        </w:trPr>
        <w:tc>
          <w:tcPr>
            <w:tcW w:w="747" w:type="dxa"/>
            <w:tcMar>
              <w:top w:w="15" w:type="dxa"/>
              <w:left w:w="15" w:type="dxa"/>
              <w:right w:w="15" w:type="dxa"/>
            </w:tcMar>
            <w:vAlign w:val="center"/>
          </w:tcPr>
          <w:p w14:paraId="584196F5">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lang w:bidi="ar"/>
              </w:rPr>
              <w:t>企业名称</w:t>
            </w:r>
          </w:p>
        </w:tc>
        <w:tc>
          <w:tcPr>
            <w:tcW w:w="504" w:type="dxa"/>
            <w:tcMar>
              <w:top w:w="15" w:type="dxa"/>
              <w:left w:w="15" w:type="dxa"/>
              <w:right w:w="15" w:type="dxa"/>
            </w:tcMar>
            <w:vAlign w:val="center"/>
          </w:tcPr>
          <w:p w14:paraId="7BBA1748">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lang w:bidi="ar"/>
              </w:rPr>
              <w:t>地址</w:t>
            </w:r>
          </w:p>
        </w:tc>
        <w:tc>
          <w:tcPr>
            <w:tcW w:w="683" w:type="dxa"/>
            <w:tcMar>
              <w:top w:w="15" w:type="dxa"/>
              <w:left w:w="15" w:type="dxa"/>
              <w:right w:w="15" w:type="dxa"/>
            </w:tcMar>
            <w:vAlign w:val="center"/>
          </w:tcPr>
          <w:p w14:paraId="5E03156B">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lang w:bidi="ar"/>
              </w:rPr>
              <w:t>许可证编号</w:t>
            </w:r>
          </w:p>
        </w:tc>
        <w:tc>
          <w:tcPr>
            <w:tcW w:w="543" w:type="dxa"/>
            <w:tcMar>
              <w:top w:w="15" w:type="dxa"/>
              <w:left w:w="15" w:type="dxa"/>
              <w:right w:w="15" w:type="dxa"/>
            </w:tcMar>
            <w:vAlign w:val="center"/>
          </w:tcPr>
          <w:p w14:paraId="3BE1C060">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lang w:bidi="ar"/>
              </w:rPr>
              <w:t>经营方式</w:t>
            </w:r>
          </w:p>
        </w:tc>
        <w:tc>
          <w:tcPr>
            <w:tcW w:w="6057" w:type="dxa"/>
            <w:tcMar>
              <w:top w:w="15" w:type="dxa"/>
              <w:left w:w="15" w:type="dxa"/>
              <w:right w:w="15" w:type="dxa"/>
            </w:tcMar>
            <w:vAlign w:val="center"/>
          </w:tcPr>
          <w:p w14:paraId="01B99F95">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lang w:bidi="ar"/>
              </w:rPr>
              <w:t>许可证内容</w:t>
            </w:r>
          </w:p>
        </w:tc>
      </w:tr>
      <w:tr w14:paraId="653544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vMerge w:val="restart"/>
            <w:tcMar>
              <w:top w:w="15" w:type="dxa"/>
              <w:left w:w="15" w:type="dxa"/>
              <w:right w:w="15" w:type="dxa"/>
            </w:tcMar>
            <w:vAlign w:val="center"/>
          </w:tcPr>
          <w:p w14:paraId="675EEF86">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无锡市工业废物安全处置有限公司</w:t>
            </w:r>
          </w:p>
        </w:tc>
        <w:tc>
          <w:tcPr>
            <w:tcW w:w="504" w:type="dxa"/>
            <w:vMerge w:val="restart"/>
            <w:tcMar>
              <w:top w:w="15" w:type="dxa"/>
              <w:left w:w="15" w:type="dxa"/>
              <w:right w:w="15" w:type="dxa"/>
            </w:tcMar>
            <w:vAlign w:val="center"/>
          </w:tcPr>
          <w:p w14:paraId="77E8D394">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无锡市滨湖区荣巷街道青龙山村（桃花山）</w:t>
            </w:r>
          </w:p>
        </w:tc>
        <w:tc>
          <w:tcPr>
            <w:tcW w:w="683" w:type="dxa"/>
            <w:tcMar>
              <w:top w:w="15" w:type="dxa"/>
              <w:left w:w="15" w:type="dxa"/>
              <w:right w:w="15" w:type="dxa"/>
            </w:tcMar>
            <w:vAlign w:val="center"/>
          </w:tcPr>
          <w:p w14:paraId="51DA4C03">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JSWX0200OOD032</w:t>
            </w:r>
          </w:p>
        </w:tc>
        <w:tc>
          <w:tcPr>
            <w:tcW w:w="543" w:type="dxa"/>
            <w:tcMar>
              <w:top w:w="15" w:type="dxa"/>
              <w:left w:w="15" w:type="dxa"/>
              <w:right w:w="15" w:type="dxa"/>
            </w:tcMar>
            <w:vAlign w:val="center"/>
          </w:tcPr>
          <w:p w14:paraId="483BD29C">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利用</w:t>
            </w:r>
          </w:p>
        </w:tc>
        <w:tc>
          <w:tcPr>
            <w:tcW w:w="6057" w:type="dxa"/>
            <w:tcMar>
              <w:top w:w="15" w:type="dxa"/>
              <w:left w:w="15" w:type="dxa"/>
              <w:right w:w="15" w:type="dxa"/>
            </w:tcMar>
            <w:vAlign w:val="center"/>
          </w:tcPr>
          <w:p w14:paraId="15DCAC49">
            <w:pPr>
              <w:keepNext w:val="0"/>
              <w:keepLines w:val="0"/>
              <w:pageBreakBefore w:val="0"/>
              <w:widowControl/>
              <w:kinsoku/>
              <w:wordWrap/>
              <w:overflowPunct/>
              <w:topLinePunct w:val="0"/>
              <w:autoSpaceDE/>
              <w:autoSpaceDN/>
              <w:bidi w:val="0"/>
              <w:adjustRightInd w:val="0"/>
              <w:snapToGrid w:val="0"/>
              <w:spacing w:line="288" w:lineRule="auto"/>
              <w:ind w:left="0" w:right="0"/>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HW06废有机溶剂与含有机溶剂废物，HW45含有机卤化物废物合计:15000吨/年</w:t>
            </w:r>
          </w:p>
        </w:tc>
      </w:tr>
      <w:tr w14:paraId="0BD34C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vMerge w:val="continue"/>
            <w:tcMar>
              <w:top w:w="15" w:type="dxa"/>
              <w:left w:w="15" w:type="dxa"/>
              <w:right w:w="15" w:type="dxa"/>
            </w:tcMar>
            <w:vAlign w:val="center"/>
          </w:tcPr>
          <w:p w14:paraId="3348A340">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p>
        </w:tc>
        <w:tc>
          <w:tcPr>
            <w:tcW w:w="504" w:type="dxa"/>
            <w:vMerge w:val="continue"/>
            <w:tcMar>
              <w:top w:w="15" w:type="dxa"/>
              <w:left w:w="15" w:type="dxa"/>
              <w:right w:w="15" w:type="dxa"/>
            </w:tcMar>
            <w:vAlign w:val="center"/>
          </w:tcPr>
          <w:p w14:paraId="11A8D557">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p>
        </w:tc>
        <w:tc>
          <w:tcPr>
            <w:tcW w:w="683" w:type="dxa"/>
            <w:tcMar>
              <w:top w:w="15" w:type="dxa"/>
              <w:left w:w="15" w:type="dxa"/>
              <w:right w:w="15" w:type="dxa"/>
            </w:tcMar>
            <w:vAlign w:val="center"/>
          </w:tcPr>
          <w:p w14:paraId="54B01F46">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JS0200OOI032-13</w:t>
            </w:r>
          </w:p>
        </w:tc>
        <w:tc>
          <w:tcPr>
            <w:tcW w:w="543" w:type="dxa"/>
            <w:tcMar>
              <w:top w:w="15" w:type="dxa"/>
              <w:left w:w="15" w:type="dxa"/>
              <w:right w:w="15" w:type="dxa"/>
            </w:tcMar>
            <w:vAlign w:val="center"/>
          </w:tcPr>
          <w:p w14:paraId="47F77303">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处置</w:t>
            </w:r>
          </w:p>
        </w:tc>
        <w:tc>
          <w:tcPr>
            <w:tcW w:w="6057" w:type="dxa"/>
            <w:tcMar>
              <w:top w:w="15" w:type="dxa"/>
              <w:left w:w="15" w:type="dxa"/>
              <w:right w:w="15" w:type="dxa"/>
            </w:tcMar>
            <w:vAlign w:val="center"/>
          </w:tcPr>
          <w:p w14:paraId="1FD883D4">
            <w:pPr>
              <w:keepNext w:val="0"/>
              <w:keepLines w:val="0"/>
              <w:pageBreakBefore w:val="0"/>
              <w:widowControl/>
              <w:kinsoku/>
              <w:wordWrap/>
              <w:overflowPunct/>
              <w:topLinePunct w:val="0"/>
              <w:autoSpaceDE/>
              <w:autoSpaceDN/>
              <w:bidi w:val="0"/>
              <w:adjustRightInd w:val="0"/>
              <w:snapToGrid w:val="0"/>
              <w:spacing w:line="288" w:lineRule="auto"/>
              <w:ind w:left="0" w:right="0"/>
              <w:textAlignment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lang w:bidi="ar"/>
              </w:rPr>
              <w:t>HW02医药废物，HW03废药物、药品，HW04农药废物，HW05木材防腐剂废物，HW06废有机溶剂与含有机溶剂废物，HW08废矿物油与含矿物油废物，HW09油/水、烃/水混合物或乳化液，HW11精（蒸）馏残渣，HW12染料、涂料废物，HW13有机树脂类废物，HW16感光材料废物，HW19含金属羰基化合物废物，HW37有机磷化合物废物，HW38有机氰化物废物，HW39含酚废物，HW40含醚废物，HW45含有机卤化物废物，HW49其他废物900-039-49，HW49其他废物900-041-49，HW49其他废物900-047-49，HW50废催化剂261-151-50，HW50废催化剂261-183-50，HW50废催化剂263-013-50，HW50废催化剂275-009-50，HW50废催化剂276-006-50合计:23000吨/年</w:t>
            </w:r>
          </w:p>
        </w:tc>
      </w:tr>
      <w:tr w14:paraId="48FD6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tcMar>
              <w:top w:w="15" w:type="dxa"/>
              <w:left w:w="15" w:type="dxa"/>
              <w:right w:w="15" w:type="dxa"/>
            </w:tcMar>
            <w:vAlign w:val="center"/>
          </w:tcPr>
          <w:p w14:paraId="730E3A02">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r>
              <w:rPr>
                <w:rFonts w:hint="eastAsia"/>
                <w:color w:val="auto"/>
                <w:sz w:val="21"/>
                <w:szCs w:val="21"/>
                <w:highlight w:val="none"/>
                <w:shd w:val="clear" w:color="auto" w:fill="FFFFFF"/>
              </w:rPr>
              <w:t>合田再生资源无锡有限公司</w:t>
            </w:r>
          </w:p>
        </w:tc>
        <w:tc>
          <w:tcPr>
            <w:tcW w:w="504" w:type="dxa"/>
            <w:tcMar>
              <w:top w:w="15" w:type="dxa"/>
              <w:left w:w="15" w:type="dxa"/>
              <w:right w:w="15" w:type="dxa"/>
            </w:tcMar>
            <w:vAlign w:val="center"/>
          </w:tcPr>
          <w:p w14:paraId="6A881A02">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shd w:val="clear" w:color="auto" w:fill="FFFFFF"/>
              </w:rPr>
              <w:t>无锡市新吴区梅村新泰路43号</w:t>
            </w:r>
          </w:p>
        </w:tc>
        <w:tc>
          <w:tcPr>
            <w:tcW w:w="683" w:type="dxa"/>
            <w:tcMar>
              <w:top w:w="15" w:type="dxa"/>
              <w:left w:w="15" w:type="dxa"/>
              <w:right w:w="15" w:type="dxa"/>
            </w:tcMar>
            <w:vAlign w:val="center"/>
          </w:tcPr>
          <w:p w14:paraId="75B0CA8F">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lang w:bidi="ar"/>
              </w:rPr>
            </w:pPr>
            <w:r>
              <w:rPr>
                <w:rFonts w:ascii="Times New Roman" w:hAnsi="Times New Roman" w:cs="Times New Roman"/>
                <w:color w:val="auto"/>
                <w:sz w:val="21"/>
                <w:szCs w:val="21"/>
                <w:highlight w:val="none"/>
                <w:shd w:val="clear" w:color="auto" w:fill="FFFFFF"/>
              </w:rPr>
              <w:t>JSWX0214OOD017-4</w:t>
            </w:r>
          </w:p>
        </w:tc>
        <w:tc>
          <w:tcPr>
            <w:tcW w:w="543" w:type="dxa"/>
            <w:tcMar>
              <w:top w:w="15" w:type="dxa"/>
              <w:left w:w="15" w:type="dxa"/>
              <w:right w:w="15" w:type="dxa"/>
            </w:tcMar>
            <w:vAlign w:val="center"/>
          </w:tcPr>
          <w:p w14:paraId="1C5A0685">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lang w:bidi="ar"/>
              </w:rPr>
            </w:pPr>
            <w:r>
              <w:rPr>
                <w:rFonts w:ascii="Times New Roman" w:hAnsi="Times New Roman" w:cs="Times New Roman"/>
                <w:bCs/>
                <w:color w:val="auto"/>
                <w:sz w:val="21"/>
                <w:szCs w:val="21"/>
                <w:highlight w:val="none"/>
                <w:lang w:bidi="ar"/>
              </w:rPr>
              <w:t>处置</w:t>
            </w:r>
          </w:p>
        </w:tc>
        <w:tc>
          <w:tcPr>
            <w:tcW w:w="6057" w:type="dxa"/>
            <w:tcMar>
              <w:top w:w="15" w:type="dxa"/>
              <w:left w:w="15" w:type="dxa"/>
              <w:right w:w="15" w:type="dxa"/>
            </w:tcMar>
            <w:vAlign w:val="center"/>
          </w:tcPr>
          <w:p w14:paraId="4B7CEF20">
            <w:pPr>
              <w:keepNext w:val="0"/>
              <w:keepLines w:val="0"/>
              <w:pageBreakBefore w:val="0"/>
              <w:widowControl/>
              <w:kinsoku/>
              <w:wordWrap/>
              <w:overflowPunct/>
              <w:topLinePunct w:val="0"/>
              <w:autoSpaceDE/>
              <w:autoSpaceDN/>
              <w:bidi w:val="0"/>
              <w:adjustRightInd w:val="0"/>
              <w:snapToGrid w:val="0"/>
              <w:spacing w:line="288" w:lineRule="auto"/>
              <w:ind w:left="0" w:right="0"/>
              <w:textAlignment w:val="center"/>
              <w:rPr>
                <w:rFonts w:ascii="Times New Roman" w:hAnsi="Times New Roman" w:cs="Times New Roman"/>
                <w:bCs/>
                <w:color w:val="auto"/>
                <w:sz w:val="21"/>
                <w:szCs w:val="21"/>
                <w:highlight w:val="none"/>
                <w:lang w:bidi="ar"/>
              </w:rPr>
            </w:pPr>
            <w:r>
              <w:rPr>
                <w:rFonts w:ascii="Times New Roman" w:hAnsi="Times New Roman" w:cs="Times New Roman"/>
                <w:color w:val="auto"/>
                <w:sz w:val="21"/>
                <w:szCs w:val="21"/>
                <w:highlight w:val="none"/>
                <w:shd w:val="clear" w:color="auto" w:fill="FFFFFF"/>
              </w:rPr>
              <w:t>清洗废包装桶HW49（900-041-49）、HW08（900-249-08），其中清洗IBC吨桶0.5万只/年、200L金属桶4万只、200L塑料桶3.5万只、200L以下塑料桶20万只（400吨/年），破碎清洗200L以下金属桶30万只960吨/年）；处置废线路板HW49（00-045-49）3300吨/年</w:t>
            </w:r>
          </w:p>
        </w:tc>
      </w:tr>
      <w:tr w14:paraId="75AE1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tcMar>
              <w:top w:w="15" w:type="dxa"/>
              <w:left w:w="15" w:type="dxa"/>
              <w:right w:w="15" w:type="dxa"/>
            </w:tcMar>
            <w:vAlign w:val="center"/>
          </w:tcPr>
          <w:p w14:paraId="36456B0F">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无锡能之汇环保科技有限公司</w:t>
            </w:r>
          </w:p>
        </w:tc>
        <w:tc>
          <w:tcPr>
            <w:tcW w:w="504" w:type="dxa"/>
            <w:tcMar>
              <w:top w:w="15" w:type="dxa"/>
              <w:left w:w="15" w:type="dxa"/>
              <w:right w:w="15" w:type="dxa"/>
            </w:tcMar>
            <w:vAlign w:val="center"/>
          </w:tcPr>
          <w:p w14:paraId="7F38FAA4">
            <w:pPr>
              <w:keepNext w:val="0"/>
              <w:keepLines w:val="0"/>
              <w:pageBreakBefore w:val="0"/>
              <w:widowControl/>
              <w:kinsoku/>
              <w:wordWrap/>
              <w:overflowPunct/>
              <w:topLinePunct w:val="0"/>
              <w:autoSpaceDE/>
              <w:autoSpaceDN/>
              <w:bidi w:val="0"/>
              <w:adjustRightInd w:val="0"/>
              <w:snapToGrid w:val="0"/>
              <w:spacing w:line="288" w:lineRule="auto"/>
              <w:ind w:left="0" w:right="0"/>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无锡市新吴区锡协路136号</w:t>
            </w:r>
          </w:p>
        </w:tc>
        <w:tc>
          <w:tcPr>
            <w:tcW w:w="683" w:type="dxa"/>
            <w:tcMar>
              <w:top w:w="15" w:type="dxa"/>
              <w:left w:w="15" w:type="dxa"/>
              <w:right w:w="15" w:type="dxa"/>
            </w:tcMar>
            <w:vAlign w:val="center"/>
          </w:tcPr>
          <w:p w14:paraId="1999FB21">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lang w:bidi="ar"/>
              </w:rPr>
            </w:pPr>
            <w:r>
              <w:rPr>
                <w:rFonts w:hint="eastAsia" w:ascii="Times New Roman" w:hAnsi="Times New Roman" w:cs="Times New Roman"/>
                <w:bCs/>
                <w:color w:val="auto"/>
                <w:sz w:val="21"/>
                <w:szCs w:val="21"/>
                <w:highlight w:val="none"/>
                <w:lang w:bidi="ar"/>
              </w:rPr>
              <w:t>JSWXXW0214OOI003-4</w:t>
            </w:r>
          </w:p>
        </w:tc>
        <w:tc>
          <w:tcPr>
            <w:tcW w:w="543" w:type="dxa"/>
            <w:tcMar>
              <w:top w:w="15" w:type="dxa"/>
              <w:left w:w="15" w:type="dxa"/>
              <w:right w:w="15" w:type="dxa"/>
            </w:tcMar>
            <w:vAlign w:val="center"/>
          </w:tcPr>
          <w:p w14:paraId="37310BD0">
            <w:pPr>
              <w:keepNext w:val="0"/>
              <w:keepLines w:val="0"/>
              <w:pageBreakBefore w:val="0"/>
              <w:widowControl/>
              <w:kinsoku/>
              <w:wordWrap/>
              <w:overflowPunct/>
              <w:topLinePunct w:val="0"/>
              <w:autoSpaceDE/>
              <w:autoSpaceDN/>
              <w:bidi w:val="0"/>
              <w:adjustRightInd w:val="0"/>
              <w:snapToGrid w:val="0"/>
              <w:spacing w:line="288" w:lineRule="auto"/>
              <w:ind w:left="0" w:right="0"/>
              <w:jc w:val="center"/>
              <w:textAlignment w:val="center"/>
              <w:rPr>
                <w:rFonts w:ascii="Times New Roman" w:hAnsi="Times New Roman" w:cs="Times New Roman"/>
                <w:bCs/>
                <w:color w:val="auto"/>
                <w:sz w:val="21"/>
                <w:szCs w:val="21"/>
                <w:highlight w:val="none"/>
                <w:lang w:bidi="ar"/>
              </w:rPr>
            </w:pPr>
            <w:r>
              <w:rPr>
                <w:rFonts w:hint="eastAsia"/>
                <w:color w:val="auto"/>
                <w:sz w:val="21"/>
                <w:szCs w:val="21"/>
                <w:highlight w:val="none"/>
                <w:shd w:val="clear" w:color="auto" w:fill="FFFFFF"/>
              </w:rPr>
              <w:t>处置</w:t>
            </w:r>
          </w:p>
        </w:tc>
        <w:tc>
          <w:tcPr>
            <w:tcW w:w="6057" w:type="dxa"/>
            <w:tcMar>
              <w:top w:w="15" w:type="dxa"/>
              <w:left w:w="15" w:type="dxa"/>
              <w:right w:w="15" w:type="dxa"/>
            </w:tcMar>
            <w:vAlign w:val="center"/>
          </w:tcPr>
          <w:p w14:paraId="731366ED">
            <w:pPr>
              <w:keepNext w:val="0"/>
              <w:keepLines w:val="0"/>
              <w:pageBreakBefore w:val="0"/>
              <w:widowControl/>
              <w:kinsoku/>
              <w:wordWrap/>
              <w:overflowPunct/>
              <w:topLinePunct w:val="0"/>
              <w:autoSpaceDE/>
              <w:autoSpaceDN/>
              <w:bidi w:val="0"/>
              <w:adjustRightInd w:val="0"/>
              <w:snapToGrid w:val="0"/>
              <w:spacing w:line="288" w:lineRule="auto"/>
              <w:ind w:left="0" w:right="0"/>
              <w:textAlignment w:val="center"/>
              <w:rPr>
                <w:rFonts w:ascii="Times New Roman" w:hAnsi="Times New Roman" w:cs="Times New Roman"/>
                <w:bCs/>
                <w:color w:val="auto"/>
                <w:sz w:val="21"/>
                <w:szCs w:val="21"/>
                <w:highlight w:val="none"/>
                <w:lang w:bidi="ar"/>
              </w:rPr>
            </w:pPr>
            <w:r>
              <w:rPr>
                <w:rFonts w:ascii="Times New Roman" w:hAnsi="Times New Roman" w:cs="Times New Roman"/>
                <w:color w:val="auto"/>
                <w:sz w:val="21"/>
                <w:szCs w:val="21"/>
                <w:highlight w:val="none"/>
                <w:shd w:val="clear" w:color="auto" w:fill="FFFFFF"/>
              </w:rPr>
              <w:t>医药废物（HW02）、废药物药品（HW03）、农药废物（HW04）、废有机溶剂与含有机溶剂废物（HW06）、废矿物油与含矿物油废物（HW08）、油/水、烃/水混合物或乳化液（HW09）、精（蒸）馏残渣（HW11）、染料、涂料废物（HW12）、有机树脂类废物（HW13）、感光材料废物（HW16）、表面处理废物（不含废槽液）（HW17，336-051-17、336-052-17、335-054-17、336-055-17、336-056-17、336-058-17、336-061-17、336-062-17、336-063-17、336-064-17、336-066-17）、含金属羰基化合物废物（HW19）、有机磷化合物废物（HW37）、含酚废物（HW39）、含醚废物（HW40）、含有机卤化物废物（HW45）、其他废物（HW49）、废催化剂（HW50，251-016-50、251-018-50、251-019-50、261-151-50、261-152-50、261-153-50、261-154-50、261-155-50、261-156-50、261-158-50、261-160-50、261-161-50、261-162-50、261-163-50、261-164-50、261-165-50、261-166-50、261-167-50、261-168-50、261-169-50、261-170-50、261-171-50、261-172-50、261-173-50、261-174-50、261-175-50、261-176-50、261-177-50、261-178-50、261-179-50、263-013-50、275-009-50、276-006-50、900-048-50），合计19800吨/年</w:t>
            </w:r>
          </w:p>
        </w:tc>
      </w:tr>
    </w:tbl>
    <w:p w14:paraId="6EC4F08A">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本项目产生的各类危险废物均在以上处置单位核准经营范围内，目前有余量、有能力处理本项目产生的危险固废。</w:t>
      </w:r>
    </w:p>
    <w:p w14:paraId="3A388806">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6.6.2.4</w:t>
      </w:r>
      <w:r>
        <w:rPr>
          <w:rFonts w:ascii="Times New Roman" w:hAnsi="Times New Roman"/>
          <w:color w:val="auto"/>
          <w:sz w:val="24"/>
          <w:szCs w:val="24"/>
          <w:highlight w:val="none"/>
        </w:rPr>
        <w:t>环境风险影响分析</w:t>
      </w:r>
    </w:p>
    <w:p w14:paraId="1D878AD4">
      <w:pPr>
        <w:spacing w:line="360" w:lineRule="auto"/>
        <w:ind w:left="-105" w:right="-105" w:firstLine="504" w:firstLineChars="200"/>
        <w:rPr>
          <w:rFonts w:ascii="Times New Roman" w:hAnsi="Times New Roman" w:cs="Times New Roman"/>
          <w:color w:val="auto"/>
          <w:highlight w:val="none"/>
        </w:rPr>
      </w:pPr>
      <w:r>
        <w:rPr>
          <w:rFonts w:ascii="Times New Roman" w:hAnsi="Times New Roman" w:cs="Times New Roman"/>
          <w:color w:val="auto"/>
          <w:spacing w:val="6"/>
          <w:highlight w:val="none"/>
        </w:rPr>
        <w:t>本项目的危险废物包括：</w:t>
      </w:r>
      <w:r>
        <w:rPr>
          <w:rFonts w:hint="eastAsia" w:ascii="Times New Roman" w:hAnsi="Times New Roman"/>
          <w:color w:val="auto"/>
          <w:highlight w:val="none"/>
        </w:rPr>
        <w:t>废滤芯（HW49）、</w:t>
      </w:r>
      <w:r>
        <w:rPr>
          <w:rFonts w:hint="eastAsia" w:ascii="Times New Roman" w:hAnsi="Times New Roman"/>
          <w:color w:val="auto"/>
          <w:highlight w:val="none"/>
          <w:lang w:val="en-US" w:eastAsia="zh-CN"/>
        </w:rPr>
        <w:t>实验废液（HW49）、</w:t>
      </w:r>
      <w:r>
        <w:rPr>
          <w:rFonts w:hint="eastAsia" w:ascii="Times New Roman" w:hAnsi="Times New Roman"/>
          <w:color w:val="auto"/>
          <w:highlight w:val="none"/>
        </w:rPr>
        <w:t>废实验耗材（HW49）、废包装桶</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瓶</w:t>
      </w:r>
      <w:r>
        <w:rPr>
          <w:rFonts w:hint="eastAsia" w:ascii="Times New Roman" w:hAnsi="Times New Roman"/>
          <w:color w:val="auto"/>
          <w:highlight w:val="none"/>
          <w:lang w:eastAsia="zh-CN"/>
        </w:rPr>
        <w:t>）</w:t>
      </w:r>
      <w:r>
        <w:rPr>
          <w:rFonts w:hint="eastAsia" w:ascii="Times New Roman" w:hAnsi="Times New Roman"/>
          <w:color w:val="auto"/>
          <w:highlight w:val="none"/>
        </w:rPr>
        <w:t>（HW49）、废包装袋（HW49）、废活性炭（废气处理、HW49）</w:t>
      </w:r>
      <w:r>
        <w:rPr>
          <w:rFonts w:ascii="Times New Roman" w:hAnsi="Times New Roman" w:cs="Times New Roman"/>
          <w:color w:val="auto"/>
          <w:spacing w:val="6"/>
          <w:highlight w:val="none"/>
        </w:rPr>
        <w:t>等，在危废仓库少量暂存。暂存期存在泄漏风险，泄漏事故少量泄漏可用</w:t>
      </w:r>
      <w:r>
        <w:rPr>
          <w:rFonts w:hint="eastAsia" w:ascii="Times New Roman" w:hAnsi="Times New Roman" w:cs="Times New Roman"/>
          <w:color w:val="auto"/>
          <w:spacing w:val="6"/>
          <w:highlight w:val="none"/>
          <w:lang w:val="en-US" w:eastAsia="zh-CN"/>
        </w:rPr>
        <w:t>防渗漏托盘、截流沟和收集池</w:t>
      </w:r>
      <w:r>
        <w:rPr>
          <w:rFonts w:ascii="Times New Roman" w:hAnsi="Times New Roman" w:cs="Times New Roman"/>
          <w:color w:val="auto"/>
          <w:spacing w:val="6"/>
          <w:highlight w:val="none"/>
        </w:rPr>
        <w:t>措施收集，同时设置禁火标志，防止火灾的发生。综上，危废仓库发生少量泄漏事件，可及时收集，能及时处置，影响不会扩散，能够控制在厂区内，环境风险较小。</w:t>
      </w:r>
    </w:p>
    <w:p w14:paraId="4750059E">
      <w:pPr>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olor w:val="auto"/>
          <w:highlight w:val="none"/>
          <w:lang w:val="en-US" w:eastAsia="zh-CN"/>
        </w:rPr>
        <w:t>实验室清洗废水</w:t>
      </w:r>
      <w:r>
        <w:rPr>
          <w:rFonts w:hint="eastAsia" w:ascii="Times New Roman" w:hAnsi="Times New Roman"/>
          <w:color w:val="auto"/>
          <w:highlight w:val="none"/>
        </w:rPr>
        <w:t>（HW49）暂存在废液储罐，周边设置围堰、并与事故应急池连通，</w:t>
      </w:r>
      <w:r>
        <w:rPr>
          <w:rFonts w:ascii="Times New Roman" w:hAnsi="Times New Roman" w:cs="Times New Roman"/>
          <w:color w:val="auto"/>
          <w:spacing w:val="6"/>
          <w:highlight w:val="none"/>
        </w:rPr>
        <w:t>发生泄漏事件可及时收集，</w:t>
      </w:r>
      <w:r>
        <w:rPr>
          <w:rFonts w:hint="eastAsia" w:ascii="Times New Roman" w:hAnsi="Times New Roman" w:cs="Times New Roman"/>
          <w:color w:val="auto"/>
          <w:spacing w:val="6"/>
          <w:highlight w:val="none"/>
        </w:rPr>
        <w:t>并</w:t>
      </w:r>
      <w:r>
        <w:rPr>
          <w:rFonts w:ascii="Times New Roman" w:hAnsi="Times New Roman" w:cs="Times New Roman"/>
          <w:color w:val="auto"/>
          <w:spacing w:val="6"/>
          <w:highlight w:val="none"/>
        </w:rPr>
        <w:t>能及时处置，影响不会扩散，能够控制在厂区内，环境风险较小</w:t>
      </w:r>
      <w:r>
        <w:rPr>
          <w:rFonts w:hint="eastAsia" w:ascii="Times New Roman" w:hAnsi="Times New Roman" w:cs="Times New Roman"/>
          <w:color w:val="auto"/>
          <w:spacing w:val="6"/>
          <w:highlight w:val="none"/>
        </w:rPr>
        <w:t>。</w:t>
      </w:r>
    </w:p>
    <w:p w14:paraId="38BD2886">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6.6.2.5</w:t>
      </w:r>
      <w:r>
        <w:rPr>
          <w:rFonts w:ascii="Times New Roman" w:hAnsi="Times New Roman"/>
          <w:color w:val="auto"/>
          <w:sz w:val="24"/>
          <w:szCs w:val="24"/>
          <w:highlight w:val="none"/>
        </w:rPr>
        <w:t>结论与建议</w:t>
      </w:r>
    </w:p>
    <w:p w14:paraId="1D0F1551">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本项目严格执行</w:t>
      </w:r>
      <w:r>
        <w:rPr>
          <w:rFonts w:ascii="Times New Roman" w:hAnsi="Times New Roman" w:cs="Times New Roman"/>
          <w:color w:val="auto"/>
          <w:spacing w:val="6"/>
          <w:highlight w:val="none"/>
        </w:rPr>
        <w:t>《危险废物贮存污染控制标准》(GB18597-2023)、《省生态环境厅关于印发江苏省危险废物贮存规范化管理专项整治行动方案的通知》（苏环办[2019]149号）和</w:t>
      </w:r>
      <w:r>
        <w:rPr>
          <w:rFonts w:hint="eastAsia" w:ascii="Times New Roman" w:hAnsi="Times New Roman" w:cs="Times New Roman"/>
          <w:color w:val="auto"/>
          <w:spacing w:val="6"/>
          <w:highlight w:val="none"/>
        </w:rPr>
        <w:t>《省生态环境厅关于印发&lt;江苏省固体废物全过程环境监管工作意见&gt;的通知》苏环办〔2024〕16号</w:t>
      </w:r>
      <w:r>
        <w:rPr>
          <w:rFonts w:ascii="Times New Roman" w:hAnsi="Times New Roman" w:cs="Times New Roman"/>
          <w:color w:val="auto"/>
          <w:highlight w:val="none"/>
        </w:rPr>
        <w:t>中的要求，规范化建设危废暂存场所和一般固废暂存场所，设置标志牌，并由专人管理和维护。危险废物和一般工业固废收集后分别运送至危废暂存场所和一般固废暂存场所分类、分区暂存，杜绝混合存放。</w:t>
      </w:r>
    </w:p>
    <w:p w14:paraId="18F86C9A">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综上所述，通过以上措施，本项目产生的固体废物均得到了妥善处置和利用，对周围环境及人体不会造成影响，亦不会造成二次污染。</w:t>
      </w:r>
    </w:p>
    <w:p w14:paraId="0F37780E">
      <w:pPr>
        <w:spacing w:line="360" w:lineRule="auto"/>
        <w:ind w:left="-105" w:right="-105" w:firstLine="480" w:firstLineChars="200"/>
        <w:rPr>
          <w:rFonts w:ascii="Times New Roman" w:hAnsi="Times New Roman" w:cs="Times New Roman"/>
          <w:color w:val="auto"/>
          <w:highlight w:val="none"/>
        </w:rPr>
      </w:pPr>
    </w:p>
    <w:p w14:paraId="12124AC7">
      <w:pPr>
        <w:ind w:left="-105" w:right="-105"/>
        <w:rPr>
          <w:rFonts w:ascii="Times New Roman" w:hAnsi="Times New Roman" w:cs="Times New Roman"/>
          <w:color w:val="auto"/>
          <w:highlight w:val="none"/>
        </w:rPr>
      </w:pPr>
      <w:r>
        <w:rPr>
          <w:rFonts w:ascii="Times New Roman" w:hAnsi="Times New Roman" w:cs="Times New Roman"/>
          <w:color w:val="auto"/>
          <w:highlight w:val="none"/>
        </w:rPr>
        <w:br w:type="page"/>
      </w:r>
    </w:p>
    <w:p w14:paraId="53370E81">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13" w:name="_Toc60653580"/>
      <w:bookmarkStart w:id="414" w:name="_Toc19372"/>
      <w:r>
        <w:rPr>
          <w:rFonts w:ascii="Times New Roman" w:eastAsia="宋体"/>
          <w:color w:val="auto"/>
          <w:sz w:val="28"/>
          <w:szCs w:val="28"/>
          <w:highlight w:val="none"/>
        </w:rPr>
        <w:t>环境风险预测与评价</w:t>
      </w:r>
      <w:bookmarkEnd w:id="413"/>
      <w:bookmarkEnd w:id="414"/>
    </w:p>
    <w:p w14:paraId="21C482CE">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15" w:name="_Toc60653581"/>
      <w:r>
        <w:rPr>
          <w:rFonts w:hint="eastAsia" w:eastAsia="宋体"/>
          <w:color w:val="auto"/>
          <w:sz w:val="28"/>
          <w:szCs w:val="28"/>
          <w:highlight w:val="none"/>
        </w:rPr>
        <w:t>6.7.1</w:t>
      </w:r>
      <w:bookmarkEnd w:id="415"/>
      <w:r>
        <w:rPr>
          <w:rFonts w:hint="eastAsia" w:eastAsia="宋体"/>
          <w:color w:val="auto"/>
          <w:sz w:val="28"/>
          <w:szCs w:val="28"/>
          <w:highlight w:val="none"/>
        </w:rPr>
        <w:t>大气环境风险预测与分析</w:t>
      </w:r>
    </w:p>
    <w:p w14:paraId="63FC0BAF">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根据《建设项目环境风险评价技术导则》（</w:t>
      </w:r>
      <w:r>
        <w:rPr>
          <w:rFonts w:ascii="Times New Roman" w:hAnsi="Times New Roman"/>
          <w:color w:val="auto"/>
          <w:highlight w:val="none"/>
        </w:rPr>
        <w:t>HJ169-2018)9.1中要求，预测计算时，应区分重质气体与轻质气体排放选择合适的大气风险预测模型。其中重质气体和轻质气体的判断依据可采用附录G中G.2推荐的理查德森数进行判定。</w:t>
      </w:r>
    </w:p>
    <w:p w14:paraId="5CA0F638">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1）判定连续排放还是瞬时排放</w:t>
      </w:r>
    </w:p>
    <w:p w14:paraId="25DC26F8">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判定连续排放还是瞬时排放，可以通过对比排放时间</w:t>
      </w:r>
      <w:r>
        <w:rPr>
          <w:rFonts w:ascii="Times New Roman" w:hAnsi="Times New Roman"/>
          <w:color w:val="auto"/>
          <w:highlight w:val="none"/>
        </w:rPr>
        <w:t>Td和污染物达到最近得受体点（网格点或敏感点）得时间T确定。</w:t>
      </w:r>
    </w:p>
    <w:p w14:paraId="7C70CC74">
      <w:pPr>
        <w:pStyle w:val="229"/>
        <w:spacing w:line="500" w:lineRule="exact"/>
        <w:ind w:left="-105" w:right="-105" w:firstLine="560"/>
        <w:jc w:val="center"/>
        <w:rPr>
          <w:rFonts w:eastAsia="仿宋"/>
          <w:color w:val="auto"/>
          <w:sz w:val="28"/>
          <w:szCs w:val="28"/>
          <w:highlight w:val="none"/>
        </w:rPr>
      </w:pPr>
      <w:r>
        <w:rPr>
          <w:rFonts w:hint="eastAsia" w:eastAsia="仿宋"/>
          <w:color w:val="auto"/>
          <w:sz w:val="28"/>
          <w:szCs w:val="28"/>
          <w:highlight w:val="none"/>
        </w:rPr>
        <w:t>T=2X/Ur</w:t>
      </w:r>
    </w:p>
    <w:p w14:paraId="2028416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式中：</w:t>
      </w:r>
      <w:r>
        <w:rPr>
          <w:rFonts w:ascii="Times New Roman" w:hAnsi="Times New Roman"/>
          <w:color w:val="auto"/>
          <w:highlight w:val="none"/>
        </w:rPr>
        <w:t>X—事故发生地与计算点得距离，m；</w:t>
      </w:r>
    </w:p>
    <w:p w14:paraId="2A99B5EB">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Ur—10m高处风速，m/s。</w:t>
      </w:r>
    </w:p>
    <w:p w14:paraId="2123FCA5">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当</w:t>
      </w:r>
      <w:r>
        <w:rPr>
          <w:rFonts w:ascii="Times New Roman" w:hAnsi="Times New Roman"/>
          <w:color w:val="auto"/>
          <w:highlight w:val="none"/>
        </w:rPr>
        <w:t>T</w:t>
      </w:r>
      <w:r>
        <w:rPr>
          <w:rFonts w:ascii="Times New Roman" w:hAnsi="Times New Roman"/>
          <w:color w:val="auto"/>
          <w:highlight w:val="none"/>
          <w:vertAlign w:val="subscript"/>
        </w:rPr>
        <w:t>d</w:t>
      </w:r>
      <w:r>
        <w:rPr>
          <w:rFonts w:ascii="Times New Roman" w:hAnsi="Times New Roman"/>
          <w:color w:val="auto"/>
          <w:highlight w:val="none"/>
        </w:rPr>
        <w:t>＞T时，可被认为是连续排放的；当T</w:t>
      </w:r>
      <w:r>
        <w:rPr>
          <w:rFonts w:ascii="Times New Roman" w:hAnsi="Times New Roman"/>
          <w:color w:val="auto"/>
          <w:highlight w:val="none"/>
          <w:vertAlign w:val="subscript"/>
        </w:rPr>
        <w:t>d</w:t>
      </w:r>
      <w:r>
        <w:rPr>
          <w:rFonts w:ascii="Times New Roman" w:hAnsi="Times New Roman"/>
          <w:color w:val="auto"/>
          <w:highlight w:val="none"/>
        </w:rPr>
        <w:t>≤T时，可被认为是瞬时排放。</w:t>
      </w:r>
    </w:p>
    <w:p w14:paraId="198F7BAA">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火灾发生时间设定为</w:t>
      </w:r>
      <w:r>
        <w:rPr>
          <w:rFonts w:ascii="Times New Roman" w:hAnsi="Times New Roman"/>
          <w:color w:val="auto"/>
          <w:highlight w:val="none"/>
        </w:rPr>
        <w:t>30min；敏感点离风险源最近距离为</w:t>
      </w:r>
      <w:r>
        <w:rPr>
          <w:rFonts w:hint="eastAsia" w:ascii="Times New Roman" w:hAnsi="Times New Roman"/>
          <w:color w:val="auto"/>
          <w:highlight w:val="none"/>
        </w:rPr>
        <w:t>65</w:t>
      </w:r>
      <w:r>
        <w:rPr>
          <w:rFonts w:ascii="Times New Roman" w:hAnsi="Times New Roman"/>
          <w:color w:val="auto"/>
          <w:highlight w:val="none"/>
        </w:rPr>
        <w:t>m，10m高处风速为</w:t>
      </w:r>
      <w:r>
        <w:rPr>
          <w:rFonts w:hint="eastAsia" w:ascii="Times New Roman" w:hAnsi="Times New Roman"/>
          <w:color w:val="auto"/>
          <w:highlight w:val="none"/>
        </w:rPr>
        <w:t>1.5</w:t>
      </w:r>
      <w:r>
        <w:rPr>
          <w:rFonts w:ascii="Times New Roman" w:hAnsi="Times New Roman"/>
          <w:color w:val="auto"/>
          <w:highlight w:val="none"/>
        </w:rPr>
        <w:t>m/s，</w:t>
      </w:r>
      <w:r>
        <w:rPr>
          <w:rFonts w:hint="eastAsia" w:ascii="Times New Roman" w:hAnsi="Times New Roman"/>
          <w:color w:val="auto"/>
          <w:highlight w:val="none"/>
        </w:rPr>
        <w:t>T求得为0.72min，</w:t>
      </w:r>
      <w:r>
        <w:rPr>
          <w:rFonts w:ascii="Times New Roman" w:hAnsi="Times New Roman"/>
          <w:color w:val="auto"/>
          <w:highlight w:val="none"/>
        </w:rPr>
        <w:t>则本项目T</w:t>
      </w:r>
      <w:r>
        <w:rPr>
          <w:rFonts w:ascii="Times New Roman" w:hAnsi="Times New Roman"/>
          <w:color w:val="auto"/>
          <w:highlight w:val="none"/>
          <w:vertAlign w:val="subscript"/>
        </w:rPr>
        <w:t>d</w:t>
      </w:r>
      <w:r>
        <w:rPr>
          <w:rFonts w:ascii="Times New Roman" w:hAnsi="Times New Roman"/>
          <w:color w:val="auto"/>
          <w:highlight w:val="none"/>
        </w:rPr>
        <w:t>&gt;T为连续排放。</w:t>
      </w:r>
    </w:p>
    <w:p w14:paraId="66C67C17">
      <w:pPr>
        <w:spacing w:line="360" w:lineRule="auto"/>
        <w:ind w:left="-105" w:right="-105" w:firstLine="480" w:firstLineChars="200"/>
        <w:rPr>
          <w:rFonts w:ascii="Times New Roman" w:hAnsi="Times New Roman"/>
          <w:color w:val="auto"/>
          <w:highlight w:val="none"/>
        </w:rPr>
      </w:pPr>
      <w:r>
        <w:rPr>
          <w:rFonts w:ascii="Times New Roman" w:hAnsi="Times New Roman"/>
          <w:color w:val="auto"/>
          <w:highlight w:val="none"/>
        </w:rPr>
        <w:t>2）判定烟团/烟羽是否为重质气体</w:t>
      </w:r>
    </w:p>
    <w:p w14:paraId="11092546">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①理查德森数定义及计算公式</w:t>
      </w:r>
    </w:p>
    <w:p w14:paraId="4AB76134">
      <w:pPr>
        <w:spacing w:line="360" w:lineRule="auto"/>
        <w:ind w:left="-105" w:right="-105" w:firstLine="480" w:firstLineChars="200"/>
        <w:rPr>
          <w:rFonts w:ascii="Times New Roman" w:hAnsi="Times New Roman"/>
          <w:color w:val="auto"/>
          <w:highlight w:val="none"/>
        </w:rPr>
      </w:pPr>
      <w:r>
        <w:rPr>
          <w:rFonts w:hint="eastAsia" w:ascii="Times New Roman" w:hAnsi="Times New Roman"/>
          <w:color w:val="auto"/>
          <w:highlight w:val="none"/>
        </w:rPr>
        <w:t>判定烟团</w:t>
      </w:r>
      <w:r>
        <w:rPr>
          <w:rFonts w:ascii="Times New Roman" w:hAnsi="Times New Roman"/>
          <w:color w:val="auto"/>
          <w:highlight w:val="none"/>
        </w:rPr>
        <w:t>/烟羽是否为重质气体，取决于它相对空气的“过剩密度”和环境条件等因素。通常采用理查德森数(Ri)作为标准进行判断。Ri的概念公式为：</w:t>
      </w:r>
    </w:p>
    <w:p w14:paraId="3ACA6156">
      <w:pPr>
        <w:spacing w:line="360" w:lineRule="auto"/>
        <w:ind w:left="-105" w:right="-105" w:firstLine="560" w:firstLineChars="200"/>
        <w:jc w:val="center"/>
        <w:rPr>
          <w:rFonts w:ascii="Times New Roman" w:hAnsi="Times New Roman"/>
          <w:color w:val="auto"/>
          <w:highlight w:val="none"/>
        </w:rPr>
      </w:pPr>
      <w:r>
        <w:rPr>
          <w:rFonts w:eastAsia="仿宋"/>
          <w:color w:val="auto"/>
          <w:sz w:val="28"/>
          <w:szCs w:val="28"/>
          <w:highlight w:val="none"/>
        </w:rPr>
        <w:drawing>
          <wp:inline distT="0" distB="0" distL="114300" distR="114300">
            <wp:extent cx="1845310" cy="539750"/>
            <wp:effectExtent l="0" t="0" r="2540" b="12700"/>
            <wp:docPr id="34"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1"/>
                    <pic:cNvPicPr>
                      <a:picLocks noChangeAspect="1"/>
                    </pic:cNvPicPr>
                  </pic:nvPicPr>
                  <pic:blipFill>
                    <a:blip r:embed="rId51"/>
                    <a:stretch>
                      <a:fillRect/>
                    </a:stretch>
                  </pic:blipFill>
                  <pic:spPr>
                    <a:xfrm>
                      <a:off x="0" y="0"/>
                      <a:ext cx="1845310" cy="539750"/>
                    </a:xfrm>
                    <a:prstGeom prst="rect">
                      <a:avLst/>
                    </a:prstGeom>
                    <a:noFill/>
                    <a:ln>
                      <a:noFill/>
                    </a:ln>
                  </pic:spPr>
                </pic:pic>
              </a:graphicData>
            </a:graphic>
          </wp:inline>
        </w:drawing>
      </w:r>
    </w:p>
    <w:p w14:paraId="46B0A04F">
      <w:pPr>
        <w:pStyle w:val="44"/>
        <w:spacing w:after="0" w:line="360" w:lineRule="auto"/>
        <w:ind w:left="0" w:leftChars="0" w:right="-105" w:firstLine="480"/>
        <w:rPr>
          <w:rFonts w:eastAsia="宋体" w:cs="宋体"/>
          <w:color w:val="auto"/>
          <w:kern w:val="0"/>
          <w:sz w:val="24"/>
          <w:highlight w:val="none"/>
        </w:rPr>
      </w:pPr>
      <w:r>
        <w:rPr>
          <w:rFonts w:eastAsia="宋体" w:cs="宋体"/>
          <w:color w:val="auto"/>
          <w:kern w:val="0"/>
          <w:sz w:val="24"/>
          <w:highlight w:val="none"/>
        </w:rPr>
        <w:t>R</w:t>
      </w:r>
      <w:r>
        <w:rPr>
          <w:rFonts w:eastAsia="宋体" w:cs="宋体"/>
          <w:color w:val="auto"/>
          <w:kern w:val="0"/>
          <w:sz w:val="24"/>
          <w:highlight w:val="none"/>
          <w:vertAlign w:val="subscript"/>
        </w:rPr>
        <w:t>i</w:t>
      </w:r>
      <w:r>
        <w:rPr>
          <w:rFonts w:eastAsia="宋体" w:cs="宋体"/>
          <w:color w:val="auto"/>
          <w:kern w:val="0"/>
          <w:sz w:val="24"/>
          <w:highlight w:val="none"/>
        </w:rPr>
        <w:t>是个流体动力学参数。根据不同的排放性质，理查德森数的计算公式不同。一般地，依据排放类型，理查德森数的计算分连续排放、瞬时排放两种形式：</w:t>
      </w:r>
    </w:p>
    <w:p w14:paraId="373E9912">
      <w:pPr>
        <w:pStyle w:val="44"/>
        <w:spacing w:after="0" w:line="360" w:lineRule="auto"/>
        <w:ind w:left="0" w:leftChars="0" w:right="-105" w:firstLine="480"/>
        <w:rPr>
          <w:rFonts w:eastAsia="宋体" w:cs="宋体"/>
          <w:color w:val="auto"/>
          <w:kern w:val="0"/>
          <w:sz w:val="24"/>
          <w:highlight w:val="none"/>
        </w:rPr>
      </w:pPr>
      <w:r>
        <w:rPr>
          <w:rFonts w:hint="eastAsia" w:eastAsia="宋体" w:cs="宋体"/>
          <w:color w:val="auto"/>
          <w:kern w:val="0"/>
          <w:sz w:val="24"/>
          <w:highlight w:val="none"/>
        </w:rPr>
        <w:t>连续排放：</w:t>
      </w:r>
    </w:p>
    <w:p w14:paraId="1832F6A6">
      <w:pPr>
        <w:pStyle w:val="44"/>
        <w:ind w:left="480" w:right="-105" w:firstLine="560"/>
        <w:jc w:val="center"/>
        <w:rPr>
          <w:color w:val="auto"/>
          <w:highlight w:val="none"/>
        </w:rPr>
      </w:pPr>
      <w:r>
        <w:rPr>
          <w:rFonts w:hint="eastAsia"/>
          <w:color w:val="auto"/>
          <w:szCs w:val="28"/>
          <w:highlight w:val="none"/>
        </w:rPr>
        <w:drawing>
          <wp:inline distT="0" distB="0" distL="114300" distR="114300">
            <wp:extent cx="2254885" cy="720090"/>
            <wp:effectExtent l="0" t="0" r="12065" b="3810"/>
            <wp:docPr id="35" name="图片 18" descr="连续排放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连续排放公式"/>
                    <pic:cNvPicPr>
                      <a:picLocks noChangeAspect="1"/>
                    </pic:cNvPicPr>
                  </pic:nvPicPr>
                  <pic:blipFill>
                    <a:blip r:embed="rId52"/>
                    <a:stretch>
                      <a:fillRect/>
                    </a:stretch>
                  </pic:blipFill>
                  <pic:spPr>
                    <a:xfrm>
                      <a:off x="0" y="0"/>
                      <a:ext cx="2254885" cy="720090"/>
                    </a:xfrm>
                    <a:prstGeom prst="rect">
                      <a:avLst/>
                    </a:prstGeom>
                    <a:noFill/>
                    <a:ln>
                      <a:noFill/>
                    </a:ln>
                  </pic:spPr>
                </pic:pic>
              </a:graphicData>
            </a:graphic>
          </wp:inline>
        </w:drawing>
      </w:r>
    </w:p>
    <w:p w14:paraId="539C2DD9">
      <w:pPr>
        <w:pStyle w:val="44"/>
        <w:spacing w:after="0" w:line="360" w:lineRule="auto"/>
        <w:ind w:left="0" w:leftChars="0" w:right="-105" w:firstLine="480"/>
        <w:rPr>
          <w:rFonts w:eastAsia="宋体" w:cs="宋体"/>
          <w:color w:val="auto"/>
          <w:kern w:val="0"/>
          <w:sz w:val="24"/>
          <w:highlight w:val="none"/>
        </w:rPr>
      </w:pPr>
      <w:r>
        <w:rPr>
          <w:rFonts w:hint="eastAsia" w:eastAsia="宋体" w:cs="宋体"/>
          <w:color w:val="auto"/>
          <w:kern w:val="0"/>
          <w:sz w:val="24"/>
          <w:highlight w:val="none"/>
        </w:rPr>
        <w:t>瞬时排放：</w:t>
      </w:r>
    </w:p>
    <w:p w14:paraId="72616A52">
      <w:pPr>
        <w:pStyle w:val="44"/>
        <w:spacing w:after="0" w:line="360" w:lineRule="auto"/>
        <w:ind w:left="0" w:leftChars="0" w:right="-105" w:firstLine="0" w:firstLineChars="0"/>
        <w:jc w:val="center"/>
        <w:rPr>
          <w:color w:val="auto"/>
          <w:highlight w:val="none"/>
        </w:rPr>
      </w:pPr>
      <w:r>
        <w:rPr>
          <w:rFonts w:hint="eastAsia"/>
          <w:color w:val="auto"/>
          <w:szCs w:val="28"/>
          <w:highlight w:val="none"/>
        </w:rPr>
        <w:drawing>
          <wp:inline distT="0" distB="0" distL="114300" distR="114300">
            <wp:extent cx="2073910" cy="647700"/>
            <wp:effectExtent l="0" t="0" r="2540" b="0"/>
            <wp:docPr id="33"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3"/>
                    <pic:cNvPicPr>
                      <a:picLocks noChangeAspect="1"/>
                    </pic:cNvPicPr>
                  </pic:nvPicPr>
                  <pic:blipFill>
                    <a:blip r:embed="rId53"/>
                    <a:stretch>
                      <a:fillRect/>
                    </a:stretch>
                  </pic:blipFill>
                  <pic:spPr>
                    <a:xfrm>
                      <a:off x="0" y="0"/>
                      <a:ext cx="2073910" cy="647700"/>
                    </a:xfrm>
                    <a:prstGeom prst="rect">
                      <a:avLst/>
                    </a:prstGeom>
                    <a:noFill/>
                    <a:ln>
                      <a:noFill/>
                    </a:ln>
                  </pic:spPr>
                </pic:pic>
              </a:graphicData>
            </a:graphic>
          </wp:inline>
        </w:drawing>
      </w:r>
    </w:p>
    <w:p w14:paraId="42ECAEAF">
      <w:pPr>
        <w:pStyle w:val="44"/>
        <w:spacing w:after="0" w:line="360" w:lineRule="auto"/>
        <w:ind w:left="0" w:leftChars="0" w:right="-105" w:firstLine="480"/>
        <w:rPr>
          <w:rFonts w:eastAsia="宋体"/>
          <w:color w:val="auto"/>
          <w:kern w:val="0"/>
          <w:sz w:val="24"/>
          <w:highlight w:val="none"/>
        </w:rPr>
      </w:pPr>
      <w:r>
        <w:rPr>
          <w:rFonts w:hint="eastAsia" w:eastAsia="宋体" w:cs="宋体"/>
          <w:color w:val="auto"/>
          <w:kern w:val="0"/>
          <w:sz w:val="24"/>
          <w:highlight w:val="none"/>
        </w:rPr>
        <w:t>式中：</w:t>
      </w:r>
      <w:r>
        <w:rPr>
          <w:rFonts w:eastAsia="宋体"/>
          <w:color w:val="auto"/>
          <w:kern w:val="0"/>
          <w:sz w:val="24"/>
          <w:highlight w:val="none"/>
        </w:rPr>
        <w:t>ρ</w:t>
      </w:r>
      <w:r>
        <w:rPr>
          <w:rFonts w:eastAsia="宋体"/>
          <w:color w:val="auto"/>
          <w:kern w:val="0"/>
          <w:sz w:val="24"/>
          <w:highlight w:val="none"/>
          <w:vertAlign w:val="subscript"/>
        </w:rPr>
        <w:t>rel</w:t>
      </w:r>
      <w:r>
        <w:rPr>
          <w:rFonts w:eastAsia="宋体"/>
          <w:color w:val="auto"/>
          <w:kern w:val="0"/>
          <w:sz w:val="24"/>
          <w:highlight w:val="none"/>
        </w:rPr>
        <w:t>——排放物质进入大气的初始密度，kg/m</w:t>
      </w:r>
      <w:r>
        <w:rPr>
          <w:rFonts w:eastAsia="宋体"/>
          <w:color w:val="auto"/>
          <w:kern w:val="0"/>
          <w:sz w:val="24"/>
          <w:highlight w:val="none"/>
          <w:vertAlign w:val="superscript"/>
        </w:rPr>
        <w:t>3</w:t>
      </w:r>
      <w:r>
        <w:rPr>
          <w:rFonts w:eastAsia="宋体"/>
          <w:color w:val="auto"/>
          <w:kern w:val="0"/>
          <w:sz w:val="24"/>
          <w:highlight w:val="none"/>
        </w:rPr>
        <w:t>；</w:t>
      </w:r>
    </w:p>
    <w:p w14:paraId="4045F906">
      <w:pPr>
        <w:pStyle w:val="44"/>
        <w:spacing w:after="0" w:line="360" w:lineRule="auto"/>
        <w:ind w:left="0" w:leftChars="0" w:right="-105" w:firstLine="480"/>
        <w:rPr>
          <w:rFonts w:eastAsia="宋体" w:cs="宋体"/>
          <w:color w:val="auto"/>
          <w:kern w:val="0"/>
          <w:sz w:val="24"/>
          <w:highlight w:val="none"/>
        </w:rPr>
      </w:pPr>
      <w:r>
        <w:rPr>
          <w:rFonts w:eastAsia="宋体"/>
          <w:color w:val="auto"/>
          <w:kern w:val="0"/>
          <w:sz w:val="24"/>
          <w:highlight w:val="none"/>
        </w:rPr>
        <w:t>ρ</w:t>
      </w:r>
      <w:r>
        <w:rPr>
          <w:rFonts w:eastAsia="宋体"/>
          <w:color w:val="auto"/>
          <w:kern w:val="0"/>
          <w:sz w:val="24"/>
          <w:highlight w:val="none"/>
          <w:vertAlign w:val="subscript"/>
        </w:rPr>
        <w:t>a</w:t>
      </w:r>
      <w:r>
        <w:rPr>
          <w:rFonts w:eastAsia="宋体"/>
          <w:color w:val="auto"/>
          <w:kern w:val="0"/>
          <w:sz w:val="24"/>
          <w:highlight w:val="none"/>
        </w:rPr>
        <w:t>——环</w:t>
      </w:r>
      <w:r>
        <w:rPr>
          <w:rFonts w:eastAsia="宋体" w:cs="宋体"/>
          <w:color w:val="auto"/>
          <w:kern w:val="0"/>
          <w:sz w:val="24"/>
          <w:highlight w:val="none"/>
        </w:rPr>
        <w:t>境空气密度，kg/m</w:t>
      </w:r>
      <w:r>
        <w:rPr>
          <w:rFonts w:eastAsia="宋体" w:cs="宋体"/>
          <w:color w:val="auto"/>
          <w:kern w:val="0"/>
          <w:sz w:val="24"/>
          <w:highlight w:val="none"/>
          <w:vertAlign w:val="superscript"/>
        </w:rPr>
        <w:t>3</w:t>
      </w:r>
      <w:r>
        <w:rPr>
          <w:rFonts w:eastAsia="宋体" w:cs="宋体"/>
          <w:color w:val="auto"/>
          <w:kern w:val="0"/>
          <w:sz w:val="24"/>
          <w:highlight w:val="none"/>
        </w:rPr>
        <w:t>；</w:t>
      </w:r>
    </w:p>
    <w:p w14:paraId="60D38FE5">
      <w:pPr>
        <w:pStyle w:val="44"/>
        <w:spacing w:after="0" w:line="360" w:lineRule="auto"/>
        <w:ind w:left="0" w:leftChars="0" w:right="-105" w:firstLine="480"/>
        <w:rPr>
          <w:rFonts w:eastAsia="宋体" w:cs="宋体"/>
          <w:color w:val="auto"/>
          <w:kern w:val="0"/>
          <w:sz w:val="24"/>
          <w:highlight w:val="none"/>
        </w:rPr>
      </w:pPr>
      <w:r>
        <w:rPr>
          <w:rFonts w:eastAsia="宋体" w:cs="宋体"/>
          <w:color w:val="auto"/>
          <w:kern w:val="0"/>
          <w:sz w:val="24"/>
          <w:highlight w:val="none"/>
        </w:rPr>
        <w:t>Q——连续排放烟羽的排放速率，kg/s；</w:t>
      </w:r>
    </w:p>
    <w:p w14:paraId="54CBD0C2">
      <w:pPr>
        <w:pStyle w:val="44"/>
        <w:spacing w:after="0" w:line="360" w:lineRule="auto"/>
        <w:ind w:left="0" w:leftChars="0" w:right="-105" w:firstLine="480"/>
        <w:rPr>
          <w:rFonts w:eastAsia="宋体" w:cs="宋体"/>
          <w:color w:val="auto"/>
          <w:kern w:val="0"/>
          <w:sz w:val="24"/>
          <w:highlight w:val="none"/>
        </w:rPr>
      </w:pPr>
      <w:r>
        <w:rPr>
          <w:rFonts w:eastAsia="宋体" w:cs="宋体"/>
          <w:color w:val="auto"/>
          <w:kern w:val="0"/>
          <w:sz w:val="24"/>
          <w:highlight w:val="none"/>
        </w:rPr>
        <w:t>Q</w:t>
      </w:r>
      <w:r>
        <w:rPr>
          <w:rFonts w:eastAsia="宋体" w:cs="宋体"/>
          <w:color w:val="auto"/>
          <w:kern w:val="0"/>
          <w:sz w:val="24"/>
          <w:highlight w:val="none"/>
          <w:vertAlign w:val="subscript"/>
        </w:rPr>
        <w:t>t</w:t>
      </w:r>
      <w:r>
        <w:rPr>
          <w:rFonts w:eastAsia="宋体" w:cs="宋体"/>
          <w:color w:val="auto"/>
          <w:kern w:val="0"/>
          <w:sz w:val="24"/>
          <w:highlight w:val="none"/>
        </w:rPr>
        <w:t>——瞬时排放的物质质量，kg；</w:t>
      </w:r>
    </w:p>
    <w:p w14:paraId="4E886F70">
      <w:pPr>
        <w:pStyle w:val="44"/>
        <w:spacing w:after="0" w:line="360" w:lineRule="auto"/>
        <w:ind w:left="0" w:leftChars="0" w:right="-105" w:firstLine="480"/>
        <w:rPr>
          <w:rFonts w:eastAsia="宋体" w:cs="宋体"/>
          <w:color w:val="auto"/>
          <w:kern w:val="0"/>
          <w:sz w:val="24"/>
          <w:highlight w:val="none"/>
        </w:rPr>
      </w:pPr>
      <w:r>
        <w:rPr>
          <w:rFonts w:eastAsia="宋体" w:cs="宋体"/>
          <w:color w:val="auto"/>
          <w:kern w:val="0"/>
          <w:sz w:val="24"/>
          <w:highlight w:val="none"/>
        </w:rPr>
        <w:t>D</w:t>
      </w:r>
      <w:r>
        <w:rPr>
          <w:rFonts w:eastAsia="宋体" w:cs="宋体"/>
          <w:color w:val="auto"/>
          <w:kern w:val="0"/>
          <w:sz w:val="24"/>
          <w:highlight w:val="none"/>
          <w:vertAlign w:val="subscript"/>
        </w:rPr>
        <w:t>rel</w:t>
      </w:r>
      <w:r>
        <w:rPr>
          <w:rFonts w:eastAsia="宋体" w:cs="宋体"/>
          <w:color w:val="auto"/>
          <w:kern w:val="0"/>
          <w:sz w:val="24"/>
          <w:highlight w:val="none"/>
        </w:rPr>
        <w:t>——初始的烟团宽度，即源直径，m；</w:t>
      </w:r>
    </w:p>
    <w:p w14:paraId="4671D932">
      <w:pPr>
        <w:pStyle w:val="44"/>
        <w:spacing w:after="0" w:line="360" w:lineRule="auto"/>
        <w:ind w:left="0" w:leftChars="0" w:right="-105" w:firstLine="480"/>
        <w:rPr>
          <w:rFonts w:eastAsia="宋体" w:cs="宋体"/>
          <w:color w:val="auto"/>
          <w:kern w:val="0"/>
          <w:sz w:val="24"/>
          <w:highlight w:val="none"/>
        </w:rPr>
      </w:pPr>
      <w:r>
        <w:rPr>
          <w:rFonts w:eastAsia="宋体" w:cs="宋体"/>
          <w:color w:val="auto"/>
          <w:kern w:val="0"/>
          <w:sz w:val="24"/>
          <w:highlight w:val="none"/>
        </w:rPr>
        <w:t>U</w:t>
      </w:r>
      <w:r>
        <w:rPr>
          <w:rFonts w:eastAsia="宋体" w:cs="宋体"/>
          <w:color w:val="auto"/>
          <w:kern w:val="0"/>
          <w:sz w:val="24"/>
          <w:highlight w:val="none"/>
          <w:vertAlign w:val="subscript"/>
        </w:rPr>
        <w:t>r</w:t>
      </w:r>
      <w:r>
        <w:rPr>
          <w:rFonts w:eastAsia="宋体" w:cs="宋体"/>
          <w:color w:val="auto"/>
          <w:kern w:val="0"/>
          <w:sz w:val="24"/>
          <w:highlight w:val="none"/>
        </w:rPr>
        <w:t>——10m高处风速，m/s。</w:t>
      </w:r>
    </w:p>
    <w:p w14:paraId="1B4EE56B">
      <w:pPr>
        <w:pStyle w:val="15"/>
        <w:ind w:left="-105" w:right="-105" w:firstLine="482"/>
        <w:rPr>
          <w:rFonts w:eastAsia="宋体" w:cs="Times New Roman"/>
          <w:color w:val="auto"/>
          <w:sz w:val="24"/>
          <w:szCs w:val="24"/>
          <w:highlight w:val="none"/>
        </w:rPr>
      </w:pPr>
      <w:r>
        <w:rPr>
          <w:rFonts w:eastAsia="宋体" w:cs="Times New Roman"/>
          <w:color w:val="auto"/>
          <w:sz w:val="24"/>
          <w:szCs w:val="24"/>
          <w:highlight w:val="none"/>
        </w:rPr>
        <w:t>表6.7-</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表6.7- \* ARABIC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1</w:t>
      </w:r>
      <w:r>
        <w:rPr>
          <w:rFonts w:eastAsia="宋体" w:cs="Times New Roman"/>
          <w:color w:val="auto"/>
          <w:sz w:val="24"/>
          <w:szCs w:val="24"/>
          <w:highlight w:val="none"/>
        </w:rPr>
        <w:fldChar w:fldCharType="end"/>
      </w:r>
      <w:r>
        <w:rPr>
          <w:rFonts w:eastAsia="宋体" w:cs="Times New Roman"/>
          <w:snapToGrid w:val="0"/>
          <w:color w:val="auto"/>
          <w:sz w:val="24"/>
          <w:szCs w:val="24"/>
          <w:highlight w:val="none"/>
        </w:rPr>
        <w:t>理查德森参数表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28" w:type="dxa"/>
          <w:bottom w:w="0" w:type="dxa"/>
          <w:right w:w="28" w:type="dxa"/>
        </w:tblCellMar>
      </w:tblPr>
      <w:tblGrid>
        <w:gridCol w:w="1312"/>
        <w:gridCol w:w="1451"/>
        <w:gridCol w:w="922"/>
        <w:gridCol w:w="1269"/>
        <w:gridCol w:w="1241"/>
        <w:gridCol w:w="850"/>
        <w:gridCol w:w="1515"/>
      </w:tblGrid>
      <w:tr w14:paraId="2444B2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trHeight w:val="340" w:hRule="atLeast"/>
          <w:jc w:val="center"/>
        </w:trPr>
        <w:tc>
          <w:tcPr>
            <w:tcW w:w="1312" w:type="dxa"/>
            <w:tcBorders>
              <w:tl2br w:val="nil"/>
              <w:tr2bl w:val="nil"/>
            </w:tcBorders>
            <w:vAlign w:val="center"/>
          </w:tcPr>
          <w:p w14:paraId="4968EF94">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源项</w:t>
            </w:r>
          </w:p>
        </w:tc>
        <w:tc>
          <w:tcPr>
            <w:tcW w:w="1452" w:type="dxa"/>
            <w:tcBorders>
              <w:tl2br w:val="nil"/>
              <w:tr2bl w:val="nil"/>
            </w:tcBorders>
            <w:vAlign w:val="center"/>
          </w:tcPr>
          <w:p w14:paraId="747DF0B4">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ρ</w:t>
            </w:r>
            <w:r>
              <w:rPr>
                <w:rFonts w:ascii="Times New Roman" w:hAnsi="Times New Roman" w:cs="Times New Roman"/>
                <w:b/>
                <w:bCs/>
                <w:color w:val="auto"/>
                <w:sz w:val="21"/>
                <w:szCs w:val="21"/>
                <w:highlight w:val="none"/>
                <w:vertAlign w:val="subscript"/>
              </w:rPr>
              <w:t>rel</w:t>
            </w:r>
          </w:p>
        </w:tc>
        <w:tc>
          <w:tcPr>
            <w:tcW w:w="922" w:type="dxa"/>
            <w:tcBorders>
              <w:tl2br w:val="nil"/>
              <w:tr2bl w:val="nil"/>
            </w:tcBorders>
            <w:vAlign w:val="center"/>
          </w:tcPr>
          <w:p w14:paraId="723CCD6D">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ρ</w:t>
            </w:r>
            <w:r>
              <w:rPr>
                <w:rFonts w:ascii="Times New Roman" w:hAnsi="Times New Roman" w:cs="Times New Roman"/>
                <w:b/>
                <w:bCs/>
                <w:color w:val="auto"/>
                <w:sz w:val="21"/>
                <w:szCs w:val="21"/>
                <w:highlight w:val="none"/>
                <w:vertAlign w:val="subscript"/>
              </w:rPr>
              <w:t>a</w:t>
            </w:r>
          </w:p>
        </w:tc>
        <w:tc>
          <w:tcPr>
            <w:tcW w:w="1269" w:type="dxa"/>
            <w:tcBorders>
              <w:tl2br w:val="nil"/>
              <w:tr2bl w:val="nil"/>
            </w:tcBorders>
            <w:vAlign w:val="center"/>
          </w:tcPr>
          <w:p w14:paraId="0460AB80">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Q</w:t>
            </w:r>
          </w:p>
        </w:tc>
        <w:tc>
          <w:tcPr>
            <w:tcW w:w="1241" w:type="dxa"/>
            <w:tcBorders>
              <w:tl2br w:val="nil"/>
              <w:tr2bl w:val="nil"/>
            </w:tcBorders>
            <w:vAlign w:val="center"/>
          </w:tcPr>
          <w:p w14:paraId="72E235C3">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D</w:t>
            </w:r>
            <w:r>
              <w:rPr>
                <w:rFonts w:ascii="Times New Roman" w:hAnsi="Times New Roman" w:cs="Times New Roman"/>
                <w:b/>
                <w:bCs/>
                <w:color w:val="auto"/>
                <w:sz w:val="21"/>
                <w:szCs w:val="21"/>
                <w:highlight w:val="none"/>
                <w:vertAlign w:val="subscript"/>
              </w:rPr>
              <w:t>rel</w:t>
            </w:r>
          </w:p>
        </w:tc>
        <w:tc>
          <w:tcPr>
            <w:tcW w:w="849" w:type="dxa"/>
            <w:tcBorders>
              <w:tl2br w:val="nil"/>
              <w:tr2bl w:val="nil"/>
            </w:tcBorders>
            <w:vAlign w:val="center"/>
          </w:tcPr>
          <w:p w14:paraId="04B94FE8">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Ur</w:t>
            </w:r>
          </w:p>
        </w:tc>
        <w:tc>
          <w:tcPr>
            <w:tcW w:w="1515" w:type="dxa"/>
            <w:tcBorders>
              <w:tl2br w:val="nil"/>
              <w:tr2bl w:val="nil"/>
            </w:tcBorders>
            <w:vAlign w:val="center"/>
          </w:tcPr>
          <w:p w14:paraId="6C89787C">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Ri</w:t>
            </w:r>
          </w:p>
        </w:tc>
      </w:tr>
      <w:tr w14:paraId="6A4BE92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trHeight w:val="340" w:hRule="atLeast"/>
          <w:jc w:val="center"/>
        </w:trPr>
        <w:tc>
          <w:tcPr>
            <w:tcW w:w="1312" w:type="dxa"/>
            <w:tcBorders>
              <w:tl2br w:val="nil"/>
              <w:tr2bl w:val="nil"/>
            </w:tcBorders>
            <w:vAlign w:val="center"/>
          </w:tcPr>
          <w:p w14:paraId="28FFBB46">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一氧化碳</w:t>
            </w:r>
          </w:p>
        </w:tc>
        <w:tc>
          <w:tcPr>
            <w:tcW w:w="1452" w:type="dxa"/>
            <w:tcBorders>
              <w:tl2br w:val="nil"/>
              <w:tr2bl w:val="nil"/>
            </w:tcBorders>
            <w:vAlign w:val="center"/>
          </w:tcPr>
          <w:p w14:paraId="686DB402">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1.250</w:t>
            </w:r>
          </w:p>
        </w:tc>
        <w:tc>
          <w:tcPr>
            <w:tcW w:w="922" w:type="dxa"/>
            <w:tcBorders>
              <w:tl2br w:val="nil"/>
              <w:tr2bl w:val="nil"/>
            </w:tcBorders>
            <w:vAlign w:val="center"/>
          </w:tcPr>
          <w:p w14:paraId="5AF804F6">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1.293</w:t>
            </w:r>
          </w:p>
        </w:tc>
        <w:tc>
          <w:tcPr>
            <w:tcW w:w="1269" w:type="dxa"/>
            <w:tcBorders>
              <w:tl2br w:val="nil"/>
              <w:tr2bl w:val="nil"/>
            </w:tcBorders>
            <w:vAlign w:val="center"/>
          </w:tcPr>
          <w:p w14:paraId="48B601B2">
            <w:pPr>
              <w:pStyle w:val="25"/>
              <w:adjustRightInd w:val="0"/>
              <w:snapToGrid w:val="0"/>
              <w:spacing w:before="0" w:beforeAutospacing="0" w:after="0" w:afterAutospacing="0"/>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0.0094</w:t>
            </w:r>
          </w:p>
        </w:tc>
        <w:tc>
          <w:tcPr>
            <w:tcW w:w="1241" w:type="dxa"/>
            <w:tcBorders>
              <w:tl2br w:val="nil"/>
              <w:tr2bl w:val="nil"/>
            </w:tcBorders>
            <w:vAlign w:val="center"/>
          </w:tcPr>
          <w:p w14:paraId="00178946">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c>
          <w:tcPr>
            <w:tcW w:w="849" w:type="dxa"/>
            <w:tcBorders>
              <w:tl2br w:val="nil"/>
              <w:tr2bl w:val="nil"/>
            </w:tcBorders>
            <w:vAlign w:val="center"/>
          </w:tcPr>
          <w:p w14:paraId="61706F07">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w:t>
            </w:r>
          </w:p>
        </w:tc>
        <w:tc>
          <w:tcPr>
            <w:tcW w:w="1515" w:type="dxa"/>
            <w:tcBorders>
              <w:tl2br w:val="nil"/>
              <w:tr2bl w:val="nil"/>
            </w:tcBorders>
            <w:vAlign w:val="center"/>
          </w:tcPr>
          <w:p w14:paraId="35086C78">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w:t>
            </w:r>
          </w:p>
        </w:tc>
      </w:tr>
    </w:tbl>
    <w:p w14:paraId="6B84215A">
      <w:pPr>
        <w:pStyle w:val="44"/>
        <w:spacing w:after="0" w:line="360" w:lineRule="auto"/>
        <w:ind w:left="0" w:leftChars="0" w:right="-105" w:firstLine="480"/>
        <w:rPr>
          <w:rFonts w:eastAsia="宋体"/>
          <w:color w:val="auto"/>
          <w:sz w:val="24"/>
          <w:highlight w:val="none"/>
        </w:rPr>
      </w:pPr>
      <w:r>
        <w:rPr>
          <w:rFonts w:hint="eastAsia" w:eastAsia="宋体"/>
          <w:color w:val="auto"/>
          <w:sz w:val="24"/>
          <w:highlight w:val="none"/>
        </w:rPr>
        <w:t>②判断标准</w:t>
      </w:r>
    </w:p>
    <w:p w14:paraId="4B3FD5CE">
      <w:pPr>
        <w:pStyle w:val="44"/>
        <w:spacing w:after="0" w:line="360" w:lineRule="auto"/>
        <w:ind w:left="0" w:leftChars="0" w:right="-105" w:firstLine="480"/>
        <w:rPr>
          <w:rFonts w:eastAsia="宋体"/>
          <w:color w:val="auto"/>
          <w:sz w:val="24"/>
          <w:highlight w:val="none"/>
        </w:rPr>
      </w:pPr>
      <w:r>
        <w:rPr>
          <w:rFonts w:hint="eastAsia" w:eastAsia="宋体"/>
          <w:color w:val="auto"/>
          <w:sz w:val="24"/>
          <w:highlight w:val="none"/>
        </w:rPr>
        <w:t>判断标准为：对于连续排放，</w:t>
      </w:r>
      <w:r>
        <w:rPr>
          <w:rFonts w:eastAsia="宋体"/>
          <w:color w:val="auto"/>
          <w:sz w:val="24"/>
          <w:highlight w:val="none"/>
        </w:rPr>
        <w:t>Ri≥1/6为重质气体，Ri＜1/6为轻质气体。当Ri处于临界值附近时，说明烟团/烟羽既不是典型的重质气体扩散，也不是典型的轻质气体扩散。可以进行敏感性分析，分别采用重质气体模型和轻质气体模型进行模拟，选取影响范围最大的结果。</w:t>
      </w:r>
    </w:p>
    <w:p w14:paraId="32A15DD4">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火灾产生一氧化碳为连续排放，且Ri＜1/6，所以火灾产生一氧化碳为轻质气体</w:t>
      </w:r>
      <w:r>
        <w:rPr>
          <w:rFonts w:hint="eastAsia" w:eastAsia="宋体"/>
          <w:color w:val="auto"/>
          <w:sz w:val="24"/>
          <w:highlight w:val="none"/>
        </w:rPr>
        <w:t>。</w:t>
      </w:r>
    </w:p>
    <w:p w14:paraId="63FCD9A5">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3）模型筛选</w:t>
      </w:r>
    </w:p>
    <w:p w14:paraId="6A09DFEB">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根据《建设项目环境风险评价技术导则》（HJ169-2018</w:t>
      </w:r>
      <w:r>
        <w:rPr>
          <w:rFonts w:hint="eastAsia" w:eastAsia="宋体"/>
          <w:color w:val="auto"/>
          <w:sz w:val="24"/>
          <w:highlight w:val="none"/>
        </w:rPr>
        <w:t>）</w:t>
      </w:r>
      <w:r>
        <w:rPr>
          <w:rFonts w:eastAsia="宋体"/>
          <w:color w:val="auto"/>
          <w:sz w:val="24"/>
          <w:highlight w:val="none"/>
        </w:rPr>
        <w:t>附录G中大气风险预测推荐模型，本次选用AFTOX模型进行预测，预测模型主要参数见下表。</w:t>
      </w:r>
    </w:p>
    <w:p w14:paraId="40E1E4FC">
      <w:pPr>
        <w:pStyle w:val="15"/>
        <w:ind w:left="-105" w:right="-105" w:firstLine="482"/>
        <w:rPr>
          <w:rFonts w:eastAsia="宋体"/>
          <w:color w:val="auto"/>
          <w:sz w:val="24"/>
          <w:szCs w:val="24"/>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6.7</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1</w:t>
      </w:r>
      <w:r>
        <w:rPr>
          <w:rFonts w:eastAsia="宋体"/>
          <w:color w:val="auto"/>
          <w:sz w:val="24"/>
          <w:szCs w:val="24"/>
          <w:highlight w:val="none"/>
        </w:rPr>
        <w:fldChar w:fldCharType="end"/>
      </w:r>
      <w:r>
        <w:rPr>
          <w:rFonts w:eastAsia="宋体"/>
          <w:color w:val="auto"/>
          <w:sz w:val="24"/>
          <w:szCs w:val="24"/>
          <w:highlight w:val="none"/>
        </w:rPr>
        <w:t>大气风险预测模型主要参数表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5"/>
        <w:gridCol w:w="3568"/>
        <w:gridCol w:w="1886"/>
        <w:gridCol w:w="1945"/>
      </w:tblGrid>
      <w:tr w14:paraId="56782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shd w:val="clear" w:color="auto" w:fill="FFFFFF"/>
            <w:vAlign w:val="center"/>
          </w:tcPr>
          <w:p w14:paraId="0E932405">
            <w:pPr>
              <w:snapToGrid w:val="0"/>
              <w:ind w:left="-105" w:right="-105"/>
              <w:jc w:val="center"/>
              <w:rPr>
                <w:rFonts w:ascii="Times New Roman" w:hAnsi="Times New Roman" w:cs="Times New Roman"/>
                <w:b/>
                <w:bCs/>
                <w:color w:val="auto"/>
                <w:sz w:val="21"/>
                <w:szCs w:val="21"/>
                <w:highlight w:val="none"/>
                <w:lang w:val="zh-TW"/>
              </w:rPr>
            </w:pPr>
            <w:r>
              <w:rPr>
                <w:rFonts w:ascii="Times New Roman" w:hAnsi="Times New Roman" w:cs="Times New Roman"/>
                <w:b/>
                <w:bCs/>
                <w:color w:val="auto"/>
                <w:sz w:val="21"/>
                <w:szCs w:val="21"/>
                <w:highlight w:val="none"/>
                <w:lang w:val="zh-TW"/>
              </w:rPr>
              <w:t>参数类型</w:t>
            </w:r>
          </w:p>
        </w:tc>
        <w:tc>
          <w:tcPr>
            <w:tcW w:w="3807" w:type="dxa"/>
            <w:shd w:val="clear" w:color="auto" w:fill="FFFFFF"/>
            <w:vAlign w:val="center"/>
          </w:tcPr>
          <w:p w14:paraId="128F8B35">
            <w:pPr>
              <w:snapToGrid w:val="0"/>
              <w:ind w:left="-105" w:right="-105"/>
              <w:jc w:val="center"/>
              <w:rPr>
                <w:rFonts w:ascii="Times New Roman" w:hAnsi="Times New Roman" w:cs="Times New Roman"/>
                <w:b/>
                <w:bCs/>
                <w:color w:val="auto"/>
                <w:sz w:val="21"/>
                <w:szCs w:val="21"/>
                <w:highlight w:val="none"/>
                <w:lang w:val="zh-TW"/>
              </w:rPr>
            </w:pPr>
            <w:r>
              <w:rPr>
                <w:rFonts w:ascii="Times New Roman" w:hAnsi="Times New Roman" w:cs="Times New Roman"/>
                <w:b/>
                <w:bCs/>
                <w:color w:val="auto"/>
                <w:sz w:val="21"/>
                <w:szCs w:val="21"/>
                <w:highlight w:val="none"/>
                <w:lang w:val="zh-TW"/>
              </w:rPr>
              <w:t>选项</w:t>
            </w:r>
          </w:p>
        </w:tc>
        <w:tc>
          <w:tcPr>
            <w:tcW w:w="4086" w:type="dxa"/>
            <w:gridSpan w:val="2"/>
            <w:shd w:val="clear" w:color="auto" w:fill="FFFFFF"/>
            <w:vAlign w:val="center"/>
          </w:tcPr>
          <w:p w14:paraId="575DAD93">
            <w:pPr>
              <w:snapToGrid w:val="0"/>
              <w:ind w:left="-105" w:right="-105"/>
              <w:jc w:val="center"/>
              <w:rPr>
                <w:rFonts w:ascii="Times New Roman" w:hAnsi="Times New Roman" w:cs="Times New Roman"/>
                <w:b/>
                <w:bCs/>
                <w:color w:val="auto"/>
                <w:sz w:val="21"/>
                <w:szCs w:val="21"/>
                <w:highlight w:val="none"/>
                <w:lang w:val="zh-TW"/>
              </w:rPr>
            </w:pPr>
            <w:r>
              <w:rPr>
                <w:rFonts w:ascii="Times New Roman" w:hAnsi="Times New Roman" w:cs="Times New Roman"/>
                <w:b/>
                <w:bCs/>
                <w:color w:val="auto"/>
                <w:sz w:val="21"/>
                <w:szCs w:val="21"/>
                <w:highlight w:val="none"/>
                <w:lang w:val="zh-TW"/>
              </w:rPr>
              <w:t>参数</w:t>
            </w:r>
          </w:p>
        </w:tc>
      </w:tr>
      <w:tr w14:paraId="05388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restart"/>
            <w:shd w:val="clear" w:color="auto" w:fill="FFFFFF"/>
            <w:vAlign w:val="center"/>
          </w:tcPr>
          <w:p w14:paraId="61473E44">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基本情况</w:t>
            </w:r>
          </w:p>
        </w:tc>
        <w:tc>
          <w:tcPr>
            <w:tcW w:w="3807" w:type="dxa"/>
            <w:shd w:val="clear" w:color="auto" w:fill="FFFFFF"/>
            <w:vAlign w:val="center"/>
          </w:tcPr>
          <w:p w14:paraId="1689D0C2">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事故源经度/(°</w:t>
            </w:r>
            <w:r>
              <w:rPr>
                <w:rFonts w:ascii="Times New Roman" w:hAnsi="Times New Roman" w:cs="Times New Roman"/>
                <w:color w:val="auto"/>
                <w:sz w:val="21"/>
                <w:szCs w:val="21"/>
                <w:highlight w:val="none"/>
                <w:lang w:eastAsia="en-US"/>
              </w:rPr>
              <w:t>)</w:t>
            </w:r>
          </w:p>
        </w:tc>
        <w:tc>
          <w:tcPr>
            <w:tcW w:w="4086" w:type="dxa"/>
            <w:gridSpan w:val="2"/>
            <w:shd w:val="clear" w:color="auto" w:fill="FFFFFF"/>
            <w:vAlign w:val="center"/>
          </w:tcPr>
          <w:p w14:paraId="554E461F">
            <w:pPr>
              <w:adjustRightInd w:val="0"/>
              <w:snapToGrid w:val="0"/>
              <w:ind w:left="-105" w:right="-105"/>
              <w:jc w:val="center"/>
              <w:rPr>
                <w:rFonts w:ascii="Times New Roman" w:hAnsi="Times New Roman" w:eastAsia="PMingLiU"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rPr>
              <w:t>120.397269945</w:t>
            </w:r>
          </w:p>
        </w:tc>
      </w:tr>
      <w:tr w14:paraId="20CCA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64B10C90">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634668CE">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事故源纬度/(°</w:t>
            </w:r>
            <w:r>
              <w:rPr>
                <w:rFonts w:ascii="Times New Roman" w:hAnsi="Times New Roman" w:cs="Times New Roman"/>
                <w:color w:val="auto"/>
                <w:sz w:val="21"/>
                <w:szCs w:val="21"/>
                <w:highlight w:val="none"/>
                <w:lang w:eastAsia="en-US"/>
              </w:rPr>
              <w:t>)</w:t>
            </w:r>
          </w:p>
        </w:tc>
        <w:tc>
          <w:tcPr>
            <w:tcW w:w="4086" w:type="dxa"/>
            <w:gridSpan w:val="2"/>
            <w:shd w:val="clear" w:color="auto" w:fill="FFFFFF"/>
            <w:vAlign w:val="center"/>
          </w:tcPr>
          <w:p w14:paraId="372EDAF6">
            <w:pPr>
              <w:adjustRightInd w:val="0"/>
              <w:snapToGrid w:val="0"/>
              <w:ind w:left="-105" w:right="-105"/>
              <w:jc w:val="center"/>
              <w:rPr>
                <w:rFonts w:ascii="Times New Roman" w:hAnsi="Times New Roman" w:cs="Times New Roman"/>
                <w:color w:val="auto"/>
                <w:sz w:val="21"/>
                <w:szCs w:val="21"/>
                <w:highlight w:val="none"/>
                <w:lang w:val="zh-TW"/>
              </w:rPr>
            </w:pPr>
            <w:r>
              <w:rPr>
                <w:rFonts w:hint="eastAsia" w:ascii="Times New Roman" w:hAnsi="Times New Roman" w:cs="Times New Roman"/>
                <w:color w:val="auto"/>
                <w:sz w:val="21"/>
                <w:szCs w:val="21"/>
                <w:highlight w:val="none"/>
                <w:lang w:val="zh-TW"/>
              </w:rPr>
              <w:t>31.649087092</w:t>
            </w:r>
          </w:p>
        </w:tc>
      </w:tr>
      <w:tr w14:paraId="58A2D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22168FB5">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5B769535">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事故源类型</w:t>
            </w:r>
          </w:p>
        </w:tc>
        <w:tc>
          <w:tcPr>
            <w:tcW w:w="4086" w:type="dxa"/>
            <w:gridSpan w:val="2"/>
            <w:shd w:val="clear" w:color="auto" w:fill="FFFFFF"/>
            <w:vAlign w:val="center"/>
          </w:tcPr>
          <w:p w14:paraId="7C2FA00C">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泄漏</w:t>
            </w:r>
          </w:p>
        </w:tc>
      </w:tr>
      <w:tr w14:paraId="5D873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restart"/>
            <w:shd w:val="clear" w:color="auto" w:fill="FFFFFF"/>
            <w:vAlign w:val="center"/>
          </w:tcPr>
          <w:p w14:paraId="5A4FC439">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气象参数</w:t>
            </w:r>
          </w:p>
        </w:tc>
        <w:tc>
          <w:tcPr>
            <w:tcW w:w="3807" w:type="dxa"/>
            <w:shd w:val="clear" w:color="auto" w:fill="FFFFFF"/>
            <w:vAlign w:val="center"/>
          </w:tcPr>
          <w:p w14:paraId="04A38188">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气象条件类型</w:t>
            </w:r>
          </w:p>
        </w:tc>
        <w:tc>
          <w:tcPr>
            <w:tcW w:w="2011" w:type="dxa"/>
            <w:shd w:val="clear" w:color="auto" w:fill="FFFFFF"/>
            <w:vAlign w:val="center"/>
          </w:tcPr>
          <w:p w14:paraId="7D571E79">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最不利气象</w:t>
            </w:r>
          </w:p>
        </w:tc>
        <w:tc>
          <w:tcPr>
            <w:tcW w:w="2075" w:type="dxa"/>
            <w:shd w:val="clear" w:color="auto" w:fill="FFFFFF"/>
            <w:vAlign w:val="center"/>
          </w:tcPr>
          <w:p w14:paraId="773C10D4">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最常见气象</w:t>
            </w:r>
          </w:p>
        </w:tc>
      </w:tr>
      <w:tr w14:paraId="3EEBD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079C2A2A">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55665D3B">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风速</w:t>
            </w:r>
            <w:r>
              <w:rPr>
                <w:rFonts w:ascii="Times New Roman" w:hAnsi="Times New Roman" w:cs="Times New Roman"/>
                <w:color w:val="auto"/>
                <w:sz w:val="21"/>
                <w:szCs w:val="21"/>
                <w:highlight w:val="none"/>
                <w:lang w:eastAsia="en-US"/>
              </w:rPr>
              <w:t>/(m/s)</w:t>
            </w:r>
          </w:p>
        </w:tc>
        <w:tc>
          <w:tcPr>
            <w:tcW w:w="2011" w:type="dxa"/>
            <w:shd w:val="clear" w:color="auto" w:fill="FFFFFF"/>
            <w:vAlign w:val="center"/>
          </w:tcPr>
          <w:p w14:paraId="2128DCFA">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w:t>
            </w:r>
          </w:p>
        </w:tc>
        <w:tc>
          <w:tcPr>
            <w:tcW w:w="2075" w:type="dxa"/>
            <w:shd w:val="clear" w:color="auto" w:fill="FFFFFF"/>
            <w:vAlign w:val="center"/>
          </w:tcPr>
          <w:p w14:paraId="6FAFC435">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2FE0F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537DC81B">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57C9BCBA">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环境温度</w:t>
            </w:r>
            <w:r>
              <w:rPr>
                <w:rFonts w:ascii="Times New Roman" w:hAnsi="Times New Roman" w:cs="Times New Roman"/>
                <w:color w:val="auto"/>
                <w:sz w:val="21"/>
                <w:szCs w:val="21"/>
                <w:highlight w:val="none"/>
                <w:lang w:eastAsia="en-US"/>
              </w:rPr>
              <w:t>/℃</w:t>
            </w:r>
          </w:p>
        </w:tc>
        <w:tc>
          <w:tcPr>
            <w:tcW w:w="2011" w:type="dxa"/>
            <w:shd w:val="clear" w:color="auto" w:fill="FFFFFF"/>
            <w:vAlign w:val="center"/>
          </w:tcPr>
          <w:p w14:paraId="204D31CC">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w:t>
            </w:r>
          </w:p>
        </w:tc>
        <w:tc>
          <w:tcPr>
            <w:tcW w:w="2075" w:type="dxa"/>
            <w:shd w:val="clear" w:color="auto" w:fill="FFFFFF"/>
            <w:vAlign w:val="center"/>
          </w:tcPr>
          <w:p w14:paraId="2FB568F9">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09D91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43B76843">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68F65BC5">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相对湿度/%</w:t>
            </w:r>
          </w:p>
        </w:tc>
        <w:tc>
          <w:tcPr>
            <w:tcW w:w="2011" w:type="dxa"/>
            <w:shd w:val="clear" w:color="auto" w:fill="FFFFFF"/>
            <w:vAlign w:val="center"/>
          </w:tcPr>
          <w:p w14:paraId="2FFE7776">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2075" w:type="dxa"/>
            <w:shd w:val="clear" w:color="auto" w:fill="FFFFFF"/>
            <w:vAlign w:val="center"/>
          </w:tcPr>
          <w:p w14:paraId="2B35439E">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7A1F4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32FFE2E8">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34BDA70D">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稳定度</w:t>
            </w:r>
          </w:p>
        </w:tc>
        <w:tc>
          <w:tcPr>
            <w:tcW w:w="2011" w:type="dxa"/>
            <w:shd w:val="clear" w:color="auto" w:fill="FFFFFF"/>
            <w:vAlign w:val="center"/>
          </w:tcPr>
          <w:p w14:paraId="6F3302BE">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w:t>
            </w:r>
          </w:p>
        </w:tc>
        <w:tc>
          <w:tcPr>
            <w:tcW w:w="2075" w:type="dxa"/>
            <w:shd w:val="clear" w:color="auto" w:fill="FFFFFF"/>
            <w:vAlign w:val="center"/>
          </w:tcPr>
          <w:p w14:paraId="74DA6AAD">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4368D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restart"/>
            <w:shd w:val="clear" w:color="auto" w:fill="FFFFFF"/>
            <w:vAlign w:val="center"/>
          </w:tcPr>
          <w:p w14:paraId="68A29089">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其他参数</w:t>
            </w:r>
          </w:p>
        </w:tc>
        <w:tc>
          <w:tcPr>
            <w:tcW w:w="3807" w:type="dxa"/>
            <w:shd w:val="clear" w:color="auto" w:fill="FFFFFF"/>
            <w:vAlign w:val="center"/>
          </w:tcPr>
          <w:p w14:paraId="41F101BB">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地表粗糙度</w:t>
            </w:r>
            <w:r>
              <w:rPr>
                <w:rFonts w:ascii="Times New Roman" w:hAnsi="Times New Roman" w:cs="Times New Roman"/>
                <w:color w:val="auto"/>
                <w:sz w:val="21"/>
                <w:szCs w:val="21"/>
                <w:highlight w:val="none"/>
                <w:lang w:eastAsia="en-US"/>
              </w:rPr>
              <w:t>/m</w:t>
            </w:r>
          </w:p>
        </w:tc>
        <w:tc>
          <w:tcPr>
            <w:tcW w:w="4086" w:type="dxa"/>
            <w:gridSpan w:val="2"/>
            <w:shd w:val="clear" w:color="auto" w:fill="FFFFFF"/>
            <w:vAlign w:val="center"/>
          </w:tcPr>
          <w:p w14:paraId="5EEA73FA">
            <w:pPr>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0.03</w:t>
            </w:r>
          </w:p>
        </w:tc>
      </w:tr>
      <w:tr w14:paraId="1658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3CCDB168">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7396BFA3">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是否考虑地形</w:t>
            </w:r>
          </w:p>
        </w:tc>
        <w:tc>
          <w:tcPr>
            <w:tcW w:w="4086" w:type="dxa"/>
            <w:gridSpan w:val="2"/>
            <w:shd w:val="clear" w:color="auto" w:fill="FFFFFF"/>
            <w:vAlign w:val="center"/>
          </w:tcPr>
          <w:p w14:paraId="53CC848B">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否</w:t>
            </w:r>
          </w:p>
        </w:tc>
      </w:tr>
      <w:tr w14:paraId="202EC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Merge w:val="continue"/>
            <w:shd w:val="clear" w:color="auto" w:fill="FFFFFF"/>
            <w:vAlign w:val="center"/>
          </w:tcPr>
          <w:p w14:paraId="5CBE7510">
            <w:pPr>
              <w:snapToGrid w:val="0"/>
              <w:ind w:left="-105" w:right="-105"/>
              <w:jc w:val="center"/>
              <w:rPr>
                <w:rFonts w:ascii="Times New Roman" w:hAnsi="Times New Roman" w:cs="Times New Roman"/>
                <w:color w:val="auto"/>
                <w:sz w:val="21"/>
                <w:szCs w:val="21"/>
                <w:highlight w:val="none"/>
                <w:lang w:val="zh-TW"/>
              </w:rPr>
            </w:pPr>
          </w:p>
        </w:tc>
        <w:tc>
          <w:tcPr>
            <w:tcW w:w="3807" w:type="dxa"/>
            <w:shd w:val="clear" w:color="auto" w:fill="FFFFFF"/>
            <w:vAlign w:val="center"/>
          </w:tcPr>
          <w:p w14:paraId="78847C83">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地形数据精度</w:t>
            </w:r>
            <w:r>
              <w:rPr>
                <w:rFonts w:ascii="Times New Roman" w:hAnsi="Times New Roman" w:cs="Times New Roman"/>
                <w:color w:val="auto"/>
                <w:sz w:val="21"/>
                <w:szCs w:val="21"/>
                <w:highlight w:val="none"/>
                <w:lang w:eastAsia="en-US"/>
              </w:rPr>
              <w:t>/m</w:t>
            </w:r>
          </w:p>
        </w:tc>
        <w:tc>
          <w:tcPr>
            <w:tcW w:w="4086" w:type="dxa"/>
            <w:gridSpan w:val="2"/>
            <w:shd w:val="clear" w:color="auto" w:fill="FFFFFF"/>
            <w:vAlign w:val="center"/>
          </w:tcPr>
          <w:p w14:paraId="4BA9BD68">
            <w:pPr>
              <w:snapToGrid w:val="0"/>
              <w:ind w:left="-105" w:right="-105"/>
              <w:jc w:val="center"/>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rPr>
              <w:t>/</w:t>
            </w:r>
          </w:p>
        </w:tc>
      </w:tr>
    </w:tbl>
    <w:p w14:paraId="48FC2365">
      <w:pPr>
        <w:pStyle w:val="44"/>
        <w:adjustRightInd w:val="0"/>
        <w:snapToGrid w:val="0"/>
        <w:spacing w:after="0" w:line="360" w:lineRule="auto"/>
        <w:ind w:left="0" w:leftChars="0" w:right="-105" w:firstLine="480"/>
        <w:rPr>
          <w:rFonts w:eastAsia="宋体"/>
          <w:color w:val="auto"/>
          <w:sz w:val="24"/>
          <w:highlight w:val="none"/>
        </w:rPr>
      </w:pPr>
      <w:r>
        <w:rPr>
          <w:rFonts w:eastAsia="宋体"/>
          <w:color w:val="auto"/>
          <w:sz w:val="24"/>
          <w:highlight w:val="none"/>
        </w:rPr>
        <w:t>4）预测结果及分析</w:t>
      </w:r>
    </w:p>
    <w:p w14:paraId="43978AB9">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通过AFTOX模型软件计算结果，</w:t>
      </w:r>
      <w:r>
        <w:rPr>
          <w:rFonts w:hint="eastAsia" w:eastAsia="宋体"/>
          <w:color w:val="auto"/>
          <w:sz w:val="24"/>
          <w:highlight w:val="none"/>
        </w:rPr>
        <w:t>N-甲基吡咯烷酮包装桶</w:t>
      </w:r>
      <w:r>
        <w:rPr>
          <w:rFonts w:eastAsia="宋体"/>
          <w:color w:val="auto"/>
          <w:sz w:val="24"/>
          <w:highlight w:val="none"/>
        </w:rPr>
        <w:t>破裂泄漏遇明火高热导致火灾事故的预测结果如下：</w:t>
      </w:r>
    </w:p>
    <w:p w14:paraId="45B0D940">
      <w:pPr>
        <w:pStyle w:val="15"/>
        <w:ind w:left="-105" w:right="-105" w:firstLine="482"/>
        <w:rPr>
          <w:rFonts w:eastAsia="宋体"/>
          <w:color w:val="auto"/>
          <w:sz w:val="24"/>
          <w:szCs w:val="24"/>
          <w:highlight w:val="none"/>
          <w:lang w:val="zh-TW"/>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6.7</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2</w:t>
      </w:r>
      <w:r>
        <w:rPr>
          <w:rFonts w:eastAsia="宋体"/>
          <w:color w:val="auto"/>
          <w:sz w:val="24"/>
          <w:szCs w:val="24"/>
          <w:highlight w:val="none"/>
        </w:rPr>
        <w:fldChar w:fldCharType="end"/>
      </w:r>
      <w:r>
        <w:rPr>
          <w:rFonts w:hint="eastAsia" w:eastAsia="宋体"/>
          <w:color w:val="auto"/>
          <w:sz w:val="24"/>
          <w:szCs w:val="24"/>
          <w:highlight w:val="none"/>
        </w:rPr>
        <w:t>N-甲基吡咯烷酮包装桶泄漏</w:t>
      </w:r>
      <w:r>
        <w:rPr>
          <w:rFonts w:eastAsia="宋体"/>
          <w:color w:val="auto"/>
          <w:sz w:val="24"/>
          <w:szCs w:val="24"/>
          <w:highlight w:val="none"/>
        </w:rPr>
        <w:t>遇明火高热导致火灾</w:t>
      </w:r>
      <w:r>
        <w:rPr>
          <w:rFonts w:eastAsia="宋体"/>
          <w:color w:val="auto"/>
          <w:sz w:val="24"/>
          <w:szCs w:val="24"/>
          <w:highlight w:val="none"/>
          <w:lang w:val="zh-TW"/>
        </w:rPr>
        <w:t>事故后果信息表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25"/>
        <w:gridCol w:w="517"/>
        <w:gridCol w:w="652"/>
        <w:gridCol w:w="1504"/>
        <w:gridCol w:w="368"/>
        <w:gridCol w:w="929"/>
        <w:gridCol w:w="183"/>
        <w:gridCol w:w="1148"/>
        <w:gridCol w:w="413"/>
        <w:gridCol w:w="1265"/>
      </w:tblGrid>
      <w:tr w14:paraId="037014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04" w:type="dxa"/>
            <w:gridSpan w:val="10"/>
            <w:shd w:val="clear" w:color="auto" w:fill="FFFFFF"/>
            <w:vAlign w:val="center"/>
          </w:tcPr>
          <w:p w14:paraId="557D7E8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b/>
                <w:bCs/>
                <w:color w:val="auto"/>
                <w:sz w:val="21"/>
                <w:szCs w:val="21"/>
                <w:highlight w:val="none"/>
                <w:lang w:val="zh-TW"/>
              </w:rPr>
              <w:t>风险事故情形分析</w:t>
            </w:r>
          </w:p>
        </w:tc>
      </w:tr>
      <w:tr w14:paraId="275906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2C0FF611">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代表性风险事故情形描述</w:t>
            </w:r>
          </w:p>
        </w:tc>
        <w:tc>
          <w:tcPr>
            <w:tcW w:w="6979" w:type="dxa"/>
            <w:gridSpan w:val="9"/>
            <w:shd w:val="clear" w:color="auto" w:fill="FFFFFF"/>
            <w:vAlign w:val="center"/>
          </w:tcPr>
          <w:p w14:paraId="3A3F649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hint="eastAsia" w:ascii="Times New Roman" w:hAnsi="Times New Roman" w:cs="Times New Roman"/>
                <w:color w:val="auto"/>
                <w:sz w:val="21"/>
                <w:szCs w:val="21"/>
                <w:highlight w:val="none"/>
              </w:rPr>
              <w:t>N-甲基吡咯烷酮包装桶</w:t>
            </w:r>
            <w:r>
              <w:rPr>
                <w:rFonts w:ascii="Times New Roman" w:hAnsi="Times New Roman" w:cs="Times New Roman"/>
                <w:color w:val="auto"/>
                <w:sz w:val="21"/>
                <w:szCs w:val="21"/>
                <w:highlight w:val="none"/>
              </w:rPr>
              <w:t>破裂泄漏遇明火高热导致火灾</w:t>
            </w:r>
            <w:r>
              <w:rPr>
                <w:rFonts w:ascii="Times New Roman" w:hAnsi="Times New Roman" w:cs="Times New Roman"/>
                <w:color w:val="auto"/>
                <w:sz w:val="21"/>
                <w:szCs w:val="21"/>
                <w:highlight w:val="none"/>
                <w:lang w:val="zh-TW"/>
              </w:rPr>
              <w:t>产生一氧化碳污染大气环境</w:t>
            </w:r>
          </w:p>
        </w:tc>
      </w:tr>
      <w:tr w14:paraId="4F07FB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179CA2A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环境风险类型</w:t>
            </w:r>
          </w:p>
        </w:tc>
        <w:tc>
          <w:tcPr>
            <w:tcW w:w="6979" w:type="dxa"/>
            <w:gridSpan w:val="9"/>
            <w:shd w:val="clear" w:color="auto" w:fill="FFFFFF"/>
            <w:vAlign w:val="center"/>
          </w:tcPr>
          <w:p w14:paraId="6055AE3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火灾</w:t>
            </w:r>
          </w:p>
        </w:tc>
      </w:tr>
      <w:tr w14:paraId="0F98B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2CD4D2C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泄漏设备类型</w:t>
            </w:r>
          </w:p>
        </w:tc>
        <w:tc>
          <w:tcPr>
            <w:tcW w:w="1169" w:type="dxa"/>
            <w:gridSpan w:val="2"/>
            <w:shd w:val="clear" w:color="auto" w:fill="FFFFFF"/>
            <w:vAlign w:val="center"/>
          </w:tcPr>
          <w:p w14:paraId="49235F2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包装桶</w:t>
            </w:r>
          </w:p>
        </w:tc>
        <w:tc>
          <w:tcPr>
            <w:tcW w:w="1872" w:type="dxa"/>
            <w:gridSpan w:val="2"/>
            <w:shd w:val="clear" w:color="auto" w:fill="FFFFFF"/>
            <w:vAlign w:val="center"/>
          </w:tcPr>
          <w:p w14:paraId="00464AF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操作温度</w:t>
            </w:r>
            <w:r>
              <w:rPr>
                <w:rFonts w:ascii="Times New Roman" w:hAnsi="Times New Roman" w:cs="Times New Roman"/>
                <w:color w:val="auto"/>
                <w:sz w:val="21"/>
                <w:szCs w:val="21"/>
                <w:highlight w:val="none"/>
                <w:lang w:eastAsia="en-US"/>
              </w:rPr>
              <w:t>/℃</w:t>
            </w:r>
          </w:p>
        </w:tc>
        <w:tc>
          <w:tcPr>
            <w:tcW w:w="1112" w:type="dxa"/>
            <w:gridSpan w:val="2"/>
            <w:shd w:val="clear" w:color="auto" w:fill="FFFFFF"/>
            <w:vAlign w:val="center"/>
          </w:tcPr>
          <w:p w14:paraId="29C37B6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w:t>
            </w:r>
          </w:p>
        </w:tc>
        <w:tc>
          <w:tcPr>
            <w:tcW w:w="1561" w:type="dxa"/>
            <w:gridSpan w:val="2"/>
            <w:shd w:val="clear" w:color="auto" w:fill="FFFFFF"/>
            <w:vAlign w:val="center"/>
          </w:tcPr>
          <w:p w14:paraId="5746329A">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操作压力</w:t>
            </w:r>
            <w:r>
              <w:rPr>
                <w:rFonts w:ascii="Times New Roman" w:hAnsi="Times New Roman" w:cs="Times New Roman"/>
                <w:color w:val="auto"/>
                <w:sz w:val="21"/>
                <w:szCs w:val="21"/>
                <w:highlight w:val="none"/>
                <w:lang w:eastAsia="en-US"/>
              </w:rPr>
              <w:t>/MPa</w:t>
            </w:r>
          </w:p>
        </w:tc>
        <w:tc>
          <w:tcPr>
            <w:tcW w:w="1265" w:type="dxa"/>
            <w:shd w:val="clear" w:color="auto" w:fill="FFFFFF"/>
            <w:vAlign w:val="center"/>
          </w:tcPr>
          <w:p w14:paraId="1D298324">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7395A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61E069C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泄漏危险物质</w:t>
            </w:r>
          </w:p>
        </w:tc>
        <w:tc>
          <w:tcPr>
            <w:tcW w:w="1169" w:type="dxa"/>
            <w:gridSpan w:val="2"/>
            <w:shd w:val="clear" w:color="auto" w:fill="FFFFFF"/>
            <w:vAlign w:val="center"/>
          </w:tcPr>
          <w:p w14:paraId="06B9A6E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hint="eastAsia" w:ascii="Times New Roman" w:hAnsi="Times New Roman" w:cs="Times New Roman"/>
                <w:color w:val="auto"/>
                <w:sz w:val="21"/>
                <w:szCs w:val="21"/>
                <w:highlight w:val="none"/>
                <w:lang w:val="zh-TW"/>
              </w:rPr>
              <w:t>N-甲基吡咯烷酮包装桶</w:t>
            </w:r>
          </w:p>
        </w:tc>
        <w:tc>
          <w:tcPr>
            <w:tcW w:w="1872" w:type="dxa"/>
            <w:gridSpan w:val="2"/>
            <w:shd w:val="clear" w:color="auto" w:fill="FFFFFF"/>
            <w:vAlign w:val="center"/>
          </w:tcPr>
          <w:p w14:paraId="4733E4A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最大存在量</w:t>
            </w:r>
            <w:r>
              <w:rPr>
                <w:rFonts w:ascii="Times New Roman" w:hAnsi="Times New Roman" w:cs="Times New Roman"/>
                <w:color w:val="auto"/>
                <w:sz w:val="21"/>
                <w:szCs w:val="21"/>
                <w:highlight w:val="none"/>
                <w:lang w:eastAsia="en-US"/>
              </w:rPr>
              <w:t>/kg</w:t>
            </w:r>
          </w:p>
        </w:tc>
        <w:tc>
          <w:tcPr>
            <w:tcW w:w="1112" w:type="dxa"/>
            <w:gridSpan w:val="2"/>
            <w:shd w:val="clear" w:color="auto" w:fill="FFFFFF"/>
            <w:vAlign w:val="center"/>
          </w:tcPr>
          <w:p w14:paraId="7D5AECE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r>
              <w:rPr>
                <w:rFonts w:ascii="Times New Roman" w:hAnsi="Times New Roman" w:cs="Times New Roman"/>
                <w:color w:val="auto"/>
                <w:sz w:val="21"/>
                <w:szCs w:val="21"/>
                <w:highlight w:val="none"/>
              </w:rPr>
              <w:t>00</w:t>
            </w:r>
          </w:p>
        </w:tc>
        <w:tc>
          <w:tcPr>
            <w:tcW w:w="1561" w:type="dxa"/>
            <w:gridSpan w:val="2"/>
            <w:shd w:val="clear" w:color="auto" w:fill="FFFFFF"/>
            <w:vAlign w:val="center"/>
          </w:tcPr>
          <w:p w14:paraId="18B1258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泄漏孔径</w:t>
            </w:r>
            <w:r>
              <w:rPr>
                <w:rFonts w:ascii="Times New Roman" w:hAnsi="Times New Roman" w:cs="Times New Roman"/>
                <w:color w:val="auto"/>
                <w:sz w:val="21"/>
                <w:szCs w:val="21"/>
                <w:highlight w:val="none"/>
                <w:lang w:eastAsia="en-US"/>
              </w:rPr>
              <w:t>/mm</w:t>
            </w:r>
          </w:p>
        </w:tc>
        <w:tc>
          <w:tcPr>
            <w:tcW w:w="1265" w:type="dxa"/>
            <w:shd w:val="clear" w:color="auto" w:fill="FFFFFF"/>
            <w:vAlign w:val="center"/>
          </w:tcPr>
          <w:p w14:paraId="1BF9CC2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包装桶</w:t>
            </w:r>
            <w:r>
              <w:rPr>
                <w:rFonts w:ascii="Times New Roman" w:hAnsi="Times New Roman" w:cs="Times New Roman"/>
                <w:color w:val="auto"/>
                <w:sz w:val="21"/>
                <w:szCs w:val="21"/>
                <w:highlight w:val="none"/>
              </w:rPr>
              <w:t>完全破损</w:t>
            </w:r>
          </w:p>
        </w:tc>
      </w:tr>
      <w:tr w14:paraId="76DB34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2F3CEA2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泄漏速率</w:t>
            </w:r>
            <w:r>
              <w:rPr>
                <w:rFonts w:ascii="Times New Roman" w:hAnsi="Times New Roman" w:cs="Times New Roman"/>
                <w:color w:val="auto"/>
                <w:sz w:val="21"/>
                <w:szCs w:val="21"/>
                <w:highlight w:val="none"/>
                <w:lang w:eastAsia="en-US"/>
              </w:rPr>
              <w:t>/(kg/s)</w:t>
            </w:r>
          </w:p>
        </w:tc>
        <w:tc>
          <w:tcPr>
            <w:tcW w:w="1169" w:type="dxa"/>
            <w:gridSpan w:val="2"/>
            <w:shd w:val="clear" w:color="auto" w:fill="FFFFFF"/>
            <w:vAlign w:val="center"/>
          </w:tcPr>
          <w:p w14:paraId="08CB139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0.0094</w:t>
            </w:r>
          </w:p>
        </w:tc>
        <w:tc>
          <w:tcPr>
            <w:tcW w:w="1872" w:type="dxa"/>
            <w:gridSpan w:val="2"/>
            <w:shd w:val="clear" w:color="auto" w:fill="FFFFFF"/>
            <w:vAlign w:val="center"/>
          </w:tcPr>
          <w:p w14:paraId="7732BF0A">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泄漏时间</w:t>
            </w:r>
            <w:r>
              <w:rPr>
                <w:rFonts w:ascii="Times New Roman" w:hAnsi="Times New Roman" w:cs="Times New Roman"/>
                <w:color w:val="auto"/>
                <w:sz w:val="21"/>
                <w:szCs w:val="21"/>
                <w:highlight w:val="none"/>
                <w:lang w:eastAsia="en-US"/>
              </w:rPr>
              <w:t>/min</w:t>
            </w:r>
          </w:p>
        </w:tc>
        <w:tc>
          <w:tcPr>
            <w:tcW w:w="1112" w:type="dxa"/>
            <w:gridSpan w:val="2"/>
            <w:shd w:val="clear" w:color="auto" w:fill="FFFFFF"/>
            <w:vAlign w:val="center"/>
          </w:tcPr>
          <w:p w14:paraId="6BED5C7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w:t>
            </w:r>
          </w:p>
        </w:tc>
        <w:tc>
          <w:tcPr>
            <w:tcW w:w="1561" w:type="dxa"/>
            <w:gridSpan w:val="2"/>
            <w:shd w:val="clear" w:color="auto" w:fill="FFFFFF"/>
            <w:vAlign w:val="center"/>
          </w:tcPr>
          <w:p w14:paraId="1D7949F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泄漏量</w:t>
            </w:r>
            <w:r>
              <w:rPr>
                <w:rFonts w:ascii="Times New Roman" w:hAnsi="Times New Roman" w:cs="Times New Roman"/>
                <w:color w:val="auto"/>
                <w:sz w:val="21"/>
                <w:szCs w:val="21"/>
                <w:highlight w:val="none"/>
                <w:lang w:eastAsia="en-US"/>
              </w:rPr>
              <w:t>/kg</w:t>
            </w:r>
          </w:p>
        </w:tc>
        <w:tc>
          <w:tcPr>
            <w:tcW w:w="1265" w:type="dxa"/>
            <w:shd w:val="clear" w:color="auto" w:fill="FFFFFF"/>
            <w:vAlign w:val="center"/>
          </w:tcPr>
          <w:p w14:paraId="6C7C22A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rPr>
              <w:t>2</w:t>
            </w:r>
            <w:r>
              <w:rPr>
                <w:rFonts w:ascii="Times New Roman" w:hAnsi="Times New Roman" w:eastAsia="PMingLiU" w:cs="Times New Roman"/>
                <w:color w:val="auto"/>
                <w:sz w:val="21"/>
                <w:szCs w:val="21"/>
                <w:highlight w:val="none"/>
                <w:lang w:val="zh-TW" w:eastAsia="zh-TW"/>
              </w:rPr>
              <w:t>00</w:t>
            </w:r>
          </w:p>
        </w:tc>
      </w:tr>
      <w:tr w14:paraId="55B325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68ACB7B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泄漏高度</w:t>
            </w:r>
            <w:r>
              <w:rPr>
                <w:rFonts w:ascii="Times New Roman" w:hAnsi="Times New Roman" w:cs="Times New Roman"/>
                <w:color w:val="auto"/>
                <w:sz w:val="21"/>
                <w:szCs w:val="21"/>
                <w:highlight w:val="none"/>
                <w:lang w:eastAsia="en-US"/>
              </w:rPr>
              <w:t>/m</w:t>
            </w:r>
          </w:p>
        </w:tc>
        <w:tc>
          <w:tcPr>
            <w:tcW w:w="1169" w:type="dxa"/>
            <w:gridSpan w:val="2"/>
            <w:shd w:val="clear" w:color="auto" w:fill="FFFFFF"/>
            <w:vAlign w:val="center"/>
          </w:tcPr>
          <w:p w14:paraId="0F993433">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c>
          <w:tcPr>
            <w:tcW w:w="1872" w:type="dxa"/>
            <w:gridSpan w:val="2"/>
            <w:shd w:val="clear" w:color="auto" w:fill="FFFFFF"/>
            <w:vAlign w:val="center"/>
          </w:tcPr>
          <w:p w14:paraId="4A9C97F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泄漏液体蒸发量</w:t>
            </w:r>
            <w:r>
              <w:rPr>
                <w:rFonts w:ascii="Times New Roman" w:hAnsi="Times New Roman" w:cs="Times New Roman"/>
                <w:color w:val="auto"/>
                <w:sz w:val="21"/>
                <w:szCs w:val="21"/>
                <w:highlight w:val="none"/>
                <w:lang w:eastAsia="en-US"/>
              </w:rPr>
              <w:t>/kg</w:t>
            </w:r>
          </w:p>
        </w:tc>
        <w:tc>
          <w:tcPr>
            <w:tcW w:w="1112" w:type="dxa"/>
            <w:gridSpan w:val="2"/>
            <w:shd w:val="clear" w:color="auto" w:fill="FFFFFF"/>
            <w:vAlign w:val="center"/>
          </w:tcPr>
          <w:p w14:paraId="2CDD434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561" w:type="dxa"/>
            <w:gridSpan w:val="2"/>
            <w:shd w:val="clear" w:color="auto" w:fill="FFFFFF"/>
            <w:vAlign w:val="center"/>
          </w:tcPr>
          <w:p w14:paraId="0C69579A">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泄漏频率</w:t>
            </w:r>
          </w:p>
        </w:tc>
        <w:tc>
          <w:tcPr>
            <w:tcW w:w="1265" w:type="dxa"/>
            <w:shd w:val="clear" w:color="auto" w:fill="FFFFFF"/>
            <w:vAlign w:val="center"/>
          </w:tcPr>
          <w:p w14:paraId="5ABB6B4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5.0×10</w:t>
            </w:r>
            <w:r>
              <w:rPr>
                <w:rFonts w:ascii="Times New Roman" w:hAnsi="Times New Roman" w:cs="Times New Roman"/>
                <w:color w:val="auto"/>
                <w:sz w:val="21"/>
                <w:szCs w:val="21"/>
                <w:highlight w:val="none"/>
                <w:vertAlign w:val="superscript"/>
              </w:rPr>
              <w:t>-6</w:t>
            </w:r>
            <w:r>
              <w:rPr>
                <w:rFonts w:ascii="Times New Roman" w:hAnsi="Times New Roman" w:cs="Times New Roman"/>
                <w:color w:val="auto"/>
                <w:sz w:val="21"/>
                <w:szCs w:val="21"/>
                <w:highlight w:val="none"/>
              </w:rPr>
              <w:t>/a</w:t>
            </w:r>
          </w:p>
        </w:tc>
      </w:tr>
      <w:tr w14:paraId="2AA722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04" w:type="dxa"/>
            <w:gridSpan w:val="10"/>
            <w:shd w:val="clear" w:color="auto" w:fill="FFFFFF"/>
            <w:vAlign w:val="center"/>
          </w:tcPr>
          <w:p w14:paraId="38157EE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事故后果预测</w:t>
            </w:r>
          </w:p>
        </w:tc>
      </w:tr>
      <w:tr w14:paraId="593601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restart"/>
            <w:shd w:val="clear" w:color="auto" w:fill="FFFFFF"/>
            <w:vAlign w:val="center"/>
          </w:tcPr>
          <w:p w14:paraId="6CC1257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大气</w:t>
            </w:r>
          </w:p>
        </w:tc>
        <w:tc>
          <w:tcPr>
            <w:tcW w:w="517" w:type="dxa"/>
            <w:shd w:val="clear" w:color="auto" w:fill="FFFFFF"/>
            <w:vAlign w:val="center"/>
          </w:tcPr>
          <w:p w14:paraId="3BF3B7F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危险物质</w:t>
            </w:r>
          </w:p>
        </w:tc>
        <w:tc>
          <w:tcPr>
            <w:tcW w:w="6462" w:type="dxa"/>
            <w:gridSpan w:val="8"/>
            <w:shd w:val="clear" w:color="auto" w:fill="FFFFFF"/>
            <w:vAlign w:val="center"/>
          </w:tcPr>
          <w:p w14:paraId="22C1226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大气环境影响</w:t>
            </w:r>
          </w:p>
        </w:tc>
      </w:tr>
      <w:tr w14:paraId="2B17AB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6E092C81">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restart"/>
            <w:shd w:val="clear" w:color="auto" w:fill="FFFFFF"/>
            <w:vAlign w:val="center"/>
          </w:tcPr>
          <w:p w14:paraId="2E50DD8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rPr>
              <w:t>一氧化碳</w:t>
            </w:r>
          </w:p>
        </w:tc>
        <w:tc>
          <w:tcPr>
            <w:tcW w:w="2156" w:type="dxa"/>
            <w:gridSpan w:val="2"/>
            <w:shd w:val="clear" w:color="auto" w:fill="FFFFFF"/>
            <w:vAlign w:val="center"/>
          </w:tcPr>
          <w:p w14:paraId="06B4E7C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指标</w:t>
            </w:r>
          </w:p>
        </w:tc>
        <w:tc>
          <w:tcPr>
            <w:tcW w:w="1297" w:type="dxa"/>
            <w:gridSpan w:val="2"/>
            <w:shd w:val="clear" w:color="auto" w:fill="FFFFFF"/>
            <w:vAlign w:val="center"/>
          </w:tcPr>
          <w:p w14:paraId="7EEF6521">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浓度值</w:t>
            </w:r>
            <w:r>
              <w:rPr>
                <w:rFonts w:ascii="Times New Roman" w:hAnsi="Times New Roman" w:cs="Times New Roman"/>
                <w:color w:val="auto"/>
                <w:sz w:val="21"/>
                <w:szCs w:val="21"/>
                <w:highlight w:val="none"/>
                <w:lang w:eastAsia="en-US"/>
              </w:rPr>
              <w:t>/(mg/m</w:t>
            </w:r>
            <w:r>
              <w:rPr>
                <w:rFonts w:ascii="Times New Roman" w:hAnsi="Times New Roman" w:cs="Times New Roman"/>
                <w:color w:val="auto"/>
                <w:sz w:val="21"/>
                <w:szCs w:val="21"/>
                <w:highlight w:val="none"/>
                <w:vertAlign w:val="superscript"/>
                <w:lang w:eastAsia="en-US"/>
              </w:rPr>
              <w:t>3</w:t>
            </w:r>
            <w:r>
              <w:rPr>
                <w:rFonts w:ascii="Times New Roman" w:hAnsi="Times New Roman" w:cs="Times New Roman"/>
                <w:color w:val="auto"/>
                <w:sz w:val="21"/>
                <w:szCs w:val="21"/>
                <w:highlight w:val="none"/>
                <w:lang w:eastAsia="en-US"/>
              </w:rPr>
              <w:t>)</w:t>
            </w:r>
          </w:p>
        </w:tc>
        <w:tc>
          <w:tcPr>
            <w:tcW w:w="1331" w:type="dxa"/>
            <w:gridSpan w:val="2"/>
            <w:shd w:val="clear" w:color="auto" w:fill="FFFFFF"/>
            <w:vAlign w:val="center"/>
          </w:tcPr>
          <w:p w14:paraId="37C649F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最远影响距离</w:t>
            </w:r>
            <w:r>
              <w:rPr>
                <w:rFonts w:ascii="Times New Roman" w:hAnsi="Times New Roman" w:cs="Times New Roman"/>
                <w:color w:val="auto"/>
                <w:sz w:val="21"/>
                <w:szCs w:val="21"/>
                <w:highlight w:val="none"/>
                <w:lang w:eastAsia="en-US"/>
              </w:rPr>
              <w:t>/m</w:t>
            </w:r>
          </w:p>
        </w:tc>
        <w:tc>
          <w:tcPr>
            <w:tcW w:w="1678" w:type="dxa"/>
            <w:gridSpan w:val="2"/>
            <w:shd w:val="clear" w:color="auto" w:fill="FFFFFF"/>
            <w:vAlign w:val="center"/>
          </w:tcPr>
          <w:p w14:paraId="6DF7E294">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到达时间</w:t>
            </w:r>
            <w:r>
              <w:rPr>
                <w:rFonts w:ascii="Times New Roman" w:hAnsi="Times New Roman" w:cs="Times New Roman"/>
                <w:color w:val="auto"/>
                <w:sz w:val="21"/>
                <w:szCs w:val="21"/>
                <w:highlight w:val="none"/>
                <w:lang w:eastAsia="en-US"/>
              </w:rPr>
              <w:t>/min</w:t>
            </w:r>
          </w:p>
        </w:tc>
      </w:tr>
      <w:tr w14:paraId="7CC95B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75363C5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5E1EE04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27D4E1E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大气毒性终点浓度</w:t>
            </w:r>
            <w:r>
              <w:rPr>
                <w:rFonts w:ascii="Times New Roman" w:hAnsi="Times New Roman" w:cs="Times New Roman"/>
                <w:color w:val="auto"/>
                <w:sz w:val="21"/>
                <w:szCs w:val="21"/>
                <w:highlight w:val="none"/>
                <w:lang w:eastAsia="en-US"/>
              </w:rPr>
              <w:t>-1</w:t>
            </w:r>
          </w:p>
        </w:tc>
        <w:tc>
          <w:tcPr>
            <w:tcW w:w="1297" w:type="dxa"/>
            <w:gridSpan w:val="2"/>
            <w:shd w:val="clear" w:color="auto" w:fill="FFFFFF"/>
            <w:vAlign w:val="center"/>
          </w:tcPr>
          <w:p w14:paraId="3590D25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380</w:t>
            </w:r>
          </w:p>
        </w:tc>
        <w:tc>
          <w:tcPr>
            <w:tcW w:w="1331" w:type="dxa"/>
            <w:gridSpan w:val="2"/>
            <w:shd w:val="clear" w:color="auto" w:fill="FFFFFF"/>
            <w:vAlign w:val="center"/>
          </w:tcPr>
          <w:p w14:paraId="594F87D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w:t>
            </w:r>
          </w:p>
        </w:tc>
        <w:tc>
          <w:tcPr>
            <w:tcW w:w="1678" w:type="dxa"/>
            <w:gridSpan w:val="2"/>
            <w:shd w:val="clear" w:color="auto" w:fill="FFFFFF"/>
            <w:vAlign w:val="center"/>
          </w:tcPr>
          <w:p w14:paraId="64EB5C2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w:t>
            </w:r>
          </w:p>
        </w:tc>
      </w:tr>
      <w:tr w14:paraId="4938E2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195DF7C1">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0AB0761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7266D3B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大气毒性终点浓度</w:t>
            </w:r>
            <w:r>
              <w:rPr>
                <w:rFonts w:ascii="Times New Roman" w:hAnsi="Times New Roman" w:cs="Times New Roman"/>
                <w:color w:val="auto"/>
                <w:sz w:val="21"/>
                <w:szCs w:val="21"/>
                <w:highlight w:val="none"/>
                <w:lang w:eastAsia="en-US"/>
              </w:rPr>
              <w:t>-2</w:t>
            </w:r>
          </w:p>
        </w:tc>
        <w:tc>
          <w:tcPr>
            <w:tcW w:w="1297" w:type="dxa"/>
            <w:gridSpan w:val="2"/>
            <w:shd w:val="clear" w:color="auto" w:fill="FFFFFF"/>
            <w:vAlign w:val="center"/>
          </w:tcPr>
          <w:p w14:paraId="626CEF8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95</w:t>
            </w:r>
          </w:p>
        </w:tc>
        <w:tc>
          <w:tcPr>
            <w:tcW w:w="1331" w:type="dxa"/>
            <w:gridSpan w:val="2"/>
            <w:shd w:val="clear" w:color="auto" w:fill="FFFFFF"/>
            <w:vAlign w:val="center"/>
          </w:tcPr>
          <w:p w14:paraId="32ADCE1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240</w:t>
            </w:r>
          </w:p>
        </w:tc>
        <w:tc>
          <w:tcPr>
            <w:tcW w:w="1678" w:type="dxa"/>
            <w:gridSpan w:val="2"/>
            <w:shd w:val="clear" w:color="auto" w:fill="FFFFFF"/>
            <w:vAlign w:val="center"/>
          </w:tcPr>
          <w:p w14:paraId="713F883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2.56</w:t>
            </w:r>
          </w:p>
        </w:tc>
      </w:tr>
      <w:tr w14:paraId="252687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56470F5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287118F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1E9E3DC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敏感目标名称</w:t>
            </w:r>
          </w:p>
        </w:tc>
        <w:tc>
          <w:tcPr>
            <w:tcW w:w="1297" w:type="dxa"/>
            <w:gridSpan w:val="2"/>
            <w:shd w:val="clear" w:color="auto" w:fill="FFFFFF"/>
            <w:vAlign w:val="center"/>
          </w:tcPr>
          <w:p w14:paraId="7F498C7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val="zh-TW"/>
              </w:rPr>
              <w:t>超标时间</w:t>
            </w:r>
            <w:r>
              <w:rPr>
                <w:rFonts w:ascii="Times New Roman" w:hAnsi="Times New Roman" w:cs="Times New Roman"/>
                <w:color w:val="auto"/>
                <w:sz w:val="21"/>
                <w:szCs w:val="21"/>
                <w:highlight w:val="none"/>
                <w:lang w:eastAsia="en-US"/>
              </w:rPr>
              <w:t>/min</w:t>
            </w:r>
          </w:p>
        </w:tc>
        <w:tc>
          <w:tcPr>
            <w:tcW w:w="1331" w:type="dxa"/>
            <w:gridSpan w:val="2"/>
            <w:shd w:val="clear" w:color="auto" w:fill="FFFFFF"/>
            <w:vAlign w:val="center"/>
          </w:tcPr>
          <w:p w14:paraId="5C5C822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val="zh-TW"/>
              </w:rPr>
              <w:t>超标持续时间</w:t>
            </w:r>
            <w:r>
              <w:rPr>
                <w:rFonts w:ascii="Times New Roman" w:hAnsi="Times New Roman" w:cs="Times New Roman"/>
                <w:color w:val="auto"/>
                <w:sz w:val="21"/>
                <w:szCs w:val="21"/>
                <w:highlight w:val="none"/>
                <w:lang w:eastAsia="en-US"/>
              </w:rPr>
              <w:t>/min</w:t>
            </w:r>
          </w:p>
        </w:tc>
        <w:tc>
          <w:tcPr>
            <w:tcW w:w="1678" w:type="dxa"/>
            <w:gridSpan w:val="2"/>
            <w:shd w:val="clear" w:color="auto" w:fill="FFFFFF"/>
            <w:vAlign w:val="center"/>
          </w:tcPr>
          <w:p w14:paraId="19410C3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最大浓度</w:t>
            </w:r>
            <w:r>
              <w:rPr>
                <w:rFonts w:ascii="Times New Roman" w:hAnsi="Times New Roman" w:cs="Times New Roman"/>
                <w:color w:val="auto"/>
                <w:sz w:val="21"/>
                <w:szCs w:val="21"/>
                <w:highlight w:val="none"/>
                <w:lang w:eastAsia="en-US"/>
              </w:rPr>
              <w:t>/(mg/m</w:t>
            </w:r>
            <w:r>
              <w:rPr>
                <w:rFonts w:ascii="Times New Roman" w:hAnsi="Times New Roman" w:cs="Times New Roman"/>
                <w:color w:val="auto"/>
                <w:sz w:val="21"/>
                <w:szCs w:val="21"/>
                <w:highlight w:val="none"/>
                <w:vertAlign w:val="superscript"/>
                <w:lang w:eastAsia="en-US"/>
              </w:rPr>
              <w:t>3</w:t>
            </w:r>
            <w:r>
              <w:rPr>
                <w:rFonts w:ascii="Times New Roman" w:hAnsi="Times New Roman" w:cs="Times New Roman"/>
                <w:color w:val="auto"/>
                <w:sz w:val="21"/>
                <w:szCs w:val="21"/>
                <w:highlight w:val="none"/>
                <w:lang w:eastAsia="en-US"/>
              </w:rPr>
              <w:t>)</w:t>
            </w:r>
          </w:p>
        </w:tc>
      </w:tr>
      <w:tr w14:paraId="730F9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49C8801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1055F2B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5F96D27D">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lang w:bidi="zh-CN"/>
              </w:rPr>
              <w:t>周巷头</w:t>
            </w:r>
          </w:p>
        </w:tc>
        <w:tc>
          <w:tcPr>
            <w:tcW w:w="1297" w:type="dxa"/>
            <w:gridSpan w:val="2"/>
            <w:shd w:val="clear" w:color="auto" w:fill="FFFFFF"/>
            <w:vAlign w:val="center"/>
          </w:tcPr>
          <w:p w14:paraId="3F58C7C3">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0.44</w:t>
            </w:r>
          </w:p>
        </w:tc>
        <w:tc>
          <w:tcPr>
            <w:tcW w:w="1331" w:type="dxa"/>
            <w:gridSpan w:val="2"/>
            <w:shd w:val="clear" w:color="auto" w:fill="FFFFFF"/>
            <w:vAlign w:val="center"/>
          </w:tcPr>
          <w:p w14:paraId="5A48FC2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29.56</w:t>
            </w:r>
          </w:p>
        </w:tc>
        <w:tc>
          <w:tcPr>
            <w:tcW w:w="1678" w:type="dxa"/>
            <w:gridSpan w:val="2"/>
            <w:shd w:val="clear" w:color="auto" w:fill="FFFFFF"/>
            <w:vAlign w:val="center"/>
          </w:tcPr>
          <w:p w14:paraId="7F52712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380</w:t>
            </w:r>
          </w:p>
        </w:tc>
      </w:tr>
      <w:tr w14:paraId="3D8F1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251CD71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557B2E9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23AD5006">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lang w:bidi="zh-CN"/>
              </w:rPr>
              <w:t>浦巷上</w:t>
            </w:r>
          </w:p>
        </w:tc>
        <w:tc>
          <w:tcPr>
            <w:tcW w:w="1297" w:type="dxa"/>
            <w:gridSpan w:val="2"/>
            <w:shd w:val="clear" w:color="auto" w:fill="FFFFFF"/>
            <w:vAlign w:val="center"/>
          </w:tcPr>
          <w:p w14:paraId="5C6104C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w:t>
            </w:r>
          </w:p>
        </w:tc>
        <w:tc>
          <w:tcPr>
            <w:tcW w:w="1331" w:type="dxa"/>
            <w:gridSpan w:val="2"/>
            <w:shd w:val="clear" w:color="auto" w:fill="FFFFFF"/>
            <w:vAlign w:val="center"/>
          </w:tcPr>
          <w:p w14:paraId="7F2DA44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28.9</w:t>
            </w:r>
          </w:p>
        </w:tc>
        <w:tc>
          <w:tcPr>
            <w:tcW w:w="1678" w:type="dxa"/>
            <w:gridSpan w:val="2"/>
            <w:shd w:val="clear" w:color="auto" w:fill="FFFFFF"/>
            <w:vAlign w:val="center"/>
          </w:tcPr>
          <w:p w14:paraId="4434151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380</w:t>
            </w:r>
          </w:p>
        </w:tc>
      </w:tr>
      <w:tr w14:paraId="17681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042851E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17" w:type="dxa"/>
            <w:vMerge w:val="continue"/>
            <w:shd w:val="clear" w:color="auto" w:fill="FFFFFF"/>
            <w:vAlign w:val="center"/>
          </w:tcPr>
          <w:p w14:paraId="70F7ADD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2156" w:type="dxa"/>
            <w:gridSpan w:val="2"/>
            <w:shd w:val="clear" w:color="auto" w:fill="FFFFFF"/>
            <w:vAlign w:val="center"/>
          </w:tcPr>
          <w:p w14:paraId="11961EEF">
            <w:pPr>
              <w:keepNext w:val="0"/>
              <w:keepLines w:val="0"/>
              <w:pageBreakBefore w:val="0"/>
              <w:widowControl/>
              <w:kinsoku/>
              <w:wordWrap/>
              <w:overflowPunct/>
              <w:topLinePunct w:val="0"/>
              <w:autoSpaceDE/>
              <w:autoSpaceDN/>
              <w:bidi w:val="0"/>
              <w:adjustRightInd/>
              <w:ind w:left="0" w:right="0"/>
              <w:jc w:val="center"/>
              <w:textAlignment w:val="auto"/>
              <w:rPr>
                <w:rFonts w:ascii="Times New Roman" w:hAnsi="Times New Roman" w:cs="Times New Roman"/>
                <w:color w:val="auto"/>
                <w:sz w:val="21"/>
                <w:szCs w:val="21"/>
                <w:highlight w:val="none"/>
                <w:lang w:val="zh-TW"/>
              </w:rPr>
            </w:pPr>
            <w:r>
              <w:rPr>
                <w:rFonts w:hint="eastAsia" w:ascii="Times New Roman" w:hAnsi="Times New Roman"/>
                <w:color w:val="auto"/>
                <w:sz w:val="21"/>
                <w:szCs w:val="21"/>
                <w:highlight w:val="none"/>
                <w:lang w:bidi="zh-CN"/>
              </w:rPr>
              <w:t>朱巷村</w:t>
            </w:r>
          </w:p>
        </w:tc>
        <w:tc>
          <w:tcPr>
            <w:tcW w:w="1297" w:type="dxa"/>
            <w:gridSpan w:val="2"/>
            <w:shd w:val="clear" w:color="auto" w:fill="FFFFFF"/>
            <w:vAlign w:val="center"/>
          </w:tcPr>
          <w:p w14:paraId="7254E1E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1.56</w:t>
            </w:r>
          </w:p>
        </w:tc>
        <w:tc>
          <w:tcPr>
            <w:tcW w:w="1331" w:type="dxa"/>
            <w:gridSpan w:val="2"/>
            <w:shd w:val="clear" w:color="auto" w:fill="FFFFFF"/>
            <w:vAlign w:val="center"/>
          </w:tcPr>
          <w:p w14:paraId="080EB32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28.44</w:t>
            </w:r>
          </w:p>
        </w:tc>
        <w:tc>
          <w:tcPr>
            <w:tcW w:w="1678" w:type="dxa"/>
            <w:gridSpan w:val="2"/>
            <w:shd w:val="clear" w:color="auto" w:fill="FFFFFF"/>
            <w:vAlign w:val="center"/>
          </w:tcPr>
          <w:p w14:paraId="42063E9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95</w:t>
            </w:r>
          </w:p>
        </w:tc>
      </w:tr>
    </w:tbl>
    <w:p w14:paraId="27ACE73D">
      <w:pPr>
        <w:pStyle w:val="44"/>
        <w:spacing w:after="0" w:line="360" w:lineRule="auto"/>
        <w:ind w:left="0" w:leftChars="0" w:right="-105" w:firstLine="0" w:firstLineChars="0"/>
        <w:rPr>
          <w:rFonts w:eastAsia="宋体"/>
          <w:color w:val="auto"/>
          <w:sz w:val="24"/>
          <w:highlight w:val="none"/>
        </w:rPr>
      </w:pPr>
      <w:r>
        <w:rPr>
          <w:color w:val="auto"/>
          <w:highlight w:val="none"/>
        </w:rPr>
        <w:drawing>
          <wp:inline distT="0" distB="0" distL="0" distR="0">
            <wp:extent cx="5405120" cy="3227705"/>
            <wp:effectExtent l="0" t="0" r="5080" b="1079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05120" cy="3227705"/>
                    </a:xfrm>
                    <a:prstGeom prst="rect">
                      <a:avLst/>
                    </a:prstGeom>
                    <a:noFill/>
                    <a:ln>
                      <a:noFill/>
                    </a:ln>
                  </pic:spPr>
                </pic:pic>
              </a:graphicData>
            </a:graphic>
          </wp:inline>
        </w:drawing>
      </w:r>
    </w:p>
    <w:bookmarkEnd w:id="392"/>
    <w:p w14:paraId="10228256">
      <w:pPr>
        <w:spacing w:line="360" w:lineRule="auto"/>
        <w:ind w:left="-105" w:right="-105" w:firstLine="480" w:firstLineChars="200"/>
        <w:rPr>
          <w:rFonts w:hint="default" w:ascii="Times New Roman" w:hAnsi="Times New Roman" w:eastAsia="宋体" w:cs="Times New Roman"/>
          <w:color w:val="auto"/>
          <w:highlight w:val="none"/>
          <w:lang w:val="en-US" w:eastAsia="zh-CN"/>
        </w:rPr>
      </w:pPr>
      <w:r>
        <w:rPr>
          <w:rFonts w:ascii="Times New Roman" w:hAnsi="Times New Roman" w:cs="Times New Roman"/>
          <w:color w:val="auto"/>
          <w:szCs w:val="32"/>
          <w:highlight w:val="none"/>
        </w:rPr>
        <w:t>通过计算，当</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szCs w:val="32"/>
          <w:highlight w:val="none"/>
        </w:rPr>
        <w:t>泄漏遇明火高热发生火灾时，在小风、F大气稳定度条件下</w:t>
      </w:r>
      <w:r>
        <w:rPr>
          <w:rFonts w:ascii="Times New Roman" w:hAnsi="Times New Roman" w:cs="Times New Roman"/>
          <w:color w:val="auto"/>
          <w:highlight w:val="none"/>
        </w:rPr>
        <w:t>，</w:t>
      </w:r>
      <w:bookmarkStart w:id="416" w:name="_Hlk34749999"/>
      <w:r>
        <w:rPr>
          <w:rFonts w:ascii="Times New Roman" w:hAnsi="Times New Roman" w:cs="Times New Roman"/>
          <w:color w:val="auto"/>
          <w:highlight w:val="none"/>
        </w:rPr>
        <w:t>在事故发生30min时间，一氧化碳在下风向100m达到大气毒性终点浓度-1(380mg/m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)，下风向240米范围内达到大气毒性终点浓度-2(95mg/m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)，故在</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半径240m范围内</w:t>
      </w:r>
      <w:r>
        <w:rPr>
          <w:rFonts w:ascii="Times New Roman" w:hAnsi="Times New Roman" w:cs="Times New Roman"/>
          <w:color w:val="auto"/>
          <w:szCs w:val="32"/>
          <w:highlight w:val="none"/>
        </w:rPr>
        <w:t>受到损伤</w:t>
      </w:r>
      <w:r>
        <w:rPr>
          <w:rFonts w:ascii="Times New Roman" w:hAnsi="Times New Roman" w:cs="Times New Roman"/>
          <w:color w:val="auto"/>
          <w:highlight w:val="none"/>
        </w:rPr>
        <w:t>的风险，</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半径100m范围内</w:t>
      </w:r>
      <w:r>
        <w:rPr>
          <w:rFonts w:ascii="Times New Roman" w:hAnsi="Times New Roman" w:cs="Times New Roman"/>
          <w:color w:val="auto"/>
          <w:szCs w:val="32"/>
          <w:highlight w:val="none"/>
        </w:rPr>
        <w:t>有致死</w:t>
      </w:r>
      <w:r>
        <w:rPr>
          <w:rFonts w:ascii="Times New Roman" w:hAnsi="Times New Roman" w:cs="Times New Roman"/>
          <w:color w:val="auto"/>
          <w:highlight w:val="none"/>
        </w:rPr>
        <w:t>风险。</w:t>
      </w:r>
      <w:bookmarkEnd w:id="416"/>
      <w:r>
        <w:rPr>
          <w:rFonts w:hint="default" w:ascii="Times New Roman" w:hAnsi="Times New Roman" w:cs="Times New Roman"/>
          <w:color w:val="auto"/>
          <w:highlight w:val="none"/>
          <w:lang w:val="en-US" w:eastAsia="zh-CN"/>
        </w:rPr>
        <w:t>在此范围内存在敏感目标周巷头和浦巷上，其中周巷头在100m致死风险范围内、浦巷上在240m受损伤风险范围内，</w:t>
      </w:r>
      <w:r>
        <w:rPr>
          <w:rFonts w:hint="eastAsia" w:ascii="Times New Roman" w:hAnsi="Times New Roman" w:cs="Times New Roman"/>
          <w:color w:val="auto"/>
          <w:highlight w:val="none"/>
          <w:lang w:val="en-US" w:eastAsia="zh-CN"/>
        </w:rPr>
        <w:t>发生火灾事故时应第一时间通知周巷头和浦巷上的居民立即转移至安全地区，并做好防护措施，以免发生健康与安全风险事故。</w:t>
      </w:r>
    </w:p>
    <w:p w14:paraId="1B644D2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5）事故排放</w:t>
      </w:r>
    </w:p>
    <w:p w14:paraId="695936F0">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w:t>
      </w:r>
      <w:r>
        <w:rPr>
          <w:rFonts w:hint="default" w:ascii="Times New Roman" w:hAnsi="Times New Roman" w:cs="Times New Roman"/>
          <w:color w:val="auto"/>
          <w:highlight w:val="none"/>
        </w:rPr>
        <w:t>据</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_Ref38808574 \h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 w:val="24"/>
          <w:szCs w:val="18"/>
          <w:highlight w:val="none"/>
        </w:rPr>
        <w:t>表</w:t>
      </w:r>
      <w:r>
        <w:rPr>
          <w:rFonts w:hint="default" w:ascii="Times New Roman" w:hAnsi="Times New Roman" w:eastAsia="宋体" w:cs="Times New Roman"/>
          <w:color w:val="auto"/>
          <w:sz w:val="24"/>
          <w:szCs w:val="18"/>
          <w:highlight w:val="none"/>
        </w:rPr>
        <w:fldChar w:fldCharType="begin"/>
      </w:r>
      <w:r>
        <w:rPr>
          <w:rFonts w:hint="default" w:ascii="Times New Roman" w:hAnsi="Times New Roman" w:eastAsia="宋体" w:cs="Times New Roman"/>
          <w:color w:val="auto"/>
          <w:sz w:val="24"/>
          <w:szCs w:val="18"/>
          <w:highlight w:val="none"/>
        </w:rPr>
        <w:instrText xml:space="preserve"> STYLEREF 2 \s </w:instrText>
      </w:r>
      <w:r>
        <w:rPr>
          <w:rFonts w:hint="default" w:ascii="Times New Roman" w:hAnsi="Times New Roman" w:eastAsia="宋体" w:cs="Times New Roman"/>
          <w:color w:val="auto"/>
          <w:sz w:val="24"/>
          <w:szCs w:val="18"/>
          <w:highlight w:val="none"/>
        </w:rPr>
        <w:fldChar w:fldCharType="separate"/>
      </w:r>
      <w:r>
        <w:rPr>
          <w:rFonts w:hint="default" w:ascii="Times New Roman" w:hAnsi="Times New Roman" w:eastAsia="宋体" w:cs="Times New Roman"/>
          <w:color w:val="auto"/>
          <w:sz w:val="24"/>
          <w:szCs w:val="18"/>
          <w:highlight w:val="none"/>
        </w:rPr>
        <w:t>6.1</w:t>
      </w:r>
      <w:r>
        <w:rPr>
          <w:rFonts w:hint="default" w:ascii="Times New Roman" w:hAnsi="Times New Roman" w:eastAsia="宋体" w:cs="Times New Roman"/>
          <w:color w:val="auto"/>
          <w:sz w:val="24"/>
          <w:szCs w:val="18"/>
          <w:highlight w:val="none"/>
        </w:rPr>
        <w:fldChar w:fldCharType="end"/>
      </w:r>
      <w:r>
        <w:rPr>
          <w:rFonts w:hint="default" w:ascii="Times New Roman" w:hAnsi="Times New Roman" w:eastAsia="宋体" w:cs="Times New Roman"/>
          <w:color w:val="auto"/>
          <w:sz w:val="24"/>
          <w:szCs w:val="18"/>
          <w:highlight w:val="none"/>
        </w:rPr>
        <w:noBreakHyphen/>
      </w:r>
      <w:r>
        <w:rPr>
          <w:rFonts w:hint="default" w:ascii="Times New Roman" w:hAnsi="Times New Roman" w:eastAsia="宋体" w:cs="Times New Roman"/>
          <w:color w:val="auto"/>
          <w:sz w:val="24"/>
          <w:szCs w:val="18"/>
          <w:highlight w:val="none"/>
        </w:rPr>
        <w:t>13</w:t>
      </w:r>
      <w:r>
        <w:rPr>
          <w:rFonts w:hint="default" w:ascii="Times New Roman" w:hAnsi="Times New Roman" w:cs="Times New Roman"/>
          <w:color w:val="auto"/>
          <w:highlight w:val="none"/>
        </w:rPr>
        <w:fldChar w:fldCharType="end"/>
      </w:r>
      <w:r>
        <w:rPr>
          <w:rFonts w:ascii="Times New Roman" w:hAnsi="Times New Roman" w:cs="Times New Roman"/>
          <w:color w:val="auto"/>
          <w:highlight w:val="none"/>
        </w:rPr>
        <w:t>，废气事故排放预测结果表明，当废气处理设施故障导致废气事故排放时，排气筒中废气浓度</w:t>
      </w:r>
      <w:r>
        <w:rPr>
          <w:rFonts w:hint="eastAsia" w:ascii="Times New Roman" w:hAnsi="Times New Roman" w:cs="Times New Roman"/>
          <w:color w:val="auto"/>
          <w:highlight w:val="none"/>
          <w:lang w:val="en-US" w:eastAsia="zh-CN"/>
        </w:rPr>
        <w:t>不</w:t>
      </w:r>
      <w:r>
        <w:rPr>
          <w:rFonts w:ascii="Times New Roman" w:hAnsi="Times New Roman" w:cs="Times New Roman"/>
          <w:color w:val="auto"/>
          <w:highlight w:val="none"/>
        </w:rPr>
        <w:t>超标，在采取相应的应急处置措施的情况下，环境风险事故对周围环境影响较小。</w:t>
      </w:r>
    </w:p>
    <w:p w14:paraId="15BD99DB">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17" w:name="_Hlk138236846"/>
      <w:r>
        <w:rPr>
          <w:rFonts w:hint="eastAsia" w:eastAsia="宋体"/>
          <w:color w:val="auto"/>
          <w:sz w:val="28"/>
          <w:szCs w:val="28"/>
          <w:highlight w:val="none"/>
        </w:rPr>
        <w:t>6</w:t>
      </w:r>
      <w:r>
        <w:rPr>
          <w:rFonts w:eastAsia="宋体"/>
          <w:color w:val="auto"/>
          <w:sz w:val="28"/>
          <w:szCs w:val="28"/>
          <w:highlight w:val="none"/>
        </w:rPr>
        <w:t>.7.2地表水环境风险分析</w:t>
      </w:r>
    </w:p>
    <w:p w14:paraId="188BAF1E">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bookmarkStart w:id="418" w:name="_Toc16575"/>
      <w:r>
        <w:rPr>
          <w:rFonts w:hint="eastAsia" w:ascii="Times New Roman" w:hAnsi="Times New Roman"/>
          <w:color w:val="auto"/>
          <w:sz w:val="24"/>
          <w:szCs w:val="24"/>
          <w:highlight w:val="none"/>
        </w:rPr>
        <w:t>6</w:t>
      </w:r>
      <w:r>
        <w:rPr>
          <w:rFonts w:ascii="Times New Roman" w:hAnsi="Times New Roman"/>
          <w:color w:val="auto"/>
          <w:sz w:val="24"/>
          <w:szCs w:val="24"/>
          <w:highlight w:val="none"/>
        </w:rPr>
        <w:t>.7.2.1污染因子确定</w:t>
      </w:r>
    </w:p>
    <w:p w14:paraId="7DBEF6ED">
      <w:pPr>
        <w:spacing w:line="360" w:lineRule="auto"/>
        <w:ind w:left="-105" w:right="-105" w:firstLine="480" w:firstLineChars="200"/>
        <w:rPr>
          <w:rFonts w:ascii="Times New Roman" w:hAnsi="Times New Roman" w:cs="Times New Roman"/>
          <w:color w:val="auto"/>
          <w:szCs w:val="32"/>
          <w:highlight w:val="none"/>
        </w:rPr>
      </w:pPr>
      <w:r>
        <w:rPr>
          <w:color w:val="auto"/>
          <w:highlight w:val="none"/>
        </w:rPr>
        <w:t>根</w:t>
      </w:r>
      <w:r>
        <w:rPr>
          <w:rFonts w:ascii="Times New Roman" w:hAnsi="Times New Roman" w:cs="Times New Roman"/>
          <w:color w:val="auto"/>
          <w:highlight w:val="none"/>
        </w:rPr>
        <w:t>据第4.8章节分析，本项目水环境风险最大可信事故为废液储罐内废水泄漏，废水中污染因子主要为pH、COD、SS等，</w:t>
      </w:r>
      <w:r>
        <w:rPr>
          <w:rFonts w:ascii="Times New Roman" w:hAnsi="Times New Roman" w:cs="Times New Roman"/>
          <w:color w:val="auto"/>
          <w:szCs w:val="32"/>
          <w:highlight w:val="none"/>
        </w:rPr>
        <w:t>本项目选择</w:t>
      </w:r>
      <w:r>
        <w:rPr>
          <w:rFonts w:hint="eastAsia" w:ascii="Times New Roman" w:hAnsi="Times New Roman" w:cs="Times New Roman"/>
          <w:color w:val="auto"/>
          <w:szCs w:val="32"/>
          <w:highlight w:val="none"/>
        </w:rPr>
        <w:t>COD</w:t>
      </w:r>
      <w:r>
        <w:rPr>
          <w:rFonts w:ascii="Times New Roman" w:hAnsi="Times New Roman" w:cs="Times New Roman"/>
          <w:color w:val="auto"/>
          <w:szCs w:val="32"/>
          <w:highlight w:val="none"/>
        </w:rPr>
        <w:t>作为预测因子。</w:t>
      </w:r>
    </w:p>
    <w:p w14:paraId="20DB8530">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w:t>
      </w:r>
      <w:r>
        <w:rPr>
          <w:rFonts w:ascii="Times New Roman" w:hAnsi="Times New Roman"/>
          <w:color w:val="auto"/>
          <w:sz w:val="24"/>
          <w:szCs w:val="24"/>
          <w:highlight w:val="none"/>
        </w:rPr>
        <w:t>.7.2.2预测模型</w:t>
      </w:r>
      <w:bookmarkEnd w:id="418"/>
    </w:p>
    <w:p w14:paraId="59A8F0DE">
      <w:pPr>
        <w:pStyle w:val="21"/>
        <w:spacing w:line="360" w:lineRule="auto"/>
        <w:ind w:left="-105" w:right="-105" w:firstLine="480" w:firstLineChars="200"/>
        <w:rPr>
          <w:rFonts w:eastAsia="宋体"/>
          <w:color w:val="auto"/>
          <w:kern w:val="0"/>
          <w:sz w:val="24"/>
          <w:highlight w:val="none"/>
        </w:rPr>
      </w:pPr>
      <w:r>
        <w:rPr>
          <w:rFonts w:ascii="宋体" w:hAnsi="宋体" w:eastAsia="宋体" w:cs="宋体"/>
          <w:color w:val="auto"/>
          <w:kern w:val="0"/>
          <w:sz w:val="24"/>
          <w:szCs w:val="24"/>
          <w:highlight w:val="none"/>
          <w:lang w:val="en-US" w:eastAsia="zh-CN" w:bidi="ar-SA"/>
        </w:rPr>
        <w:t>本项目主要考虑废液储罐破裂泄漏，泄漏液通过雨水管网进入地表水，本项目考虑最不利</w:t>
      </w:r>
      <w:r>
        <w:rPr>
          <w:rFonts w:ascii="宋体" w:hAnsi="宋体" w:eastAsia="宋体" w:cs="宋体"/>
          <w:color w:val="auto"/>
          <w:kern w:val="0"/>
          <w:sz w:val="24"/>
          <w:szCs w:val="24"/>
          <w:highlight w:val="none"/>
          <w:lang w:val="zh-TW" w:eastAsia="zh-CN" w:bidi="ar-SA"/>
        </w:rPr>
        <w:t>事故情景：</w:t>
      </w:r>
      <w:r>
        <w:rPr>
          <w:rFonts w:ascii="宋体" w:hAnsi="宋体" w:eastAsia="宋体" w:cs="宋体"/>
          <w:color w:val="auto"/>
          <w:kern w:val="0"/>
          <w:sz w:val="24"/>
          <w:szCs w:val="24"/>
          <w:highlight w:val="none"/>
          <w:lang w:val="en-US" w:eastAsia="zh-CN" w:bidi="ar-SA"/>
        </w:rPr>
        <w:t>废液储罐</w:t>
      </w:r>
      <w:r>
        <w:rPr>
          <w:rFonts w:ascii="宋体" w:hAnsi="宋体" w:eastAsia="宋体" w:cs="宋体"/>
          <w:color w:val="auto"/>
          <w:kern w:val="0"/>
          <w:sz w:val="24"/>
          <w:szCs w:val="24"/>
          <w:highlight w:val="none"/>
          <w:lang w:val="zh-TW" w:eastAsia="zh-CN" w:bidi="ar-SA"/>
        </w:rPr>
        <w:t>泄漏，泄漏量为</w:t>
      </w:r>
      <w:r>
        <w:rPr>
          <w:rFonts w:hint="default" w:ascii="Times New Roman" w:hAnsi="Times New Roman" w:eastAsia="宋体" w:cs="Times New Roman"/>
          <w:color w:val="auto"/>
          <w:kern w:val="0"/>
          <w:sz w:val="24"/>
          <w:szCs w:val="24"/>
          <w:highlight w:val="none"/>
          <w:lang w:val="en-US" w:eastAsia="zh-CN" w:bidi="ar-SA"/>
        </w:rPr>
        <w:t>20m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ascii="宋体" w:hAnsi="宋体" w:eastAsia="宋体" w:cs="宋体"/>
          <w:color w:val="auto"/>
          <w:kern w:val="0"/>
          <w:sz w:val="24"/>
          <w:szCs w:val="24"/>
          <w:highlight w:val="none"/>
          <w:lang w:val="en-US" w:eastAsia="zh-CN" w:bidi="ar-SA"/>
        </w:rPr>
        <w:t>废</w:t>
      </w:r>
      <w:r>
        <w:rPr>
          <w:rFonts w:hint="eastAsia" w:ascii="宋体" w:hAnsi="宋体" w:eastAsia="宋体" w:cs="宋体"/>
          <w:color w:val="auto"/>
          <w:kern w:val="0"/>
          <w:sz w:val="24"/>
          <w:szCs w:val="24"/>
          <w:highlight w:val="none"/>
          <w:lang w:val="en-US" w:eastAsia="zh-CN" w:bidi="ar-SA"/>
        </w:rPr>
        <w:t>液</w:t>
      </w:r>
      <w:r>
        <w:rPr>
          <w:rFonts w:ascii="宋体" w:hAnsi="宋体" w:eastAsia="宋体" w:cs="宋体"/>
          <w:color w:val="auto"/>
          <w:kern w:val="0"/>
          <w:sz w:val="24"/>
          <w:szCs w:val="24"/>
          <w:highlight w:val="none"/>
          <w:lang w:val="zh-TW" w:eastAsia="zh-CN" w:bidi="ar-SA"/>
        </w:rPr>
        <w:t>全部泄漏进入雨水排口排入</w:t>
      </w:r>
      <w:r>
        <w:rPr>
          <w:rFonts w:hint="eastAsia" w:ascii="宋体" w:hAnsi="宋体" w:eastAsia="宋体" w:cs="宋体"/>
          <w:color w:val="auto"/>
          <w:kern w:val="0"/>
          <w:sz w:val="24"/>
          <w:szCs w:val="24"/>
          <w:highlight w:val="none"/>
          <w:lang w:val="en-US" w:eastAsia="zh-CN" w:bidi="ar-SA"/>
        </w:rPr>
        <w:t>锡北运河</w:t>
      </w:r>
      <w:r>
        <w:rPr>
          <w:rFonts w:ascii="宋体" w:hAnsi="宋体" w:eastAsia="宋体" w:cs="宋体"/>
          <w:color w:val="auto"/>
          <w:kern w:val="0"/>
          <w:sz w:val="24"/>
          <w:szCs w:val="24"/>
          <w:highlight w:val="none"/>
          <w:lang w:val="zh-TW" w:eastAsia="zh-CN" w:bidi="ar-SA"/>
        </w:rPr>
        <w:t>。</w:t>
      </w:r>
    </w:p>
    <w:p w14:paraId="42205BF1">
      <w:pPr>
        <w:snapToGrid w:val="0"/>
        <w:spacing w:line="360" w:lineRule="auto"/>
        <w:ind w:left="-105" w:right="-105" w:firstLine="480" w:firstLineChars="200"/>
        <w:rPr>
          <w:rFonts w:ascii="Times New Roman" w:hAnsi="Times New Roman" w:cs="Times New Roman"/>
          <w:color w:val="auto"/>
          <w:highlight w:val="none"/>
          <w:lang w:val="zh-TW" w:eastAsia="zh-TW"/>
        </w:rPr>
      </w:pPr>
      <w:r>
        <w:rPr>
          <w:rFonts w:ascii="Times New Roman" w:hAnsi="Times New Roman" w:cs="Times New Roman"/>
          <w:color w:val="auto"/>
          <w:highlight w:val="none"/>
        </w:rPr>
        <w:t>本项目废液储罐泄漏时间为</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0min，为简化计算，本报告选取《建设项目环境风险评价技术导则HJ169—2018》中的</w:t>
      </w:r>
      <w:r>
        <w:rPr>
          <w:rFonts w:ascii="Times New Roman" w:hAnsi="Times New Roman" w:cs="Times New Roman"/>
          <w:color w:val="auto"/>
          <w:highlight w:val="none"/>
          <w:lang w:val="zh-TW"/>
        </w:rPr>
        <w:t>瞬时排放源</w:t>
      </w:r>
      <w:r>
        <w:rPr>
          <w:rFonts w:ascii="Times New Roman" w:hAnsi="Times New Roman" w:cs="Times New Roman"/>
          <w:color w:val="auto"/>
          <w:highlight w:val="none"/>
        </w:rPr>
        <w:t>河流一维对流扩散方程的浓度分布公式</w:t>
      </w:r>
      <w:r>
        <w:rPr>
          <w:rFonts w:ascii="Times New Roman" w:hAnsi="Times New Roman" w:cs="Times New Roman"/>
          <w:color w:val="auto"/>
          <w:highlight w:val="none"/>
          <w:lang w:val="zh-TW"/>
        </w:rPr>
        <w:t>计算方法分析。</w:t>
      </w:r>
      <w:r>
        <w:rPr>
          <w:rFonts w:ascii="Times New Roman" w:hAnsi="Times New Roman" w:cs="Times New Roman"/>
          <w:color w:val="auto"/>
          <w:highlight w:val="none"/>
          <w:lang w:val="zh-TW" w:eastAsia="zh-TW"/>
        </w:rPr>
        <w:t>公式如下：</w:t>
      </w:r>
    </w:p>
    <w:p w14:paraId="7FFA162A">
      <w:pPr>
        <w:snapToGrid w:val="0"/>
        <w:spacing w:line="360" w:lineRule="auto"/>
        <w:ind w:left="-105" w:right="-105"/>
        <w:jc w:val="center"/>
        <w:rPr>
          <w:rFonts w:ascii="Times New Roman" w:hAnsi="Times New Roman" w:cs="Times New Roman"/>
          <w:b/>
          <w:bCs/>
          <w:color w:val="auto"/>
          <w:highlight w:val="none"/>
        </w:rPr>
      </w:pPr>
      <w:r>
        <w:rPr>
          <w:rFonts w:ascii="Times New Roman" w:hAnsi="Times New Roman" w:cs="Times New Roman"/>
          <w:color w:val="auto"/>
          <w:highlight w:val="none"/>
        </w:rPr>
        <w:drawing>
          <wp:inline distT="0" distB="0" distL="0" distR="0">
            <wp:extent cx="2652395" cy="711835"/>
            <wp:effectExtent l="0" t="0" r="14605" b="12065"/>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662381" cy="714627"/>
                    </a:xfrm>
                    <a:prstGeom prst="rect">
                      <a:avLst/>
                    </a:prstGeom>
                    <a:noFill/>
                    <a:ln>
                      <a:noFill/>
                    </a:ln>
                  </pic:spPr>
                </pic:pic>
              </a:graphicData>
            </a:graphic>
          </wp:inline>
        </w:drawing>
      </w:r>
    </w:p>
    <w:p w14:paraId="7DA71E8A">
      <w:pPr>
        <w:pStyle w:val="20"/>
        <w:ind w:left="-105" w:right="-105" w:firstLine="480"/>
        <w:rPr>
          <w:rFonts w:ascii="Times New Roman" w:hAnsi="Times New Roman" w:cs="Times New Roman"/>
          <w:color w:val="auto"/>
          <w:sz w:val="24"/>
          <w:szCs w:val="24"/>
          <w:highlight w:val="none"/>
          <w:lang w:val="en-US" w:bidi="ar-SA"/>
        </w:rPr>
      </w:pPr>
      <w:r>
        <w:rPr>
          <w:rFonts w:ascii="Times New Roman" w:hAnsi="Times New Roman" w:cs="Times New Roman"/>
          <w:color w:val="auto"/>
          <w:sz w:val="24"/>
          <w:szCs w:val="24"/>
          <w:highlight w:val="none"/>
          <w:lang w:val="en-US" w:bidi="ar-SA"/>
        </w:rPr>
        <w:t>在t时刻、距离污染源下游x=ut处的污染物浓度峰值为：</w:t>
      </w:r>
    </w:p>
    <w:p w14:paraId="51AACDD6">
      <w:pPr>
        <w:pStyle w:val="20"/>
        <w:spacing w:line="360" w:lineRule="auto"/>
        <w:ind w:left="-105" w:right="-105" w:firstLine="460" w:firstLineChars="200"/>
        <w:jc w:val="center"/>
        <w:rPr>
          <w:rFonts w:ascii="Times New Roman" w:hAnsi="Times New Roman" w:cs="Times New Roman"/>
          <w:color w:val="auto"/>
          <w:sz w:val="23"/>
          <w:szCs w:val="22"/>
          <w:highlight w:val="none"/>
        </w:rPr>
      </w:pPr>
      <w:r>
        <w:rPr>
          <w:rFonts w:ascii="Times New Roman" w:hAnsi="Times New Roman" w:cs="Times New Roman"/>
          <w:color w:val="auto"/>
          <w:sz w:val="23"/>
          <w:szCs w:val="22"/>
          <w:highlight w:val="none"/>
          <w:lang w:val="en-US" w:bidi="ar-SA"/>
        </w:rPr>
        <w:drawing>
          <wp:inline distT="0" distB="0" distL="0" distR="0">
            <wp:extent cx="2652395" cy="751205"/>
            <wp:effectExtent l="0" t="0" r="14605" b="10795"/>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660787" cy="753752"/>
                    </a:xfrm>
                    <a:prstGeom prst="rect">
                      <a:avLst/>
                    </a:prstGeom>
                    <a:noFill/>
                    <a:ln>
                      <a:noFill/>
                    </a:ln>
                  </pic:spPr>
                </pic:pic>
              </a:graphicData>
            </a:graphic>
          </wp:inline>
        </w:drawing>
      </w:r>
    </w:p>
    <w:p w14:paraId="470B7C04">
      <w:pPr>
        <w:pStyle w:val="20"/>
        <w:spacing w:line="360" w:lineRule="auto"/>
        <w:ind w:left="-105" w:right="-105" w:firstLine="480" w:firstLineChars="200"/>
        <w:rPr>
          <w:rFonts w:ascii="Times New Roman" w:hAnsi="Times New Roman" w:cs="Times New Roman"/>
          <w:b/>
          <w:color w:val="auto"/>
          <w:sz w:val="24"/>
          <w:highlight w:val="none"/>
          <w:lang w:val="zh-TW"/>
        </w:rPr>
      </w:pPr>
      <w:r>
        <w:rPr>
          <w:rFonts w:ascii="Times New Roman" w:hAnsi="Times New Roman" w:cs="Times New Roman"/>
          <w:color w:val="auto"/>
          <w:sz w:val="24"/>
          <w:highlight w:val="none"/>
          <w:lang w:val="zh-TW"/>
        </w:rPr>
        <w:t>式中：</w:t>
      </w:r>
    </w:p>
    <w:p w14:paraId="4EE1BA57">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C</w:t>
      </w:r>
      <w:r>
        <w:rPr>
          <w:rFonts w:ascii="Times New Roman" w:hAnsi="Times New Roman" w:cs="Times New Roman"/>
          <w:i/>
          <w:iCs/>
          <w:color w:val="auto"/>
          <w:highlight w:val="none"/>
          <w:vertAlign w:val="subscript"/>
        </w:rPr>
        <w:t>（x，t）</w:t>
      </w:r>
      <w:r>
        <w:rPr>
          <w:rFonts w:ascii="Times New Roman" w:hAnsi="Times New Roman" w:cs="Times New Roman"/>
          <w:color w:val="auto"/>
          <w:highlight w:val="none"/>
        </w:rPr>
        <w:t>——在距离排放口x处，t时刻的污染物浓度，mg/L；</w:t>
      </w:r>
    </w:p>
    <w:p w14:paraId="7E5960CD">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k——污染物的降解系数，d</w:t>
      </w:r>
      <w:r>
        <w:rPr>
          <w:rFonts w:ascii="Times New Roman" w:hAnsi="Times New Roman" w:cs="Times New Roman"/>
          <w:color w:val="auto"/>
          <w:highlight w:val="none"/>
          <w:vertAlign w:val="superscript"/>
        </w:rPr>
        <w:t>-1</w:t>
      </w:r>
      <w:r>
        <w:rPr>
          <w:rFonts w:ascii="Times New Roman" w:hAnsi="Times New Roman" w:cs="Times New Roman"/>
          <w:color w:val="auto"/>
          <w:highlight w:val="none"/>
        </w:rPr>
        <w:t>，取</w:t>
      </w:r>
      <w:r>
        <w:rPr>
          <w:rFonts w:hint="eastAsia" w:ascii="Times New Roman" w:hAnsi="Times New Roman" w:cs="Times New Roman"/>
          <w:color w:val="auto"/>
          <w:highlight w:val="none"/>
        </w:rPr>
        <w:t>1</w:t>
      </w:r>
      <w:r>
        <w:rPr>
          <w:rFonts w:ascii="Times New Roman" w:hAnsi="Times New Roman" w:cs="Times New Roman"/>
          <w:color w:val="auto"/>
          <w:highlight w:val="none"/>
        </w:rPr>
        <w:t>；</w:t>
      </w:r>
    </w:p>
    <w:p w14:paraId="3BA09A70">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x——离排放口距离，m；</w:t>
      </w:r>
    </w:p>
    <w:p w14:paraId="258AE7D4">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u——河道水流流速，m/s，</w:t>
      </w:r>
      <w:r>
        <w:rPr>
          <w:rFonts w:hint="eastAsia" w:ascii="Times New Roman" w:hAnsi="Times New Roman" w:cs="Times New Roman"/>
          <w:color w:val="auto"/>
          <w:highlight w:val="none"/>
        </w:rPr>
        <w:t>锡北运河</w:t>
      </w:r>
      <w:r>
        <w:rPr>
          <w:rFonts w:ascii="Times New Roman" w:hAnsi="Times New Roman" w:cs="Times New Roman"/>
          <w:color w:val="auto"/>
          <w:highlight w:val="none"/>
        </w:rPr>
        <w:t>取0.02</w:t>
      </w:r>
      <w:r>
        <w:rPr>
          <w:rFonts w:hint="eastAsia" w:ascii="Times New Roman" w:hAnsi="Times New Roman" w:cs="Times New Roman"/>
          <w:color w:val="auto"/>
          <w:highlight w:val="none"/>
        </w:rPr>
        <w:t>4</w:t>
      </w:r>
      <w:r>
        <w:rPr>
          <w:rFonts w:ascii="Times New Roman" w:hAnsi="Times New Roman" w:cs="Times New Roman"/>
          <w:color w:val="auto"/>
          <w:highlight w:val="none"/>
        </w:rPr>
        <w:t>m/s；</w:t>
      </w:r>
    </w:p>
    <w:p w14:paraId="069B21E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M——污染物的瞬时排放总质量，g；</w:t>
      </w:r>
      <w:r>
        <w:rPr>
          <w:rFonts w:hint="eastAsia" w:ascii="Times New Roman" w:hAnsi="Times New Roman" w:cs="Times New Roman"/>
          <w:color w:val="auto"/>
          <w:highlight w:val="none"/>
          <w:lang w:val="en-US" w:eastAsia="zh-CN"/>
        </w:rPr>
        <w:t>根据现有项目《年产聚氨酯丙烯酸酯5000t、丙烯酸酯组成物10000t和环氧丙烯酸树脂1200t生产线技改扩建项目环境影响报告书》中喷淋废液源强，</w:t>
      </w:r>
      <w:r>
        <w:rPr>
          <w:rFonts w:ascii="Times New Roman" w:hAnsi="Times New Roman" w:cs="Times New Roman"/>
          <w:color w:val="auto"/>
          <w:highlight w:val="none"/>
        </w:rPr>
        <w:t>本项目</w:t>
      </w:r>
      <w:r>
        <w:rPr>
          <w:rFonts w:hint="eastAsia" w:ascii="Times New Roman" w:hAnsi="Times New Roman" w:cs="Times New Roman"/>
          <w:color w:val="auto"/>
          <w:highlight w:val="none"/>
        </w:rPr>
        <w:t>COD</w:t>
      </w:r>
      <w:r>
        <w:rPr>
          <w:rFonts w:ascii="Times New Roman" w:hAnsi="Times New Roman" w:cs="Times New Roman"/>
          <w:color w:val="auto"/>
          <w:highlight w:val="none"/>
        </w:rPr>
        <w:t>取</w:t>
      </w:r>
      <w:r>
        <w:rPr>
          <w:rFonts w:hint="eastAsia" w:ascii="Times New Roman" w:hAnsi="Times New Roman" w:cs="Times New Roman"/>
          <w:color w:val="auto"/>
          <w:highlight w:val="none"/>
        </w:rPr>
        <w:t>12000</w:t>
      </w:r>
      <w:r>
        <w:rPr>
          <w:rFonts w:ascii="Times New Roman" w:hAnsi="Times New Roman" w:cs="Times New Roman"/>
          <w:color w:val="auto"/>
          <w:highlight w:val="none"/>
        </w:rPr>
        <w:t>mg/L，排放量</w:t>
      </w:r>
      <w:r>
        <w:rPr>
          <w:rFonts w:hint="eastAsia" w:ascii="Times New Roman" w:hAnsi="Times New Roman" w:cs="Times New Roman"/>
          <w:color w:val="auto"/>
          <w:highlight w:val="none"/>
        </w:rPr>
        <w:t>20</w:t>
      </w:r>
      <w:r>
        <w:rPr>
          <w:rFonts w:ascii="Times New Roman" w:hAnsi="Times New Roman" w:cs="Times New Roman"/>
          <w:color w:val="auto"/>
          <w:highlight w:val="none"/>
        </w:rPr>
        <w:t>m³，排放总质量为</w:t>
      </w:r>
      <w:r>
        <w:rPr>
          <w:rFonts w:hint="eastAsia" w:ascii="Times New Roman" w:hAnsi="Times New Roman" w:cs="Times New Roman"/>
          <w:color w:val="auto"/>
          <w:highlight w:val="none"/>
        </w:rPr>
        <w:t>240000</w:t>
      </w:r>
      <w:r>
        <w:rPr>
          <w:rFonts w:ascii="Times New Roman" w:hAnsi="Times New Roman" w:cs="Times New Roman"/>
          <w:color w:val="auto"/>
          <w:highlight w:val="none"/>
        </w:rPr>
        <w:t>g。</w:t>
      </w:r>
    </w:p>
    <w:p w14:paraId="2ADF116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A——断面面积，m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w:t>
      </w:r>
      <w:r>
        <w:rPr>
          <w:rFonts w:hint="eastAsia" w:ascii="Times New Roman" w:hAnsi="Times New Roman" w:cs="Times New Roman"/>
          <w:color w:val="auto"/>
          <w:highlight w:val="none"/>
        </w:rPr>
        <w:t>锡北运河</w:t>
      </w:r>
      <w:r>
        <w:rPr>
          <w:rFonts w:ascii="Times New Roman" w:hAnsi="Times New Roman" w:cs="Times New Roman"/>
          <w:color w:val="auto"/>
          <w:highlight w:val="none"/>
        </w:rPr>
        <w:t>断面面积取</w:t>
      </w:r>
      <w:r>
        <w:rPr>
          <w:rFonts w:hint="eastAsia" w:ascii="Times New Roman" w:hAnsi="Times New Roman" w:cs="Times New Roman"/>
          <w:color w:val="auto"/>
          <w:highlight w:val="none"/>
        </w:rPr>
        <w:t>108</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ascii="Times New Roman" w:hAnsi="Times New Roman" w:cs="Times New Roman"/>
          <w:color w:val="auto"/>
          <w:highlight w:val="none"/>
        </w:rPr>
        <w:t>；</w:t>
      </w:r>
    </w:p>
    <w:p w14:paraId="1310D9F8">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Ex——纵向离散系数，一般经验取值0.5~0.6，本项目取0.5。</w:t>
      </w:r>
    </w:p>
    <w:p w14:paraId="4534ACB8">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6</w:t>
      </w:r>
      <w:r>
        <w:rPr>
          <w:rFonts w:ascii="Times New Roman" w:hAnsi="Times New Roman"/>
          <w:color w:val="auto"/>
          <w:sz w:val="24"/>
          <w:szCs w:val="24"/>
          <w:highlight w:val="none"/>
        </w:rPr>
        <w:t>.7.2.3后果分析</w:t>
      </w:r>
    </w:p>
    <w:p w14:paraId="4995060B">
      <w:pPr>
        <w:spacing w:line="360" w:lineRule="auto"/>
        <w:ind w:left="-105" w:right="-105" w:firstLine="480" w:firstLineChars="200"/>
        <w:rPr>
          <w:rFonts w:ascii="Times New Roman" w:hAnsi="Times New Roman" w:cs="Times New Roman"/>
          <w:color w:val="auto"/>
          <w:highlight w:val="none"/>
          <w:lang w:val="zh-TW"/>
        </w:rPr>
      </w:pPr>
      <w:r>
        <w:rPr>
          <w:rFonts w:ascii="Times New Roman" w:hAnsi="Times New Roman" w:cs="Times New Roman"/>
          <w:color w:val="auto"/>
          <w:highlight w:val="none"/>
          <w:lang w:val="zh-TW"/>
        </w:rPr>
        <w:t>在没有任何应急救援活动的前提下，</w:t>
      </w:r>
      <w:r>
        <w:rPr>
          <w:rFonts w:hint="eastAsia" w:ascii="Times New Roman" w:hAnsi="Times New Roman" w:cs="Times New Roman"/>
          <w:color w:val="auto"/>
          <w:highlight w:val="none"/>
        </w:rPr>
        <w:t>COD</w:t>
      </w:r>
      <w:r>
        <w:rPr>
          <w:rFonts w:ascii="Times New Roman" w:hAnsi="Times New Roman" w:cs="Times New Roman"/>
          <w:color w:val="auto"/>
          <w:highlight w:val="none"/>
          <w:lang w:val="zh-TW"/>
        </w:rPr>
        <w:t>运移结果见下表。</w:t>
      </w:r>
    </w:p>
    <w:p w14:paraId="31B2CC6A">
      <w:pPr>
        <w:pStyle w:val="15"/>
        <w:ind w:left="-105" w:right="-105" w:firstLine="482"/>
        <w:rPr>
          <w:rFonts w:eastAsia="宋体"/>
          <w:bCs/>
          <w:color w:val="auto"/>
          <w:sz w:val="24"/>
          <w:szCs w:val="24"/>
          <w:highlight w:val="none"/>
          <w:lang w:val="zh-TW" w:eastAsia="zh-TW"/>
        </w:rPr>
      </w:pPr>
      <w:r>
        <w:rPr>
          <w:rFonts w:eastAsia="宋体"/>
          <w:color w:val="auto"/>
          <w:sz w:val="24"/>
          <w:szCs w:val="24"/>
          <w:highlight w:val="none"/>
        </w:rPr>
        <w:t>表</w:t>
      </w:r>
      <w:r>
        <w:rPr>
          <w:color w:val="auto"/>
          <w:sz w:val="24"/>
          <w:szCs w:val="24"/>
          <w:highlight w:val="none"/>
        </w:rPr>
        <w:fldChar w:fldCharType="begin"/>
      </w:r>
      <w:r>
        <w:rPr>
          <w:color w:val="auto"/>
          <w:sz w:val="24"/>
          <w:szCs w:val="24"/>
          <w:highlight w:val="none"/>
        </w:rPr>
        <w:instrText xml:space="preserve"> STYLEREF 2 \s </w:instrText>
      </w:r>
      <w:r>
        <w:rPr>
          <w:color w:val="auto"/>
          <w:sz w:val="24"/>
          <w:szCs w:val="24"/>
          <w:highlight w:val="none"/>
        </w:rPr>
        <w:fldChar w:fldCharType="separate"/>
      </w:r>
      <w:r>
        <w:rPr>
          <w:color w:val="auto"/>
          <w:sz w:val="24"/>
          <w:szCs w:val="24"/>
          <w:highlight w:val="none"/>
        </w:rPr>
        <w:t>6.7</w:t>
      </w:r>
      <w:r>
        <w:rPr>
          <w:color w:val="auto"/>
          <w:sz w:val="24"/>
          <w:szCs w:val="24"/>
          <w:highlight w:val="none"/>
        </w:rPr>
        <w:fldChar w:fldCharType="end"/>
      </w:r>
      <w:r>
        <w:rPr>
          <w:color w:val="auto"/>
          <w:sz w:val="24"/>
          <w:szCs w:val="24"/>
          <w:highlight w:val="none"/>
        </w:rPr>
        <w:noBreakHyphen/>
      </w:r>
      <w:r>
        <w:rPr>
          <w:color w:val="auto"/>
          <w:sz w:val="24"/>
          <w:szCs w:val="24"/>
          <w:highlight w:val="none"/>
        </w:rPr>
        <w:fldChar w:fldCharType="begin"/>
      </w:r>
      <w:r>
        <w:rPr>
          <w:color w:val="auto"/>
          <w:sz w:val="24"/>
          <w:szCs w:val="24"/>
          <w:highlight w:val="none"/>
        </w:rPr>
        <w:instrText xml:space="preserve"> SEQ 表 \* ARABIC \s 2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eastAsia" w:eastAsia="宋体"/>
          <w:color w:val="auto"/>
          <w:sz w:val="24"/>
          <w:szCs w:val="24"/>
          <w:highlight w:val="none"/>
          <w:lang w:val="en-US" w:eastAsia="zh-CN"/>
        </w:rPr>
        <w:t>COD</w:t>
      </w:r>
      <w:r>
        <w:rPr>
          <w:rFonts w:eastAsia="宋体"/>
          <w:bCs/>
          <w:color w:val="auto"/>
          <w:sz w:val="24"/>
          <w:szCs w:val="24"/>
          <w:highlight w:val="none"/>
          <w:lang w:val="zh-TW" w:eastAsia="zh-TW"/>
        </w:rPr>
        <w:t>运移结果</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744"/>
        <w:gridCol w:w="1744"/>
        <w:gridCol w:w="1744"/>
        <w:gridCol w:w="1744"/>
      </w:tblGrid>
      <w:tr w14:paraId="2D3C5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2180" w:type="dxa"/>
            <w:vAlign w:val="center"/>
          </w:tcPr>
          <w:p w14:paraId="3CA8E63B">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X（m）</w:t>
            </w:r>
          </w:p>
        </w:tc>
        <w:tc>
          <w:tcPr>
            <w:tcW w:w="2180" w:type="dxa"/>
            <w:vAlign w:val="center"/>
          </w:tcPr>
          <w:p w14:paraId="5A2C8634">
            <w:pPr>
              <w:adjustRightInd w:val="0"/>
              <w:snapToGrid w:val="0"/>
              <w:ind w:left="-105" w:right="-105"/>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本底值</w:t>
            </w:r>
            <w:r>
              <w:rPr>
                <w:rFonts w:hint="default" w:ascii="Times New Roman" w:hAnsi="Times New Roman" w:eastAsia="宋体" w:cs="Times New Roman"/>
                <w:b/>
                <w:color w:val="auto"/>
                <w:sz w:val="21"/>
                <w:szCs w:val="21"/>
                <w:highlight w:val="none"/>
              </w:rPr>
              <w:t>（mg/L）</w:t>
            </w:r>
          </w:p>
        </w:tc>
        <w:tc>
          <w:tcPr>
            <w:tcW w:w="2180" w:type="dxa"/>
            <w:vAlign w:val="center"/>
          </w:tcPr>
          <w:p w14:paraId="3A817BA6">
            <w:pPr>
              <w:adjustRightInd w:val="0"/>
              <w:snapToGrid w:val="0"/>
              <w:ind w:left="-105" w:right="-105"/>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预测</w:t>
            </w:r>
            <w:r>
              <w:rPr>
                <w:rFonts w:hint="eastAsia" w:ascii="Times New Roman" w:hAnsi="Times New Roman" w:cs="Times New Roman"/>
                <w:b/>
                <w:bCs/>
                <w:color w:val="auto"/>
                <w:sz w:val="21"/>
                <w:szCs w:val="21"/>
                <w:highlight w:val="none"/>
                <w:lang w:val="en-US" w:eastAsia="zh-CN"/>
              </w:rPr>
              <w:t>增量</w:t>
            </w:r>
            <w:r>
              <w:rPr>
                <w:rFonts w:hint="default" w:ascii="Times New Roman" w:hAnsi="Times New Roman" w:eastAsia="宋体" w:cs="Times New Roman"/>
                <w:b/>
                <w:color w:val="auto"/>
                <w:sz w:val="21"/>
                <w:szCs w:val="21"/>
                <w:highlight w:val="none"/>
              </w:rPr>
              <w:t>（mg/L）</w:t>
            </w:r>
          </w:p>
        </w:tc>
        <w:tc>
          <w:tcPr>
            <w:tcW w:w="2180" w:type="dxa"/>
            <w:vAlign w:val="center"/>
          </w:tcPr>
          <w:p w14:paraId="5EC10BDE">
            <w:pPr>
              <w:adjustRightInd w:val="0"/>
              <w:snapToGrid w:val="0"/>
              <w:ind w:left="-105" w:right="-105"/>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标准值</w:t>
            </w:r>
            <w:r>
              <w:rPr>
                <w:rFonts w:ascii="Times New Roman" w:hAnsi="Times New Roman" w:cs="Times New Roman"/>
                <w:b/>
                <w:color w:val="auto"/>
                <w:sz w:val="21"/>
                <w:szCs w:val="21"/>
                <w:highlight w:val="none"/>
              </w:rPr>
              <w:t>（mg/L）</w:t>
            </w:r>
          </w:p>
        </w:tc>
        <w:tc>
          <w:tcPr>
            <w:tcW w:w="2180" w:type="dxa"/>
            <w:vAlign w:val="center"/>
          </w:tcPr>
          <w:p w14:paraId="3D630915">
            <w:pPr>
              <w:adjustRightInd w:val="0"/>
              <w:snapToGrid w:val="0"/>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占标率%</w:t>
            </w:r>
          </w:p>
        </w:tc>
      </w:tr>
      <w:tr w14:paraId="064F1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193A6BF7">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10</w:t>
            </w:r>
          </w:p>
        </w:tc>
        <w:tc>
          <w:tcPr>
            <w:tcW w:w="2180" w:type="dxa"/>
            <w:vAlign w:val="center"/>
          </w:tcPr>
          <w:p w14:paraId="0E9ADA19">
            <w:pPr>
              <w:ind w:left="-105" w:right="-105"/>
              <w:jc w:val="center"/>
              <w:textAlignment w:val="center"/>
              <w:rPr>
                <w:rFonts w:hint="default" w:ascii="Times New Roman" w:hAnsi="Times New Roman" w:eastAsia="等线" w:cs="Times New Roman"/>
                <w:color w:val="auto"/>
                <w:sz w:val="21"/>
                <w:szCs w:val="21"/>
                <w:highlight w:val="none"/>
                <w:lang w:val="en-US" w:eastAsia="zh-CN" w:bidi="ar"/>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44645159">
            <w:pPr>
              <w:ind w:left="-105" w:right="-105"/>
              <w:jc w:val="center"/>
              <w:textAlignment w:val="center"/>
              <w:rPr>
                <w:rFonts w:ascii="Times New Roman" w:hAnsi="Times New Roman" w:eastAsia="等线" w:cs="Times New Roman"/>
                <w:color w:val="auto"/>
                <w:sz w:val="21"/>
                <w:szCs w:val="21"/>
                <w:highlight w:val="none"/>
              </w:rPr>
            </w:pPr>
            <w:r>
              <w:rPr>
                <w:rFonts w:ascii="Times New Roman" w:hAnsi="Times New Roman" w:eastAsia="等线" w:cs="Times New Roman"/>
                <w:color w:val="auto"/>
                <w:sz w:val="21"/>
                <w:szCs w:val="21"/>
                <w:highlight w:val="none"/>
                <w:lang w:bidi="ar"/>
              </w:rPr>
              <w:t>4.807055749E-180</w:t>
            </w:r>
          </w:p>
        </w:tc>
        <w:tc>
          <w:tcPr>
            <w:tcW w:w="2180" w:type="dxa"/>
            <w:vAlign w:val="center"/>
          </w:tcPr>
          <w:p w14:paraId="3D756641">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53319EB7">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0EE71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482171D6">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30</w:t>
            </w:r>
          </w:p>
        </w:tc>
        <w:tc>
          <w:tcPr>
            <w:tcW w:w="2180" w:type="dxa"/>
            <w:vAlign w:val="center"/>
          </w:tcPr>
          <w:p w14:paraId="52C40177">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452BAB2E">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2DA9783D">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1BF63184">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0825C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7E30F196">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40</w:t>
            </w:r>
          </w:p>
        </w:tc>
        <w:tc>
          <w:tcPr>
            <w:tcW w:w="2180" w:type="dxa"/>
            <w:vAlign w:val="center"/>
          </w:tcPr>
          <w:p w14:paraId="5EA7C0A7">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443B98D3">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009A87B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1F217BF0">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33628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67A4A016">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50</w:t>
            </w:r>
          </w:p>
        </w:tc>
        <w:tc>
          <w:tcPr>
            <w:tcW w:w="2180" w:type="dxa"/>
            <w:vAlign w:val="center"/>
          </w:tcPr>
          <w:p w14:paraId="3B112AE0">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791D702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522A039F">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099AC370">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7D39D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19138856">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100</w:t>
            </w:r>
          </w:p>
        </w:tc>
        <w:tc>
          <w:tcPr>
            <w:tcW w:w="2180" w:type="dxa"/>
            <w:vAlign w:val="center"/>
          </w:tcPr>
          <w:p w14:paraId="4E9D6C16">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0B0FD4C8">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5FDE4994">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3A9167A2">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565B3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45C7A554">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150</w:t>
            </w:r>
          </w:p>
        </w:tc>
        <w:tc>
          <w:tcPr>
            <w:tcW w:w="2180" w:type="dxa"/>
            <w:vAlign w:val="center"/>
          </w:tcPr>
          <w:p w14:paraId="16D59FB2">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5ED83F5E">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3A44B925">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0B8DDE05">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55747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1B43C3BA">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200</w:t>
            </w:r>
          </w:p>
        </w:tc>
        <w:tc>
          <w:tcPr>
            <w:tcW w:w="2180" w:type="dxa"/>
            <w:vAlign w:val="center"/>
          </w:tcPr>
          <w:p w14:paraId="680F3297">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71013D7D">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6E81CDD7">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2A67D5FD">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598F9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01832B20">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500</w:t>
            </w:r>
          </w:p>
        </w:tc>
        <w:tc>
          <w:tcPr>
            <w:tcW w:w="2180" w:type="dxa"/>
            <w:vAlign w:val="center"/>
          </w:tcPr>
          <w:p w14:paraId="5A520099">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25D0266E">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318290DE">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08C3DC15">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229FB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3593864E">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1000</w:t>
            </w:r>
          </w:p>
        </w:tc>
        <w:tc>
          <w:tcPr>
            <w:tcW w:w="2180" w:type="dxa"/>
            <w:vAlign w:val="center"/>
          </w:tcPr>
          <w:p w14:paraId="26B21002">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6537DC84">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3E3B9518">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793F4380">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5FB67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0AD050A2">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2000</w:t>
            </w:r>
          </w:p>
        </w:tc>
        <w:tc>
          <w:tcPr>
            <w:tcW w:w="2180" w:type="dxa"/>
            <w:vAlign w:val="center"/>
          </w:tcPr>
          <w:p w14:paraId="5807054B">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51FD2140">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3B45E41C">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430CFA6D">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1B04D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80" w:type="dxa"/>
            <w:vAlign w:val="center"/>
          </w:tcPr>
          <w:p w14:paraId="336962F8">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5000</w:t>
            </w:r>
          </w:p>
        </w:tc>
        <w:tc>
          <w:tcPr>
            <w:tcW w:w="2180" w:type="dxa"/>
            <w:vAlign w:val="center"/>
          </w:tcPr>
          <w:p w14:paraId="75403284">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1F46535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52F9062A">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20</w:t>
            </w:r>
          </w:p>
        </w:tc>
        <w:tc>
          <w:tcPr>
            <w:tcW w:w="2180" w:type="dxa"/>
            <w:vAlign w:val="center"/>
          </w:tcPr>
          <w:p w14:paraId="3340B4DA">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06BED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180" w:type="dxa"/>
            <w:vAlign w:val="center"/>
          </w:tcPr>
          <w:p w14:paraId="14EA8947">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eastAsia="等线" w:cs="Times New Roman"/>
                <w:color w:val="auto"/>
                <w:sz w:val="21"/>
                <w:szCs w:val="21"/>
                <w:highlight w:val="none"/>
              </w:rPr>
              <w:t>10000</w:t>
            </w:r>
          </w:p>
        </w:tc>
        <w:tc>
          <w:tcPr>
            <w:tcW w:w="2180" w:type="dxa"/>
            <w:vAlign w:val="center"/>
          </w:tcPr>
          <w:p w14:paraId="184F0D66">
            <w:pPr>
              <w:ind w:left="-105" w:right="-105"/>
              <w:jc w:val="center"/>
              <w:textAlignment w:val="center"/>
              <w:rPr>
                <w:rFonts w:hint="eastAsia"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2180" w:type="dxa"/>
            <w:vAlign w:val="center"/>
          </w:tcPr>
          <w:p w14:paraId="15803FCD">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2180" w:type="dxa"/>
            <w:vAlign w:val="center"/>
          </w:tcPr>
          <w:p w14:paraId="5F760306">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20</w:t>
            </w:r>
          </w:p>
        </w:tc>
        <w:tc>
          <w:tcPr>
            <w:tcW w:w="2180" w:type="dxa"/>
            <w:vAlign w:val="center"/>
          </w:tcPr>
          <w:p w14:paraId="320BB352">
            <w:pPr>
              <w:ind w:left="-105" w:right="-105"/>
              <w:jc w:val="center"/>
              <w:textAlignment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 xml:space="preserve">55.00 </w:t>
            </w:r>
          </w:p>
        </w:tc>
      </w:tr>
    </w:tbl>
    <w:p w14:paraId="6B02A154">
      <w:pPr>
        <w:pStyle w:val="15"/>
        <w:ind w:left="-105" w:right="-105" w:firstLine="482"/>
        <w:rPr>
          <w:rFonts w:eastAsia="宋体"/>
          <w:color w:val="auto"/>
          <w:sz w:val="24"/>
          <w:szCs w:val="24"/>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6.7</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4</w:t>
      </w:r>
      <w:r>
        <w:rPr>
          <w:rFonts w:eastAsia="宋体"/>
          <w:color w:val="auto"/>
          <w:sz w:val="24"/>
          <w:szCs w:val="24"/>
          <w:highlight w:val="none"/>
        </w:rPr>
        <w:fldChar w:fldCharType="end"/>
      </w:r>
      <w:r>
        <w:rPr>
          <w:rFonts w:hint="eastAsia" w:eastAsia="宋体"/>
          <w:color w:val="auto"/>
          <w:sz w:val="24"/>
          <w:szCs w:val="24"/>
          <w:highlight w:val="none"/>
          <w:lang w:val="en-US" w:eastAsia="zh-CN"/>
        </w:rPr>
        <w:t>COD</w:t>
      </w:r>
      <w:r>
        <w:rPr>
          <w:rFonts w:hint="eastAsia" w:eastAsia="宋体"/>
          <w:color w:val="auto"/>
          <w:sz w:val="24"/>
          <w:szCs w:val="24"/>
          <w:highlight w:val="none"/>
        </w:rPr>
        <w:t>在不同时段运移计算结果</w:t>
      </w:r>
    </w:p>
    <w:tbl>
      <w:tblPr>
        <w:tblStyle w:val="4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97"/>
        <w:gridCol w:w="1276"/>
        <w:gridCol w:w="1610"/>
        <w:gridCol w:w="1445"/>
        <w:gridCol w:w="1448"/>
        <w:gridCol w:w="1441"/>
      </w:tblGrid>
      <w:tr w14:paraId="149D23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497" w:type="dxa"/>
            <w:vAlign w:val="center"/>
          </w:tcPr>
          <w:p w14:paraId="0370FD17">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时间</w:t>
            </w:r>
          </w:p>
        </w:tc>
        <w:tc>
          <w:tcPr>
            <w:tcW w:w="1276" w:type="dxa"/>
            <w:vAlign w:val="center"/>
          </w:tcPr>
          <w:p w14:paraId="193F3E90">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距离（m）</w:t>
            </w:r>
          </w:p>
        </w:tc>
        <w:tc>
          <w:tcPr>
            <w:tcW w:w="1610" w:type="dxa"/>
            <w:vAlign w:val="center"/>
          </w:tcPr>
          <w:p w14:paraId="7D5ACA13">
            <w:pPr>
              <w:adjustRightInd w:val="0"/>
              <w:snapToGrid w:val="0"/>
              <w:ind w:left="-105" w:leftChars="0" w:right="-105"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本底值</w:t>
            </w:r>
            <w:r>
              <w:rPr>
                <w:rFonts w:hint="default" w:ascii="Times New Roman" w:hAnsi="Times New Roman" w:eastAsia="宋体" w:cs="Times New Roman"/>
                <w:b/>
                <w:color w:val="auto"/>
                <w:sz w:val="21"/>
                <w:szCs w:val="21"/>
                <w:highlight w:val="none"/>
              </w:rPr>
              <w:t>（mg/L）</w:t>
            </w:r>
          </w:p>
        </w:tc>
        <w:tc>
          <w:tcPr>
            <w:tcW w:w="1445" w:type="dxa"/>
            <w:vAlign w:val="center"/>
          </w:tcPr>
          <w:p w14:paraId="77FC64E4">
            <w:pPr>
              <w:adjustRightInd w:val="0"/>
              <w:snapToGrid w:val="0"/>
              <w:ind w:left="-105" w:right="-105"/>
              <w:jc w:val="center"/>
              <w:rPr>
                <w:rFonts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预测</w:t>
            </w:r>
            <w:r>
              <w:rPr>
                <w:rFonts w:hint="eastAsia" w:ascii="Times New Roman" w:hAnsi="Times New Roman" w:cs="Times New Roman"/>
                <w:b/>
                <w:bCs/>
                <w:color w:val="auto"/>
                <w:sz w:val="21"/>
                <w:szCs w:val="21"/>
                <w:highlight w:val="none"/>
                <w:lang w:val="en-US" w:eastAsia="zh-CN"/>
              </w:rPr>
              <w:t>增量</w:t>
            </w:r>
            <w:r>
              <w:rPr>
                <w:rFonts w:hint="default" w:ascii="Times New Roman" w:hAnsi="Times New Roman" w:eastAsia="宋体" w:cs="Times New Roman"/>
                <w:b/>
                <w:color w:val="auto"/>
                <w:sz w:val="21"/>
                <w:szCs w:val="21"/>
                <w:highlight w:val="none"/>
              </w:rPr>
              <w:t>（mg/L）</w:t>
            </w:r>
          </w:p>
        </w:tc>
        <w:tc>
          <w:tcPr>
            <w:tcW w:w="1448" w:type="dxa"/>
            <w:vAlign w:val="center"/>
          </w:tcPr>
          <w:p w14:paraId="16740270">
            <w:pPr>
              <w:adjustRightInd w:val="0"/>
              <w:snapToGrid w:val="0"/>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color w:val="auto"/>
                <w:sz w:val="21"/>
                <w:szCs w:val="21"/>
                <w:highlight w:val="none"/>
                <w:lang w:val="en-US" w:eastAsia="zh-CN"/>
              </w:rPr>
              <w:t>标准值</w:t>
            </w:r>
            <w:r>
              <w:rPr>
                <w:rFonts w:ascii="Times New Roman" w:hAnsi="Times New Roman" w:cs="Times New Roman"/>
                <w:b/>
                <w:color w:val="auto"/>
                <w:sz w:val="21"/>
                <w:szCs w:val="21"/>
                <w:highlight w:val="none"/>
              </w:rPr>
              <w:t>（mg/L）</w:t>
            </w:r>
          </w:p>
        </w:tc>
        <w:tc>
          <w:tcPr>
            <w:tcW w:w="1441" w:type="dxa"/>
            <w:vAlign w:val="center"/>
          </w:tcPr>
          <w:p w14:paraId="1D98A40D">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color w:val="auto"/>
                <w:sz w:val="21"/>
                <w:szCs w:val="21"/>
                <w:highlight w:val="none"/>
              </w:rPr>
              <w:t>占标率%</w:t>
            </w:r>
          </w:p>
        </w:tc>
      </w:tr>
      <w:tr w14:paraId="4F36EB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68D902A7">
            <w:pPr>
              <w:ind w:left="-105" w:right="-105"/>
              <w:jc w:val="center"/>
              <w:textAlignment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1分钟</w:t>
            </w:r>
          </w:p>
        </w:tc>
        <w:tc>
          <w:tcPr>
            <w:tcW w:w="1276" w:type="dxa"/>
            <w:vAlign w:val="center"/>
          </w:tcPr>
          <w:p w14:paraId="1CBBDA57">
            <w:pPr>
              <w:ind w:left="-105" w:right="-105"/>
              <w:jc w:val="center"/>
              <w:textAlignment w:val="center"/>
              <w:rPr>
                <w:rFonts w:ascii="Times New Roman" w:hAnsi="Times New Roman" w:cs="Times New Roman"/>
                <w:color w:val="auto"/>
                <w:sz w:val="21"/>
                <w:szCs w:val="21"/>
                <w:highlight w:val="none"/>
                <w:lang w:bidi="ar"/>
              </w:rPr>
            </w:pPr>
            <w:r>
              <w:rPr>
                <w:rFonts w:ascii="Times New Roman" w:hAnsi="Times New Roman" w:eastAsia="等线" w:cs="Times New Roman"/>
                <w:color w:val="auto"/>
                <w:sz w:val="21"/>
                <w:szCs w:val="21"/>
                <w:highlight w:val="none"/>
                <w:lang w:bidi="ar"/>
              </w:rPr>
              <w:t>1.44</w:t>
            </w:r>
          </w:p>
        </w:tc>
        <w:tc>
          <w:tcPr>
            <w:tcW w:w="1610" w:type="dxa"/>
            <w:vAlign w:val="center"/>
          </w:tcPr>
          <w:p w14:paraId="6C38B684">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709704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1.00245E-24</w:t>
            </w:r>
          </w:p>
        </w:tc>
        <w:tc>
          <w:tcPr>
            <w:tcW w:w="1448" w:type="dxa"/>
            <w:vAlign w:val="center"/>
          </w:tcPr>
          <w:p w14:paraId="0C134F7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7C52A4F2">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0F11E5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31BEB656">
            <w:pPr>
              <w:ind w:left="-105" w:right="-105"/>
              <w:jc w:val="center"/>
              <w:textAlignment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5分钟</w:t>
            </w:r>
          </w:p>
        </w:tc>
        <w:tc>
          <w:tcPr>
            <w:tcW w:w="1276" w:type="dxa"/>
            <w:vAlign w:val="center"/>
          </w:tcPr>
          <w:p w14:paraId="2621848B">
            <w:pPr>
              <w:ind w:left="-105" w:right="-105"/>
              <w:jc w:val="center"/>
              <w:textAlignment w:val="center"/>
              <w:rPr>
                <w:rFonts w:ascii="Times New Roman" w:hAnsi="Times New Roman" w:cs="Times New Roman"/>
                <w:color w:val="auto"/>
                <w:sz w:val="21"/>
                <w:szCs w:val="21"/>
                <w:highlight w:val="none"/>
                <w:lang w:bidi="ar"/>
              </w:rPr>
            </w:pPr>
            <w:r>
              <w:rPr>
                <w:rFonts w:ascii="Times New Roman" w:hAnsi="Times New Roman" w:eastAsia="等线" w:cs="Times New Roman"/>
                <w:color w:val="auto"/>
                <w:sz w:val="21"/>
                <w:szCs w:val="21"/>
                <w:highlight w:val="none"/>
                <w:lang w:bidi="ar"/>
              </w:rPr>
              <w:t>7.2</w:t>
            </w:r>
          </w:p>
        </w:tc>
        <w:tc>
          <w:tcPr>
            <w:tcW w:w="1610" w:type="dxa"/>
            <w:vAlign w:val="center"/>
          </w:tcPr>
          <w:p w14:paraId="21FB8C7F">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5517FA3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2.6357E-129</w:t>
            </w:r>
          </w:p>
        </w:tc>
        <w:tc>
          <w:tcPr>
            <w:tcW w:w="1448" w:type="dxa"/>
            <w:vAlign w:val="center"/>
          </w:tcPr>
          <w:p w14:paraId="49F9AA50">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00BF9725">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 xml:space="preserve">55.00 </w:t>
            </w:r>
          </w:p>
        </w:tc>
      </w:tr>
      <w:tr w14:paraId="48B510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07F695D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10分钟</w:t>
            </w:r>
          </w:p>
        </w:tc>
        <w:tc>
          <w:tcPr>
            <w:tcW w:w="1276" w:type="dxa"/>
            <w:vAlign w:val="center"/>
          </w:tcPr>
          <w:p w14:paraId="59558A4D">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14.4</w:t>
            </w:r>
          </w:p>
        </w:tc>
        <w:tc>
          <w:tcPr>
            <w:tcW w:w="1610" w:type="dxa"/>
            <w:vAlign w:val="center"/>
          </w:tcPr>
          <w:p w14:paraId="70C24ACB">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5405A11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9.595E-260</w:t>
            </w:r>
          </w:p>
        </w:tc>
        <w:tc>
          <w:tcPr>
            <w:tcW w:w="1448" w:type="dxa"/>
            <w:vAlign w:val="center"/>
          </w:tcPr>
          <w:p w14:paraId="4E655406">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4801CCC4">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34AFB7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2306B2D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15分钟</w:t>
            </w:r>
          </w:p>
        </w:tc>
        <w:tc>
          <w:tcPr>
            <w:tcW w:w="1276" w:type="dxa"/>
            <w:vAlign w:val="center"/>
          </w:tcPr>
          <w:p w14:paraId="2CB5F5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21.6</w:t>
            </w:r>
          </w:p>
        </w:tc>
        <w:tc>
          <w:tcPr>
            <w:tcW w:w="1610" w:type="dxa"/>
            <w:vAlign w:val="center"/>
          </w:tcPr>
          <w:p w14:paraId="6FFB2B83">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78886AE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4C526F31">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21FD2577">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3F45C4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560D2CCA">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20分钟</w:t>
            </w:r>
          </w:p>
        </w:tc>
        <w:tc>
          <w:tcPr>
            <w:tcW w:w="1276" w:type="dxa"/>
            <w:vAlign w:val="center"/>
          </w:tcPr>
          <w:p w14:paraId="10CA5686">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28.8</w:t>
            </w:r>
          </w:p>
        </w:tc>
        <w:tc>
          <w:tcPr>
            <w:tcW w:w="1610" w:type="dxa"/>
            <w:vAlign w:val="center"/>
          </w:tcPr>
          <w:p w14:paraId="79324C2D">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2E4A7AE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73DEAFD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22A37846">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39FAB9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24233E3E">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30分钟</w:t>
            </w:r>
          </w:p>
        </w:tc>
        <w:tc>
          <w:tcPr>
            <w:tcW w:w="1276" w:type="dxa"/>
            <w:vAlign w:val="center"/>
          </w:tcPr>
          <w:p w14:paraId="3FA7E8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79.2</w:t>
            </w:r>
          </w:p>
        </w:tc>
        <w:tc>
          <w:tcPr>
            <w:tcW w:w="1610" w:type="dxa"/>
            <w:vAlign w:val="center"/>
          </w:tcPr>
          <w:p w14:paraId="042B5715">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537990F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09A8592A">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648E732F">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1DFA01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4FC31D44">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1小时</w:t>
            </w:r>
          </w:p>
        </w:tc>
        <w:tc>
          <w:tcPr>
            <w:tcW w:w="1276" w:type="dxa"/>
            <w:vAlign w:val="center"/>
          </w:tcPr>
          <w:p w14:paraId="4A5AECB3">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86.4</w:t>
            </w:r>
          </w:p>
        </w:tc>
        <w:tc>
          <w:tcPr>
            <w:tcW w:w="1610" w:type="dxa"/>
            <w:vAlign w:val="center"/>
          </w:tcPr>
          <w:p w14:paraId="50DD6DD9">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79E88D5C">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3051BD2D">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333D0B5C">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7C2BF4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1EFCAE10">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2小时</w:t>
            </w:r>
          </w:p>
        </w:tc>
        <w:tc>
          <w:tcPr>
            <w:tcW w:w="1276" w:type="dxa"/>
            <w:vAlign w:val="center"/>
          </w:tcPr>
          <w:p w14:paraId="48169BBE">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172.8</w:t>
            </w:r>
          </w:p>
        </w:tc>
        <w:tc>
          <w:tcPr>
            <w:tcW w:w="1610" w:type="dxa"/>
            <w:vAlign w:val="center"/>
          </w:tcPr>
          <w:p w14:paraId="4DEE7FD0">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2B0CF6C3">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31760AA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580F0D0F">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4012BE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1C55C516">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1天</w:t>
            </w:r>
          </w:p>
        </w:tc>
        <w:tc>
          <w:tcPr>
            <w:tcW w:w="1276" w:type="dxa"/>
            <w:vAlign w:val="center"/>
          </w:tcPr>
          <w:p w14:paraId="1308DC17">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2073.6</w:t>
            </w:r>
          </w:p>
        </w:tc>
        <w:tc>
          <w:tcPr>
            <w:tcW w:w="1610" w:type="dxa"/>
            <w:vAlign w:val="center"/>
          </w:tcPr>
          <w:p w14:paraId="5AB57FB0">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6A410F8F">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544CD250">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4918D99E">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7AF3BB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74DDDDC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5天</w:t>
            </w:r>
          </w:p>
        </w:tc>
        <w:tc>
          <w:tcPr>
            <w:tcW w:w="1276" w:type="dxa"/>
            <w:vAlign w:val="center"/>
          </w:tcPr>
          <w:p w14:paraId="1D9C85D9">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10368</w:t>
            </w:r>
          </w:p>
        </w:tc>
        <w:tc>
          <w:tcPr>
            <w:tcW w:w="1610" w:type="dxa"/>
            <w:vAlign w:val="center"/>
          </w:tcPr>
          <w:p w14:paraId="04E9B1E4">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585FCCE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3CA0B88C">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4E362DC4">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r w14:paraId="206853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97" w:type="dxa"/>
            <w:vAlign w:val="center"/>
          </w:tcPr>
          <w:p w14:paraId="681E315B">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bidi="ar"/>
              </w:rPr>
              <w:t>10天</w:t>
            </w:r>
          </w:p>
        </w:tc>
        <w:tc>
          <w:tcPr>
            <w:tcW w:w="1276" w:type="dxa"/>
            <w:vAlign w:val="center"/>
          </w:tcPr>
          <w:p w14:paraId="0D671819">
            <w:pPr>
              <w:ind w:left="-105" w:right="-105"/>
              <w:jc w:val="center"/>
              <w:textAlignment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lang w:bidi="ar"/>
              </w:rPr>
              <w:t>20736</w:t>
            </w:r>
          </w:p>
        </w:tc>
        <w:tc>
          <w:tcPr>
            <w:tcW w:w="1610" w:type="dxa"/>
            <w:vAlign w:val="center"/>
          </w:tcPr>
          <w:p w14:paraId="20466051">
            <w:pPr>
              <w:ind w:left="-105" w:leftChars="0" w:right="-105" w:rightChars="0"/>
              <w:jc w:val="center"/>
              <w:textAlignment w:val="center"/>
              <w:rPr>
                <w:rFonts w:ascii="Times New Roman" w:hAnsi="Times New Roman" w:cs="Times New Roman"/>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11</w:t>
            </w:r>
          </w:p>
        </w:tc>
        <w:tc>
          <w:tcPr>
            <w:tcW w:w="1445" w:type="dxa"/>
            <w:vAlign w:val="center"/>
          </w:tcPr>
          <w:p w14:paraId="1FD61441">
            <w:pPr>
              <w:ind w:left="-105" w:right="-105"/>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448" w:type="dxa"/>
            <w:vAlign w:val="center"/>
          </w:tcPr>
          <w:p w14:paraId="4D2DA5B0">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20</w:t>
            </w:r>
          </w:p>
        </w:tc>
        <w:tc>
          <w:tcPr>
            <w:tcW w:w="1441" w:type="dxa"/>
            <w:vAlign w:val="center"/>
          </w:tcPr>
          <w:p w14:paraId="0D306741">
            <w:pPr>
              <w:ind w:left="-105" w:right="-105"/>
              <w:jc w:val="center"/>
              <w:textAlignment w:val="center"/>
              <w:rPr>
                <w:rFonts w:ascii="Times New Roman" w:hAnsi="Times New Roman" w:cs="Times New Roman"/>
                <w:color w:val="auto"/>
                <w:sz w:val="21"/>
                <w:szCs w:val="21"/>
                <w:highlight w:val="none"/>
                <w:lang w:bidi="ar"/>
              </w:rPr>
            </w:pPr>
            <w:r>
              <w:rPr>
                <w:rFonts w:hint="eastAsia" w:ascii="Times New Roman" w:hAnsi="Times New Roman" w:cs="Times New Roman"/>
                <w:bCs/>
                <w:color w:val="auto"/>
                <w:sz w:val="21"/>
                <w:szCs w:val="21"/>
                <w:highlight w:val="none"/>
              </w:rPr>
              <w:t xml:space="preserve">55.00 </w:t>
            </w:r>
          </w:p>
        </w:tc>
      </w:tr>
    </w:tbl>
    <w:p w14:paraId="28F437BB">
      <w:pPr>
        <w:pStyle w:val="20"/>
        <w:adjustRightInd w:val="0"/>
        <w:snapToGrid w:val="0"/>
        <w:spacing w:line="360" w:lineRule="auto"/>
        <w:ind w:left="-105" w:right="-105" w:firstLine="480" w:firstLineChars="200"/>
        <w:jc w:val="both"/>
        <w:rPr>
          <w:rFonts w:ascii="Times New Roman" w:hAnsi="Times New Roman" w:cs="Times New Roman"/>
          <w:color w:val="auto"/>
          <w:sz w:val="24"/>
          <w:szCs w:val="32"/>
          <w:highlight w:val="none"/>
          <w:lang w:val="en-US" w:bidi="ar-SA"/>
        </w:rPr>
      </w:pPr>
      <w:r>
        <w:rPr>
          <w:rFonts w:ascii="Times New Roman" w:hAnsi="Times New Roman" w:cs="Times New Roman"/>
          <w:color w:val="auto"/>
          <w:sz w:val="24"/>
          <w:szCs w:val="32"/>
          <w:highlight w:val="none"/>
          <w:lang w:val="en-US" w:bidi="ar-SA"/>
        </w:rPr>
        <w:t>根据《地表水环境质量标准》（GB3838-2002）标准要求：</w:t>
      </w:r>
      <w:r>
        <w:rPr>
          <w:rFonts w:hint="eastAsia" w:ascii="Times New Roman" w:hAnsi="Times New Roman" w:cs="Times New Roman"/>
          <w:color w:val="auto"/>
          <w:sz w:val="24"/>
          <w:szCs w:val="32"/>
          <w:highlight w:val="none"/>
          <w:lang w:val="en-US" w:bidi="ar-SA"/>
        </w:rPr>
        <w:t>COD20</w:t>
      </w:r>
      <w:r>
        <w:rPr>
          <w:rFonts w:ascii="Times New Roman" w:hAnsi="Times New Roman" w:cs="Times New Roman"/>
          <w:color w:val="auto"/>
          <w:sz w:val="24"/>
          <w:szCs w:val="32"/>
          <w:highlight w:val="none"/>
          <w:lang w:val="en-US" w:bidi="ar-SA"/>
        </w:rPr>
        <w:t>mg/L（Ⅲ类），由水质预测结果可知，由于</w:t>
      </w:r>
      <w:r>
        <w:rPr>
          <w:rFonts w:hint="eastAsia" w:ascii="Times New Roman" w:hAnsi="Times New Roman" w:cs="Times New Roman"/>
          <w:color w:val="auto"/>
          <w:sz w:val="24"/>
          <w:szCs w:val="32"/>
          <w:highlight w:val="none"/>
          <w:lang w:val="en-US" w:bidi="ar-SA"/>
        </w:rPr>
        <w:t>锡北运</w:t>
      </w:r>
      <w:r>
        <w:rPr>
          <w:rFonts w:ascii="Times New Roman" w:hAnsi="Times New Roman" w:cs="Times New Roman"/>
          <w:color w:val="auto"/>
          <w:sz w:val="24"/>
          <w:szCs w:val="32"/>
          <w:highlight w:val="none"/>
          <w:lang w:val="en-US" w:bidi="ar-SA"/>
        </w:rPr>
        <w:t>河本底值中</w:t>
      </w:r>
      <w:r>
        <w:rPr>
          <w:rFonts w:hint="eastAsia" w:ascii="Times New Roman" w:hAnsi="Times New Roman" w:cs="Times New Roman"/>
          <w:color w:val="auto"/>
          <w:sz w:val="24"/>
          <w:szCs w:val="32"/>
          <w:highlight w:val="none"/>
          <w:lang w:val="en-US" w:bidi="ar-SA"/>
        </w:rPr>
        <w:t>COD浓度为11</w:t>
      </w:r>
      <w:r>
        <w:rPr>
          <w:rFonts w:ascii="Times New Roman" w:hAnsi="Times New Roman" w:cs="Times New Roman"/>
          <w:color w:val="auto"/>
          <w:sz w:val="24"/>
          <w:szCs w:val="32"/>
          <w:highlight w:val="none"/>
          <w:lang w:val="en-US" w:bidi="ar-SA"/>
        </w:rPr>
        <w:t>mg/L</w:t>
      </w:r>
      <w:r>
        <w:rPr>
          <w:rFonts w:hint="eastAsia" w:ascii="Times New Roman" w:hAnsi="Times New Roman" w:cs="Times New Roman"/>
          <w:color w:val="auto"/>
          <w:sz w:val="24"/>
          <w:szCs w:val="32"/>
          <w:highlight w:val="none"/>
          <w:lang w:val="en-US" w:eastAsia="zh-CN" w:bidi="ar-SA"/>
        </w:rPr>
        <w:t>（企业委托无锡市恒信安全技术服务有限公司于2024年4月24日对雨水排放口受纳水体锡北运河进行COD、氨氮、总氮检测，报告编号：恒信（环）字第HXHJ202404054号）</w:t>
      </w:r>
      <w:r>
        <w:rPr>
          <w:rFonts w:ascii="Times New Roman" w:hAnsi="Times New Roman" w:cs="Times New Roman"/>
          <w:color w:val="auto"/>
          <w:sz w:val="24"/>
          <w:szCs w:val="32"/>
          <w:highlight w:val="none"/>
          <w:lang w:val="en-US" w:bidi="ar-SA"/>
        </w:rPr>
        <w:t>，废水进入</w:t>
      </w:r>
      <w:r>
        <w:rPr>
          <w:rFonts w:hint="eastAsia" w:ascii="Times New Roman" w:hAnsi="Times New Roman" w:cs="Times New Roman"/>
          <w:color w:val="auto"/>
          <w:sz w:val="24"/>
          <w:szCs w:val="32"/>
          <w:highlight w:val="none"/>
          <w:lang w:val="en-US" w:bidi="ar-SA"/>
        </w:rPr>
        <w:t>锡北运河</w:t>
      </w:r>
      <w:r>
        <w:rPr>
          <w:rFonts w:ascii="Times New Roman" w:hAnsi="Times New Roman" w:cs="Times New Roman"/>
          <w:color w:val="auto"/>
          <w:sz w:val="24"/>
          <w:szCs w:val="32"/>
          <w:highlight w:val="none"/>
          <w:lang w:val="en-US" w:bidi="ar-SA"/>
        </w:rPr>
        <w:t>后对本底值影响不大，因此，废水的排入对</w:t>
      </w:r>
      <w:r>
        <w:rPr>
          <w:rFonts w:hint="eastAsia" w:ascii="Times New Roman" w:hAnsi="Times New Roman" w:cs="Times New Roman"/>
          <w:color w:val="auto"/>
          <w:sz w:val="24"/>
          <w:szCs w:val="32"/>
          <w:highlight w:val="none"/>
          <w:lang w:val="en-US" w:bidi="ar-SA"/>
        </w:rPr>
        <w:t>锡北运河</w:t>
      </w:r>
      <w:r>
        <w:rPr>
          <w:rFonts w:ascii="Times New Roman" w:hAnsi="Times New Roman" w:cs="Times New Roman"/>
          <w:color w:val="auto"/>
          <w:sz w:val="24"/>
          <w:szCs w:val="32"/>
          <w:highlight w:val="none"/>
          <w:lang w:val="en-US" w:bidi="ar-SA"/>
        </w:rPr>
        <w:t>水环境</w:t>
      </w:r>
      <w:r>
        <w:rPr>
          <w:rFonts w:hint="eastAsia" w:ascii="Times New Roman" w:hAnsi="Times New Roman" w:cs="Times New Roman"/>
          <w:color w:val="auto"/>
          <w:sz w:val="24"/>
          <w:szCs w:val="32"/>
          <w:highlight w:val="none"/>
          <w:lang w:val="en-US" w:bidi="ar-SA"/>
        </w:rPr>
        <w:t>影响较小</w:t>
      </w:r>
      <w:r>
        <w:rPr>
          <w:rFonts w:ascii="Times New Roman" w:hAnsi="Times New Roman" w:cs="Times New Roman"/>
          <w:color w:val="auto"/>
          <w:sz w:val="24"/>
          <w:szCs w:val="32"/>
          <w:highlight w:val="none"/>
          <w:lang w:val="en-US" w:bidi="ar-SA"/>
        </w:rPr>
        <w:t>。因此企业应设置事故废水收集措施，确保泄漏物料、事故废水、消防废水等在厂内收集，不会泄漏出厂界。</w:t>
      </w:r>
    </w:p>
    <w:p w14:paraId="42EAE83A">
      <w:pPr>
        <w:pStyle w:val="15"/>
        <w:ind w:left="-105" w:right="-105" w:firstLine="482"/>
        <w:rPr>
          <w:rFonts w:eastAsia="宋体"/>
          <w:color w:val="auto"/>
          <w:sz w:val="24"/>
          <w:szCs w:val="24"/>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6.7</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5</w:t>
      </w:r>
      <w:r>
        <w:rPr>
          <w:rFonts w:eastAsia="宋体"/>
          <w:color w:val="auto"/>
          <w:sz w:val="24"/>
          <w:szCs w:val="24"/>
          <w:highlight w:val="none"/>
        </w:rPr>
        <w:fldChar w:fldCharType="end"/>
      </w:r>
      <w:r>
        <w:rPr>
          <w:rFonts w:hint="eastAsia" w:eastAsia="宋体"/>
          <w:color w:val="auto"/>
          <w:sz w:val="24"/>
          <w:szCs w:val="24"/>
          <w:highlight w:val="none"/>
        </w:rPr>
        <w:t>废液储罐</w:t>
      </w:r>
      <w:r>
        <w:rPr>
          <w:rFonts w:eastAsia="宋体"/>
          <w:color w:val="auto"/>
          <w:sz w:val="24"/>
          <w:szCs w:val="24"/>
          <w:highlight w:val="none"/>
        </w:rPr>
        <w:t>破裂泄漏进入地表水事故后果信息表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25"/>
        <w:gridCol w:w="599"/>
        <w:gridCol w:w="748"/>
        <w:gridCol w:w="793"/>
        <w:gridCol w:w="982"/>
        <w:gridCol w:w="450"/>
        <w:gridCol w:w="580"/>
        <w:gridCol w:w="838"/>
        <w:gridCol w:w="724"/>
        <w:gridCol w:w="340"/>
        <w:gridCol w:w="925"/>
      </w:tblGrid>
      <w:tr w14:paraId="43859D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04" w:type="dxa"/>
            <w:gridSpan w:val="11"/>
            <w:shd w:val="clear" w:color="auto" w:fill="FFFFFF"/>
            <w:vAlign w:val="center"/>
          </w:tcPr>
          <w:p w14:paraId="6BE7603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b/>
                <w:bCs/>
                <w:color w:val="auto"/>
                <w:sz w:val="21"/>
                <w:szCs w:val="21"/>
                <w:highlight w:val="none"/>
                <w:lang w:val="zh-TW"/>
              </w:rPr>
              <w:t>风险事故情形分析</w:t>
            </w:r>
          </w:p>
        </w:tc>
      </w:tr>
      <w:tr w14:paraId="0FA18A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3621112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代表性风险事故情形描述</w:t>
            </w:r>
          </w:p>
        </w:tc>
        <w:tc>
          <w:tcPr>
            <w:tcW w:w="6979" w:type="dxa"/>
            <w:gridSpan w:val="10"/>
            <w:shd w:val="clear" w:color="auto" w:fill="FFFFFF"/>
            <w:vAlign w:val="center"/>
          </w:tcPr>
          <w:p w14:paraId="6DBB231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hint="eastAsia" w:ascii="Times New Roman" w:hAnsi="Times New Roman" w:cs="Times New Roman"/>
                <w:color w:val="auto"/>
                <w:sz w:val="21"/>
                <w:szCs w:val="21"/>
                <w:highlight w:val="none"/>
              </w:rPr>
              <w:t>废液储罐</w:t>
            </w:r>
            <w:r>
              <w:rPr>
                <w:rFonts w:ascii="Times New Roman" w:hAnsi="Times New Roman" w:cs="Times New Roman"/>
                <w:color w:val="auto"/>
                <w:sz w:val="21"/>
                <w:szCs w:val="21"/>
                <w:highlight w:val="none"/>
                <w:lang w:val="zh-TW"/>
              </w:rPr>
              <w:t>破裂泄漏，泄漏液通过雨水管网进入</w:t>
            </w:r>
            <w:r>
              <w:rPr>
                <w:rFonts w:hint="eastAsia" w:ascii="Times New Roman" w:hAnsi="Times New Roman" w:cs="Times New Roman"/>
                <w:bCs/>
                <w:color w:val="auto"/>
                <w:sz w:val="21"/>
                <w:szCs w:val="21"/>
                <w:highlight w:val="none"/>
              </w:rPr>
              <w:t>锡北运河</w:t>
            </w:r>
            <w:r>
              <w:rPr>
                <w:rFonts w:ascii="Times New Roman" w:hAnsi="Times New Roman" w:cs="Times New Roman"/>
                <w:color w:val="auto"/>
                <w:sz w:val="21"/>
                <w:szCs w:val="21"/>
                <w:highlight w:val="none"/>
                <w:lang w:val="zh-TW"/>
              </w:rPr>
              <w:t>，污染地表水环境</w:t>
            </w:r>
          </w:p>
        </w:tc>
      </w:tr>
      <w:tr w14:paraId="10061D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642DAA2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环境风险类型</w:t>
            </w:r>
          </w:p>
        </w:tc>
        <w:tc>
          <w:tcPr>
            <w:tcW w:w="6979" w:type="dxa"/>
            <w:gridSpan w:val="10"/>
            <w:shd w:val="clear" w:color="auto" w:fill="FFFFFF"/>
            <w:vAlign w:val="center"/>
          </w:tcPr>
          <w:p w14:paraId="35951344">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w:t>
            </w:r>
          </w:p>
        </w:tc>
      </w:tr>
      <w:tr w14:paraId="15A00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13F1B363">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泄漏设备类型</w:t>
            </w:r>
          </w:p>
        </w:tc>
        <w:tc>
          <w:tcPr>
            <w:tcW w:w="1347" w:type="dxa"/>
            <w:gridSpan w:val="2"/>
            <w:shd w:val="clear" w:color="auto" w:fill="FFFFFF"/>
            <w:vAlign w:val="center"/>
          </w:tcPr>
          <w:p w14:paraId="1193004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储罐</w:t>
            </w:r>
          </w:p>
        </w:tc>
        <w:tc>
          <w:tcPr>
            <w:tcW w:w="1775" w:type="dxa"/>
            <w:gridSpan w:val="2"/>
            <w:shd w:val="clear" w:color="auto" w:fill="FFFFFF"/>
            <w:vAlign w:val="center"/>
          </w:tcPr>
          <w:p w14:paraId="4219A4D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操作温度</w:t>
            </w:r>
            <w:r>
              <w:rPr>
                <w:rFonts w:ascii="Times New Roman" w:hAnsi="Times New Roman" w:cs="Times New Roman"/>
                <w:color w:val="auto"/>
                <w:sz w:val="21"/>
                <w:szCs w:val="21"/>
                <w:highlight w:val="none"/>
                <w:lang w:eastAsia="en-US"/>
              </w:rPr>
              <w:t>/℃</w:t>
            </w:r>
          </w:p>
        </w:tc>
        <w:tc>
          <w:tcPr>
            <w:tcW w:w="1030" w:type="dxa"/>
            <w:gridSpan w:val="2"/>
            <w:shd w:val="clear" w:color="auto" w:fill="FFFFFF"/>
            <w:vAlign w:val="center"/>
          </w:tcPr>
          <w:p w14:paraId="44C7C48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w:t>
            </w:r>
          </w:p>
        </w:tc>
        <w:tc>
          <w:tcPr>
            <w:tcW w:w="1562" w:type="dxa"/>
            <w:gridSpan w:val="2"/>
            <w:shd w:val="clear" w:color="auto" w:fill="FFFFFF"/>
            <w:vAlign w:val="center"/>
          </w:tcPr>
          <w:p w14:paraId="6E53531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操作压力</w:t>
            </w:r>
            <w:r>
              <w:rPr>
                <w:rFonts w:ascii="Times New Roman" w:hAnsi="Times New Roman" w:cs="Times New Roman"/>
                <w:color w:val="auto"/>
                <w:sz w:val="21"/>
                <w:szCs w:val="21"/>
                <w:highlight w:val="none"/>
                <w:lang w:eastAsia="en-US"/>
              </w:rPr>
              <w:t>/MPa</w:t>
            </w:r>
          </w:p>
        </w:tc>
        <w:tc>
          <w:tcPr>
            <w:tcW w:w="1265" w:type="dxa"/>
            <w:gridSpan w:val="2"/>
            <w:shd w:val="clear" w:color="auto" w:fill="FFFFFF"/>
            <w:vAlign w:val="center"/>
          </w:tcPr>
          <w:p w14:paraId="50BF599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tc>
      </w:tr>
      <w:tr w14:paraId="45F00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4741E0D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泄漏危险物质</w:t>
            </w:r>
          </w:p>
        </w:tc>
        <w:tc>
          <w:tcPr>
            <w:tcW w:w="1347" w:type="dxa"/>
            <w:gridSpan w:val="2"/>
            <w:shd w:val="clear" w:color="auto" w:fill="FFFFFF"/>
            <w:vAlign w:val="center"/>
          </w:tcPr>
          <w:p w14:paraId="0D79D532">
            <w:pPr>
              <w:keepNext w:val="0"/>
              <w:keepLines w:val="0"/>
              <w:pageBreakBefore w:val="0"/>
              <w:widowControl/>
              <w:kinsoku/>
              <w:wordWrap/>
              <w:overflowPunct/>
              <w:topLinePunct w:val="0"/>
              <w:autoSpaceDE/>
              <w:autoSpaceDN/>
              <w:bidi w:val="0"/>
              <w:adjustRightInd/>
              <w:snapToGrid w:val="0"/>
              <w:ind w:left="0" w:right="0"/>
              <w:jc w:val="center"/>
              <w:textAlignment w:val="auto"/>
              <w:rPr>
                <w:rFonts w:hint="eastAsia" w:ascii="Times New Roman" w:hAnsi="Times New Roman" w:eastAsia="宋体" w:cs="Times New Roman"/>
                <w:color w:val="auto"/>
                <w:sz w:val="21"/>
                <w:szCs w:val="21"/>
                <w:highlight w:val="none"/>
                <w:lang w:val="zh-TW" w:eastAsia="zh-CN"/>
              </w:rPr>
            </w:pPr>
            <w:r>
              <w:rPr>
                <w:rFonts w:hint="eastAsia" w:ascii="Times New Roman" w:hAnsi="Times New Roman" w:cs="Times New Roman"/>
                <w:color w:val="auto"/>
                <w:sz w:val="21"/>
                <w:szCs w:val="21"/>
                <w:highlight w:val="none"/>
                <w:lang w:val="en-US" w:eastAsia="zh-CN"/>
              </w:rPr>
              <w:t>喷淋废液</w:t>
            </w:r>
          </w:p>
        </w:tc>
        <w:tc>
          <w:tcPr>
            <w:tcW w:w="1775" w:type="dxa"/>
            <w:gridSpan w:val="2"/>
            <w:shd w:val="clear" w:color="auto" w:fill="FFFFFF"/>
            <w:vAlign w:val="center"/>
          </w:tcPr>
          <w:p w14:paraId="0922762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最大存在量</w:t>
            </w:r>
            <w:r>
              <w:rPr>
                <w:rFonts w:ascii="Times New Roman" w:hAnsi="Times New Roman" w:cs="Times New Roman"/>
                <w:color w:val="auto"/>
                <w:sz w:val="21"/>
                <w:szCs w:val="21"/>
                <w:highlight w:val="none"/>
                <w:lang w:eastAsia="en-US"/>
              </w:rPr>
              <w:t>/kg</w:t>
            </w:r>
          </w:p>
        </w:tc>
        <w:tc>
          <w:tcPr>
            <w:tcW w:w="1030" w:type="dxa"/>
            <w:gridSpan w:val="2"/>
            <w:shd w:val="clear" w:color="auto" w:fill="FFFFFF"/>
            <w:vAlign w:val="center"/>
          </w:tcPr>
          <w:p w14:paraId="60ED980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w:t>
            </w:r>
            <w:r>
              <w:rPr>
                <w:rFonts w:ascii="Times New Roman" w:hAnsi="Times New Roman" w:cs="Times New Roman"/>
                <w:color w:val="auto"/>
                <w:sz w:val="21"/>
                <w:szCs w:val="21"/>
                <w:highlight w:val="none"/>
              </w:rPr>
              <w:t>000</w:t>
            </w:r>
          </w:p>
        </w:tc>
        <w:tc>
          <w:tcPr>
            <w:tcW w:w="1562" w:type="dxa"/>
            <w:gridSpan w:val="2"/>
            <w:shd w:val="clear" w:color="auto" w:fill="FFFFFF"/>
            <w:vAlign w:val="center"/>
          </w:tcPr>
          <w:p w14:paraId="6392DD4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泄漏孔径</w:t>
            </w:r>
            <w:r>
              <w:rPr>
                <w:rFonts w:ascii="Times New Roman" w:hAnsi="Times New Roman" w:cs="Times New Roman"/>
                <w:color w:val="auto"/>
                <w:sz w:val="21"/>
                <w:szCs w:val="21"/>
                <w:highlight w:val="none"/>
                <w:lang w:eastAsia="en-US"/>
              </w:rPr>
              <w:t>/mm</w:t>
            </w:r>
          </w:p>
        </w:tc>
        <w:tc>
          <w:tcPr>
            <w:tcW w:w="1265" w:type="dxa"/>
            <w:gridSpan w:val="2"/>
            <w:shd w:val="clear" w:color="auto" w:fill="FFFFFF"/>
            <w:vAlign w:val="center"/>
          </w:tcPr>
          <w:p w14:paraId="1835990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储罐</w:t>
            </w:r>
            <w:r>
              <w:rPr>
                <w:rFonts w:ascii="Times New Roman" w:hAnsi="Times New Roman" w:cs="Times New Roman"/>
                <w:color w:val="auto"/>
                <w:sz w:val="21"/>
                <w:szCs w:val="21"/>
                <w:highlight w:val="none"/>
              </w:rPr>
              <w:t>完全破损泄漏</w:t>
            </w:r>
          </w:p>
        </w:tc>
      </w:tr>
      <w:tr w14:paraId="2AB7F8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2FC0A94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val="zh-TW"/>
              </w:rPr>
              <w:t>泄漏速率</w:t>
            </w:r>
            <w:r>
              <w:rPr>
                <w:rFonts w:ascii="Times New Roman" w:hAnsi="Times New Roman" w:cs="Times New Roman"/>
                <w:color w:val="auto"/>
                <w:sz w:val="21"/>
                <w:szCs w:val="21"/>
                <w:highlight w:val="none"/>
                <w:lang w:eastAsia="en-US"/>
              </w:rPr>
              <w:t>/(kg/s)</w:t>
            </w:r>
          </w:p>
        </w:tc>
        <w:tc>
          <w:tcPr>
            <w:tcW w:w="1347" w:type="dxa"/>
            <w:gridSpan w:val="2"/>
            <w:shd w:val="clear" w:color="auto" w:fill="FFFFFF"/>
            <w:vAlign w:val="center"/>
          </w:tcPr>
          <w:p w14:paraId="02FD5181">
            <w:pPr>
              <w:keepNext w:val="0"/>
              <w:keepLines w:val="0"/>
              <w:pageBreakBefore w:val="0"/>
              <w:widowControl/>
              <w:kinsoku/>
              <w:wordWrap/>
              <w:overflowPunct/>
              <w:topLinePunct w:val="0"/>
              <w:autoSpaceDE/>
              <w:autoSpaceDN/>
              <w:bidi w:val="0"/>
              <w:adjustRightInd/>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33.333</w:t>
            </w:r>
          </w:p>
        </w:tc>
        <w:tc>
          <w:tcPr>
            <w:tcW w:w="1775" w:type="dxa"/>
            <w:gridSpan w:val="2"/>
            <w:shd w:val="clear" w:color="auto" w:fill="FFFFFF"/>
            <w:vAlign w:val="center"/>
          </w:tcPr>
          <w:p w14:paraId="5DB87DC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泄漏时间</w:t>
            </w:r>
            <w:r>
              <w:rPr>
                <w:rFonts w:ascii="Times New Roman" w:hAnsi="Times New Roman" w:cs="Times New Roman"/>
                <w:color w:val="auto"/>
                <w:sz w:val="21"/>
                <w:szCs w:val="21"/>
                <w:highlight w:val="none"/>
                <w:lang w:eastAsia="en-US"/>
              </w:rPr>
              <w:t>/min</w:t>
            </w:r>
          </w:p>
        </w:tc>
        <w:tc>
          <w:tcPr>
            <w:tcW w:w="1030" w:type="dxa"/>
            <w:gridSpan w:val="2"/>
            <w:shd w:val="clear" w:color="auto" w:fill="FFFFFF"/>
            <w:vAlign w:val="center"/>
          </w:tcPr>
          <w:p w14:paraId="1D39887D">
            <w:pPr>
              <w:keepNext w:val="0"/>
              <w:keepLines w:val="0"/>
              <w:pageBreakBefore w:val="0"/>
              <w:widowControl/>
              <w:kinsoku/>
              <w:wordWrap/>
              <w:overflowPunct/>
              <w:topLinePunct w:val="0"/>
              <w:autoSpaceDE/>
              <w:autoSpaceDN/>
              <w:bidi w:val="0"/>
              <w:adjustRightInd/>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562" w:type="dxa"/>
            <w:gridSpan w:val="2"/>
            <w:shd w:val="clear" w:color="auto" w:fill="FFFFFF"/>
            <w:vAlign w:val="center"/>
          </w:tcPr>
          <w:p w14:paraId="069767A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泄漏量</w:t>
            </w:r>
            <w:r>
              <w:rPr>
                <w:rFonts w:ascii="Times New Roman" w:hAnsi="Times New Roman" w:cs="Times New Roman"/>
                <w:color w:val="auto"/>
                <w:sz w:val="21"/>
                <w:szCs w:val="21"/>
                <w:highlight w:val="none"/>
                <w:lang w:eastAsia="en-US"/>
              </w:rPr>
              <w:t>/kg</w:t>
            </w:r>
          </w:p>
        </w:tc>
        <w:tc>
          <w:tcPr>
            <w:tcW w:w="1265" w:type="dxa"/>
            <w:gridSpan w:val="2"/>
            <w:shd w:val="clear" w:color="auto" w:fill="FFFFFF"/>
            <w:vAlign w:val="center"/>
          </w:tcPr>
          <w:p w14:paraId="1BEFD60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20000</w:t>
            </w:r>
          </w:p>
        </w:tc>
      </w:tr>
      <w:tr w14:paraId="130A72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shd w:val="clear" w:color="auto" w:fill="FFFFFF"/>
            <w:vAlign w:val="center"/>
          </w:tcPr>
          <w:p w14:paraId="188FEC0A">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泄漏高度</w:t>
            </w:r>
            <w:r>
              <w:rPr>
                <w:rFonts w:ascii="Times New Roman" w:hAnsi="Times New Roman" w:cs="Times New Roman"/>
                <w:color w:val="auto"/>
                <w:sz w:val="21"/>
                <w:szCs w:val="21"/>
                <w:highlight w:val="none"/>
                <w:lang w:eastAsia="en-US"/>
              </w:rPr>
              <w:t>/m</w:t>
            </w:r>
          </w:p>
        </w:tc>
        <w:tc>
          <w:tcPr>
            <w:tcW w:w="1347" w:type="dxa"/>
            <w:gridSpan w:val="2"/>
            <w:shd w:val="clear" w:color="auto" w:fill="FFFFFF"/>
            <w:vAlign w:val="center"/>
          </w:tcPr>
          <w:p w14:paraId="2A8314C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w:t>
            </w:r>
          </w:p>
        </w:tc>
        <w:tc>
          <w:tcPr>
            <w:tcW w:w="1775" w:type="dxa"/>
            <w:gridSpan w:val="2"/>
            <w:shd w:val="clear" w:color="auto" w:fill="FFFFFF"/>
            <w:vAlign w:val="center"/>
          </w:tcPr>
          <w:p w14:paraId="55D746F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泄漏液体蒸发量</w:t>
            </w:r>
            <w:r>
              <w:rPr>
                <w:rFonts w:ascii="Times New Roman" w:hAnsi="Times New Roman" w:cs="Times New Roman"/>
                <w:color w:val="auto"/>
                <w:sz w:val="21"/>
                <w:szCs w:val="21"/>
                <w:highlight w:val="none"/>
                <w:lang w:eastAsia="en-US"/>
              </w:rPr>
              <w:t>/kg</w:t>
            </w:r>
          </w:p>
        </w:tc>
        <w:tc>
          <w:tcPr>
            <w:tcW w:w="1030" w:type="dxa"/>
            <w:gridSpan w:val="2"/>
            <w:shd w:val="clear" w:color="auto" w:fill="FFFFFF"/>
            <w:vAlign w:val="center"/>
          </w:tcPr>
          <w:p w14:paraId="3D3C4E0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562" w:type="dxa"/>
            <w:gridSpan w:val="2"/>
            <w:shd w:val="clear" w:color="auto" w:fill="FFFFFF"/>
            <w:vAlign w:val="center"/>
          </w:tcPr>
          <w:p w14:paraId="7B68CF1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泄漏频率</w:t>
            </w:r>
          </w:p>
        </w:tc>
        <w:tc>
          <w:tcPr>
            <w:tcW w:w="1265" w:type="dxa"/>
            <w:gridSpan w:val="2"/>
            <w:shd w:val="clear" w:color="auto" w:fill="FFFFFF"/>
            <w:vAlign w:val="center"/>
          </w:tcPr>
          <w:p w14:paraId="3F816171">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5.0×10</w:t>
            </w:r>
            <w:r>
              <w:rPr>
                <w:rFonts w:ascii="Times New Roman" w:hAnsi="Times New Roman" w:cs="Times New Roman"/>
                <w:color w:val="auto"/>
                <w:sz w:val="21"/>
                <w:szCs w:val="21"/>
                <w:highlight w:val="none"/>
                <w:vertAlign w:val="superscript"/>
              </w:rPr>
              <w:t>-6</w:t>
            </w:r>
            <w:r>
              <w:rPr>
                <w:rFonts w:ascii="Times New Roman" w:hAnsi="Times New Roman" w:cs="Times New Roman"/>
                <w:color w:val="auto"/>
                <w:sz w:val="21"/>
                <w:szCs w:val="21"/>
                <w:highlight w:val="none"/>
              </w:rPr>
              <w:t>/a</w:t>
            </w:r>
          </w:p>
        </w:tc>
      </w:tr>
      <w:tr w14:paraId="34A693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04" w:type="dxa"/>
            <w:gridSpan w:val="11"/>
            <w:shd w:val="clear" w:color="auto" w:fill="FFFFFF"/>
            <w:vAlign w:val="center"/>
          </w:tcPr>
          <w:p w14:paraId="18872D9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事故后果预测</w:t>
            </w:r>
          </w:p>
        </w:tc>
      </w:tr>
      <w:tr w14:paraId="14AFE6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restart"/>
            <w:shd w:val="clear" w:color="auto" w:fill="FFFFFF"/>
            <w:vAlign w:val="center"/>
          </w:tcPr>
          <w:p w14:paraId="435FFF24">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地表水</w:t>
            </w:r>
          </w:p>
        </w:tc>
        <w:tc>
          <w:tcPr>
            <w:tcW w:w="599" w:type="dxa"/>
            <w:shd w:val="clear" w:color="auto" w:fill="FFFFFF"/>
            <w:vAlign w:val="center"/>
          </w:tcPr>
          <w:p w14:paraId="7B1C676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危险物质</w:t>
            </w:r>
          </w:p>
        </w:tc>
        <w:tc>
          <w:tcPr>
            <w:tcW w:w="6380" w:type="dxa"/>
            <w:gridSpan w:val="9"/>
            <w:shd w:val="clear" w:color="auto" w:fill="FFFFFF"/>
            <w:vAlign w:val="center"/>
          </w:tcPr>
          <w:p w14:paraId="542C928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地表水环境影响</w:t>
            </w:r>
          </w:p>
        </w:tc>
      </w:tr>
      <w:tr w14:paraId="386DFF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10E80DA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99" w:type="dxa"/>
            <w:vMerge w:val="restart"/>
            <w:shd w:val="clear" w:color="auto" w:fill="FFFFFF"/>
            <w:vAlign w:val="center"/>
          </w:tcPr>
          <w:p w14:paraId="52DD9D6A">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COD</w:t>
            </w:r>
          </w:p>
        </w:tc>
        <w:tc>
          <w:tcPr>
            <w:tcW w:w="1541" w:type="dxa"/>
            <w:gridSpan w:val="2"/>
            <w:shd w:val="clear" w:color="auto" w:fill="FFFFFF"/>
            <w:vAlign w:val="center"/>
          </w:tcPr>
          <w:p w14:paraId="535766A7">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受纳水体名称</w:t>
            </w:r>
          </w:p>
        </w:tc>
        <w:tc>
          <w:tcPr>
            <w:tcW w:w="2850" w:type="dxa"/>
            <w:gridSpan w:val="4"/>
            <w:shd w:val="clear" w:color="auto" w:fill="FFFFFF"/>
            <w:vAlign w:val="center"/>
          </w:tcPr>
          <w:p w14:paraId="0E4B807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最远超标距离/m</w:t>
            </w:r>
          </w:p>
        </w:tc>
        <w:tc>
          <w:tcPr>
            <w:tcW w:w="1989" w:type="dxa"/>
            <w:gridSpan w:val="3"/>
            <w:shd w:val="clear" w:color="auto" w:fill="FFFFFF"/>
            <w:vAlign w:val="center"/>
          </w:tcPr>
          <w:p w14:paraId="66344A0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到达时间</w:t>
            </w:r>
            <w:r>
              <w:rPr>
                <w:rFonts w:ascii="Times New Roman" w:hAnsi="Times New Roman" w:cs="Times New Roman"/>
                <w:color w:val="auto"/>
                <w:sz w:val="21"/>
                <w:szCs w:val="21"/>
                <w:highlight w:val="none"/>
                <w:lang w:eastAsia="en-US"/>
              </w:rPr>
              <w:t>/min</w:t>
            </w:r>
          </w:p>
        </w:tc>
      </w:tr>
      <w:tr w14:paraId="58BD8D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3654703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99" w:type="dxa"/>
            <w:vMerge w:val="continue"/>
            <w:shd w:val="clear" w:color="auto" w:fill="FFFFFF"/>
            <w:vAlign w:val="center"/>
          </w:tcPr>
          <w:p w14:paraId="1CCB1100">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1541" w:type="dxa"/>
            <w:gridSpan w:val="2"/>
            <w:shd w:val="clear" w:color="auto" w:fill="FFFFFF"/>
            <w:vAlign w:val="center"/>
          </w:tcPr>
          <w:p w14:paraId="2481DEA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锡北运</w:t>
            </w:r>
            <w:r>
              <w:rPr>
                <w:rFonts w:ascii="Times New Roman" w:hAnsi="Times New Roman" w:cs="Times New Roman"/>
                <w:bCs/>
                <w:color w:val="auto"/>
                <w:sz w:val="21"/>
                <w:szCs w:val="21"/>
                <w:highlight w:val="none"/>
              </w:rPr>
              <w:t>河</w:t>
            </w:r>
          </w:p>
        </w:tc>
        <w:tc>
          <w:tcPr>
            <w:tcW w:w="2850" w:type="dxa"/>
            <w:gridSpan w:val="4"/>
            <w:shd w:val="clear" w:color="auto" w:fill="FFFFFF"/>
            <w:vAlign w:val="center"/>
          </w:tcPr>
          <w:p w14:paraId="3AE8025C">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989" w:type="dxa"/>
            <w:gridSpan w:val="3"/>
            <w:shd w:val="clear" w:color="auto" w:fill="FFFFFF"/>
            <w:vAlign w:val="center"/>
          </w:tcPr>
          <w:p w14:paraId="31E8737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2A843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0F70D4E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99" w:type="dxa"/>
            <w:vMerge w:val="continue"/>
            <w:shd w:val="clear" w:color="auto" w:fill="FFFFFF"/>
            <w:vAlign w:val="center"/>
          </w:tcPr>
          <w:p w14:paraId="38B5252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1541" w:type="dxa"/>
            <w:gridSpan w:val="2"/>
            <w:shd w:val="clear" w:color="auto" w:fill="FFFFFF"/>
            <w:vAlign w:val="center"/>
          </w:tcPr>
          <w:p w14:paraId="0618A7A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敏感目标名称</w:t>
            </w:r>
          </w:p>
        </w:tc>
        <w:tc>
          <w:tcPr>
            <w:tcW w:w="1432" w:type="dxa"/>
            <w:gridSpan w:val="2"/>
            <w:shd w:val="clear" w:color="auto" w:fill="FFFFFF"/>
            <w:vAlign w:val="center"/>
          </w:tcPr>
          <w:p w14:paraId="65EB63F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rPr>
              <w:t>到达时间</w:t>
            </w:r>
            <w:r>
              <w:rPr>
                <w:rFonts w:ascii="Times New Roman" w:hAnsi="Times New Roman" w:cs="Times New Roman"/>
                <w:color w:val="auto"/>
                <w:sz w:val="21"/>
                <w:szCs w:val="21"/>
                <w:highlight w:val="none"/>
                <w:lang w:eastAsia="en-US"/>
              </w:rPr>
              <w:t>/h</w:t>
            </w:r>
          </w:p>
        </w:tc>
        <w:tc>
          <w:tcPr>
            <w:tcW w:w="1418" w:type="dxa"/>
            <w:gridSpan w:val="2"/>
            <w:shd w:val="clear" w:color="auto" w:fill="FFFFFF"/>
            <w:vAlign w:val="center"/>
          </w:tcPr>
          <w:p w14:paraId="4E3E464D">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eastAsia="en-US"/>
              </w:rPr>
              <w:t>超标时间/min</w:t>
            </w:r>
          </w:p>
        </w:tc>
        <w:tc>
          <w:tcPr>
            <w:tcW w:w="1064" w:type="dxa"/>
            <w:gridSpan w:val="2"/>
            <w:shd w:val="clear" w:color="auto" w:fill="FFFFFF"/>
            <w:vAlign w:val="center"/>
          </w:tcPr>
          <w:p w14:paraId="2E2B0CA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r>
              <w:rPr>
                <w:rFonts w:ascii="Times New Roman" w:hAnsi="Times New Roman" w:cs="Times New Roman"/>
                <w:color w:val="auto"/>
                <w:sz w:val="21"/>
                <w:szCs w:val="21"/>
                <w:highlight w:val="none"/>
                <w:lang w:val="zh-TW"/>
              </w:rPr>
              <w:t>超标持续时间/h</w:t>
            </w:r>
          </w:p>
        </w:tc>
        <w:tc>
          <w:tcPr>
            <w:tcW w:w="925" w:type="dxa"/>
            <w:shd w:val="clear" w:color="auto" w:fill="FFFFFF"/>
            <w:vAlign w:val="center"/>
          </w:tcPr>
          <w:p w14:paraId="3F98BCD5">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最大浓度</w:t>
            </w:r>
          </w:p>
          <w:p w14:paraId="1C875E5E">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/(mg/m</w:t>
            </w:r>
            <w:r>
              <w:rPr>
                <w:rFonts w:ascii="Times New Roman" w:hAnsi="Times New Roman" w:cs="Times New Roman"/>
                <w:color w:val="auto"/>
                <w:sz w:val="21"/>
                <w:szCs w:val="21"/>
                <w:highlight w:val="none"/>
                <w:vertAlign w:val="superscript"/>
                <w:lang w:eastAsia="en-US"/>
              </w:rPr>
              <w:t>3</w:t>
            </w:r>
            <w:r>
              <w:rPr>
                <w:rFonts w:ascii="Times New Roman" w:hAnsi="Times New Roman" w:cs="Times New Roman"/>
                <w:color w:val="auto"/>
                <w:sz w:val="21"/>
                <w:szCs w:val="21"/>
                <w:highlight w:val="none"/>
                <w:lang w:eastAsia="en-US"/>
              </w:rPr>
              <w:t>)</w:t>
            </w:r>
          </w:p>
        </w:tc>
      </w:tr>
      <w:tr w14:paraId="38377D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5" w:type="dxa"/>
            <w:vMerge w:val="continue"/>
            <w:shd w:val="clear" w:color="auto" w:fill="FFFFFF"/>
            <w:vAlign w:val="center"/>
          </w:tcPr>
          <w:p w14:paraId="16FA3549">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599" w:type="dxa"/>
            <w:vMerge w:val="continue"/>
            <w:shd w:val="clear" w:color="auto" w:fill="FFFFFF"/>
            <w:vAlign w:val="center"/>
          </w:tcPr>
          <w:p w14:paraId="57865DB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lang w:val="zh-TW"/>
              </w:rPr>
            </w:pPr>
          </w:p>
        </w:tc>
        <w:tc>
          <w:tcPr>
            <w:tcW w:w="1541" w:type="dxa"/>
            <w:gridSpan w:val="2"/>
            <w:shd w:val="clear" w:color="auto" w:fill="FFFFFF"/>
            <w:vAlign w:val="center"/>
          </w:tcPr>
          <w:p w14:paraId="7D4206BF">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32" w:type="dxa"/>
            <w:gridSpan w:val="2"/>
            <w:shd w:val="clear" w:color="auto" w:fill="FFFFFF"/>
            <w:vAlign w:val="center"/>
          </w:tcPr>
          <w:p w14:paraId="63ECC5BB">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18" w:type="dxa"/>
            <w:gridSpan w:val="2"/>
            <w:shd w:val="clear" w:color="auto" w:fill="FFFFFF"/>
            <w:vAlign w:val="center"/>
          </w:tcPr>
          <w:p w14:paraId="30028BB8">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w:t>
            </w:r>
          </w:p>
        </w:tc>
        <w:tc>
          <w:tcPr>
            <w:tcW w:w="1064" w:type="dxa"/>
            <w:gridSpan w:val="2"/>
            <w:shd w:val="clear" w:color="auto" w:fill="FFFFFF"/>
            <w:vAlign w:val="center"/>
          </w:tcPr>
          <w:p w14:paraId="44D23636">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925" w:type="dxa"/>
            <w:shd w:val="clear" w:color="auto" w:fill="FFFFFF"/>
            <w:vAlign w:val="center"/>
          </w:tcPr>
          <w:p w14:paraId="677C0972">
            <w:pPr>
              <w:keepNext w:val="0"/>
              <w:keepLines w:val="0"/>
              <w:pageBreakBefore w:val="0"/>
              <w:widowControl/>
              <w:kinsoku/>
              <w:wordWrap/>
              <w:overflowPunct/>
              <w:topLinePunct w:val="0"/>
              <w:autoSpaceDE/>
              <w:autoSpaceDN/>
              <w:bidi w:val="0"/>
              <w:adjustRightInd/>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14:paraId="36B1102C">
      <w:pPr>
        <w:pStyle w:val="20"/>
        <w:spacing w:line="360" w:lineRule="auto"/>
        <w:ind w:left="-105" w:right="-105" w:firstLine="480" w:firstLineChars="200"/>
        <w:jc w:val="both"/>
        <w:rPr>
          <w:rFonts w:ascii="Times New Roman" w:hAnsi="Times New Roman" w:cs="Times New Roman"/>
          <w:b/>
          <w:color w:val="auto"/>
          <w:sz w:val="24"/>
          <w:highlight w:val="none"/>
        </w:rPr>
      </w:pPr>
      <w:r>
        <w:rPr>
          <w:rFonts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val="en-US"/>
        </w:rPr>
        <w:t>废液储罐</w:t>
      </w:r>
      <w:r>
        <w:rPr>
          <w:rFonts w:ascii="Times New Roman" w:hAnsi="Times New Roman" w:cs="Times New Roman"/>
          <w:color w:val="auto"/>
          <w:sz w:val="24"/>
          <w:highlight w:val="none"/>
        </w:rPr>
        <w:t>、管道等设置了防渗漏措施，事故发生</w:t>
      </w:r>
      <w:r>
        <w:rPr>
          <w:rFonts w:hint="eastAsia" w:ascii="Times New Roman" w:hAnsi="Times New Roman" w:cs="Times New Roman"/>
          <w:color w:val="auto"/>
          <w:sz w:val="24"/>
          <w:highlight w:val="none"/>
          <w:lang w:val="en-US" w:eastAsia="zh-CN"/>
        </w:rPr>
        <w:t>1</w:t>
      </w:r>
      <w:r>
        <w:rPr>
          <w:rFonts w:ascii="Times New Roman" w:hAnsi="Times New Roman" w:cs="Times New Roman"/>
          <w:color w:val="auto"/>
          <w:sz w:val="24"/>
          <w:highlight w:val="none"/>
        </w:rPr>
        <w:t>0min内将收集泄漏液，</w:t>
      </w:r>
      <w:r>
        <w:rPr>
          <w:rFonts w:hint="eastAsia" w:ascii="Times New Roman" w:hAnsi="Times New Roman" w:cs="Times New Roman"/>
          <w:color w:val="auto"/>
          <w:sz w:val="24"/>
          <w:highlight w:val="none"/>
        </w:rPr>
        <w:t>第一时间确认</w:t>
      </w:r>
      <w:r>
        <w:rPr>
          <w:rFonts w:ascii="Times New Roman" w:hAnsi="Times New Roman" w:cs="Times New Roman"/>
          <w:color w:val="auto"/>
          <w:sz w:val="24"/>
          <w:highlight w:val="none"/>
        </w:rPr>
        <w:t>雨水阀门</w:t>
      </w:r>
      <w:r>
        <w:rPr>
          <w:rFonts w:hint="eastAsia" w:ascii="Times New Roman" w:hAnsi="Times New Roman" w:cs="Times New Roman"/>
          <w:color w:val="auto"/>
          <w:sz w:val="24"/>
          <w:highlight w:val="none"/>
        </w:rPr>
        <w:t>是否关闭</w:t>
      </w:r>
      <w:r>
        <w:rPr>
          <w:rFonts w:ascii="Times New Roman" w:hAnsi="Times New Roman" w:cs="Times New Roman"/>
          <w:color w:val="auto"/>
          <w:sz w:val="24"/>
          <w:highlight w:val="none"/>
        </w:rPr>
        <w:t>，泄漏液将收集至事故应急池中。因此，在采取相应的应急处置措施的情况下，本项目废水泄漏不会污染</w:t>
      </w:r>
      <w:bookmarkEnd w:id="417"/>
      <w:r>
        <w:rPr>
          <w:rFonts w:hint="eastAsia" w:ascii="Times New Roman" w:hAnsi="Times New Roman" w:cs="Times New Roman"/>
          <w:color w:val="auto"/>
          <w:sz w:val="24"/>
          <w:highlight w:val="none"/>
          <w:lang w:val="en-US"/>
        </w:rPr>
        <w:t>锡北运河</w:t>
      </w:r>
      <w:r>
        <w:rPr>
          <w:rFonts w:ascii="Times New Roman" w:hAnsi="Times New Roman" w:cs="Times New Roman"/>
          <w:color w:val="auto"/>
          <w:sz w:val="24"/>
          <w:highlight w:val="none"/>
        </w:rPr>
        <w:t>。</w:t>
      </w:r>
    </w:p>
    <w:p w14:paraId="05B27CA7">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6</w:t>
      </w:r>
      <w:r>
        <w:rPr>
          <w:rFonts w:eastAsia="宋体"/>
          <w:color w:val="auto"/>
          <w:sz w:val="28"/>
          <w:szCs w:val="28"/>
          <w:highlight w:val="none"/>
        </w:rPr>
        <w:t>.7.3地下水环境风险分析</w:t>
      </w:r>
    </w:p>
    <w:p w14:paraId="670DB9FF">
      <w:pPr>
        <w:pStyle w:val="44"/>
        <w:spacing w:after="0" w:line="360" w:lineRule="auto"/>
        <w:ind w:left="0" w:leftChars="0" w:right="-105" w:firstLine="48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本项目地下水环境风险评价等级为简单分析，仅简要说明环境影响途径及危害后果，不进行预测分析。</w:t>
      </w:r>
      <w:r>
        <w:rPr>
          <w:rFonts w:hint="eastAsia" w:eastAsia="宋体"/>
          <w:color w:val="auto"/>
          <w:sz w:val="24"/>
          <w:highlight w:val="none"/>
        </w:rPr>
        <w:t>现有厂区对车间、仓库、环保工程（废液储罐区、危废仓库、事故应急池</w:t>
      </w:r>
      <w:r>
        <w:rPr>
          <w:rFonts w:hint="eastAsia" w:eastAsia="宋体"/>
          <w:color w:val="auto"/>
          <w:sz w:val="24"/>
          <w:highlight w:val="none"/>
          <w:lang w:eastAsia="zh-CN"/>
        </w:rPr>
        <w:t>、</w:t>
      </w:r>
      <w:r>
        <w:rPr>
          <w:rFonts w:hint="eastAsia" w:eastAsia="宋体"/>
          <w:color w:val="auto"/>
          <w:sz w:val="24"/>
          <w:highlight w:val="none"/>
          <w:lang w:val="en-US" w:eastAsia="zh-CN"/>
        </w:rPr>
        <w:t>初期雨水池</w:t>
      </w:r>
      <w:r>
        <w:rPr>
          <w:rFonts w:hint="eastAsia" w:eastAsia="宋体"/>
          <w:color w:val="auto"/>
          <w:sz w:val="24"/>
          <w:highlight w:val="none"/>
        </w:rPr>
        <w:t>）、柴油储罐区等</w:t>
      </w:r>
      <w:r>
        <w:rPr>
          <w:rFonts w:hint="default" w:ascii="Times New Roman" w:hAnsi="Times New Roman" w:eastAsia="宋体" w:cs="Times New Roman"/>
          <w:color w:val="auto"/>
          <w:sz w:val="24"/>
          <w:szCs w:val="22"/>
          <w:highlight w:val="none"/>
        </w:rPr>
        <w:t>区域，已按照相关要求设置了重点防渗措施，所在场地</w:t>
      </w:r>
      <w:r>
        <w:rPr>
          <w:rFonts w:hint="eastAsia" w:eastAsia="宋体" w:cs="Times New Roman"/>
          <w:color w:val="auto"/>
          <w:sz w:val="24"/>
          <w:szCs w:val="22"/>
          <w:highlight w:val="none"/>
          <w:lang w:val="en-US" w:eastAsia="zh-CN"/>
        </w:rPr>
        <w:t>均</w:t>
      </w:r>
      <w:r>
        <w:rPr>
          <w:rFonts w:hint="default" w:ascii="Times New Roman" w:hAnsi="Times New Roman" w:eastAsia="宋体" w:cs="Times New Roman"/>
          <w:color w:val="auto"/>
          <w:sz w:val="24"/>
          <w:szCs w:val="22"/>
          <w:highlight w:val="none"/>
        </w:rPr>
        <w:t>设置液体收集地沟及管道，其基础及周围地面应采取防腐处理。防渗参照《危险废物贮存污染控制标准》（GB18597-2023）相关要求。对特殊区域采用环氧树脂等作防腐、防渗处理，对一般区域采取硬化地面防渗，只要措施得当，则项目在建设期和运营过程中基本不会发生污染区域地下水的事件。</w:t>
      </w:r>
    </w:p>
    <w:p w14:paraId="12BD1632">
      <w:pPr>
        <w:pStyle w:val="43"/>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eastAsia="宋体"/>
          <w:color w:val="auto"/>
          <w:highlight w:val="none"/>
          <w:lang w:val="en-US" w:eastAsia="zh-CN"/>
        </w:rPr>
      </w:pPr>
      <w:r>
        <w:rPr>
          <w:rFonts w:hint="eastAsia" w:ascii="Times New Roman" w:hAnsi="Times New Roman" w:cs="Times New Roman"/>
          <w:color w:val="auto"/>
          <w:sz w:val="24"/>
          <w:szCs w:val="22"/>
          <w:highlight w:val="none"/>
          <w:lang w:val="en-US" w:eastAsia="zh-CN"/>
        </w:rPr>
        <w:t>另外，在采取措施的前提下，正常状况下不会对地下水环境造成影响。非正常状况下，可能发生管线破损、人工误操作等导致发生泄漏事故，考虑储罐和废水池设有液位计，同时按照企业内部管理要求，厂务管理人员定期进行巡检，因此发生事故也可在短时间内发现并采取响应措施。企业将污染应急处置内容纳入本项目突发环境应急预案，加强应急物资储备，定期开展应急演练，提升环境应急处置能力。综上分析，本项目对地下水环境风险影响较小。</w:t>
      </w:r>
    </w:p>
    <w:p w14:paraId="75CCF723">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6</w:t>
      </w:r>
      <w:r>
        <w:rPr>
          <w:rFonts w:eastAsia="宋体"/>
          <w:color w:val="auto"/>
          <w:sz w:val="28"/>
          <w:szCs w:val="28"/>
          <w:highlight w:val="none"/>
        </w:rPr>
        <w:t>.7.4环境风险评价结论与建议</w:t>
      </w:r>
    </w:p>
    <w:p w14:paraId="65F902DB">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本项目环境风险评价结论与建议如下：</w:t>
      </w:r>
    </w:p>
    <w:p w14:paraId="2B875965">
      <w:pPr>
        <w:widowControl w:val="0"/>
        <w:numPr>
          <w:ilvl w:val="0"/>
          <w:numId w:val="32"/>
        </w:num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根据项目涉及主要化学品物质理化性质及《建设项目环境风险评价技术导则HJ169—2018》附录B，建设项目危险物质主要为</w:t>
      </w:r>
      <w:r>
        <w:rPr>
          <w:rFonts w:hint="eastAsia" w:ascii="Times New Roman" w:hAnsi="Times New Roman" w:cs="Times New Roman"/>
          <w:color w:val="auto"/>
          <w:highlight w:val="none"/>
        </w:rPr>
        <w:t>二甲基亚砜、N-甲基吡咯烷酮、四甲基氢氧化铵、2-甲氨基乙醇、邻苯二酚、乙醇胺、甲醇、硝酸（55%）、卡尔费休试剂、异丙醇</w:t>
      </w:r>
      <w:r>
        <w:rPr>
          <w:rFonts w:ascii="Times New Roman" w:hAnsi="Times New Roman" w:cs="Times New Roman"/>
          <w:color w:val="auto"/>
          <w:highlight w:val="none"/>
        </w:rPr>
        <w:t>等，重点风险源为原料包装桶、危废包装物、生产设备、</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、废气处理设施等，主要危险单元为原料仓库、</w:t>
      </w:r>
      <w:r>
        <w:rPr>
          <w:rFonts w:hint="eastAsia" w:ascii="Times New Roman" w:hAnsi="Times New Roman" w:cs="Times New Roman"/>
          <w:color w:val="auto"/>
          <w:highlight w:val="none"/>
          <w:lang w:eastAsia="zh-CN"/>
        </w:rPr>
        <w:t>危险品仓库</w:t>
      </w:r>
      <w:r>
        <w:rPr>
          <w:rFonts w:ascii="Times New Roman" w:hAnsi="Times New Roman" w:cs="Times New Roman"/>
          <w:color w:val="auto"/>
          <w:highlight w:val="none"/>
        </w:rPr>
        <w:t>、危废仓库、</w:t>
      </w:r>
      <w:r>
        <w:rPr>
          <w:rFonts w:hint="eastAsia" w:ascii="Times New Roman" w:hAnsi="Times New Roman" w:cs="Times New Roman"/>
          <w:color w:val="auto"/>
          <w:highlight w:val="none"/>
        </w:rPr>
        <w:t>二工场</w:t>
      </w:r>
      <w:r>
        <w:rPr>
          <w:rFonts w:ascii="Times New Roman" w:hAnsi="Times New Roman" w:cs="Times New Roman"/>
          <w:color w:val="auto"/>
          <w:highlight w:val="none"/>
        </w:rPr>
        <w:t>车间、</w:t>
      </w:r>
      <w:r>
        <w:rPr>
          <w:rFonts w:hint="eastAsia" w:ascii="Times New Roman" w:hAnsi="Times New Roman" w:cs="Times New Roman"/>
          <w:color w:val="auto"/>
          <w:highlight w:val="none"/>
        </w:rPr>
        <w:t>废液储罐区</w:t>
      </w:r>
      <w:r>
        <w:rPr>
          <w:rFonts w:ascii="Times New Roman" w:hAnsi="Times New Roman" w:cs="Times New Roman"/>
          <w:color w:val="auto"/>
          <w:highlight w:val="none"/>
        </w:rPr>
        <w:t>、各废气处理设施所在区域。建议企业优化厂区平面布局，调整主要危险物质存在量，健全环境风险管理，落实各项风险方法措施，降低项目的危险性。</w:t>
      </w:r>
    </w:p>
    <w:p w14:paraId="37EFC8AF">
      <w:pPr>
        <w:widowControl w:val="0"/>
        <w:numPr>
          <w:ilvl w:val="0"/>
          <w:numId w:val="32"/>
        </w:num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项目所在地为工业用地区域，大气环境敏感程度为E1，</w:t>
      </w:r>
      <w:r>
        <w:rPr>
          <w:rFonts w:ascii="Times New Roman" w:hAnsi="Times New Roman" w:cs="Times New Roman"/>
          <w:snapToGrid w:val="0"/>
          <w:color w:val="auto"/>
          <w:highlight w:val="none"/>
        </w:rPr>
        <w:t>地表水环境敏感程度为E1，地下水环境敏感程度为E3，</w:t>
      </w:r>
      <w:r>
        <w:rPr>
          <w:rFonts w:ascii="Times New Roman" w:hAnsi="Times New Roman" w:cs="Times New Roman"/>
          <w:color w:val="auto"/>
          <w:highlight w:val="none"/>
        </w:rPr>
        <w:t>对照环境风险评价导则，确定建设项目环境风险评价工作级别为二级。通过对建设项目各类事故的发生概率及其源项分析，确定建设项目大气环境风险最大可信事故为：</w:t>
      </w:r>
      <w:r>
        <w:rPr>
          <w:rFonts w:hint="eastAsia" w:ascii="Times New Roman" w:hAnsi="Times New Roman" w:cs="Times New Roman"/>
          <w:bCs/>
          <w:color w:val="auto"/>
          <w:highlight w:val="none"/>
        </w:rPr>
        <w:t>N-甲基吡咯烷酮包装桶泄漏遇明火发生火灾产生一氧化碳进入大气环境、DA005排气筒事故排放进入大气环境</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废液储罐泄漏污染地表水、地下水环境</w:t>
      </w:r>
      <w:r>
        <w:rPr>
          <w:rFonts w:ascii="Times New Roman" w:hAnsi="Times New Roman" w:cs="Times New Roman"/>
          <w:bCs/>
          <w:color w:val="auto"/>
          <w:highlight w:val="none"/>
        </w:rPr>
        <w:t>。</w:t>
      </w:r>
    </w:p>
    <w:p w14:paraId="11698718">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经预测和分析，</w:t>
      </w:r>
      <w:r>
        <w:rPr>
          <w:rFonts w:ascii="Times New Roman" w:hAnsi="Times New Roman" w:cs="Times New Roman"/>
          <w:color w:val="auto"/>
          <w:szCs w:val="32"/>
          <w:highlight w:val="none"/>
        </w:rPr>
        <w:t>当</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szCs w:val="32"/>
          <w:highlight w:val="none"/>
        </w:rPr>
        <w:t>泄漏遇明火高热发生火灾时，在小风、F大气稳定度条件下</w:t>
      </w:r>
      <w:r>
        <w:rPr>
          <w:rFonts w:ascii="Times New Roman" w:hAnsi="Times New Roman" w:cs="Times New Roman"/>
          <w:color w:val="auto"/>
          <w:highlight w:val="none"/>
        </w:rPr>
        <w:t>，在事故发生30min时间，一氧化碳在下风向100m达到大气毒性终点浓度-1(380mg/m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)，下风向240米范围内达到大气毒性终点浓度-2(95mg/m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)，故在</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半径240m范围内</w:t>
      </w:r>
      <w:r>
        <w:rPr>
          <w:rFonts w:ascii="Times New Roman" w:hAnsi="Times New Roman" w:cs="Times New Roman"/>
          <w:color w:val="auto"/>
          <w:szCs w:val="32"/>
          <w:highlight w:val="none"/>
        </w:rPr>
        <w:t>受到损伤</w:t>
      </w:r>
      <w:r>
        <w:rPr>
          <w:rFonts w:ascii="Times New Roman" w:hAnsi="Times New Roman" w:cs="Times New Roman"/>
          <w:color w:val="auto"/>
          <w:highlight w:val="none"/>
        </w:rPr>
        <w:t>的风险，</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半径100m范围内</w:t>
      </w:r>
      <w:r>
        <w:rPr>
          <w:rFonts w:ascii="Times New Roman" w:hAnsi="Times New Roman" w:cs="Times New Roman"/>
          <w:color w:val="auto"/>
          <w:szCs w:val="32"/>
          <w:highlight w:val="none"/>
        </w:rPr>
        <w:t>有致死</w:t>
      </w:r>
      <w:r>
        <w:rPr>
          <w:rFonts w:ascii="Times New Roman" w:hAnsi="Times New Roman" w:cs="Times New Roman"/>
          <w:color w:val="auto"/>
          <w:highlight w:val="none"/>
        </w:rPr>
        <w:t>风险；废气事故排放预测结果表明，当废气处理设施故障导致废气事故排放时，排气筒中废气浓度超标，但在采取相应的应急处置措施的情况下，环境风险事故对周围环境影响较小。</w:t>
      </w:r>
    </w:p>
    <w:p w14:paraId="52F45B4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、管道等设置了防渗漏措施，事故发生30min内将收集泄漏液，</w:t>
      </w:r>
      <w:r>
        <w:rPr>
          <w:rFonts w:hint="eastAsia" w:ascii="Times New Roman" w:hAnsi="Times New Roman" w:cs="Times New Roman"/>
          <w:color w:val="auto"/>
          <w:highlight w:val="none"/>
        </w:rPr>
        <w:t>第一时间确认</w:t>
      </w:r>
      <w:r>
        <w:rPr>
          <w:rFonts w:ascii="Times New Roman" w:hAnsi="Times New Roman" w:cs="Times New Roman"/>
          <w:color w:val="auto"/>
          <w:highlight w:val="none"/>
        </w:rPr>
        <w:t>雨水阀门</w:t>
      </w:r>
      <w:r>
        <w:rPr>
          <w:rFonts w:hint="eastAsia" w:ascii="Times New Roman" w:hAnsi="Times New Roman" w:cs="Times New Roman"/>
          <w:color w:val="auto"/>
          <w:highlight w:val="none"/>
        </w:rPr>
        <w:t>是否关闭</w:t>
      </w:r>
      <w:r>
        <w:rPr>
          <w:rFonts w:ascii="Times New Roman" w:hAnsi="Times New Roman" w:cs="Times New Roman"/>
          <w:color w:val="auto"/>
          <w:highlight w:val="none"/>
        </w:rPr>
        <w:t>，泄漏液将收集至事故应急池中。因此，在采取相应的应急处置措施的情况下，本项目废水泄漏不会污染</w:t>
      </w:r>
      <w:r>
        <w:rPr>
          <w:rFonts w:hint="eastAsia" w:ascii="Times New Roman" w:hAnsi="Times New Roman" w:cs="Times New Roman"/>
          <w:color w:val="auto"/>
          <w:highlight w:val="none"/>
        </w:rPr>
        <w:t>锡北运河。</w:t>
      </w:r>
    </w:p>
    <w:p w14:paraId="72DA835C">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为了防范事故和减少危害，建设项目应当从总图布置、储存管理、污染治理系统事故运行机制等方面编制详细的风险防范措施，并根据有关规定制定企业的环境突发事件应急救援预案，定期进行演练。出现事故时，要采取紧急的工程应急措施，如有必要，要采取社会应急措施，以控制事故和减少对环境造成的危害。针对可能发生的环境风险所产生的特征污染物，在各类事故发生时，选择适当的因子进行应急检测，指导应急救援及环境污染治理方案的编制和实施。</w:t>
      </w:r>
    </w:p>
    <w:p w14:paraId="60F1E5FD">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综上所述，企业发生突发环境事件对周边环境有一定影响，但环境风险可防控。建设单位应该认真做好各项风险防范措施，完善管理制度，储运过程应该严格操作，杜绝风险事故。严格履行风险应急预案，一旦发生突发事故，建设单位除了根据内部制定和履行最快最有效的应急预案自救外，应立即报告当地环保部门。在上级环保部门到达后，要从大局考虑，服从环保部门的领导，共同协商统一部署，将污染事故降低到最小。</w:t>
      </w:r>
    </w:p>
    <w:p w14:paraId="66E21BD1">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6</w:t>
      </w:r>
      <w:r>
        <w:rPr>
          <w:rFonts w:eastAsia="宋体"/>
          <w:color w:val="auto"/>
          <w:sz w:val="28"/>
          <w:szCs w:val="28"/>
          <w:highlight w:val="none"/>
        </w:rPr>
        <w:t>.7.5环境风险评价自查表</w:t>
      </w:r>
    </w:p>
    <w:p w14:paraId="1E398FE1">
      <w:pPr>
        <w:pStyle w:val="44"/>
        <w:adjustRightInd w:val="0"/>
        <w:snapToGrid w:val="0"/>
        <w:spacing w:after="0" w:line="360" w:lineRule="auto"/>
        <w:ind w:left="0" w:leftChars="0" w:right="-105" w:firstLine="480"/>
        <w:rPr>
          <w:rFonts w:eastAsia="宋体"/>
          <w:color w:val="auto"/>
          <w:sz w:val="24"/>
          <w:highlight w:val="none"/>
        </w:rPr>
      </w:pPr>
      <w:r>
        <w:rPr>
          <w:rFonts w:eastAsia="宋体"/>
          <w:color w:val="auto"/>
          <w:sz w:val="24"/>
          <w:highlight w:val="none"/>
        </w:rPr>
        <w:t>本项目环境风险评价自查表见下表。</w:t>
      </w:r>
    </w:p>
    <w:p w14:paraId="641908D8">
      <w:pPr>
        <w:pStyle w:val="15"/>
        <w:ind w:left="-105" w:right="-105" w:firstLine="482"/>
        <w:rPr>
          <w:rFonts w:eastAsia="宋体"/>
          <w:color w:val="auto"/>
          <w:sz w:val="24"/>
          <w:szCs w:val="24"/>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6.7</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6</w:t>
      </w:r>
      <w:r>
        <w:rPr>
          <w:rFonts w:eastAsia="宋体"/>
          <w:color w:val="auto"/>
          <w:sz w:val="24"/>
          <w:szCs w:val="24"/>
          <w:highlight w:val="none"/>
        </w:rPr>
        <w:fldChar w:fldCharType="end"/>
      </w:r>
      <w:r>
        <w:rPr>
          <w:rFonts w:eastAsia="宋体"/>
          <w:color w:val="auto"/>
          <w:sz w:val="24"/>
          <w:szCs w:val="24"/>
          <w:highlight w:val="none"/>
        </w:rPr>
        <w:t>环境风险评价自查表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95"/>
        <w:gridCol w:w="1238"/>
        <w:gridCol w:w="640"/>
        <w:gridCol w:w="689"/>
        <w:gridCol w:w="1548"/>
        <w:gridCol w:w="431"/>
        <w:gridCol w:w="220"/>
        <w:gridCol w:w="504"/>
        <w:gridCol w:w="168"/>
        <w:gridCol w:w="891"/>
        <w:gridCol w:w="714"/>
        <w:gridCol w:w="1096"/>
      </w:tblGrid>
      <w:tr w14:paraId="69146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546583E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工作内容</w:t>
            </w:r>
          </w:p>
        </w:tc>
        <w:tc>
          <w:tcPr>
            <w:tcW w:w="4043" w:type="pct"/>
            <w:gridSpan w:val="10"/>
            <w:tcBorders>
              <w:tl2br w:val="nil"/>
              <w:tr2bl w:val="nil"/>
            </w:tcBorders>
            <w:tcMar>
              <w:top w:w="0" w:type="dxa"/>
              <w:left w:w="0" w:type="dxa"/>
              <w:bottom w:w="0" w:type="dxa"/>
              <w:right w:w="0" w:type="dxa"/>
            </w:tcMar>
            <w:vAlign w:val="center"/>
          </w:tcPr>
          <w:p w14:paraId="129339B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完成情况</w:t>
            </w:r>
          </w:p>
        </w:tc>
      </w:tr>
      <w:tr w14:paraId="7944B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restart"/>
            <w:tcBorders>
              <w:tl2br w:val="nil"/>
              <w:tr2bl w:val="nil"/>
            </w:tcBorders>
            <w:tcMar>
              <w:top w:w="0" w:type="dxa"/>
              <w:left w:w="0" w:type="dxa"/>
              <w:bottom w:w="0" w:type="dxa"/>
              <w:right w:w="0" w:type="dxa"/>
            </w:tcMar>
            <w:vAlign w:val="center"/>
          </w:tcPr>
          <w:p w14:paraId="1D6743B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w:t>
            </w:r>
          </w:p>
          <w:p w14:paraId="04A4515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险</w:t>
            </w:r>
          </w:p>
          <w:p w14:paraId="60BF5F8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调</w:t>
            </w:r>
          </w:p>
          <w:p w14:paraId="608E5E4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查</w:t>
            </w:r>
          </w:p>
        </w:tc>
        <w:tc>
          <w:tcPr>
            <w:tcW w:w="726" w:type="pct"/>
            <w:tcBorders>
              <w:tl2br w:val="nil"/>
              <w:tr2bl w:val="nil"/>
            </w:tcBorders>
            <w:tcMar>
              <w:top w:w="0" w:type="dxa"/>
              <w:left w:w="0" w:type="dxa"/>
              <w:bottom w:w="0" w:type="dxa"/>
              <w:right w:w="0" w:type="dxa"/>
            </w:tcMar>
            <w:vAlign w:val="center"/>
          </w:tcPr>
          <w:p w14:paraId="12F9B93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危险物质</w:t>
            </w:r>
          </w:p>
        </w:tc>
        <w:tc>
          <w:tcPr>
            <w:tcW w:w="4043" w:type="pct"/>
            <w:gridSpan w:val="10"/>
            <w:tcBorders>
              <w:tl2br w:val="nil"/>
              <w:tr2bl w:val="nil"/>
            </w:tcBorders>
            <w:tcMar>
              <w:top w:w="0" w:type="dxa"/>
              <w:left w:w="0" w:type="dxa"/>
              <w:bottom w:w="0" w:type="dxa"/>
              <w:right w:w="0" w:type="dxa"/>
            </w:tcMar>
            <w:vAlign w:val="center"/>
          </w:tcPr>
          <w:p w14:paraId="1EF0EE6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见表2.4-</w:t>
            </w:r>
            <w:r>
              <w:rPr>
                <w:rFonts w:hint="eastAsia" w:ascii="Times New Roman" w:hAnsi="Times New Roman" w:cs="Times New Roman"/>
                <w:color w:val="auto"/>
                <w:sz w:val="21"/>
                <w:szCs w:val="21"/>
                <w:highlight w:val="none"/>
              </w:rPr>
              <w:t>8</w:t>
            </w:r>
          </w:p>
        </w:tc>
      </w:tr>
      <w:tr w14:paraId="28665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1E3A18B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restart"/>
            <w:tcBorders>
              <w:tl2br w:val="nil"/>
              <w:tr2bl w:val="nil"/>
            </w:tcBorders>
            <w:tcMar>
              <w:top w:w="0" w:type="dxa"/>
              <w:left w:w="0" w:type="dxa"/>
              <w:bottom w:w="0" w:type="dxa"/>
              <w:right w:w="0" w:type="dxa"/>
            </w:tcMar>
            <w:vAlign w:val="center"/>
          </w:tcPr>
          <w:p w14:paraId="55C2284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环境敏感性</w:t>
            </w:r>
          </w:p>
        </w:tc>
        <w:tc>
          <w:tcPr>
            <w:tcW w:w="375" w:type="pct"/>
            <w:vMerge w:val="restart"/>
            <w:tcBorders>
              <w:tl2br w:val="nil"/>
              <w:tr2bl w:val="nil"/>
            </w:tcBorders>
            <w:tcMar>
              <w:top w:w="0" w:type="dxa"/>
              <w:left w:w="0" w:type="dxa"/>
              <w:bottom w:w="0" w:type="dxa"/>
              <w:right w:w="0" w:type="dxa"/>
            </w:tcMar>
            <w:vAlign w:val="center"/>
          </w:tcPr>
          <w:p w14:paraId="77DD39F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w:t>
            </w:r>
          </w:p>
        </w:tc>
        <w:tc>
          <w:tcPr>
            <w:tcW w:w="1692" w:type="pct"/>
            <w:gridSpan w:val="4"/>
            <w:tcBorders>
              <w:tl2br w:val="nil"/>
              <w:tr2bl w:val="nil"/>
            </w:tcBorders>
            <w:tcMar>
              <w:top w:w="0" w:type="dxa"/>
              <w:left w:w="0" w:type="dxa"/>
              <w:bottom w:w="0" w:type="dxa"/>
              <w:right w:w="0" w:type="dxa"/>
            </w:tcMar>
            <w:vAlign w:val="center"/>
          </w:tcPr>
          <w:p w14:paraId="78A529F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500m范围内人口数</w:t>
            </w:r>
            <w:r>
              <w:rPr>
                <w:rFonts w:hint="eastAsia" w:ascii="Times New Roman" w:hAnsi="Times New Roman" w:cs="Times New Roman"/>
                <w:color w:val="auto"/>
                <w:sz w:val="21"/>
                <w:szCs w:val="21"/>
                <w:highlight w:val="none"/>
                <w:u w:val="single"/>
              </w:rPr>
              <w:t>34560</w:t>
            </w:r>
            <w:r>
              <w:rPr>
                <w:rFonts w:ascii="Times New Roman" w:hAnsi="Times New Roman" w:cs="Times New Roman"/>
                <w:color w:val="auto"/>
                <w:sz w:val="21"/>
                <w:szCs w:val="21"/>
                <w:highlight w:val="none"/>
              </w:rPr>
              <w:t>人</w:t>
            </w:r>
          </w:p>
        </w:tc>
        <w:tc>
          <w:tcPr>
            <w:tcW w:w="1976" w:type="pct"/>
            <w:gridSpan w:val="5"/>
            <w:tcBorders>
              <w:tl2br w:val="nil"/>
              <w:tr2bl w:val="nil"/>
            </w:tcBorders>
            <w:tcMar>
              <w:top w:w="0" w:type="dxa"/>
              <w:left w:w="0" w:type="dxa"/>
              <w:bottom w:w="0" w:type="dxa"/>
              <w:right w:w="0" w:type="dxa"/>
            </w:tcMar>
            <w:vAlign w:val="center"/>
          </w:tcPr>
          <w:p w14:paraId="3F68A3C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5km范围内人口数</w:t>
            </w:r>
            <w:r>
              <w:rPr>
                <w:rFonts w:ascii="Times New Roman" w:hAnsi="Times New Roman" w:cs="Times New Roman"/>
                <w:color w:val="auto"/>
                <w:sz w:val="21"/>
                <w:szCs w:val="21"/>
                <w:highlight w:val="none"/>
                <w:u w:val="single"/>
              </w:rPr>
              <w:t>大于5万</w:t>
            </w:r>
            <w:r>
              <w:rPr>
                <w:rFonts w:ascii="Times New Roman" w:hAnsi="Times New Roman" w:cs="Times New Roman"/>
                <w:color w:val="auto"/>
                <w:sz w:val="21"/>
                <w:szCs w:val="21"/>
                <w:highlight w:val="none"/>
              </w:rPr>
              <w:t>人</w:t>
            </w:r>
          </w:p>
        </w:tc>
      </w:tr>
      <w:tr w14:paraId="2031C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7C3F251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51034A0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vMerge w:val="continue"/>
            <w:tcBorders>
              <w:tl2br w:val="nil"/>
              <w:tr2bl w:val="nil"/>
            </w:tcBorders>
            <w:tcMar>
              <w:top w:w="0" w:type="dxa"/>
              <w:left w:w="0" w:type="dxa"/>
              <w:bottom w:w="0" w:type="dxa"/>
              <w:right w:w="0" w:type="dxa"/>
            </w:tcMar>
            <w:vAlign w:val="center"/>
          </w:tcPr>
          <w:p w14:paraId="14E7BD7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024" w:type="pct"/>
            <w:gridSpan w:val="8"/>
            <w:tcBorders>
              <w:tl2br w:val="nil"/>
              <w:tr2bl w:val="nil"/>
            </w:tcBorders>
            <w:tcMar>
              <w:top w:w="0" w:type="dxa"/>
              <w:left w:w="0" w:type="dxa"/>
              <w:bottom w:w="0" w:type="dxa"/>
              <w:right w:w="0" w:type="dxa"/>
            </w:tcMar>
            <w:vAlign w:val="center"/>
          </w:tcPr>
          <w:p w14:paraId="732403A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每公里管段周边200m范围内人口数（最大）</w:t>
            </w:r>
          </w:p>
        </w:tc>
        <w:tc>
          <w:tcPr>
            <w:tcW w:w="643" w:type="pct"/>
            <w:tcBorders>
              <w:tl2br w:val="nil"/>
              <w:tr2bl w:val="nil"/>
            </w:tcBorders>
            <w:tcMar>
              <w:top w:w="0" w:type="dxa"/>
              <w:left w:w="0" w:type="dxa"/>
              <w:bottom w:w="0" w:type="dxa"/>
              <w:right w:w="0" w:type="dxa"/>
            </w:tcMar>
            <w:vAlign w:val="center"/>
          </w:tcPr>
          <w:p w14:paraId="7320A78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人</w:t>
            </w:r>
          </w:p>
        </w:tc>
      </w:tr>
      <w:tr w14:paraId="66483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0542DD1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436BBF3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vMerge w:val="restart"/>
            <w:tcBorders>
              <w:tl2br w:val="nil"/>
              <w:tr2bl w:val="nil"/>
            </w:tcBorders>
            <w:tcMar>
              <w:top w:w="0" w:type="dxa"/>
              <w:left w:w="0" w:type="dxa"/>
              <w:bottom w:w="0" w:type="dxa"/>
              <w:right w:w="0" w:type="dxa"/>
            </w:tcMar>
            <w:vAlign w:val="center"/>
          </w:tcPr>
          <w:p w14:paraId="72E52B5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地表水</w:t>
            </w:r>
          </w:p>
        </w:tc>
        <w:tc>
          <w:tcPr>
            <w:tcW w:w="1311" w:type="pct"/>
            <w:gridSpan w:val="2"/>
            <w:tcBorders>
              <w:tl2br w:val="nil"/>
              <w:tr2bl w:val="nil"/>
            </w:tcBorders>
            <w:tcMar>
              <w:top w:w="0" w:type="dxa"/>
              <w:left w:w="0" w:type="dxa"/>
              <w:bottom w:w="0" w:type="dxa"/>
              <w:right w:w="0" w:type="dxa"/>
            </w:tcMar>
            <w:vAlign w:val="center"/>
          </w:tcPr>
          <w:p w14:paraId="50AAFF6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地表水功能敏感性</w:t>
            </w:r>
          </w:p>
        </w:tc>
        <w:tc>
          <w:tcPr>
            <w:tcW w:w="774" w:type="pct"/>
            <w:gridSpan w:val="4"/>
            <w:tcBorders>
              <w:tl2br w:val="nil"/>
              <w:tr2bl w:val="nil"/>
            </w:tcBorders>
            <w:tcMar>
              <w:top w:w="0" w:type="dxa"/>
              <w:left w:w="0" w:type="dxa"/>
              <w:bottom w:w="0" w:type="dxa"/>
              <w:right w:w="0" w:type="dxa"/>
            </w:tcMar>
            <w:vAlign w:val="center"/>
          </w:tcPr>
          <w:p w14:paraId="24DB7E0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F1□</w:t>
            </w:r>
          </w:p>
        </w:tc>
        <w:tc>
          <w:tcPr>
            <w:tcW w:w="940" w:type="pct"/>
            <w:gridSpan w:val="2"/>
            <w:tcBorders>
              <w:tl2br w:val="nil"/>
              <w:tr2bl w:val="nil"/>
            </w:tcBorders>
            <w:tcMar>
              <w:top w:w="0" w:type="dxa"/>
              <w:left w:w="0" w:type="dxa"/>
              <w:bottom w:w="0" w:type="dxa"/>
              <w:right w:w="0" w:type="dxa"/>
            </w:tcMar>
            <w:vAlign w:val="center"/>
          </w:tcPr>
          <w:p w14:paraId="2F650320">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F2</w:t>
            </w:r>
            <w:r>
              <w:rPr>
                <w:rFonts w:ascii="Segoe UI Symbol" w:hAnsi="Segoe UI Symbol" w:cs="Segoe UI Symbol"/>
                <w:color w:val="auto"/>
                <w:sz w:val="21"/>
                <w:szCs w:val="21"/>
                <w:highlight w:val="none"/>
              </w:rPr>
              <w:t>☑</w:t>
            </w:r>
          </w:p>
        </w:tc>
        <w:tc>
          <w:tcPr>
            <w:tcW w:w="643" w:type="pct"/>
            <w:tcBorders>
              <w:tl2br w:val="nil"/>
              <w:tr2bl w:val="nil"/>
            </w:tcBorders>
            <w:tcMar>
              <w:top w:w="0" w:type="dxa"/>
              <w:left w:w="0" w:type="dxa"/>
              <w:bottom w:w="0" w:type="dxa"/>
              <w:right w:w="0" w:type="dxa"/>
            </w:tcMar>
            <w:vAlign w:val="center"/>
          </w:tcPr>
          <w:p w14:paraId="34F8B80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F3□</w:t>
            </w:r>
          </w:p>
        </w:tc>
      </w:tr>
      <w:tr w14:paraId="2CAA8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5FF6801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6982BB9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vMerge w:val="continue"/>
            <w:tcBorders>
              <w:tl2br w:val="nil"/>
              <w:tr2bl w:val="nil"/>
            </w:tcBorders>
            <w:tcMar>
              <w:top w:w="0" w:type="dxa"/>
              <w:left w:w="0" w:type="dxa"/>
              <w:bottom w:w="0" w:type="dxa"/>
              <w:right w:w="0" w:type="dxa"/>
            </w:tcMar>
            <w:vAlign w:val="center"/>
          </w:tcPr>
          <w:p w14:paraId="656ADC9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311" w:type="pct"/>
            <w:gridSpan w:val="2"/>
            <w:tcBorders>
              <w:tl2br w:val="nil"/>
              <w:tr2bl w:val="nil"/>
            </w:tcBorders>
            <w:tcMar>
              <w:top w:w="0" w:type="dxa"/>
              <w:left w:w="0" w:type="dxa"/>
              <w:bottom w:w="0" w:type="dxa"/>
              <w:right w:w="0" w:type="dxa"/>
            </w:tcMar>
            <w:vAlign w:val="center"/>
          </w:tcPr>
          <w:p w14:paraId="5AF1A87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环境敏感目标分级</w:t>
            </w:r>
          </w:p>
        </w:tc>
        <w:tc>
          <w:tcPr>
            <w:tcW w:w="774" w:type="pct"/>
            <w:gridSpan w:val="4"/>
            <w:tcBorders>
              <w:tl2br w:val="nil"/>
              <w:tr2bl w:val="nil"/>
            </w:tcBorders>
            <w:tcMar>
              <w:top w:w="0" w:type="dxa"/>
              <w:left w:w="0" w:type="dxa"/>
              <w:bottom w:w="0" w:type="dxa"/>
              <w:right w:w="0" w:type="dxa"/>
            </w:tcMar>
            <w:vAlign w:val="center"/>
          </w:tcPr>
          <w:p w14:paraId="35002CA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S1</w:t>
            </w:r>
            <w:r>
              <w:rPr>
                <w:rFonts w:ascii="Segoe UI Symbol" w:hAnsi="Segoe UI Symbol" w:cs="Segoe UI Symbol"/>
                <w:color w:val="auto"/>
                <w:sz w:val="21"/>
                <w:szCs w:val="21"/>
                <w:highlight w:val="none"/>
              </w:rPr>
              <w:t>☑</w:t>
            </w:r>
          </w:p>
        </w:tc>
        <w:tc>
          <w:tcPr>
            <w:tcW w:w="940" w:type="pct"/>
            <w:gridSpan w:val="2"/>
            <w:tcBorders>
              <w:tl2br w:val="nil"/>
              <w:tr2bl w:val="nil"/>
            </w:tcBorders>
            <w:tcMar>
              <w:top w:w="0" w:type="dxa"/>
              <w:left w:w="0" w:type="dxa"/>
              <w:bottom w:w="0" w:type="dxa"/>
              <w:right w:w="0" w:type="dxa"/>
            </w:tcMar>
            <w:vAlign w:val="center"/>
          </w:tcPr>
          <w:p w14:paraId="1B8AA7A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S2□</w:t>
            </w:r>
          </w:p>
        </w:tc>
        <w:tc>
          <w:tcPr>
            <w:tcW w:w="643" w:type="pct"/>
            <w:tcBorders>
              <w:tl2br w:val="nil"/>
              <w:tr2bl w:val="nil"/>
            </w:tcBorders>
            <w:tcMar>
              <w:top w:w="0" w:type="dxa"/>
              <w:left w:w="0" w:type="dxa"/>
              <w:bottom w:w="0" w:type="dxa"/>
              <w:right w:w="0" w:type="dxa"/>
            </w:tcMar>
            <w:vAlign w:val="center"/>
          </w:tcPr>
          <w:p w14:paraId="700CFF5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S3□</w:t>
            </w:r>
          </w:p>
        </w:tc>
      </w:tr>
      <w:tr w14:paraId="4250C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3BCF1A2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623519F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vMerge w:val="restart"/>
            <w:tcBorders>
              <w:tl2br w:val="nil"/>
              <w:tr2bl w:val="nil"/>
            </w:tcBorders>
            <w:tcMar>
              <w:top w:w="0" w:type="dxa"/>
              <w:left w:w="0" w:type="dxa"/>
              <w:bottom w:w="0" w:type="dxa"/>
              <w:right w:w="0" w:type="dxa"/>
            </w:tcMar>
            <w:vAlign w:val="center"/>
          </w:tcPr>
          <w:p w14:paraId="5CCC19C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p>
        </w:tc>
        <w:tc>
          <w:tcPr>
            <w:tcW w:w="1311" w:type="pct"/>
            <w:gridSpan w:val="2"/>
            <w:tcBorders>
              <w:tl2br w:val="nil"/>
              <w:tr2bl w:val="nil"/>
            </w:tcBorders>
            <w:tcMar>
              <w:top w:w="0" w:type="dxa"/>
              <w:left w:w="0" w:type="dxa"/>
              <w:bottom w:w="0" w:type="dxa"/>
              <w:right w:w="0" w:type="dxa"/>
            </w:tcMar>
            <w:vAlign w:val="center"/>
          </w:tcPr>
          <w:p w14:paraId="7164E09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地下水功能敏感性</w:t>
            </w:r>
          </w:p>
        </w:tc>
        <w:tc>
          <w:tcPr>
            <w:tcW w:w="774" w:type="pct"/>
            <w:gridSpan w:val="4"/>
            <w:tcBorders>
              <w:tl2br w:val="nil"/>
              <w:tr2bl w:val="nil"/>
            </w:tcBorders>
            <w:tcMar>
              <w:top w:w="0" w:type="dxa"/>
              <w:left w:w="0" w:type="dxa"/>
              <w:bottom w:w="0" w:type="dxa"/>
              <w:right w:w="0" w:type="dxa"/>
            </w:tcMar>
            <w:vAlign w:val="center"/>
          </w:tcPr>
          <w:p w14:paraId="6AAAB28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G1□</w:t>
            </w:r>
          </w:p>
        </w:tc>
        <w:tc>
          <w:tcPr>
            <w:tcW w:w="940" w:type="pct"/>
            <w:gridSpan w:val="2"/>
            <w:tcBorders>
              <w:tl2br w:val="nil"/>
              <w:tr2bl w:val="nil"/>
            </w:tcBorders>
            <w:tcMar>
              <w:top w:w="0" w:type="dxa"/>
              <w:left w:w="0" w:type="dxa"/>
              <w:bottom w:w="0" w:type="dxa"/>
              <w:right w:w="0" w:type="dxa"/>
            </w:tcMar>
            <w:vAlign w:val="center"/>
          </w:tcPr>
          <w:p w14:paraId="65B2367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G2□</w:t>
            </w:r>
          </w:p>
        </w:tc>
        <w:tc>
          <w:tcPr>
            <w:tcW w:w="643" w:type="pct"/>
            <w:tcBorders>
              <w:tl2br w:val="nil"/>
              <w:tr2bl w:val="nil"/>
            </w:tcBorders>
            <w:tcMar>
              <w:top w:w="0" w:type="dxa"/>
              <w:left w:w="0" w:type="dxa"/>
              <w:bottom w:w="0" w:type="dxa"/>
              <w:right w:w="0" w:type="dxa"/>
            </w:tcMar>
            <w:vAlign w:val="center"/>
          </w:tcPr>
          <w:p w14:paraId="3A3A97A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G3</w:t>
            </w:r>
            <w:r>
              <w:rPr>
                <w:rFonts w:ascii="Segoe UI Symbol" w:hAnsi="Segoe UI Symbol" w:cs="Segoe UI Symbol"/>
                <w:color w:val="auto"/>
                <w:sz w:val="21"/>
                <w:szCs w:val="21"/>
                <w:highlight w:val="none"/>
              </w:rPr>
              <w:t>☑</w:t>
            </w:r>
          </w:p>
        </w:tc>
      </w:tr>
      <w:tr w14:paraId="22511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5A1120A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6E9EF67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vMerge w:val="continue"/>
            <w:tcBorders>
              <w:tl2br w:val="nil"/>
              <w:tr2bl w:val="nil"/>
            </w:tcBorders>
            <w:tcMar>
              <w:top w:w="0" w:type="dxa"/>
              <w:left w:w="0" w:type="dxa"/>
              <w:bottom w:w="0" w:type="dxa"/>
              <w:right w:w="0" w:type="dxa"/>
            </w:tcMar>
            <w:vAlign w:val="center"/>
          </w:tcPr>
          <w:p w14:paraId="02D0D75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311" w:type="pct"/>
            <w:gridSpan w:val="2"/>
            <w:tcBorders>
              <w:tl2br w:val="nil"/>
              <w:tr2bl w:val="nil"/>
            </w:tcBorders>
            <w:tcMar>
              <w:top w:w="0" w:type="dxa"/>
              <w:left w:w="0" w:type="dxa"/>
              <w:bottom w:w="0" w:type="dxa"/>
              <w:right w:w="0" w:type="dxa"/>
            </w:tcMar>
            <w:vAlign w:val="center"/>
          </w:tcPr>
          <w:p w14:paraId="2E2DF5F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包气带防污性能</w:t>
            </w:r>
          </w:p>
        </w:tc>
        <w:tc>
          <w:tcPr>
            <w:tcW w:w="774" w:type="pct"/>
            <w:gridSpan w:val="4"/>
            <w:tcBorders>
              <w:tl2br w:val="nil"/>
              <w:tr2bl w:val="nil"/>
            </w:tcBorders>
            <w:tcMar>
              <w:top w:w="0" w:type="dxa"/>
              <w:left w:w="0" w:type="dxa"/>
              <w:bottom w:w="0" w:type="dxa"/>
              <w:right w:w="0" w:type="dxa"/>
            </w:tcMar>
            <w:vAlign w:val="center"/>
          </w:tcPr>
          <w:p w14:paraId="162415A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D1□</w:t>
            </w:r>
          </w:p>
        </w:tc>
        <w:tc>
          <w:tcPr>
            <w:tcW w:w="940" w:type="pct"/>
            <w:gridSpan w:val="2"/>
            <w:tcBorders>
              <w:tl2br w:val="nil"/>
              <w:tr2bl w:val="nil"/>
            </w:tcBorders>
            <w:tcMar>
              <w:top w:w="0" w:type="dxa"/>
              <w:left w:w="0" w:type="dxa"/>
              <w:bottom w:w="0" w:type="dxa"/>
              <w:right w:w="0" w:type="dxa"/>
            </w:tcMar>
            <w:vAlign w:val="center"/>
          </w:tcPr>
          <w:p w14:paraId="7A35C3F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D2</w:t>
            </w:r>
            <w:r>
              <w:rPr>
                <w:rFonts w:ascii="Segoe UI Symbol" w:hAnsi="Segoe UI Symbol" w:cs="Segoe UI Symbol"/>
                <w:color w:val="auto"/>
                <w:sz w:val="21"/>
                <w:szCs w:val="21"/>
                <w:highlight w:val="none"/>
              </w:rPr>
              <w:t>☑</w:t>
            </w:r>
          </w:p>
        </w:tc>
        <w:tc>
          <w:tcPr>
            <w:tcW w:w="643" w:type="pct"/>
            <w:tcBorders>
              <w:tl2br w:val="nil"/>
              <w:tr2bl w:val="nil"/>
            </w:tcBorders>
            <w:tcMar>
              <w:top w:w="0" w:type="dxa"/>
              <w:left w:w="0" w:type="dxa"/>
              <w:bottom w:w="0" w:type="dxa"/>
              <w:right w:w="0" w:type="dxa"/>
            </w:tcMar>
            <w:vAlign w:val="center"/>
          </w:tcPr>
          <w:p w14:paraId="2E39C95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D3□</w:t>
            </w:r>
          </w:p>
        </w:tc>
      </w:tr>
      <w:tr w14:paraId="05B96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restart"/>
            <w:tcBorders>
              <w:tl2br w:val="nil"/>
              <w:tr2bl w:val="nil"/>
            </w:tcBorders>
            <w:tcMar>
              <w:top w:w="0" w:type="dxa"/>
              <w:left w:w="0" w:type="dxa"/>
              <w:bottom w:w="0" w:type="dxa"/>
              <w:right w:w="0" w:type="dxa"/>
            </w:tcMar>
            <w:vAlign w:val="center"/>
          </w:tcPr>
          <w:p w14:paraId="3A2B6C7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物质及工艺系统危险性</w:t>
            </w:r>
          </w:p>
        </w:tc>
        <w:tc>
          <w:tcPr>
            <w:tcW w:w="375" w:type="pct"/>
            <w:tcBorders>
              <w:tl2br w:val="nil"/>
              <w:tr2bl w:val="nil"/>
            </w:tcBorders>
            <w:tcMar>
              <w:top w:w="0" w:type="dxa"/>
              <w:left w:w="0" w:type="dxa"/>
              <w:bottom w:w="0" w:type="dxa"/>
              <w:right w:w="0" w:type="dxa"/>
            </w:tcMar>
            <w:vAlign w:val="center"/>
          </w:tcPr>
          <w:p w14:paraId="245A358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Q值</w:t>
            </w:r>
          </w:p>
        </w:tc>
        <w:tc>
          <w:tcPr>
            <w:tcW w:w="1311" w:type="pct"/>
            <w:gridSpan w:val="2"/>
            <w:tcBorders>
              <w:tl2br w:val="nil"/>
              <w:tr2bl w:val="nil"/>
            </w:tcBorders>
            <w:tcMar>
              <w:top w:w="0" w:type="dxa"/>
              <w:left w:w="0" w:type="dxa"/>
              <w:bottom w:w="0" w:type="dxa"/>
              <w:right w:w="0" w:type="dxa"/>
            </w:tcMar>
            <w:vAlign w:val="center"/>
          </w:tcPr>
          <w:p w14:paraId="50A2C46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Q＜1□</w:t>
            </w:r>
          </w:p>
        </w:tc>
        <w:tc>
          <w:tcPr>
            <w:tcW w:w="774" w:type="pct"/>
            <w:gridSpan w:val="4"/>
            <w:tcBorders>
              <w:tl2br w:val="nil"/>
              <w:tr2bl w:val="nil"/>
            </w:tcBorders>
            <w:tcMar>
              <w:top w:w="0" w:type="dxa"/>
              <w:left w:w="0" w:type="dxa"/>
              <w:bottom w:w="0" w:type="dxa"/>
              <w:right w:w="0" w:type="dxa"/>
            </w:tcMar>
            <w:vAlign w:val="center"/>
          </w:tcPr>
          <w:p w14:paraId="78531A6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1≤Q＜10□</w:t>
            </w:r>
          </w:p>
        </w:tc>
        <w:tc>
          <w:tcPr>
            <w:tcW w:w="940" w:type="pct"/>
            <w:gridSpan w:val="2"/>
            <w:tcBorders>
              <w:tl2br w:val="nil"/>
              <w:tr2bl w:val="nil"/>
            </w:tcBorders>
            <w:tcMar>
              <w:top w:w="0" w:type="dxa"/>
              <w:left w:w="0" w:type="dxa"/>
              <w:bottom w:w="0" w:type="dxa"/>
              <w:right w:w="0" w:type="dxa"/>
            </w:tcMar>
            <w:vAlign w:val="center"/>
          </w:tcPr>
          <w:p w14:paraId="5763B0C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10≤Q＜100</w:t>
            </w:r>
            <w:r>
              <w:rPr>
                <w:rFonts w:ascii="Segoe UI Symbol" w:hAnsi="Segoe UI Symbol" w:cs="Segoe UI Symbol"/>
                <w:color w:val="auto"/>
                <w:sz w:val="21"/>
                <w:szCs w:val="21"/>
                <w:highlight w:val="none"/>
              </w:rPr>
              <w:t>☑</w:t>
            </w:r>
          </w:p>
        </w:tc>
        <w:tc>
          <w:tcPr>
            <w:tcW w:w="643" w:type="pct"/>
            <w:tcBorders>
              <w:tl2br w:val="nil"/>
              <w:tr2bl w:val="nil"/>
            </w:tcBorders>
            <w:tcMar>
              <w:top w:w="0" w:type="dxa"/>
              <w:left w:w="0" w:type="dxa"/>
              <w:bottom w:w="0" w:type="dxa"/>
              <w:right w:w="0" w:type="dxa"/>
            </w:tcMar>
            <w:vAlign w:val="center"/>
          </w:tcPr>
          <w:p w14:paraId="5BB4CDF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Q＞100□</w:t>
            </w:r>
          </w:p>
        </w:tc>
      </w:tr>
      <w:tr w14:paraId="6B2C5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continue"/>
            <w:tcBorders>
              <w:tl2br w:val="nil"/>
              <w:tr2bl w:val="nil"/>
            </w:tcBorders>
            <w:tcMar>
              <w:top w:w="0" w:type="dxa"/>
              <w:left w:w="0" w:type="dxa"/>
              <w:bottom w:w="0" w:type="dxa"/>
              <w:right w:w="0" w:type="dxa"/>
            </w:tcMar>
            <w:vAlign w:val="center"/>
          </w:tcPr>
          <w:p w14:paraId="10A394C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tcBorders>
              <w:tl2br w:val="nil"/>
              <w:tr2bl w:val="nil"/>
            </w:tcBorders>
            <w:tcMar>
              <w:top w:w="0" w:type="dxa"/>
              <w:left w:w="0" w:type="dxa"/>
              <w:bottom w:w="0" w:type="dxa"/>
              <w:right w:w="0" w:type="dxa"/>
            </w:tcMar>
            <w:vAlign w:val="center"/>
          </w:tcPr>
          <w:p w14:paraId="585AEAE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M值</w:t>
            </w:r>
          </w:p>
        </w:tc>
        <w:tc>
          <w:tcPr>
            <w:tcW w:w="1311" w:type="pct"/>
            <w:gridSpan w:val="2"/>
            <w:tcBorders>
              <w:tl2br w:val="nil"/>
              <w:tr2bl w:val="nil"/>
            </w:tcBorders>
            <w:tcMar>
              <w:top w:w="0" w:type="dxa"/>
              <w:left w:w="0" w:type="dxa"/>
              <w:bottom w:w="0" w:type="dxa"/>
              <w:right w:w="0" w:type="dxa"/>
            </w:tcMar>
            <w:vAlign w:val="center"/>
          </w:tcPr>
          <w:p w14:paraId="23B30DC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M1□</w:t>
            </w:r>
          </w:p>
        </w:tc>
        <w:tc>
          <w:tcPr>
            <w:tcW w:w="774" w:type="pct"/>
            <w:gridSpan w:val="4"/>
            <w:tcBorders>
              <w:tl2br w:val="nil"/>
              <w:tr2bl w:val="nil"/>
            </w:tcBorders>
            <w:tcMar>
              <w:top w:w="0" w:type="dxa"/>
              <w:left w:w="0" w:type="dxa"/>
              <w:bottom w:w="0" w:type="dxa"/>
              <w:right w:w="0" w:type="dxa"/>
            </w:tcMar>
            <w:vAlign w:val="center"/>
          </w:tcPr>
          <w:p w14:paraId="0971F85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M2□</w:t>
            </w:r>
          </w:p>
        </w:tc>
        <w:tc>
          <w:tcPr>
            <w:tcW w:w="940" w:type="pct"/>
            <w:gridSpan w:val="2"/>
            <w:tcBorders>
              <w:tl2br w:val="nil"/>
              <w:tr2bl w:val="nil"/>
            </w:tcBorders>
            <w:tcMar>
              <w:top w:w="0" w:type="dxa"/>
              <w:left w:w="0" w:type="dxa"/>
              <w:bottom w:w="0" w:type="dxa"/>
              <w:right w:w="0" w:type="dxa"/>
            </w:tcMar>
            <w:vAlign w:val="center"/>
          </w:tcPr>
          <w:p w14:paraId="496333D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M3□</w:t>
            </w:r>
          </w:p>
        </w:tc>
        <w:tc>
          <w:tcPr>
            <w:tcW w:w="643" w:type="pct"/>
            <w:tcBorders>
              <w:tl2br w:val="nil"/>
              <w:tr2bl w:val="nil"/>
            </w:tcBorders>
            <w:tcMar>
              <w:top w:w="0" w:type="dxa"/>
              <w:left w:w="0" w:type="dxa"/>
              <w:bottom w:w="0" w:type="dxa"/>
              <w:right w:w="0" w:type="dxa"/>
            </w:tcMar>
            <w:vAlign w:val="center"/>
          </w:tcPr>
          <w:p w14:paraId="4693BFB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M4</w:t>
            </w:r>
            <w:r>
              <w:rPr>
                <w:rFonts w:ascii="Segoe UI Symbol" w:hAnsi="Segoe UI Symbol" w:cs="Segoe UI Symbol"/>
                <w:color w:val="auto"/>
                <w:sz w:val="21"/>
                <w:szCs w:val="21"/>
                <w:highlight w:val="none"/>
              </w:rPr>
              <w:t>☑</w:t>
            </w:r>
          </w:p>
        </w:tc>
      </w:tr>
      <w:tr w14:paraId="52AF1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continue"/>
            <w:tcBorders>
              <w:tl2br w:val="nil"/>
              <w:tr2bl w:val="nil"/>
            </w:tcBorders>
            <w:tcMar>
              <w:top w:w="0" w:type="dxa"/>
              <w:left w:w="0" w:type="dxa"/>
              <w:bottom w:w="0" w:type="dxa"/>
              <w:right w:w="0" w:type="dxa"/>
            </w:tcMar>
            <w:vAlign w:val="center"/>
          </w:tcPr>
          <w:p w14:paraId="755D84D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tcBorders>
              <w:tl2br w:val="nil"/>
              <w:tr2bl w:val="nil"/>
            </w:tcBorders>
            <w:tcMar>
              <w:top w:w="0" w:type="dxa"/>
              <w:left w:w="0" w:type="dxa"/>
              <w:bottom w:w="0" w:type="dxa"/>
              <w:right w:w="0" w:type="dxa"/>
            </w:tcMar>
            <w:vAlign w:val="center"/>
          </w:tcPr>
          <w:p w14:paraId="2AB5152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P值</w:t>
            </w:r>
          </w:p>
        </w:tc>
        <w:tc>
          <w:tcPr>
            <w:tcW w:w="1311" w:type="pct"/>
            <w:gridSpan w:val="2"/>
            <w:tcBorders>
              <w:tl2br w:val="nil"/>
              <w:tr2bl w:val="nil"/>
            </w:tcBorders>
            <w:tcMar>
              <w:top w:w="0" w:type="dxa"/>
              <w:left w:w="0" w:type="dxa"/>
              <w:bottom w:w="0" w:type="dxa"/>
              <w:right w:w="0" w:type="dxa"/>
            </w:tcMar>
            <w:vAlign w:val="center"/>
          </w:tcPr>
          <w:p w14:paraId="42D031C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P1□</w:t>
            </w:r>
          </w:p>
        </w:tc>
        <w:tc>
          <w:tcPr>
            <w:tcW w:w="774" w:type="pct"/>
            <w:gridSpan w:val="4"/>
            <w:tcBorders>
              <w:tl2br w:val="nil"/>
              <w:tr2bl w:val="nil"/>
            </w:tcBorders>
            <w:tcMar>
              <w:top w:w="0" w:type="dxa"/>
              <w:left w:w="0" w:type="dxa"/>
              <w:bottom w:w="0" w:type="dxa"/>
              <w:right w:w="0" w:type="dxa"/>
            </w:tcMar>
            <w:vAlign w:val="center"/>
          </w:tcPr>
          <w:p w14:paraId="4BE0743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P2□</w:t>
            </w:r>
          </w:p>
        </w:tc>
        <w:tc>
          <w:tcPr>
            <w:tcW w:w="940" w:type="pct"/>
            <w:gridSpan w:val="2"/>
            <w:tcBorders>
              <w:tl2br w:val="nil"/>
              <w:tr2bl w:val="nil"/>
            </w:tcBorders>
            <w:tcMar>
              <w:top w:w="0" w:type="dxa"/>
              <w:left w:w="0" w:type="dxa"/>
              <w:bottom w:w="0" w:type="dxa"/>
              <w:right w:w="0" w:type="dxa"/>
            </w:tcMar>
            <w:vAlign w:val="center"/>
          </w:tcPr>
          <w:p w14:paraId="3EF1643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P3□</w:t>
            </w:r>
          </w:p>
        </w:tc>
        <w:tc>
          <w:tcPr>
            <w:tcW w:w="643" w:type="pct"/>
            <w:tcBorders>
              <w:tl2br w:val="nil"/>
              <w:tr2bl w:val="nil"/>
            </w:tcBorders>
            <w:tcMar>
              <w:top w:w="0" w:type="dxa"/>
              <w:left w:w="0" w:type="dxa"/>
              <w:bottom w:w="0" w:type="dxa"/>
              <w:right w:w="0" w:type="dxa"/>
            </w:tcMar>
            <w:vAlign w:val="center"/>
          </w:tcPr>
          <w:p w14:paraId="75A0B1A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P4</w:t>
            </w:r>
            <w:r>
              <w:rPr>
                <w:rFonts w:ascii="Segoe UI Symbol" w:hAnsi="Segoe UI Symbol" w:cs="Segoe UI Symbol"/>
                <w:color w:val="auto"/>
                <w:sz w:val="21"/>
                <w:szCs w:val="21"/>
                <w:highlight w:val="none"/>
              </w:rPr>
              <w:t>☑</w:t>
            </w:r>
          </w:p>
        </w:tc>
      </w:tr>
      <w:tr w14:paraId="3B308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restart"/>
            <w:tcBorders>
              <w:tl2br w:val="nil"/>
              <w:tr2bl w:val="nil"/>
            </w:tcBorders>
            <w:tcMar>
              <w:top w:w="0" w:type="dxa"/>
              <w:left w:w="0" w:type="dxa"/>
              <w:bottom w:w="0" w:type="dxa"/>
              <w:right w:w="0" w:type="dxa"/>
            </w:tcMar>
            <w:vAlign w:val="center"/>
          </w:tcPr>
          <w:p w14:paraId="5BD546A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环境敏感程度</w:t>
            </w:r>
          </w:p>
        </w:tc>
        <w:tc>
          <w:tcPr>
            <w:tcW w:w="375" w:type="pct"/>
            <w:tcBorders>
              <w:tl2br w:val="nil"/>
              <w:tr2bl w:val="nil"/>
            </w:tcBorders>
            <w:tcMar>
              <w:top w:w="0" w:type="dxa"/>
              <w:left w:w="0" w:type="dxa"/>
              <w:bottom w:w="0" w:type="dxa"/>
              <w:right w:w="0" w:type="dxa"/>
            </w:tcMar>
            <w:vAlign w:val="center"/>
          </w:tcPr>
          <w:p w14:paraId="4436658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w:t>
            </w:r>
          </w:p>
        </w:tc>
        <w:tc>
          <w:tcPr>
            <w:tcW w:w="1311" w:type="pct"/>
            <w:gridSpan w:val="2"/>
            <w:tcBorders>
              <w:tl2br w:val="nil"/>
              <w:tr2bl w:val="nil"/>
            </w:tcBorders>
            <w:tcMar>
              <w:top w:w="0" w:type="dxa"/>
              <w:left w:w="0" w:type="dxa"/>
              <w:bottom w:w="0" w:type="dxa"/>
              <w:right w:w="0" w:type="dxa"/>
            </w:tcMar>
            <w:vAlign w:val="center"/>
          </w:tcPr>
          <w:p w14:paraId="426503B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E1</w:t>
            </w:r>
            <w:r>
              <w:rPr>
                <w:rFonts w:ascii="Segoe UI Symbol" w:hAnsi="Segoe UI Symbol" w:cs="Segoe UI Symbol"/>
                <w:color w:val="auto"/>
                <w:sz w:val="21"/>
                <w:szCs w:val="21"/>
                <w:highlight w:val="none"/>
              </w:rPr>
              <w:t>☑</w:t>
            </w:r>
          </w:p>
        </w:tc>
        <w:tc>
          <w:tcPr>
            <w:tcW w:w="774" w:type="pct"/>
            <w:gridSpan w:val="4"/>
            <w:tcBorders>
              <w:tl2br w:val="nil"/>
              <w:tr2bl w:val="nil"/>
            </w:tcBorders>
            <w:tcMar>
              <w:top w:w="0" w:type="dxa"/>
              <w:left w:w="0" w:type="dxa"/>
              <w:bottom w:w="0" w:type="dxa"/>
              <w:right w:w="0" w:type="dxa"/>
            </w:tcMar>
            <w:vAlign w:val="center"/>
          </w:tcPr>
          <w:p w14:paraId="3D80482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E2□</w:t>
            </w:r>
          </w:p>
        </w:tc>
        <w:tc>
          <w:tcPr>
            <w:tcW w:w="1583" w:type="pct"/>
            <w:gridSpan w:val="3"/>
            <w:tcBorders>
              <w:tl2br w:val="nil"/>
              <w:tr2bl w:val="nil"/>
            </w:tcBorders>
            <w:tcMar>
              <w:top w:w="0" w:type="dxa"/>
              <w:left w:w="0" w:type="dxa"/>
              <w:bottom w:w="0" w:type="dxa"/>
              <w:right w:w="0" w:type="dxa"/>
            </w:tcMar>
            <w:vAlign w:val="center"/>
          </w:tcPr>
          <w:p w14:paraId="57A8D4E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E3□</w:t>
            </w:r>
          </w:p>
        </w:tc>
      </w:tr>
      <w:tr w14:paraId="3A1B1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continue"/>
            <w:tcBorders>
              <w:tl2br w:val="nil"/>
              <w:tr2bl w:val="nil"/>
            </w:tcBorders>
            <w:tcMar>
              <w:top w:w="0" w:type="dxa"/>
              <w:left w:w="0" w:type="dxa"/>
              <w:bottom w:w="0" w:type="dxa"/>
              <w:right w:w="0" w:type="dxa"/>
            </w:tcMar>
            <w:vAlign w:val="center"/>
          </w:tcPr>
          <w:p w14:paraId="194AE81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tcBorders>
              <w:tl2br w:val="nil"/>
              <w:tr2bl w:val="nil"/>
            </w:tcBorders>
            <w:tcMar>
              <w:top w:w="0" w:type="dxa"/>
              <w:left w:w="0" w:type="dxa"/>
              <w:bottom w:w="0" w:type="dxa"/>
              <w:right w:w="0" w:type="dxa"/>
            </w:tcMar>
            <w:vAlign w:val="center"/>
          </w:tcPr>
          <w:p w14:paraId="0DE70E9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地表水</w:t>
            </w:r>
          </w:p>
        </w:tc>
        <w:tc>
          <w:tcPr>
            <w:tcW w:w="1311" w:type="pct"/>
            <w:gridSpan w:val="2"/>
            <w:tcBorders>
              <w:tl2br w:val="nil"/>
              <w:tr2bl w:val="nil"/>
            </w:tcBorders>
            <w:tcMar>
              <w:top w:w="0" w:type="dxa"/>
              <w:left w:w="0" w:type="dxa"/>
              <w:bottom w:w="0" w:type="dxa"/>
              <w:right w:w="0" w:type="dxa"/>
            </w:tcMar>
            <w:vAlign w:val="center"/>
          </w:tcPr>
          <w:p w14:paraId="7039F81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E1</w:t>
            </w:r>
            <w:r>
              <w:rPr>
                <w:rFonts w:ascii="Segoe UI Symbol" w:hAnsi="Segoe UI Symbol" w:cs="Segoe UI Symbol"/>
                <w:color w:val="auto"/>
                <w:sz w:val="21"/>
                <w:szCs w:val="21"/>
                <w:highlight w:val="none"/>
              </w:rPr>
              <w:t>☑</w:t>
            </w:r>
          </w:p>
        </w:tc>
        <w:tc>
          <w:tcPr>
            <w:tcW w:w="774" w:type="pct"/>
            <w:gridSpan w:val="4"/>
            <w:tcBorders>
              <w:tl2br w:val="nil"/>
              <w:tr2bl w:val="nil"/>
            </w:tcBorders>
            <w:tcMar>
              <w:top w:w="0" w:type="dxa"/>
              <w:left w:w="0" w:type="dxa"/>
              <w:bottom w:w="0" w:type="dxa"/>
              <w:right w:w="0" w:type="dxa"/>
            </w:tcMar>
            <w:vAlign w:val="center"/>
          </w:tcPr>
          <w:p w14:paraId="6A27E24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E2□</w:t>
            </w:r>
          </w:p>
        </w:tc>
        <w:tc>
          <w:tcPr>
            <w:tcW w:w="1583" w:type="pct"/>
            <w:gridSpan w:val="3"/>
            <w:tcBorders>
              <w:tl2br w:val="nil"/>
              <w:tr2bl w:val="nil"/>
            </w:tcBorders>
            <w:tcMar>
              <w:top w:w="0" w:type="dxa"/>
              <w:left w:w="0" w:type="dxa"/>
              <w:bottom w:w="0" w:type="dxa"/>
              <w:right w:w="0" w:type="dxa"/>
            </w:tcMar>
            <w:vAlign w:val="center"/>
          </w:tcPr>
          <w:p w14:paraId="6B79FB7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E3□</w:t>
            </w:r>
          </w:p>
        </w:tc>
      </w:tr>
      <w:tr w14:paraId="4877F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vMerge w:val="continue"/>
            <w:tcBorders>
              <w:tl2br w:val="nil"/>
              <w:tr2bl w:val="nil"/>
            </w:tcBorders>
            <w:tcMar>
              <w:top w:w="0" w:type="dxa"/>
              <w:left w:w="0" w:type="dxa"/>
              <w:bottom w:w="0" w:type="dxa"/>
              <w:right w:w="0" w:type="dxa"/>
            </w:tcMar>
            <w:vAlign w:val="center"/>
          </w:tcPr>
          <w:p w14:paraId="35C4047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75" w:type="pct"/>
            <w:tcBorders>
              <w:tl2br w:val="nil"/>
              <w:tr2bl w:val="nil"/>
            </w:tcBorders>
            <w:tcMar>
              <w:top w:w="0" w:type="dxa"/>
              <w:left w:w="0" w:type="dxa"/>
              <w:bottom w:w="0" w:type="dxa"/>
              <w:right w:w="0" w:type="dxa"/>
            </w:tcMar>
            <w:vAlign w:val="center"/>
          </w:tcPr>
          <w:p w14:paraId="2F3F336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p>
        </w:tc>
        <w:tc>
          <w:tcPr>
            <w:tcW w:w="1311" w:type="pct"/>
            <w:gridSpan w:val="2"/>
            <w:tcBorders>
              <w:tl2br w:val="nil"/>
              <w:tr2bl w:val="nil"/>
            </w:tcBorders>
            <w:tcMar>
              <w:top w:w="0" w:type="dxa"/>
              <w:left w:w="0" w:type="dxa"/>
              <w:bottom w:w="0" w:type="dxa"/>
              <w:right w:w="0" w:type="dxa"/>
            </w:tcMar>
            <w:vAlign w:val="center"/>
          </w:tcPr>
          <w:p w14:paraId="67D24D4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E1□</w:t>
            </w:r>
          </w:p>
        </w:tc>
        <w:tc>
          <w:tcPr>
            <w:tcW w:w="774" w:type="pct"/>
            <w:gridSpan w:val="4"/>
            <w:tcBorders>
              <w:tl2br w:val="nil"/>
              <w:tr2bl w:val="nil"/>
            </w:tcBorders>
            <w:tcMar>
              <w:top w:w="0" w:type="dxa"/>
              <w:left w:w="0" w:type="dxa"/>
              <w:bottom w:w="0" w:type="dxa"/>
              <w:right w:w="0" w:type="dxa"/>
            </w:tcMar>
            <w:vAlign w:val="center"/>
          </w:tcPr>
          <w:p w14:paraId="0764068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E2□</w:t>
            </w:r>
          </w:p>
        </w:tc>
        <w:tc>
          <w:tcPr>
            <w:tcW w:w="1583" w:type="pct"/>
            <w:gridSpan w:val="3"/>
            <w:tcBorders>
              <w:tl2br w:val="nil"/>
              <w:tr2bl w:val="nil"/>
            </w:tcBorders>
            <w:tcMar>
              <w:top w:w="0" w:type="dxa"/>
              <w:left w:w="0" w:type="dxa"/>
              <w:bottom w:w="0" w:type="dxa"/>
              <w:right w:w="0" w:type="dxa"/>
            </w:tcMar>
            <w:vAlign w:val="center"/>
          </w:tcPr>
          <w:p w14:paraId="5B994DE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E3</w:t>
            </w:r>
            <w:r>
              <w:rPr>
                <w:rFonts w:ascii="Segoe UI Symbol" w:hAnsi="Segoe UI Symbol" w:cs="Segoe UI Symbol"/>
                <w:color w:val="auto"/>
                <w:sz w:val="21"/>
                <w:szCs w:val="21"/>
                <w:highlight w:val="none"/>
              </w:rPr>
              <w:t>☑</w:t>
            </w:r>
          </w:p>
        </w:tc>
      </w:tr>
      <w:tr w14:paraId="38906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79A68C5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环境风险潜势</w:t>
            </w:r>
          </w:p>
        </w:tc>
        <w:tc>
          <w:tcPr>
            <w:tcW w:w="779" w:type="pct"/>
            <w:gridSpan w:val="2"/>
            <w:tcBorders>
              <w:tl2br w:val="nil"/>
              <w:tr2bl w:val="nil"/>
            </w:tcBorders>
            <w:tcMar>
              <w:top w:w="0" w:type="dxa"/>
              <w:left w:w="0" w:type="dxa"/>
              <w:bottom w:w="0" w:type="dxa"/>
              <w:right w:w="0" w:type="dxa"/>
            </w:tcMar>
            <w:vAlign w:val="center"/>
          </w:tcPr>
          <w:p w14:paraId="01A0182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Ⅳ</w:t>
            </w:r>
            <w:r>
              <w:rPr>
                <w:rFonts w:ascii="Times New Roman" w:hAnsi="Times New Roman" w:cs="Times New Roman"/>
                <w:color w:val="auto"/>
                <w:sz w:val="21"/>
                <w:szCs w:val="21"/>
                <w:highlight w:val="none"/>
                <w:vertAlign w:val="superscript"/>
              </w:rPr>
              <w:t>+</w:t>
            </w:r>
            <w:r>
              <w:rPr>
                <w:rFonts w:ascii="Times New Roman" w:hAnsi="Times New Roman" w:cs="Times New Roman"/>
                <w:color w:val="auto"/>
                <w:sz w:val="21"/>
                <w:szCs w:val="21"/>
                <w:highlight w:val="none"/>
              </w:rPr>
              <w:t>□</w:t>
            </w:r>
          </w:p>
        </w:tc>
        <w:tc>
          <w:tcPr>
            <w:tcW w:w="907" w:type="pct"/>
            <w:tcBorders>
              <w:tl2br w:val="nil"/>
              <w:tr2bl w:val="nil"/>
            </w:tcBorders>
            <w:tcMar>
              <w:top w:w="0" w:type="dxa"/>
              <w:left w:w="0" w:type="dxa"/>
              <w:bottom w:w="0" w:type="dxa"/>
              <w:right w:w="0" w:type="dxa"/>
            </w:tcMar>
            <w:vAlign w:val="center"/>
          </w:tcPr>
          <w:p w14:paraId="08FA63B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Ⅳ□</w:t>
            </w:r>
          </w:p>
        </w:tc>
        <w:tc>
          <w:tcPr>
            <w:tcW w:w="676" w:type="pct"/>
            <w:gridSpan w:val="3"/>
            <w:tcBorders>
              <w:tl2br w:val="nil"/>
              <w:tr2bl w:val="nil"/>
            </w:tcBorders>
            <w:tcMar>
              <w:top w:w="0" w:type="dxa"/>
              <w:left w:w="0" w:type="dxa"/>
              <w:bottom w:w="0" w:type="dxa"/>
              <w:right w:w="0" w:type="dxa"/>
            </w:tcMar>
            <w:vAlign w:val="center"/>
          </w:tcPr>
          <w:p w14:paraId="0F41F460">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Ⅲ</w:t>
            </w:r>
            <w:r>
              <w:rPr>
                <w:rFonts w:ascii="Segoe UI Symbol" w:hAnsi="Segoe UI Symbol" w:cs="Segoe UI Symbol"/>
                <w:color w:val="auto"/>
                <w:sz w:val="21"/>
                <w:szCs w:val="21"/>
                <w:highlight w:val="none"/>
              </w:rPr>
              <w:t>☑</w:t>
            </w:r>
          </w:p>
        </w:tc>
        <w:tc>
          <w:tcPr>
            <w:tcW w:w="620" w:type="pct"/>
            <w:gridSpan w:val="2"/>
            <w:tcBorders>
              <w:tl2br w:val="nil"/>
              <w:tr2bl w:val="nil"/>
            </w:tcBorders>
            <w:tcMar>
              <w:top w:w="0" w:type="dxa"/>
              <w:left w:w="0" w:type="dxa"/>
              <w:bottom w:w="0" w:type="dxa"/>
              <w:right w:w="0" w:type="dxa"/>
            </w:tcMar>
            <w:vAlign w:val="center"/>
          </w:tcPr>
          <w:p w14:paraId="07078B4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Ⅱ□</w:t>
            </w:r>
          </w:p>
        </w:tc>
        <w:tc>
          <w:tcPr>
            <w:tcW w:w="1060" w:type="pct"/>
            <w:gridSpan w:val="2"/>
            <w:tcBorders>
              <w:tl2br w:val="nil"/>
              <w:tr2bl w:val="nil"/>
            </w:tcBorders>
            <w:tcMar>
              <w:top w:w="0" w:type="dxa"/>
              <w:left w:w="0" w:type="dxa"/>
              <w:bottom w:w="0" w:type="dxa"/>
              <w:right w:w="0" w:type="dxa"/>
            </w:tcMar>
            <w:vAlign w:val="center"/>
          </w:tcPr>
          <w:p w14:paraId="3FF3F12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Ⅰ□</w:t>
            </w:r>
          </w:p>
        </w:tc>
      </w:tr>
      <w:tr w14:paraId="7788C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643F8B1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评价等级</w:t>
            </w:r>
          </w:p>
        </w:tc>
        <w:tc>
          <w:tcPr>
            <w:tcW w:w="1686" w:type="pct"/>
            <w:gridSpan w:val="3"/>
            <w:tcBorders>
              <w:tl2br w:val="nil"/>
              <w:tr2bl w:val="nil"/>
            </w:tcBorders>
            <w:tcMar>
              <w:top w:w="0" w:type="dxa"/>
              <w:left w:w="0" w:type="dxa"/>
              <w:bottom w:w="0" w:type="dxa"/>
              <w:right w:w="0" w:type="dxa"/>
            </w:tcMar>
            <w:vAlign w:val="center"/>
          </w:tcPr>
          <w:p w14:paraId="684AF2C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一级□</w:t>
            </w:r>
          </w:p>
        </w:tc>
        <w:tc>
          <w:tcPr>
            <w:tcW w:w="676" w:type="pct"/>
            <w:gridSpan w:val="3"/>
            <w:tcBorders>
              <w:tl2br w:val="nil"/>
              <w:tr2bl w:val="nil"/>
            </w:tcBorders>
            <w:tcMar>
              <w:top w:w="0" w:type="dxa"/>
              <w:left w:w="0" w:type="dxa"/>
              <w:bottom w:w="0" w:type="dxa"/>
              <w:right w:w="0" w:type="dxa"/>
            </w:tcMar>
            <w:vAlign w:val="center"/>
          </w:tcPr>
          <w:p w14:paraId="39C159E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二级</w:t>
            </w:r>
            <w:r>
              <w:rPr>
                <w:rFonts w:ascii="Segoe UI Symbol" w:hAnsi="Segoe UI Symbol" w:cs="Segoe UI Symbol"/>
                <w:color w:val="auto"/>
                <w:sz w:val="21"/>
                <w:szCs w:val="21"/>
                <w:highlight w:val="none"/>
              </w:rPr>
              <w:t>☑</w:t>
            </w:r>
          </w:p>
        </w:tc>
        <w:tc>
          <w:tcPr>
            <w:tcW w:w="620" w:type="pct"/>
            <w:gridSpan w:val="2"/>
            <w:tcBorders>
              <w:tl2br w:val="nil"/>
              <w:tr2bl w:val="nil"/>
            </w:tcBorders>
            <w:tcMar>
              <w:top w:w="0" w:type="dxa"/>
              <w:left w:w="0" w:type="dxa"/>
              <w:bottom w:w="0" w:type="dxa"/>
              <w:right w:w="0" w:type="dxa"/>
            </w:tcMar>
            <w:vAlign w:val="center"/>
          </w:tcPr>
          <w:p w14:paraId="3EAEB63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三级□</w:t>
            </w:r>
          </w:p>
        </w:tc>
        <w:tc>
          <w:tcPr>
            <w:tcW w:w="1060" w:type="pct"/>
            <w:gridSpan w:val="2"/>
            <w:tcBorders>
              <w:tl2br w:val="nil"/>
              <w:tr2bl w:val="nil"/>
            </w:tcBorders>
            <w:tcMar>
              <w:top w:w="0" w:type="dxa"/>
              <w:left w:w="0" w:type="dxa"/>
              <w:bottom w:w="0" w:type="dxa"/>
              <w:right w:w="0" w:type="dxa"/>
            </w:tcMar>
            <w:vAlign w:val="center"/>
          </w:tcPr>
          <w:p w14:paraId="6A82E18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简单分析□</w:t>
            </w:r>
          </w:p>
        </w:tc>
      </w:tr>
      <w:tr w14:paraId="65F70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232" w:type="pct"/>
            <w:vMerge w:val="restart"/>
            <w:tcBorders>
              <w:tl2br w:val="nil"/>
              <w:tr2bl w:val="nil"/>
            </w:tcBorders>
            <w:tcMar>
              <w:top w:w="0" w:type="dxa"/>
              <w:left w:w="0" w:type="dxa"/>
              <w:bottom w:w="0" w:type="dxa"/>
              <w:right w:w="0" w:type="dxa"/>
            </w:tcMar>
            <w:vAlign w:val="center"/>
          </w:tcPr>
          <w:p w14:paraId="4F24EE3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w:t>
            </w:r>
          </w:p>
          <w:p w14:paraId="02C911E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险</w:t>
            </w:r>
          </w:p>
          <w:p w14:paraId="5E2E16F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识</w:t>
            </w:r>
          </w:p>
          <w:p w14:paraId="172B1D9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别</w:t>
            </w:r>
          </w:p>
        </w:tc>
        <w:tc>
          <w:tcPr>
            <w:tcW w:w="726" w:type="pct"/>
            <w:tcBorders>
              <w:tl2br w:val="nil"/>
              <w:tr2bl w:val="nil"/>
            </w:tcBorders>
            <w:tcMar>
              <w:top w:w="0" w:type="dxa"/>
              <w:left w:w="0" w:type="dxa"/>
              <w:bottom w:w="0" w:type="dxa"/>
              <w:right w:w="0" w:type="dxa"/>
            </w:tcMar>
            <w:vAlign w:val="center"/>
          </w:tcPr>
          <w:p w14:paraId="2BA72AB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物质危险性</w:t>
            </w:r>
          </w:p>
        </w:tc>
        <w:tc>
          <w:tcPr>
            <w:tcW w:w="1938" w:type="pct"/>
            <w:gridSpan w:val="4"/>
            <w:tcBorders>
              <w:tl2br w:val="nil"/>
              <w:tr2bl w:val="nil"/>
            </w:tcBorders>
            <w:tcMar>
              <w:top w:w="0" w:type="dxa"/>
              <w:left w:w="0" w:type="dxa"/>
              <w:bottom w:w="0" w:type="dxa"/>
              <w:right w:w="0" w:type="dxa"/>
            </w:tcMar>
            <w:vAlign w:val="center"/>
          </w:tcPr>
          <w:p w14:paraId="236E99B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有毒有害</w:t>
            </w:r>
            <w:r>
              <w:rPr>
                <w:rFonts w:hint="eastAsia" w:ascii="Segoe UI Symbol" w:hAnsi="Segoe UI Symbol" w:cs="Segoe UI Symbol"/>
                <w:color w:val="auto"/>
                <w:sz w:val="21"/>
                <w:szCs w:val="21"/>
                <w:highlight w:val="none"/>
                <w:lang w:eastAsia="zh-CN"/>
              </w:rPr>
              <w:t>☑</w:t>
            </w:r>
          </w:p>
        </w:tc>
        <w:tc>
          <w:tcPr>
            <w:tcW w:w="2104" w:type="pct"/>
            <w:gridSpan w:val="6"/>
            <w:tcBorders>
              <w:tl2br w:val="nil"/>
              <w:tr2bl w:val="nil"/>
            </w:tcBorders>
            <w:tcMar>
              <w:top w:w="0" w:type="dxa"/>
              <w:left w:w="0" w:type="dxa"/>
              <w:bottom w:w="0" w:type="dxa"/>
              <w:right w:w="0" w:type="dxa"/>
            </w:tcMar>
            <w:vAlign w:val="center"/>
          </w:tcPr>
          <w:p w14:paraId="10B25ED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易燃易爆</w:t>
            </w:r>
            <w:r>
              <w:rPr>
                <w:rFonts w:ascii="Segoe UI Symbol" w:hAnsi="Segoe UI Symbol" w:cs="Segoe UI Symbol"/>
                <w:color w:val="auto"/>
                <w:sz w:val="21"/>
                <w:szCs w:val="21"/>
                <w:highlight w:val="none"/>
              </w:rPr>
              <w:t>☑</w:t>
            </w:r>
          </w:p>
        </w:tc>
      </w:tr>
      <w:tr w14:paraId="4DD37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78A9380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tcBorders>
              <w:tl2br w:val="nil"/>
              <w:tr2bl w:val="nil"/>
            </w:tcBorders>
            <w:tcMar>
              <w:top w:w="0" w:type="dxa"/>
              <w:left w:w="0" w:type="dxa"/>
              <w:bottom w:w="0" w:type="dxa"/>
              <w:right w:w="0" w:type="dxa"/>
            </w:tcMar>
            <w:vAlign w:val="center"/>
          </w:tcPr>
          <w:p w14:paraId="389EEB8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环境风险类型</w:t>
            </w:r>
          </w:p>
        </w:tc>
        <w:tc>
          <w:tcPr>
            <w:tcW w:w="1686" w:type="pct"/>
            <w:gridSpan w:val="3"/>
            <w:tcBorders>
              <w:tl2br w:val="nil"/>
              <w:tr2bl w:val="nil"/>
            </w:tcBorders>
            <w:tcMar>
              <w:top w:w="0" w:type="dxa"/>
              <w:left w:w="0" w:type="dxa"/>
              <w:bottom w:w="0" w:type="dxa"/>
              <w:right w:w="0" w:type="dxa"/>
            </w:tcMar>
            <w:vAlign w:val="center"/>
          </w:tcPr>
          <w:p w14:paraId="73D08F4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泄漏</w:t>
            </w:r>
            <w:r>
              <w:rPr>
                <w:rFonts w:ascii="Segoe UI Symbol" w:hAnsi="Segoe UI Symbol" w:cs="Segoe UI Symbol"/>
                <w:color w:val="auto"/>
                <w:sz w:val="21"/>
                <w:szCs w:val="21"/>
                <w:highlight w:val="none"/>
              </w:rPr>
              <w:t>☑</w:t>
            </w:r>
          </w:p>
        </w:tc>
        <w:tc>
          <w:tcPr>
            <w:tcW w:w="2357" w:type="pct"/>
            <w:gridSpan w:val="7"/>
            <w:tcBorders>
              <w:tl2br w:val="nil"/>
              <w:tr2bl w:val="nil"/>
            </w:tcBorders>
            <w:tcMar>
              <w:top w:w="0" w:type="dxa"/>
              <w:left w:w="0" w:type="dxa"/>
              <w:bottom w:w="0" w:type="dxa"/>
              <w:right w:w="0" w:type="dxa"/>
            </w:tcMar>
            <w:vAlign w:val="center"/>
          </w:tcPr>
          <w:p w14:paraId="41D6644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火灾、爆炸引发伴生/次生污染物排放</w:t>
            </w:r>
            <w:r>
              <w:rPr>
                <w:rFonts w:ascii="Segoe UI Symbol" w:hAnsi="Segoe UI Symbol" w:cs="Segoe UI Symbol"/>
                <w:color w:val="auto"/>
                <w:sz w:val="21"/>
                <w:szCs w:val="21"/>
                <w:highlight w:val="none"/>
              </w:rPr>
              <w:t>☑</w:t>
            </w:r>
          </w:p>
        </w:tc>
      </w:tr>
      <w:tr w14:paraId="7C1DD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61E93C0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tcBorders>
              <w:tl2br w:val="nil"/>
              <w:tr2bl w:val="nil"/>
            </w:tcBorders>
            <w:tcMar>
              <w:top w:w="0" w:type="dxa"/>
              <w:left w:w="0" w:type="dxa"/>
              <w:bottom w:w="0" w:type="dxa"/>
              <w:right w:w="0" w:type="dxa"/>
            </w:tcMar>
            <w:vAlign w:val="center"/>
          </w:tcPr>
          <w:p w14:paraId="0AB4507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影响途径</w:t>
            </w:r>
          </w:p>
        </w:tc>
        <w:tc>
          <w:tcPr>
            <w:tcW w:w="1686" w:type="pct"/>
            <w:gridSpan w:val="3"/>
            <w:tcBorders>
              <w:tl2br w:val="nil"/>
              <w:tr2bl w:val="nil"/>
            </w:tcBorders>
            <w:tcMar>
              <w:top w:w="0" w:type="dxa"/>
              <w:left w:w="0" w:type="dxa"/>
              <w:bottom w:w="0" w:type="dxa"/>
              <w:right w:w="0" w:type="dxa"/>
            </w:tcMar>
            <w:vAlign w:val="center"/>
          </w:tcPr>
          <w:p w14:paraId="4C1EB31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w:t>
            </w:r>
            <w:r>
              <w:rPr>
                <w:rFonts w:ascii="Segoe UI Symbol" w:hAnsi="Segoe UI Symbol" w:cs="Segoe UI Symbol"/>
                <w:color w:val="auto"/>
                <w:sz w:val="21"/>
                <w:szCs w:val="21"/>
                <w:highlight w:val="none"/>
              </w:rPr>
              <w:t>☑</w:t>
            </w:r>
          </w:p>
        </w:tc>
        <w:tc>
          <w:tcPr>
            <w:tcW w:w="774" w:type="pct"/>
            <w:gridSpan w:val="4"/>
            <w:tcBorders>
              <w:tl2br w:val="nil"/>
              <w:tr2bl w:val="nil"/>
            </w:tcBorders>
            <w:tcMar>
              <w:top w:w="0" w:type="dxa"/>
              <w:left w:w="0" w:type="dxa"/>
              <w:bottom w:w="0" w:type="dxa"/>
              <w:right w:w="0" w:type="dxa"/>
            </w:tcMar>
            <w:vAlign w:val="center"/>
          </w:tcPr>
          <w:p w14:paraId="741930F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地表水</w:t>
            </w:r>
            <w:r>
              <w:rPr>
                <w:rFonts w:ascii="Segoe UI Symbol" w:hAnsi="Segoe UI Symbol" w:cs="Segoe UI Symbol"/>
                <w:color w:val="auto"/>
                <w:sz w:val="21"/>
                <w:szCs w:val="21"/>
                <w:highlight w:val="none"/>
              </w:rPr>
              <w:t>☑</w:t>
            </w:r>
          </w:p>
        </w:tc>
        <w:tc>
          <w:tcPr>
            <w:tcW w:w="1583" w:type="pct"/>
            <w:gridSpan w:val="3"/>
            <w:tcBorders>
              <w:tl2br w:val="nil"/>
              <w:tr2bl w:val="nil"/>
            </w:tcBorders>
            <w:tcMar>
              <w:top w:w="0" w:type="dxa"/>
              <w:left w:w="0" w:type="dxa"/>
              <w:bottom w:w="0" w:type="dxa"/>
              <w:right w:w="0" w:type="dxa"/>
            </w:tcMar>
            <w:vAlign w:val="center"/>
          </w:tcPr>
          <w:p w14:paraId="26BBEC80">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r>
              <w:rPr>
                <w:rFonts w:ascii="Segoe UI Symbol" w:hAnsi="Segoe UI Symbol" w:cs="Segoe UI Symbol"/>
                <w:color w:val="auto"/>
                <w:sz w:val="21"/>
                <w:szCs w:val="21"/>
                <w:highlight w:val="none"/>
              </w:rPr>
              <w:t>☑</w:t>
            </w:r>
          </w:p>
        </w:tc>
      </w:tr>
      <w:tr w14:paraId="2AA5A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69D4F8E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事故情形分析</w:t>
            </w:r>
          </w:p>
        </w:tc>
        <w:tc>
          <w:tcPr>
            <w:tcW w:w="779" w:type="pct"/>
            <w:gridSpan w:val="2"/>
            <w:tcBorders>
              <w:tl2br w:val="nil"/>
              <w:tr2bl w:val="nil"/>
            </w:tcBorders>
            <w:tcMar>
              <w:top w:w="0" w:type="dxa"/>
              <w:left w:w="0" w:type="dxa"/>
              <w:bottom w:w="0" w:type="dxa"/>
              <w:right w:w="0" w:type="dxa"/>
            </w:tcMar>
            <w:vAlign w:val="center"/>
          </w:tcPr>
          <w:p w14:paraId="5EE8C25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源强设定方法</w:t>
            </w:r>
          </w:p>
        </w:tc>
        <w:tc>
          <w:tcPr>
            <w:tcW w:w="907" w:type="pct"/>
            <w:tcBorders>
              <w:tl2br w:val="nil"/>
              <w:tr2bl w:val="nil"/>
            </w:tcBorders>
            <w:tcMar>
              <w:top w:w="0" w:type="dxa"/>
              <w:left w:w="0" w:type="dxa"/>
              <w:bottom w:w="0" w:type="dxa"/>
              <w:right w:w="0" w:type="dxa"/>
            </w:tcMar>
            <w:vAlign w:val="center"/>
          </w:tcPr>
          <w:p w14:paraId="5B9B9BE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计算法</w:t>
            </w:r>
            <w:r>
              <w:rPr>
                <w:rFonts w:ascii="Segoe UI Symbol" w:hAnsi="Segoe UI Symbol" w:cs="Segoe UI Symbol"/>
                <w:color w:val="auto"/>
                <w:sz w:val="21"/>
                <w:szCs w:val="21"/>
                <w:highlight w:val="none"/>
              </w:rPr>
              <w:t>☑</w:t>
            </w:r>
          </w:p>
        </w:tc>
        <w:tc>
          <w:tcPr>
            <w:tcW w:w="1296" w:type="pct"/>
            <w:gridSpan w:val="5"/>
            <w:tcBorders>
              <w:tl2br w:val="nil"/>
              <w:tr2bl w:val="nil"/>
            </w:tcBorders>
            <w:tcMar>
              <w:top w:w="0" w:type="dxa"/>
              <w:left w:w="0" w:type="dxa"/>
              <w:bottom w:w="0" w:type="dxa"/>
              <w:right w:w="0" w:type="dxa"/>
            </w:tcMar>
            <w:vAlign w:val="center"/>
          </w:tcPr>
          <w:p w14:paraId="691175E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经验估算法□</w:t>
            </w:r>
          </w:p>
        </w:tc>
        <w:tc>
          <w:tcPr>
            <w:tcW w:w="1060" w:type="pct"/>
            <w:gridSpan w:val="2"/>
            <w:tcBorders>
              <w:tl2br w:val="nil"/>
              <w:tr2bl w:val="nil"/>
            </w:tcBorders>
            <w:tcMar>
              <w:top w:w="0" w:type="dxa"/>
              <w:left w:w="0" w:type="dxa"/>
              <w:bottom w:w="0" w:type="dxa"/>
              <w:right w:w="0" w:type="dxa"/>
            </w:tcMar>
            <w:vAlign w:val="center"/>
          </w:tcPr>
          <w:p w14:paraId="176F2C8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其它估算法□</w:t>
            </w:r>
          </w:p>
        </w:tc>
      </w:tr>
      <w:tr w14:paraId="2E8FE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restart"/>
            <w:tcBorders>
              <w:tl2br w:val="nil"/>
              <w:tr2bl w:val="nil"/>
            </w:tcBorders>
            <w:tcMar>
              <w:top w:w="0" w:type="dxa"/>
              <w:left w:w="0" w:type="dxa"/>
              <w:bottom w:w="0" w:type="dxa"/>
              <w:right w:w="0" w:type="dxa"/>
            </w:tcMar>
            <w:vAlign w:val="center"/>
          </w:tcPr>
          <w:p w14:paraId="160C984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w:t>
            </w:r>
          </w:p>
          <w:p w14:paraId="714BB124">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险</w:t>
            </w:r>
          </w:p>
          <w:p w14:paraId="2CC7F06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预</w:t>
            </w:r>
          </w:p>
          <w:p w14:paraId="78A31CA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测</w:t>
            </w:r>
          </w:p>
          <w:p w14:paraId="43216B0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与</w:t>
            </w:r>
          </w:p>
          <w:p w14:paraId="4A846FC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评</w:t>
            </w:r>
          </w:p>
          <w:p w14:paraId="2BBA3C4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价</w:t>
            </w:r>
          </w:p>
        </w:tc>
        <w:tc>
          <w:tcPr>
            <w:tcW w:w="726" w:type="pct"/>
            <w:vMerge w:val="restart"/>
            <w:tcBorders>
              <w:tl2br w:val="nil"/>
              <w:tr2bl w:val="nil"/>
            </w:tcBorders>
            <w:tcMar>
              <w:top w:w="0" w:type="dxa"/>
              <w:left w:w="0" w:type="dxa"/>
              <w:bottom w:w="0" w:type="dxa"/>
              <w:right w:w="0" w:type="dxa"/>
            </w:tcMar>
            <w:vAlign w:val="center"/>
          </w:tcPr>
          <w:p w14:paraId="66202FE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w:t>
            </w:r>
          </w:p>
        </w:tc>
        <w:tc>
          <w:tcPr>
            <w:tcW w:w="779" w:type="pct"/>
            <w:gridSpan w:val="2"/>
            <w:tcBorders>
              <w:tl2br w:val="nil"/>
              <w:tr2bl w:val="nil"/>
            </w:tcBorders>
            <w:tcMar>
              <w:top w:w="0" w:type="dxa"/>
              <w:left w:w="0" w:type="dxa"/>
              <w:bottom w:w="0" w:type="dxa"/>
              <w:right w:w="0" w:type="dxa"/>
            </w:tcMar>
            <w:vAlign w:val="center"/>
          </w:tcPr>
          <w:p w14:paraId="56BDD86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预测模型</w:t>
            </w:r>
          </w:p>
        </w:tc>
        <w:tc>
          <w:tcPr>
            <w:tcW w:w="907" w:type="pct"/>
            <w:tcBorders>
              <w:tl2br w:val="nil"/>
              <w:tr2bl w:val="nil"/>
            </w:tcBorders>
            <w:tcMar>
              <w:top w:w="0" w:type="dxa"/>
              <w:left w:w="0" w:type="dxa"/>
              <w:bottom w:w="0" w:type="dxa"/>
              <w:right w:w="0" w:type="dxa"/>
            </w:tcMar>
            <w:vAlign w:val="center"/>
          </w:tcPr>
          <w:p w14:paraId="56A80CBC">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SLAB□</w:t>
            </w:r>
          </w:p>
        </w:tc>
        <w:tc>
          <w:tcPr>
            <w:tcW w:w="1296" w:type="pct"/>
            <w:gridSpan w:val="5"/>
            <w:tcBorders>
              <w:tl2br w:val="nil"/>
              <w:tr2bl w:val="nil"/>
            </w:tcBorders>
            <w:tcMar>
              <w:top w:w="0" w:type="dxa"/>
              <w:left w:w="0" w:type="dxa"/>
              <w:bottom w:w="0" w:type="dxa"/>
              <w:right w:w="0" w:type="dxa"/>
            </w:tcMar>
            <w:vAlign w:val="center"/>
          </w:tcPr>
          <w:p w14:paraId="2FEF822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AFTOX</w:t>
            </w:r>
            <w:r>
              <w:rPr>
                <w:rFonts w:ascii="Segoe UI Symbol" w:hAnsi="Segoe UI Symbol" w:cs="Segoe UI Symbol"/>
                <w:color w:val="auto"/>
                <w:sz w:val="21"/>
                <w:szCs w:val="21"/>
                <w:highlight w:val="none"/>
              </w:rPr>
              <w:t>☑</w:t>
            </w:r>
          </w:p>
        </w:tc>
        <w:tc>
          <w:tcPr>
            <w:tcW w:w="1060" w:type="pct"/>
            <w:gridSpan w:val="2"/>
            <w:tcBorders>
              <w:tl2br w:val="nil"/>
              <w:tr2bl w:val="nil"/>
            </w:tcBorders>
            <w:tcMar>
              <w:top w:w="0" w:type="dxa"/>
              <w:left w:w="0" w:type="dxa"/>
              <w:bottom w:w="0" w:type="dxa"/>
              <w:right w:w="0" w:type="dxa"/>
            </w:tcMar>
            <w:vAlign w:val="center"/>
          </w:tcPr>
          <w:p w14:paraId="070CA39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其他□</w:t>
            </w:r>
          </w:p>
        </w:tc>
      </w:tr>
      <w:tr w14:paraId="47FD2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553268B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72A3484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79" w:type="pct"/>
            <w:gridSpan w:val="2"/>
            <w:vMerge w:val="restart"/>
            <w:tcBorders>
              <w:tl2br w:val="nil"/>
              <w:tr2bl w:val="nil"/>
            </w:tcBorders>
            <w:tcMar>
              <w:top w:w="0" w:type="dxa"/>
              <w:left w:w="0" w:type="dxa"/>
              <w:bottom w:w="0" w:type="dxa"/>
              <w:right w:w="0" w:type="dxa"/>
            </w:tcMar>
            <w:vAlign w:val="center"/>
          </w:tcPr>
          <w:p w14:paraId="3D79DD6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预测结果</w:t>
            </w:r>
          </w:p>
        </w:tc>
        <w:tc>
          <w:tcPr>
            <w:tcW w:w="3264" w:type="pct"/>
            <w:gridSpan w:val="8"/>
            <w:tcBorders>
              <w:tl2br w:val="nil"/>
              <w:tr2bl w:val="nil"/>
            </w:tcBorders>
            <w:tcMar>
              <w:top w:w="0" w:type="dxa"/>
              <w:left w:w="0" w:type="dxa"/>
              <w:bottom w:w="0" w:type="dxa"/>
              <w:right w:w="0" w:type="dxa"/>
            </w:tcMar>
            <w:vAlign w:val="center"/>
          </w:tcPr>
          <w:p w14:paraId="535DBE3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大气毒性终点浓度-1最大影响范围</w:t>
            </w:r>
            <w:r>
              <w:rPr>
                <w:rFonts w:ascii="Times New Roman" w:hAnsi="Times New Roman" w:cs="Times New Roman"/>
                <w:color w:val="auto"/>
                <w:sz w:val="21"/>
                <w:szCs w:val="21"/>
                <w:highlight w:val="none"/>
                <w:u w:val="single"/>
              </w:rPr>
              <w:t>100</w:t>
            </w:r>
            <w:r>
              <w:rPr>
                <w:rFonts w:ascii="Times New Roman" w:hAnsi="Times New Roman" w:cs="Times New Roman"/>
                <w:color w:val="auto"/>
                <w:sz w:val="21"/>
                <w:szCs w:val="21"/>
                <w:highlight w:val="none"/>
              </w:rPr>
              <w:t>m</w:t>
            </w:r>
          </w:p>
        </w:tc>
      </w:tr>
      <w:tr w14:paraId="2DCE5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705D9C52">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1F0E44D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79" w:type="pct"/>
            <w:gridSpan w:val="2"/>
            <w:vMerge w:val="continue"/>
            <w:tcBorders>
              <w:tl2br w:val="nil"/>
              <w:tr2bl w:val="nil"/>
            </w:tcBorders>
            <w:tcMar>
              <w:top w:w="0" w:type="dxa"/>
              <w:left w:w="0" w:type="dxa"/>
              <w:bottom w:w="0" w:type="dxa"/>
              <w:right w:w="0" w:type="dxa"/>
            </w:tcMar>
            <w:vAlign w:val="center"/>
          </w:tcPr>
          <w:p w14:paraId="0EA1D3D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3264" w:type="pct"/>
            <w:gridSpan w:val="8"/>
            <w:tcBorders>
              <w:tl2br w:val="nil"/>
              <w:tr2bl w:val="nil"/>
            </w:tcBorders>
            <w:tcMar>
              <w:top w:w="0" w:type="dxa"/>
              <w:left w:w="0" w:type="dxa"/>
              <w:bottom w:w="0" w:type="dxa"/>
              <w:right w:w="0" w:type="dxa"/>
            </w:tcMar>
            <w:vAlign w:val="center"/>
          </w:tcPr>
          <w:p w14:paraId="3DD983D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大气毒性终点浓度-2最大影响范围</w:t>
            </w:r>
            <w:r>
              <w:rPr>
                <w:rFonts w:ascii="Times New Roman" w:hAnsi="Times New Roman" w:cs="Times New Roman"/>
                <w:color w:val="auto"/>
                <w:sz w:val="21"/>
                <w:szCs w:val="21"/>
                <w:highlight w:val="none"/>
                <w:u w:val="single"/>
              </w:rPr>
              <w:t>240</w:t>
            </w:r>
            <w:r>
              <w:rPr>
                <w:rFonts w:ascii="Times New Roman" w:hAnsi="Times New Roman" w:cs="Times New Roman"/>
                <w:color w:val="auto"/>
                <w:sz w:val="21"/>
                <w:szCs w:val="21"/>
                <w:highlight w:val="none"/>
              </w:rPr>
              <w:t>m</w:t>
            </w:r>
          </w:p>
        </w:tc>
      </w:tr>
      <w:tr w14:paraId="33575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58C4E6D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tcBorders>
              <w:tl2br w:val="nil"/>
              <w:tr2bl w:val="nil"/>
            </w:tcBorders>
            <w:tcMar>
              <w:top w:w="0" w:type="dxa"/>
              <w:left w:w="0" w:type="dxa"/>
              <w:bottom w:w="0" w:type="dxa"/>
              <w:right w:w="0" w:type="dxa"/>
            </w:tcMar>
            <w:vAlign w:val="center"/>
          </w:tcPr>
          <w:p w14:paraId="34743FB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地表水</w:t>
            </w:r>
          </w:p>
        </w:tc>
        <w:tc>
          <w:tcPr>
            <w:tcW w:w="4043" w:type="pct"/>
            <w:gridSpan w:val="10"/>
            <w:tcBorders>
              <w:tl2br w:val="nil"/>
              <w:tr2bl w:val="nil"/>
            </w:tcBorders>
            <w:tcMar>
              <w:top w:w="0" w:type="dxa"/>
              <w:left w:w="0" w:type="dxa"/>
              <w:bottom w:w="0" w:type="dxa"/>
              <w:right w:w="0" w:type="dxa"/>
            </w:tcMar>
            <w:vAlign w:val="center"/>
          </w:tcPr>
          <w:p w14:paraId="40EC051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最近环境敏感目标</w:t>
            </w:r>
            <w:r>
              <w:rPr>
                <w:rFonts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，到达时间</w:t>
            </w:r>
            <w:r>
              <w:rPr>
                <w:rFonts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h</w:t>
            </w:r>
          </w:p>
        </w:tc>
      </w:tr>
      <w:tr w14:paraId="2F093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514C49F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restart"/>
            <w:tcBorders>
              <w:tl2br w:val="nil"/>
              <w:tr2bl w:val="nil"/>
            </w:tcBorders>
            <w:tcMar>
              <w:top w:w="0" w:type="dxa"/>
              <w:left w:w="0" w:type="dxa"/>
              <w:bottom w:w="0" w:type="dxa"/>
              <w:right w:w="0" w:type="dxa"/>
            </w:tcMar>
            <w:vAlign w:val="center"/>
          </w:tcPr>
          <w:p w14:paraId="205E5AD7">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p>
        </w:tc>
        <w:tc>
          <w:tcPr>
            <w:tcW w:w="4043" w:type="pct"/>
            <w:gridSpan w:val="10"/>
            <w:tcBorders>
              <w:tl2br w:val="nil"/>
              <w:tr2bl w:val="nil"/>
            </w:tcBorders>
            <w:tcMar>
              <w:top w:w="0" w:type="dxa"/>
              <w:left w:w="0" w:type="dxa"/>
              <w:bottom w:w="0" w:type="dxa"/>
              <w:right w:w="0" w:type="dxa"/>
            </w:tcMar>
            <w:vAlign w:val="center"/>
          </w:tcPr>
          <w:p w14:paraId="51D4BD73">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下游厂区边界到达时间</w:t>
            </w:r>
            <w:r>
              <w:rPr>
                <w:rFonts w:hint="eastAsia"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d</w:t>
            </w:r>
          </w:p>
        </w:tc>
      </w:tr>
      <w:tr w14:paraId="1A300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2" w:type="pct"/>
            <w:vMerge w:val="continue"/>
            <w:tcBorders>
              <w:tl2br w:val="nil"/>
              <w:tr2bl w:val="nil"/>
            </w:tcBorders>
            <w:tcMar>
              <w:top w:w="0" w:type="dxa"/>
              <w:left w:w="0" w:type="dxa"/>
              <w:bottom w:w="0" w:type="dxa"/>
              <w:right w:w="0" w:type="dxa"/>
            </w:tcMar>
            <w:vAlign w:val="center"/>
          </w:tcPr>
          <w:p w14:paraId="0620B33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726" w:type="pct"/>
            <w:vMerge w:val="continue"/>
            <w:tcBorders>
              <w:tl2br w:val="nil"/>
              <w:tr2bl w:val="nil"/>
            </w:tcBorders>
            <w:tcMar>
              <w:top w:w="0" w:type="dxa"/>
              <w:left w:w="0" w:type="dxa"/>
              <w:bottom w:w="0" w:type="dxa"/>
              <w:right w:w="0" w:type="dxa"/>
            </w:tcMar>
            <w:vAlign w:val="center"/>
          </w:tcPr>
          <w:p w14:paraId="3EE73C6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4043" w:type="pct"/>
            <w:gridSpan w:val="10"/>
            <w:tcBorders>
              <w:tl2br w:val="nil"/>
              <w:tr2bl w:val="nil"/>
            </w:tcBorders>
            <w:tcMar>
              <w:top w:w="0" w:type="dxa"/>
              <w:left w:w="0" w:type="dxa"/>
              <w:bottom w:w="0" w:type="dxa"/>
              <w:right w:w="0" w:type="dxa"/>
            </w:tcMar>
            <w:vAlign w:val="center"/>
          </w:tcPr>
          <w:p w14:paraId="75AA0E2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最近环境敏感目标</w:t>
            </w:r>
            <w:r>
              <w:rPr>
                <w:rFonts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，到达时间</w:t>
            </w:r>
            <w:r>
              <w:rPr>
                <w:rFonts w:ascii="Times New Roman" w:hAnsi="Times New Roman" w:cs="Times New Roman"/>
                <w:color w:val="auto"/>
                <w:sz w:val="21"/>
                <w:szCs w:val="21"/>
                <w:highlight w:val="none"/>
                <w:u w:val="single"/>
              </w:rPr>
              <w:t>/</w:t>
            </w:r>
            <w:r>
              <w:rPr>
                <w:rFonts w:ascii="Times New Roman" w:hAnsi="Times New Roman" w:cs="Times New Roman"/>
                <w:color w:val="auto"/>
                <w:sz w:val="21"/>
                <w:szCs w:val="21"/>
                <w:highlight w:val="none"/>
              </w:rPr>
              <w:t>h</w:t>
            </w:r>
          </w:p>
        </w:tc>
      </w:tr>
      <w:tr w14:paraId="33638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552F35D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重点风险防范措施</w:t>
            </w:r>
          </w:p>
        </w:tc>
        <w:tc>
          <w:tcPr>
            <w:tcW w:w="4043" w:type="pct"/>
            <w:gridSpan w:val="10"/>
            <w:tcBorders>
              <w:tl2br w:val="nil"/>
              <w:tr2bl w:val="nil"/>
            </w:tcBorders>
            <w:tcMar>
              <w:top w:w="0" w:type="dxa"/>
              <w:left w:w="0" w:type="dxa"/>
              <w:bottom w:w="0" w:type="dxa"/>
              <w:right w:w="0" w:type="dxa"/>
            </w:tcMar>
            <w:vAlign w:val="center"/>
          </w:tcPr>
          <w:p w14:paraId="74545DC0">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对生产装置区、</w:t>
            </w:r>
            <w:r>
              <w:rPr>
                <w:rFonts w:hint="eastAsia" w:ascii="Times New Roman" w:hAnsi="Times New Roman" w:cs="Times New Roman"/>
                <w:color w:val="auto"/>
                <w:sz w:val="21"/>
                <w:szCs w:val="21"/>
                <w:highlight w:val="none"/>
              </w:rPr>
              <w:t>废液储罐区</w:t>
            </w:r>
            <w:r>
              <w:rPr>
                <w:rFonts w:ascii="Times New Roman" w:hAnsi="Times New Roman" w:cs="Times New Roman"/>
                <w:color w:val="auto"/>
                <w:sz w:val="21"/>
                <w:szCs w:val="21"/>
                <w:highlight w:val="none"/>
              </w:rPr>
              <w:t>等连接件定期检查，避免发生</w:t>
            </w:r>
            <w:r>
              <w:rPr>
                <w:rFonts w:hint="eastAsia" w:ascii="Times New Roman" w:hAnsi="Times New Roman" w:cs="Times New Roman"/>
                <w:color w:val="auto"/>
                <w:sz w:val="21"/>
                <w:szCs w:val="21"/>
                <w:highlight w:val="none"/>
              </w:rPr>
              <w:t>废液储罐</w:t>
            </w:r>
            <w:r>
              <w:rPr>
                <w:rFonts w:ascii="Times New Roman" w:hAnsi="Times New Roman" w:cs="Times New Roman"/>
                <w:color w:val="auto"/>
                <w:sz w:val="21"/>
                <w:szCs w:val="21"/>
                <w:highlight w:val="none"/>
              </w:rPr>
              <w:t>或正产设备泄漏事故发生；生产车间、</w:t>
            </w:r>
            <w:r>
              <w:rPr>
                <w:rFonts w:hint="eastAsia" w:ascii="Times New Roman" w:hAnsi="Times New Roman" w:cs="Times New Roman"/>
                <w:color w:val="auto"/>
                <w:sz w:val="21"/>
                <w:szCs w:val="21"/>
                <w:highlight w:val="none"/>
              </w:rPr>
              <w:t>废液储罐</w:t>
            </w:r>
            <w:r>
              <w:rPr>
                <w:rFonts w:ascii="Times New Roman" w:hAnsi="Times New Roman" w:cs="Times New Roman"/>
                <w:color w:val="auto"/>
                <w:sz w:val="21"/>
                <w:szCs w:val="21"/>
                <w:highlight w:val="none"/>
              </w:rPr>
              <w:t>、危废仓库、</w:t>
            </w:r>
            <w:r>
              <w:rPr>
                <w:rFonts w:hint="eastAsia" w:ascii="Times New Roman" w:hAnsi="Times New Roman" w:cs="Times New Roman"/>
                <w:color w:val="auto"/>
                <w:sz w:val="21"/>
                <w:szCs w:val="21"/>
                <w:highlight w:val="none"/>
                <w:lang w:eastAsia="zh-CN"/>
              </w:rPr>
              <w:t>危险品仓库</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成品</w:t>
            </w:r>
            <w:r>
              <w:rPr>
                <w:rFonts w:ascii="Times New Roman" w:hAnsi="Times New Roman" w:cs="Times New Roman"/>
                <w:color w:val="auto"/>
                <w:sz w:val="21"/>
                <w:szCs w:val="21"/>
                <w:highlight w:val="none"/>
              </w:rPr>
              <w:t>仓库做好防腐防渗防漏等风险防范措施。</w:t>
            </w:r>
          </w:p>
        </w:tc>
      </w:tr>
      <w:tr w14:paraId="34265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57" w:type="pct"/>
            <w:gridSpan w:val="2"/>
            <w:tcBorders>
              <w:tl2br w:val="nil"/>
              <w:tr2bl w:val="nil"/>
            </w:tcBorders>
            <w:tcMar>
              <w:top w:w="0" w:type="dxa"/>
              <w:left w:w="0" w:type="dxa"/>
              <w:bottom w:w="0" w:type="dxa"/>
              <w:right w:w="0" w:type="dxa"/>
            </w:tcMar>
            <w:vAlign w:val="center"/>
          </w:tcPr>
          <w:p w14:paraId="4FE03B1F">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评价结论与建议</w:t>
            </w:r>
          </w:p>
        </w:tc>
        <w:tc>
          <w:tcPr>
            <w:tcW w:w="4043" w:type="pct"/>
            <w:gridSpan w:val="10"/>
            <w:tcBorders>
              <w:tl2br w:val="nil"/>
              <w:tr2bl w:val="nil"/>
            </w:tcBorders>
            <w:tcMar>
              <w:top w:w="0" w:type="dxa"/>
              <w:left w:w="0" w:type="dxa"/>
              <w:bottom w:w="0" w:type="dxa"/>
              <w:right w:w="0" w:type="dxa"/>
            </w:tcMar>
            <w:vAlign w:val="center"/>
          </w:tcPr>
          <w:p w14:paraId="4276AF0A">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风险可控</w:t>
            </w:r>
          </w:p>
        </w:tc>
      </w:tr>
      <w:tr w14:paraId="50AA2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12"/>
            <w:tcBorders>
              <w:tl2br w:val="nil"/>
              <w:tr2bl w:val="nil"/>
            </w:tcBorders>
            <w:tcMar>
              <w:top w:w="0" w:type="dxa"/>
              <w:left w:w="0" w:type="dxa"/>
              <w:bottom w:w="0" w:type="dxa"/>
              <w:right w:w="0" w:type="dxa"/>
            </w:tcMar>
            <w:vAlign w:val="center"/>
          </w:tcPr>
          <w:p w14:paraId="1A3E1D2C">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注：“□”为勾选项，“_____”为填写项。</w:t>
            </w:r>
          </w:p>
        </w:tc>
      </w:tr>
    </w:tbl>
    <w:p w14:paraId="7EBB59C5">
      <w:pPr>
        <w:adjustRightInd w:val="0"/>
        <w:snapToGrid w:val="0"/>
        <w:ind w:left="-105" w:right="-105" w:firstLine="200"/>
        <w:rPr>
          <w:rFonts w:ascii="Times New Roman" w:hAnsi="Times New Roman" w:cs="Times New Roman"/>
          <w:color w:val="auto"/>
          <w:sz w:val="10"/>
          <w:szCs w:val="10"/>
          <w:highlight w:val="none"/>
        </w:rPr>
      </w:pPr>
    </w:p>
    <w:p w14:paraId="3E4817E9">
      <w:pPr>
        <w:adjustRightInd w:val="0"/>
        <w:snapToGrid w:val="0"/>
        <w:spacing w:line="360" w:lineRule="auto"/>
        <w:ind w:left="-105" w:right="-105" w:firstLine="480"/>
        <w:rPr>
          <w:rFonts w:ascii="Times New Roman" w:hAnsi="Times New Roman" w:cs="Times New Roman"/>
          <w:color w:val="auto"/>
          <w:highlight w:val="none"/>
        </w:rPr>
      </w:pPr>
      <w:r>
        <w:rPr>
          <w:rFonts w:ascii="Times New Roman" w:hAnsi="Times New Roman" w:cs="Times New Roman"/>
          <w:color w:val="auto"/>
          <w:highlight w:val="none"/>
        </w:rPr>
        <w:t>根据上述分析，本项目存在一定环境风险，在采取一定的措施进行防护的情况下，环境风险可控。</w:t>
      </w:r>
    </w:p>
    <w:p w14:paraId="7D4C0340">
      <w:pPr>
        <w:ind w:left="-105" w:right="-105"/>
        <w:rPr>
          <w:rFonts w:ascii="Times New Roman" w:hAnsi="Times New Roman" w:cs="Times New Roman"/>
          <w:color w:val="auto"/>
          <w:highlight w:val="none"/>
        </w:rPr>
      </w:pPr>
      <w:r>
        <w:rPr>
          <w:rFonts w:ascii="Times New Roman" w:hAnsi="Times New Roman" w:cs="Times New Roman"/>
          <w:color w:val="auto"/>
          <w:highlight w:val="none"/>
        </w:rPr>
        <w:br w:type="page"/>
      </w:r>
    </w:p>
    <w:p w14:paraId="49F08DE0">
      <w:pPr>
        <w:pStyle w:val="4"/>
        <w:numPr>
          <w:ilvl w:val="1"/>
          <w:numId w:val="6"/>
        </w:numPr>
        <w:tabs>
          <w:tab w:val="left" w:pos="426"/>
        </w:tabs>
        <w:spacing w:before="120" w:beforeLines="50" w:after="50" w:line="360" w:lineRule="auto"/>
        <w:ind w:left="-105" w:right="-105"/>
        <w:rPr>
          <w:rFonts w:ascii="Times New Roman" w:eastAsia="宋体"/>
          <w:color w:val="auto"/>
          <w:sz w:val="28"/>
          <w:szCs w:val="28"/>
          <w:highlight w:val="none"/>
        </w:rPr>
      </w:pPr>
      <w:bookmarkStart w:id="419" w:name="_Toc4600"/>
      <w:bookmarkStart w:id="420" w:name="_Toc139356125"/>
      <w:r>
        <w:rPr>
          <w:rFonts w:ascii="Times New Roman" w:eastAsia="宋体"/>
          <w:color w:val="auto"/>
          <w:sz w:val="28"/>
          <w:szCs w:val="28"/>
          <w:highlight w:val="none"/>
        </w:rPr>
        <w:t>生态环境影响分析与评价</w:t>
      </w:r>
      <w:bookmarkEnd w:id="419"/>
      <w:bookmarkEnd w:id="420"/>
    </w:p>
    <w:p w14:paraId="40100628">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21" w:name="_Toc116858849"/>
      <w:r>
        <w:rPr>
          <w:rFonts w:hint="eastAsia" w:eastAsia="宋体"/>
          <w:color w:val="auto"/>
          <w:sz w:val="28"/>
          <w:szCs w:val="28"/>
          <w:highlight w:val="none"/>
        </w:rPr>
        <w:t>6</w:t>
      </w:r>
      <w:r>
        <w:rPr>
          <w:rFonts w:eastAsia="宋体"/>
          <w:color w:val="auto"/>
          <w:sz w:val="28"/>
          <w:szCs w:val="28"/>
          <w:highlight w:val="none"/>
        </w:rPr>
        <w:t>.8.1生态环境影响分析</w:t>
      </w:r>
      <w:bookmarkEnd w:id="421"/>
    </w:p>
    <w:p w14:paraId="16163E30">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根据大气环境影响评价结果，废气污染物最大落地浓度均较低，对陆生植物环境影响较小，为减轻项目建设给环境带来的不利影响，建设单位将采取一系列的生态保护措施。</w:t>
      </w:r>
    </w:p>
    <w:p w14:paraId="5D8019B2">
      <w:pPr>
        <w:adjustRightInd w:val="0"/>
        <w:snapToGrid w:val="0"/>
        <w:spacing w:line="372"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（1）本项目废气污染物经收集处理后均达标排放。</w:t>
      </w:r>
    </w:p>
    <w:p w14:paraId="26189B7F">
      <w:pPr>
        <w:adjustRightInd w:val="0"/>
        <w:snapToGrid w:val="0"/>
        <w:spacing w:line="372"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本项目无新增废水排放，</w:t>
      </w:r>
      <w:r>
        <w:rPr>
          <w:rFonts w:hint="eastAsia" w:ascii="Times New Roman" w:hAnsi="Times New Roman"/>
          <w:color w:val="auto"/>
          <w:highlight w:val="none"/>
        </w:rPr>
        <w:t>全厂产生的生活污水和初期雨水经无锡先进化药化工有限公司处理达标后接入无锡市锡山云林污水处理有限公司处理</w:t>
      </w:r>
      <w:r>
        <w:rPr>
          <w:rFonts w:ascii="Times New Roman" w:hAnsi="Times New Roman" w:cs="Times New Roman"/>
          <w:color w:val="auto"/>
          <w:highlight w:val="none"/>
        </w:rPr>
        <w:t>，固废经合理处置后零排放，</w:t>
      </w:r>
      <w:r>
        <w:rPr>
          <w:rFonts w:ascii="Times New Roman" w:hAnsi="Times New Roman" w:cs="Times New Roman"/>
          <w:color w:val="auto"/>
          <w:spacing w:val="-3"/>
          <w:highlight w:val="none"/>
        </w:rPr>
        <w:t>噪声源经墙体隔声、几何发散衰减及工程降噪后，厂界噪声能够达到《工业企业厂</w:t>
      </w:r>
      <w:r>
        <w:rPr>
          <w:rFonts w:ascii="Times New Roman" w:hAnsi="Times New Roman" w:cs="Times New Roman"/>
          <w:color w:val="auto"/>
          <w:highlight w:val="none"/>
        </w:rPr>
        <w:t>界环境噪声排放标准》（GB12348-2008）中的3类标准</w:t>
      </w:r>
      <w:r>
        <w:rPr>
          <w:rFonts w:hint="eastAsia" w:ascii="Times New Roman" w:hAnsi="Times New Roman" w:cs="Times New Roman"/>
          <w:color w:val="auto"/>
          <w:highlight w:val="none"/>
        </w:rPr>
        <w:t>。</w:t>
      </w:r>
    </w:p>
    <w:p w14:paraId="79C33883">
      <w:pPr>
        <w:adjustRightInd w:val="0"/>
        <w:snapToGrid w:val="0"/>
        <w:spacing w:line="372"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（3）建议并支持建设方在厂区周围进行重点绿化，种植观赏性树及铺设草皮，以创造较好的工作生活环境。</w:t>
      </w:r>
    </w:p>
    <w:p w14:paraId="129578F4">
      <w:pPr>
        <w:pStyle w:val="5"/>
        <w:keepLines w:val="0"/>
        <w:numPr>
          <w:ilvl w:val="0"/>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22" w:name="_Toc116858850"/>
      <w:r>
        <w:rPr>
          <w:rFonts w:hint="eastAsia" w:eastAsia="宋体"/>
          <w:color w:val="auto"/>
          <w:sz w:val="28"/>
          <w:szCs w:val="28"/>
          <w:highlight w:val="none"/>
        </w:rPr>
        <w:t>6</w:t>
      </w:r>
      <w:r>
        <w:rPr>
          <w:rFonts w:eastAsia="宋体"/>
          <w:color w:val="auto"/>
          <w:sz w:val="28"/>
          <w:szCs w:val="28"/>
          <w:highlight w:val="none"/>
        </w:rPr>
        <w:t>.8.2生态环境保护对策</w:t>
      </w:r>
      <w:bookmarkEnd w:id="422"/>
    </w:p>
    <w:p w14:paraId="67DDDBFE">
      <w:pPr>
        <w:adjustRightInd w:val="0"/>
        <w:snapToGrid w:val="0"/>
        <w:spacing w:line="372"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针对本项目建设活动对区域生态环境可能造成的影响，本次评价提出以下生态环境不利影响减缓措施。</w:t>
      </w:r>
    </w:p>
    <w:p w14:paraId="51318431">
      <w:pPr>
        <w:adjustRightInd w:val="0"/>
        <w:snapToGrid w:val="0"/>
        <w:spacing w:line="372"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在厂房附近，为保证空气流通及净化作用，以相对低矮的绿篱和草坪、花坛为主，可种夹竹桃、大叶黄杨、小叶黄杨、冬青等；外围则选择一些抗污染性强、树干较高的树种，如：杨树、悬铃木、樟树、松树、柏树等成隔离带。</w:t>
      </w:r>
    </w:p>
    <w:p w14:paraId="7F069EB7">
      <w:pPr>
        <w:spacing w:line="360" w:lineRule="auto"/>
        <w:ind w:left="-105" w:right="-105" w:firstLine="480" w:firstLineChars="200"/>
        <w:rPr>
          <w:rFonts w:ascii="Times New Roman" w:hAnsi="Times New Roman" w:cs="Times New Roman"/>
          <w:color w:val="auto"/>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bookmarkEnd w:id="361"/>
    <w:p w14:paraId="7706E83C">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423" w:name="_Toc26955"/>
      <w:bookmarkStart w:id="424" w:name="_Toc7100"/>
      <w:bookmarkStart w:id="425" w:name="_Toc60653583"/>
      <w:r>
        <w:rPr>
          <w:rFonts w:ascii="Times New Roman" w:eastAsia="宋体"/>
          <w:color w:val="auto"/>
          <w:sz w:val="32"/>
          <w:szCs w:val="32"/>
          <w:highlight w:val="none"/>
        </w:rPr>
        <w:t>环境保护措施及其经济、技术论证</w:t>
      </w:r>
      <w:bookmarkEnd w:id="423"/>
      <w:bookmarkEnd w:id="424"/>
      <w:bookmarkEnd w:id="425"/>
    </w:p>
    <w:p w14:paraId="4E18CE9A">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26" w:name="_Toc15806"/>
      <w:bookmarkStart w:id="427" w:name="_Toc4226730"/>
      <w:bookmarkStart w:id="428" w:name="_Toc60653584"/>
      <w:bookmarkStart w:id="429" w:name="_Toc347332641"/>
      <w:bookmarkStart w:id="430" w:name="_Toc127345277"/>
      <w:bookmarkStart w:id="431" w:name="_Toc118628730"/>
      <w:bookmarkStart w:id="432" w:name="_Toc100053281"/>
      <w:bookmarkStart w:id="433" w:name="_Toc19560"/>
      <w:bookmarkStart w:id="434" w:name="_Toc118620502"/>
      <w:bookmarkStart w:id="435" w:name="_Toc313475000"/>
      <w:bookmarkStart w:id="436" w:name="_Toc101291786"/>
      <w:bookmarkStart w:id="437" w:name="_Toc175038175"/>
      <w:r>
        <w:rPr>
          <w:rFonts w:ascii="Times New Roman" w:eastAsia="宋体"/>
          <w:color w:val="auto"/>
          <w:sz w:val="28"/>
          <w:szCs w:val="28"/>
          <w:highlight w:val="none"/>
        </w:rPr>
        <w:t>废气治理措施评述</w:t>
      </w:r>
      <w:bookmarkEnd w:id="426"/>
      <w:bookmarkEnd w:id="427"/>
      <w:bookmarkEnd w:id="428"/>
      <w:bookmarkEnd w:id="429"/>
      <w:bookmarkEnd w:id="430"/>
      <w:bookmarkEnd w:id="431"/>
      <w:bookmarkEnd w:id="432"/>
      <w:bookmarkEnd w:id="433"/>
      <w:bookmarkEnd w:id="434"/>
      <w:bookmarkEnd w:id="435"/>
      <w:bookmarkEnd w:id="436"/>
      <w:bookmarkEnd w:id="437"/>
    </w:p>
    <w:p w14:paraId="6D00E05C">
      <w:pPr>
        <w:pStyle w:val="5"/>
        <w:keepLines w:val="0"/>
        <w:numPr>
          <w:ilvl w:val="2"/>
          <w:numId w:val="0"/>
        </w:numPr>
        <w:tabs>
          <w:tab w:val="left" w:pos="567"/>
          <w:tab w:val="left" w:pos="709"/>
          <w:tab w:val="left" w:pos="993"/>
          <w:tab w:val="left" w:pos="6663"/>
        </w:tabs>
        <w:spacing w:before="0" w:after="0" w:line="360" w:lineRule="auto"/>
        <w:ind w:right="-105"/>
        <w:rPr>
          <w:rFonts w:eastAsia="宋体"/>
          <w:color w:val="auto"/>
          <w:sz w:val="28"/>
          <w:szCs w:val="28"/>
          <w:highlight w:val="none"/>
        </w:rPr>
      </w:pPr>
      <w:bookmarkStart w:id="438" w:name="_Toc461443196"/>
      <w:bookmarkStart w:id="439" w:name="_Toc60653585"/>
      <w:bookmarkStart w:id="440" w:name="_Toc349636248"/>
      <w:bookmarkStart w:id="441" w:name="_Toc31479"/>
      <w:bookmarkStart w:id="442" w:name="_Toc327968252"/>
      <w:r>
        <w:rPr>
          <w:rFonts w:hint="eastAsia" w:eastAsia="宋体"/>
          <w:color w:val="auto"/>
          <w:sz w:val="28"/>
          <w:szCs w:val="28"/>
          <w:highlight w:val="none"/>
        </w:rPr>
        <w:t>7.1.1</w:t>
      </w:r>
      <w:r>
        <w:rPr>
          <w:rFonts w:eastAsia="宋体"/>
          <w:color w:val="auto"/>
          <w:sz w:val="28"/>
          <w:szCs w:val="28"/>
          <w:highlight w:val="none"/>
        </w:rPr>
        <w:t>废气排放的种类</w:t>
      </w:r>
      <w:bookmarkEnd w:id="438"/>
      <w:bookmarkEnd w:id="439"/>
    </w:p>
    <w:p w14:paraId="3829A7C7">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hint="eastAsia" w:cs="宋体"/>
          <w:color w:val="auto"/>
          <w:szCs w:val="24"/>
          <w:highlight w:val="none"/>
          <w:lang w:bidi="ar"/>
        </w:rPr>
        <w:t>本项目主要废气污染物为非甲烷总烃、甲醇、氮氧化物，生产过程产生非甲烷总烃，实验室产生非甲烷总烃、甲醇、氮氧化物，由于甲醇和硝酸使用量较少，产生的甲醇、氮氧化物废气量极小，</w:t>
      </w:r>
      <w:r>
        <w:rPr>
          <w:rFonts w:ascii="Times New Roman" w:hAnsi="Times New Roman"/>
          <w:color w:val="auto"/>
          <w:szCs w:val="24"/>
          <w:highlight w:val="none"/>
          <w:lang w:bidi="ar"/>
        </w:rPr>
        <w:t>因此，本项目不对</w:t>
      </w:r>
      <w:r>
        <w:rPr>
          <w:rFonts w:hint="eastAsia" w:cs="宋体"/>
          <w:color w:val="auto"/>
          <w:szCs w:val="24"/>
          <w:highlight w:val="none"/>
          <w:lang w:bidi="ar"/>
        </w:rPr>
        <w:t>甲醇、氮氧化物</w:t>
      </w:r>
      <w:r>
        <w:rPr>
          <w:rFonts w:ascii="Times New Roman" w:hAnsi="Times New Roman"/>
          <w:color w:val="auto"/>
          <w:szCs w:val="24"/>
          <w:highlight w:val="none"/>
          <w:lang w:bidi="ar"/>
        </w:rPr>
        <w:t>进行污染物产排分析，</w:t>
      </w:r>
      <w:r>
        <w:rPr>
          <w:rFonts w:hint="eastAsia" w:ascii="Times New Roman" w:hAnsi="Times New Roman"/>
          <w:color w:val="auto"/>
          <w:szCs w:val="24"/>
          <w:highlight w:val="none"/>
          <w:lang w:bidi="ar"/>
        </w:rPr>
        <w:t>生产过程产生的非甲烷总烃依托现有废气处理措施3级碱液喷淋+二级活性炭吸附处理后经DA005排气筒排放，实验室产生的非甲烷总烃（含甲醇）通过两级活性炭吸附经DA006排气筒排放</w:t>
      </w:r>
      <w:r>
        <w:rPr>
          <w:rFonts w:ascii="Times New Roman" w:hAnsi="Times New Roman"/>
          <w:color w:val="auto"/>
          <w:szCs w:val="24"/>
          <w:highlight w:val="none"/>
          <w:lang w:bidi="ar"/>
        </w:rPr>
        <w:t>。</w:t>
      </w:r>
    </w:p>
    <w:p w14:paraId="08951DFD">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各废气收集、处理、排放流程图见</w:t>
      </w:r>
      <w:r>
        <w:rPr>
          <w:rFonts w:ascii="Times New Roman" w:hAnsi="Times New Roman"/>
          <w:color w:val="auto"/>
          <w:highlight w:val="none"/>
        </w:rPr>
        <w:fldChar w:fldCharType="begin"/>
      </w:r>
      <w:r>
        <w:rPr>
          <w:rFonts w:ascii="Times New Roman" w:hAnsi="Times New Roman"/>
          <w:color w:val="auto"/>
          <w:highlight w:val="none"/>
        </w:rPr>
        <w:instrText xml:space="preserve"> </w:instrText>
      </w:r>
      <w:r>
        <w:rPr>
          <w:rFonts w:hint="eastAsia" w:ascii="Times New Roman" w:hAnsi="Times New Roman"/>
          <w:color w:val="auto"/>
          <w:highlight w:val="none"/>
        </w:rPr>
        <w:instrText xml:space="preserve">REF _Ref61874789 \h</w:instrText>
      </w:r>
      <w:r>
        <w:rPr>
          <w:rFonts w:ascii="Times New Roman" w:hAnsi="Times New Roman"/>
          <w:color w:val="auto"/>
          <w:highlight w:val="none"/>
        </w:rPr>
        <w:instrText xml:space="preserve">  \* MERGEFORMAT </w:instrText>
      </w:r>
      <w:r>
        <w:rPr>
          <w:rFonts w:ascii="Times New Roman" w:hAnsi="Times New Roman"/>
          <w:color w:val="auto"/>
          <w:highlight w:val="none"/>
        </w:rPr>
        <w:fldChar w:fldCharType="separate"/>
      </w:r>
      <w:r>
        <w:rPr>
          <w:rFonts w:ascii="Times New Roman" w:hAnsi="Times New Roman"/>
          <w:color w:val="auto"/>
          <w:szCs w:val="18"/>
          <w:highlight w:val="none"/>
        </w:rPr>
        <w:t>图7.1</w:t>
      </w:r>
      <w:r>
        <w:rPr>
          <w:rFonts w:ascii="Times New Roman" w:hAnsi="Times New Roman"/>
          <w:color w:val="auto"/>
          <w:szCs w:val="18"/>
          <w:highlight w:val="none"/>
        </w:rPr>
        <w:noBreakHyphen/>
      </w:r>
      <w:r>
        <w:rPr>
          <w:rFonts w:ascii="Times New Roman" w:hAnsi="Times New Roman"/>
          <w:color w:val="auto"/>
          <w:szCs w:val="18"/>
          <w:highlight w:val="none"/>
        </w:rPr>
        <w:t>1</w:t>
      </w:r>
      <w:r>
        <w:rPr>
          <w:rFonts w:hint="eastAsia"/>
          <w:color w:val="auto"/>
          <w:szCs w:val="18"/>
          <w:highlight w:val="none"/>
        </w:rPr>
        <w:t>。</w:t>
      </w:r>
      <w:r>
        <w:rPr>
          <w:rFonts w:ascii="Times New Roman" w:hAnsi="Times New Roman"/>
          <w:color w:val="auto"/>
          <w:highlight w:val="none"/>
        </w:rPr>
        <w:fldChar w:fldCharType="end"/>
      </w:r>
    </w:p>
    <w:p w14:paraId="79A5C561">
      <w:pPr>
        <w:pStyle w:val="41"/>
        <w:widowControl w:val="0"/>
        <w:autoSpaceDE w:val="0"/>
        <w:autoSpaceDN w:val="0"/>
        <w:spacing w:before="0" w:beforeAutospacing="0" w:after="0" w:afterAutospacing="0" w:line="360" w:lineRule="auto"/>
        <w:ind w:left="-105" w:right="-105"/>
        <w:jc w:val="center"/>
        <w:rPr>
          <w:rFonts w:ascii="Times New Roman" w:hAnsi="Times New Roman"/>
          <w:color w:val="auto"/>
          <w:highlight w:val="none"/>
        </w:rPr>
      </w:pPr>
      <w:r>
        <w:rPr>
          <w:rFonts w:ascii="Times New Roman" w:hAnsi="Times New Roman"/>
          <w:color w:val="auto"/>
          <w:highlight w:val="none"/>
        </w:rPr>
        <w:object>
          <v:shape id="_x0000_i1039" o:spt="75" type="#_x0000_t75" style="height:126.1pt;width:425pt;" o:ole="t" filled="f" o:preferrelative="t" stroked="f" coordsize="21600,21600">
            <v:path/>
            <v:fill on="f" focussize="0,0"/>
            <v:stroke on="f"/>
            <v:imagedata r:id="rId58" o:title=""/>
            <o:lock v:ext="edit" aspectratio="f"/>
            <w10:wrap type="none"/>
            <w10:anchorlock/>
          </v:shape>
          <o:OLEObject Type="Embed" ProgID="Visio.Drawing.15" ShapeID="_x0000_i1039" DrawAspect="Content" ObjectID="_1468075730" r:id="rId57">
            <o:LockedField>false</o:LockedField>
          </o:OLEObject>
        </w:object>
      </w:r>
    </w:p>
    <w:p w14:paraId="164B1891">
      <w:pPr>
        <w:pStyle w:val="15"/>
        <w:spacing w:before="120" w:beforeLines="50"/>
        <w:ind w:left="-105" w:right="-105" w:firstLine="482"/>
        <w:rPr>
          <w:rFonts w:eastAsia="宋体" w:cs="Times New Roman"/>
          <w:color w:val="auto"/>
          <w:sz w:val="24"/>
          <w:szCs w:val="18"/>
          <w:highlight w:val="none"/>
        </w:rPr>
      </w:pPr>
      <w:bookmarkStart w:id="443" w:name="_Ref61874789"/>
      <w:r>
        <w:rPr>
          <w:rFonts w:eastAsia="宋体" w:cs="Times New Roman"/>
          <w:color w:val="auto"/>
          <w:sz w:val="24"/>
          <w:szCs w:val="18"/>
          <w:highlight w:val="none"/>
        </w:rPr>
        <w:t>图</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图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hint="eastAsia" w:eastAsia="宋体" w:cs="Times New Roman"/>
          <w:color w:val="auto"/>
          <w:sz w:val="24"/>
          <w:szCs w:val="18"/>
          <w:highlight w:val="none"/>
        </w:rPr>
        <w:t>废气处理工艺流程图</w:t>
      </w:r>
      <w:bookmarkEnd w:id="443"/>
    </w:p>
    <w:p w14:paraId="563B40BA">
      <w:pPr>
        <w:pStyle w:val="5"/>
        <w:keepLines w:val="0"/>
        <w:numPr>
          <w:ilvl w:val="2"/>
          <w:numId w:val="0"/>
        </w:numPr>
        <w:tabs>
          <w:tab w:val="left" w:pos="567"/>
          <w:tab w:val="left" w:pos="709"/>
          <w:tab w:val="left" w:pos="993"/>
          <w:tab w:val="left" w:pos="6663"/>
        </w:tabs>
        <w:spacing w:before="120" w:beforeLines="50" w:after="0" w:line="360" w:lineRule="auto"/>
        <w:ind w:right="-105"/>
        <w:rPr>
          <w:rFonts w:eastAsia="宋体"/>
          <w:color w:val="auto"/>
          <w:sz w:val="28"/>
          <w:szCs w:val="28"/>
          <w:highlight w:val="none"/>
        </w:rPr>
      </w:pPr>
      <w:bookmarkStart w:id="444" w:name="_Toc60653586"/>
      <w:r>
        <w:rPr>
          <w:rFonts w:hint="eastAsia" w:eastAsia="宋体"/>
          <w:color w:val="auto"/>
          <w:sz w:val="28"/>
          <w:szCs w:val="28"/>
          <w:highlight w:val="none"/>
        </w:rPr>
        <w:t>7.1.2</w:t>
      </w:r>
      <w:r>
        <w:rPr>
          <w:rFonts w:eastAsia="宋体"/>
          <w:color w:val="auto"/>
          <w:sz w:val="28"/>
          <w:szCs w:val="28"/>
          <w:highlight w:val="none"/>
        </w:rPr>
        <w:t>有组织废气防治措施及可行性分析</w:t>
      </w:r>
      <w:bookmarkEnd w:id="444"/>
    </w:p>
    <w:p w14:paraId="327D0799">
      <w:pPr>
        <w:pStyle w:val="41"/>
        <w:widowControl w:val="0"/>
        <w:autoSpaceDE w:val="0"/>
        <w:autoSpaceDN w:val="0"/>
        <w:spacing w:before="0" w:beforeAutospacing="0" w:after="0" w:afterAutospacing="0" w:line="360" w:lineRule="auto"/>
        <w:ind w:left="-105" w:right="-105" w:firstLine="482" w:firstLineChars="200"/>
        <w:jc w:val="both"/>
        <w:rPr>
          <w:rFonts w:ascii="Times New Roman" w:hAnsi="Times New Roman"/>
          <w:b/>
          <w:bCs/>
          <w:color w:val="auto"/>
          <w:szCs w:val="24"/>
          <w:highlight w:val="none"/>
          <w:lang w:bidi="ar"/>
        </w:rPr>
      </w:pPr>
      <w:r>
        <w:rPr>
          <w:rFonts w:hint="eastAsia" w:ascii="Times New Roman" w:hAnsi="Times New Roman"/>
          <w:b/>
          <w:bCs/>
          <w:color w:val="auto"/>
          <w:szCs w:val="24"/>
          <w:highlight w:val="none"/>
          <w:lang w:bidi="ar"/>
        </w:rPr>
        <w:t>（1）废气治理方案比选</w:t>
      </w:r>
    </w:p>
    <w:p w14:paraId="75EEA555">
      <w:pPr>
        <w:pStyle w:val="20"/>
        <w:spacing w:line="360" w:lineRule="auto"/>
        <w:ind w:left="-105" w:right="-105" w:firstLine="472" w:firstLineChars="200"/>
        <w:jc w:val="both"/>
        <w:rPr>
          <w:color w:val="auto"/>
          <w:sz w:val="24"/>
          <w:szCs w:val="24"/>
          <w:highlight w:val="none"/>
        </w:rPr>
      </w:pPr>
      <w:r>
        <w:rPr>
          <w:color w:val="auto"/>
          <w:spacing w:val="-2"/>
          <w:sz w:val="24"/>
          <w:szCs w:val="24"/>
          <w:highlight w:val="none"/>
        </w:rPr>
        <w:t>本项目</w:t>
      </w:r>
      <w:r>
        <w:rPr>
          <w:rFonts w:hint="eastAsia"/>
          <w:color w:val="auto"/>
          <w:spacing w:val="-2"/>
          <w:sz w:val="24"/>
          <w:szCs w:val="24"/>
          <w:highlight w:val="none"/>
          <w:lang w:val="en-US"/>
        </w:rPr>
        <w:t>生产线和实验室</w:t>
      </w:r>
      <w:r>
        <w:rPr>
          <w:color w:val="auto"/>
          <w:spacing w:val="-2"/>
          <w:sz w:val="24"/>
          <w:szCs w:val="24"/>
          <w:highlight w:val="none"/>
        </w:rPr>
        <w:t>均产生</w:t>
      </w:r>
      <w:r>
        <w:rPr>
          <w:rFonts w:ascii="Times New Roman" w:eastAsia="Times New Roman"/>
          <w:color w:val="auto"/>
          <w:sz w:val="24"/>
          <w:szCs w:val="24"/>
          <w:highlight w:val="none"/>
        </w:rPr>
        <w:t>VOCs</w:t>
      </w:r>
      <w:r>
        <w:rPr>
          <w:color w:val="auto"/>
          <w:sz w:val="24"/>
          <w:szCs w:val="24"/>
          <w:highlight w:val="none"/>
        </w:rPr>
        <w:t>废气（</w:t>
      </w:r>
      <w:r>
        <w:rPr>
          <w:color w:val="auto"/>
          <w:spacing w:val="-5"/>
          <w:sz w:val="24"/>
          <w:szCs w:val="24"/>
          <w:highlight w:val="none"/>
        </w:rPr>
        <w:t>含</w:t>
      </w:r>
      <w:r>
        <w:rPr>
          <w:rFonts w:hint="eastAsia"/>
          <w:color w:val="auto"/>
          <w:spacing w:val="-5"/>
          <w:sz w:val="24"/>
          <w:szCs w:val="24"/>
          <w:highlight w:val="none"/>
          <w:lang w:val="en-US"/>
        </w:rPr>
        <w:t>甲醇</w:t>
      </w:r>
      <w:r>
        <w:rPr>
          <w:color w:val="auto"/>
          <w:sz w:val="24"/>
          <w:szCs w:val="24"/>
          <w:highlight w:val="none"/>
        </w:rPr>
        <w:t>、非甲烷总烃等），</w:t>
      </w:r>
      <w:r>
        <w:rPr>
          <w:color w:val="auto"/>
          <w:spacing w:val="-11"/>
          <w:sz w:val="24"/>
          <w:szCs w:val="24"/>
          <w:highlight w:val="none"/>
        </w:rPr>
        <w:t>目前工业</w:t>
      </w:r>
      <w:r>
        <w:rPr>
          <w:rFonts w:ascii="Times New Roman" w:eastAsia="Times New Roman"/>
          <w:color w:val="auto"/>
          <w:sz w:val="24"/>
          <w:szCs w:val="24"/>
          <w:highlight w:val="none"/>
        </w:rPr>
        <w:t>VOCs</w:t>
      </w:r>
      <w:r>
        <w:rPr>
          <w:color w:val="auto"/>
          <w:spacing w:val="-1"/>
          <w:sz w:val="24"/>
          <w:szCs w:val="24"/>
          <w:highlight w:val="none"/>
        </w:rPr>
        <w:t>治理工艺主要有吸附法、冷凝法、</w:t>
      </w:r>
      <w:r>
        <w:rPr>
          <w:color w:val="auto"/>
          <w:sz w:val="24"/>
          <w:szCs w:val="24"/>
          <w:highlight w:val="none"/>
        </w:rPr>
        <w:t>蓄热式热氧化法、等离子光解净化法、催化燃烧法等，方案比选具体见下表。</w:t>
      </w:r>
    </w:p>
    <w:p w14:paraId="432F6E51">
      <w:pPr>
        <w:pStyle w:val="15"/>
        <w:ind w:left="-105" w:right="-105" w:firstLine="482"/>
        <w:rPr>
          <w:rFonts w:eastAsia="宋体" w:cs="Times New Roman"/>
          <w:color w:val="auto"/>
          <w:highlight w:val="none"/>
        </w:rPr>
      </w:pPr>
      <w:r>
        <w:rPr>
          <w:rFonts w:eastAsia="宋体" w:cs="Times New Roman"/>
          <w:color w:val="auto"/>
          <w:sz w:val="24"/>
          <w:szCs w:val="18"/>
          <w:highlight w:val="none"/>
        </w:rPr>
        <mc:AlternateContent>
          <mc:Choice Requires="wps">
            <w:drawing>
              <wp:anchor distT="0" distB="0" distL="114300" distR="114300" simplePos="0" relativeHeight="251667456" behindDoc="1" locked="0" layoutInCell="1" allowOverlap="1">
                <wp:simplePos x="0" y="0"/>
                <wp:positionH relativeFrom="page">
                  <wp:posOffset>953135</wp:posOffset>
                </wp:positionH>
                <wp:positionV relativeFrom="paragraph">
                  <wp:posOffset>214630</wp:posOffset>
                </wp:positionV>
                <wp:extent cx="593090" cy="297180"/>
                <wp:effectExtent l="10160" t="11430" r="6350" b="5715"/>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93090" cy="297180"/>
                        </a:xfrm>
                        <a:prstGeom prst="line">
                          <a:avLst/>
                        </a:prstGeom>
                        <a:noFill/>
                        <a:ln w="6096">
                          <a:solidFill>
                            <a:srgbClr val="000000"/>
                          </a:solidFill>
                          <a:prstDash val="solid"/>
                          <a:round/>
                        </a:ln>
                      </wps:spPr>
                      <wps:bodyPr/>
                    </wps:wsp>
                  </a:graphicData>
                </a:graphic>
              </wp:anchor>
            </w:drawing>
          </mc:Choice>
          <mc:Fallback>
            <w:pict>
              <v:line id="_x0000_s1026" o:spid="_x0000_s1026" o:spt="20" style="position:absolute;left:0pt;margin-left:75.05pt;margin-top:16.9pt;height:23.4pt;width:46.7pt;mso-position-horizontal-relative:page;z-index:-251649024;mso-width-relative:page;mso-height-relative:page;" filled="f" stroked="t" coordsize="21600,21600" o:gfxdata="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5yQMtgAAAAJAQAADwAAAAAAAAABACAAAAAiAAAAZHJzL2Rvd25yZXYueG1sUEsB&#10;AhQAFAAAAAgAh07iQM62YW71AQAAyQMAAA4AAAAAAAAAAQAgAAAAJwEAAGRycy9lMm9Eb2MueG1s&#10;UEsFBgAAAAAGAAYAWQEAAI4FAAAAAA==&#10;">
                <v:fill on="f" focussize="0,0"/>
                <v:stroke weight="0.48pt" color="#000000" joinstyle="round"/>
                <v:imagedata o:title=""/>
                <o:lock v:ext="edit" aspectratio="f"/>
              </v:line>
            </w:pict>
          </mc:Fallback>
        </mc:AlternateContent>
      </w: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eastAsia="宋体" w:cs="Times New Roman"/>
          <w:color w:val="auto"/>
          <w:sz w:val="24"/>
          <w:szCs w:val="18"/>
          <w:highlight w:val="none"/>
        </w:rPr>
        <w:t>VOCs废气处理多方案比选</w:t>
      </w:r>
    </w:p>
    <w:tbl>
      <w:tblPr>
        <w:tblStyle w:val="9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3"/>
        <w:gridCol w:w="1200"/>
        <w:gridCol w:w="1433"/>
        <w:gridCol w:w="1075"/>
        <w:gridCol w:w="1440"/>
        <w:gridCol w:w="1480"/>
        <w:gridCol w:w="1506"/>
      </w:tblGrid>
      <w:tr w14:paraId="15BAB1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53" w:type="dxa"/>
            <w:vAlign w:val="center"/>
          </w:tcPr>
          <w:p w14:paraId="5EEBF4A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工艺</w:t>
            </w:r>
          </w:p>
          <w:p w14:paraId="14A51B9E">
            <w:pPr>
              <w:pStyle w:val="98"/>
              <w:keepNext w:val="0"/>
              <w:keepLines w:val="0"/>
              <w:pageBreakBefore w:val="0"/>
              <w:widowControl w:val="0"/>
              <w:kinsoku/>
              <w:wordWrap/>
              <w:overflowPunct/>
              <w:topLinePunct w:val="0"/>
              <w:autoSpaceDE w:val="0"/>
              <w:autoSpaceDN w:val="0"/>
              <w:bidi w:val="0"/>
              <w:adjustRightInd/>
              <w:snapToGrid/>
              <w:ind w:left="0" w:right="0"/>
              <w:jc w:val="left"/>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项目</w:t>
            </w:r>
          </w:p>
        </w:tc>
        <w:tc>
          <w:tcPr>
            <w:tcW w:w="1200" w:type="dxa"/>
            <w:vAlign w:val="center"/>
          </w:tcPr>
          <w:p w14:paraId="6371829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活性炭吸附</w:t>
            </w:r>
          </w:p>
          <w:p w14:paraId="7A4B176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w w:val="99"/>
                <w:sz w:val="21"/>
                <w:szCs w:val="21"/>
                <w:highlight w:val="none"/>
                <w:lang w:eastAsia="en-US"/>
              </w:rPr>
              <w:t>法</w:t>
            </w:r>
          </w:p>
        </w:tc>
        <w:tc>
          <w:tcPr>
            <w:tcW w:w="1433" w:type="dxa"/>
            <w:vAlign w:val="center"/>
          </w:tcPr>
          <w:p w14:paraId="07C6A52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冷凝法</w:t>
            </w:r>
          </w:p>
        </w:tc>
        <w:tc>
          <w:tcPr>
            <w:tcW w:w="1075" w:type="dxa"/>
            <w:vAlign w:val="center"/>
          </w:tcPr>
          <w:p w14:paraId="1837828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催化燃烧</w:t>
            </w:r>
            <w:r>
              <w:rPr>
                <w:rFonts w:hint="eastAsia" w:ascii="宋体" w:hAnsi="宋体" w:eastAsia="宋体"/>
                <w:b/>
                <w:color w:val="auto"/>
                <w:w w:val="99"/>
                <w:sz w:val="21"/>
                <w:szCs w:val="21"/>
                <w:highlight w:val="none"/>
                <w:lang w:eastAsia="en-US"/>
              </w:rPr>
              <w:t>法</w:t>
            </w:r>
          </w:p>
        </w:tc>
        <w:tc>
          <w:tcPr>
            <w:tcW w:w="1440" w:type="dxa"/>
            <w:vAlign w:val="center"/>
          </w:tcPr>
          <w:p w14:paraId="6D32518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直接燃烧法</w:t>
            </w:r>
          </w:p>
        </w:tc>
        <w:tc>
          <w:tcPr>
            <w:tcW w:w="1480" w:type="dxa"/>
            <w:vAlign w:val="center"/>
          </w:tcPr>
          <w:p w14:paraId="3173FA2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光氧催化净化</w:t>
            </w:r>
            <w:r>
              <w:rPr>
                <w:rFonts w:hint="eastAsia" w:ascii="宋体" w:hAnsi="宋体" w:eastAsia="宋体"/>
                <w:b/>
                <w:color w:val="auto"/>
                <w:w w:val="99"/>
                <w:sz w:val="21"/>
                <w:szCs w:val="21"/>
                <w:highlight w:val="none"/>
                <w:lang w:eastAsia="en-US"/>
              </w:rPr>
              <w:t>法</w:t>
            </w:r>
          </w:p>
        </w:tc>
        <w:tc>
          <w:tcPr>
            <w:tcW w:w="1506" w:type="dxa"/>
            <w:vAlign w:val="center"/>
          </w:tcPr>
          <w:p w14:paraId="73C16F1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sz w:val="21"/>
                <w:szCs w:val="21"/>
                <w:highlight w:val="none"/>
                <w:lang w:eastAsia="en-US"/>
              </w:rPr>
              <w:t>等离子光解净化</w:t>
            </w:r>
          </w:p>
          <w:p w14:paraId="535B175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b/>
                <w:color w:val="auto"/>
                <w:sz w:val="21"/>
                <w:szCs w:val="21"/>
                <w:highlight w:val="none"/>
                <w:lang w:eastAsia="en-US"/>
              </w:rPr>
            </w:pPr>
            <w:r>
              <w:rPr>
                <w:rFonts w:hint="eastAsia" w:ascii="宋体" w:hAnsi="宋体" w:eastAsia="宋体"/>
                <w:b/>
                <w:color w:val="auto"/>
                <w:w w:val="99"/>
                <w:sz w:val="21"/>
                <w:szCs w:val="21"/>
                <w:highlight w:val="none"/>
                <w:lang w:eastAsia="en-US"/>
              </w:rPr>
              <w:t>法</w:t>
            </w:r>
          </w:p>
        </w:tc>
      </w:tr>
      <w:tr w14:paraId="7F3AB4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953" w:type="dxa"/>
            <w:vAlign w:val="center"/>
          </w:tcPr>
          <w:p w14:paraId="383914B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使用范围</w:t>
            </w:r>
          </w:p>
        </w:tc>
        <w:tc>
          <w:tcPr>
            <w:tcW w:w="1200" w:type="dxa"/>
            <w:vAlign w:val="center"/>
          </w:tcPr>
          <w:p w14:paraId="19A7DA4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中低浓度、大风量有机废气</w:t>
            </w:r>
          </w:p>
        </w:tc>
        <w:tc>
          <w:tcPr>
            <w:tcW w:w="1433" w:type="dxa"/>
            <w:vAlign w:val="center"/>
          </w:tcPr>
          <w:p w14:paraId="2425063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适用于成分种类少、高浓度有机废气处理</w:t>
            </w:r>
          </w:p>
        </w:tc>
        <w:tc>
          <w:tcPr>
            <w:tcW w:w="1075" w:type="dxa"/>
            <w:vAlign w:val="center"/>
          </w:tcPr>
          <w:p w14:paraId="183C553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pacing w:val="-13"/>
                <w:sz w:val="21"/>
                <w:szCs w:val="21"/>
                <w:highlight w:val="none"/>
                <w:lang w:eastAsia="en-US"/>
              </w:rPr>
              <w:t>高浓度、小</w:t>
            </w:r>
            <w:r>
              <w:rPr>
                <w:rFonts w:hint="eastAsia" w:ascii="宋体" w:hAnsi="宋体" w:eastAsia="宋体"/>
                <w:color w:val="auto"/>
                <w:sz w:val="21"/>
                <w:szCs w:val="21"/>
                <w:highlight w:val="none"/>
                <w:lang w:eastAsia="en-US"/>
              </w:rPr>
              <w:t>风量有机废气处理</w:t>
            </w:r>
          </w:p>
        </w:tc>
        <w:tc>
          <w:tcPr>
            <w:tcW w:w="1440" w:type="dxa"/>
            <w:vAlign w:val="center"/>
          </w:tcPr>
          <w:p w14:paraId="2EF5329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高浓度、小风量有机废气处理</w:t>
            </w:r>
          </w:p>
        </w:tc>
        <w:tc>
          <w:tcPr>
            <w:tcW w:w="1480" w:type="dxa"/>
            <w:vAlign w:val="center"/>
          </w:tcPr>
          <w:p w14:paraId="7736415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能处理多种中高浓度混合气体</w:t>
            </w:r>
          </w:p>
        </w:tc>
        <w:tc>
          <w:tcPr>
            <w:tcW w:w="1506" w:type="dxa"/>
            <w:vAlign w:val="center"/>
          </w:tcPr>
          <w:p w14:paraId="65CDD95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含有氧化基的低浓度异味气体</w:t>
            </w:r>
          </w:p>
        </w:tc>
      </w:tr>
      <w:tr w14:paraId="7C19F4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1" w:hRule="atLeast"/>
          <w:jc w:val="center"/>
        </w:trPr>
        <w:tc>
          <w:tcPr>
            <w:tcW w:w="953" w:type="dxa"/>
            <w:vAlign w:val="center"/>
          </w:tcPr>
          <w:p w14:paraId="2303CB7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净化原理</w:t>
            </w:r>
          </w:p>
        </w:tc>
        <w:tc>
          <w:tcPr>
            <w:tcW w:w="1200" w:type="dxa"/>
            <w:vAlign w:val="center"/>
          </w:tcPr>
          <w:p w14:paraId="10C1A87E">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利用多孔结构将气态污染物吸附于表面</w:t>
            </w:r>
          </w:p>
        </w:tc>
        <w:tc>
          <w:tcPr>
            <w:tcW w:w="1433" w:type="dxa"/>
            <w:vAlign w:val="center"/>
          </w:tcPr>
          <w:p w14:paraId="7D6F872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利用气体冷凝</w:t>
            </w:r>
            <w:r>
              <w:rPr>
                <w:rFonts w:hint="eastAsia" w:ascii="宋体" w:hAnsi="宋体" w:eastAsia="宋体"/>
                <w:color w:val="auto"/>
                <w:spacing w:val="-10"/>
                <w:sz w:val="21"/>
                <w:szCs w:val="21"/>
                <w:highlight w:val="none"/>
                <w:lang w:eastAsia="en-US"/>
              </w:rPr>
              <w:t>温度不通过，通</w:t>
            </w:r>
            <w:r>
              <w:rPr>
                <w:rFonts w:hint="eastAsia" w:ascii="宋体" w:hAnsi="宋体" w:eastAsia="宋体"/>
                <w:color w:val="auto"/>
                <w:sz w:val="21"/>
                <w:szCs w:val="21"/>
                <w:highlight w:val="none"/>
                <w:lang w:eastAsia="en-US"/>
              </w:rPr>
              <w:t>过降温或增压将气体液化</w:t>
            </w:r>
          </w:p>
        </w:tc>
        <w:tc>
          <w:tcPr>
            <w:tcW w:w="1075" w:type="dxa"/>
            <w:vAlign w:val="center"/>
          </w:tcPr>
          <w:p w14:paraId="1445C33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催化燃烧反应</w:t>
            </w:r>
          </w:p>
        </w:tc>
        <w:tc>
          <w:tcPr>
            <w:tcW w:w="1440" w:type="dxa"/>
            <w:vAlign w:val="center"/>
          </w:tcPr>
          <w:p w14:paraId="3468D3B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pacing w:val="-6"/>
                <w:sz w:val="21"/>
                <w:szCs w:val="21"/>
                <w:highlight w:val="none"/>
                <w:lang w:eastAsia="en-US"/>
              </w:rPr>
              <w:t>采用气、电、煤或可燃性物质通过极高温度</w:t>
            </w:r>
            <w:r>
              <w:rPr>
                <w:rFonts w:hint="eastAsia" w:ascii="宋体" w:hAnsi="宋体" w:eastAsia="宋体"/>
                <w:color w:val="auto"/>
                <w:spacing w:val="-8"/>
                <w:sz w:val="21"/>
                <w:szCs w:val="21"/>
                <w:highlight w:val="none"/>
                <w:lang w:eastAsia="en-US"/>
              </w:rPr>
              <w:t>进行直接燃烧，</w:t>
            </w:r>
            <w:r>
              <w:rPr>
                <w:rFonts w:hint="eastAsia" w:ascii="宋体" w:hAnsi="宋体" w:eastAsia="宋体"/>
                <w:color w:val="auto"/>
                <w:sz w:val="21"/>
                <w:szCs w:val="21"/>
                <w:highlight w:val="none"/>
                <w:lang w:eastAsia="en-US"/>
              </w:rPr>
              <w:t>将大分子污染物断裂成低分子无害物质</w:t>
            </w:r>
          </w:p>
        </w:tc>
        <w:tc>
          <w:tcPr>
            <w:tcW w:w="1480" w:type="dxa"/>
            <w:vAlign w:val="center"/>
          </w:tcPr>
          <w:p w14:paraId="582C04A9">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pacing w:val="-3"/>
                <w:sz w:val="21"/>
                <w:szCs w:val="21"/>
                <w:highlight w:val="none"/>
                <w:lang w:eastAsia="en-US"/>
              </w:rPr>
              <w:t>通过光氧把废气分子从常态变为高速运动状态再</w:t>
            </w:r>
            <w:r>
              <w:rPr>
                <w:rFonts w:hint="eastAsia" w:ascii="宋体" w:hAnsi="宋体" w:eastAsia="宋体"/>
                <w:color w:val="auto"/>
                <w:sz w:val="21"/>
                <w:szCs w:val="21"/>
                <w:highlight w:val="none"/>
                <w:lang w:eastAsia="en-US"/>
              </w:rPr>
              <w:t>利用高能</w:t>
            </w:r>
            <w:r>
              <w:rPr>
                <w:rFonts w:ascii="宋体" w:hAnsi="宋体" w:eastAsia="宋体"/>
                <w:color w:val="auto"/>
                <w:sz w:val="21"/>
                <w:szCs w:val="21"/>
                <w:highlight w:val="none"/>
                <w:lang w:eastAsia="en-US"/>
              </w:rPr>
              <w:t>C</w:t>
            </w:r>
            <w:r>
              <w:rPr>
                <w:rFonts w:hint="eastAsia" w:ascii="宋体" w:hAnsi="宋体" w:eastAsia="宋体"/>
                <w:color w:val="auto"/>
                <w:sz w:val="21"/>
                <w:szCs w:val="21"/>
                <w:highlight w:val="none"/>
                <w:lang w:eastAsia="en-US"/>
              </w:rPr>
              <w:t>波段粉碎分子链结</w:t>
            </w:r>
            <w:r>
              <w:rPr>
                <w:rFonts w:hint="eastAsia" w:ascii="宋体" w:hAnsi="宋体" w:eastAsia="宋体"/>
                <w:color w:val="auto"/>
                <w:spacing w:val="-3"/>
                <w:sz w:val="21"/>
                <w:szCs w:val="21"/>
                <w:highlight w:val="none"/>
                <w:lang w:eastAsia="en-US"/>
              </w:rPr>
              <w:t>构，将恶臭物质分子链，改变物质结构，把有机化合物变成小分</w:t>
            </w:r>
          </w:p>
          <w:p w14:paraId="010AAA3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pacing w:val="-13"/>
                <w:sz w:val="21"/>
                <w:szCs w:val="21"/>
                <w:highlight w:val="none"/>
                <w:lang w:eastAsia="en-US"/>
              </w:rPr>
              <w:t>子、中子、原子，利用紫外线产生的</w:t>
            </w:r>
            <w:r>
              <w:rPr>
                <w:rFonts w:ascii="宋体" w:hAnsi="宋体" w:eastAsia="宋体"/>
                <w:color w:val="auto"/>
                <w:spacing w:val="-13"/>
                <w:sz w:val="21"/>
                <w:szCs w:val="21"/>
                <w:highlight w:val="none"/>
                <w:lang w:eastAsia="en-US"/>
              </w:rPr>
              <w:t>O</w:t>
            </w:r>
            <w:r>
              <w:rPr>
                <w:rFonts w:ascii="宋体" w:hAnsi="宋体" w:eastAsia="宋体"/>
                <w:color w:val="auto"/>
                <w:spacing w:val="-13"/>
                <w:sz w:val="21"/>
                <w:szCs w:val="21"/>
                <w:highlight w:val="none"/>
                <w:vertAlign w:val="subscript"/>
                <w:lang w:eastAsia="en-US"/>
              </w:rPr>
              <w:t>3</w:t>
            </w:r>
            <w:r>
              <w:rPr>
                <w:rFonts w:hint="eastAsia" w:ascii="宋体" w:hAnsi="宋体" w:eastAsia="宋体"/>
                <w:color w:val="auto"/>
                <w:sz w:val="21"/>
                <w:szCs w:val="21"/>
                <w:highlight w:val="none"/>
                <w:lang w:eastAsia="en-US"/>
              </w:rPr>
              <w:t>进行氧化，设备加装多种相对应的催化剂，将污染物质变成为低分子无害物质或水和二氧化碳等</w:t>
            </w:r>
          </w:p>
        </w:tc>
        <w:tc>
          <w:tcPr>
            <w:tcW w:w="1506" w:type="dxa"/>
            <w:vAlign w:val="center"/>
          </w:tcPr>
          <w:p w14:paraId="2587EF4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利用高压电极发射离子及电子，破坏恶臭分子结构的原理，轰击废气中恶臭分子，从而裂解恶臭分子，达到脱臭净化的目的</w:t>
            </w:r>
          </w:p>
        </w:tc>
      </w:tr>
      <w:tr w14:paraId="6844F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53" w:type="dxa"/>
            <w:vAlign w:val="center"/>
          </w:tcPr>
          <w:p w14:paraId="18F3F1E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应用情况</w:t>
            </w:r>
          </w:p>
        </w:tc>
        <w:tc>
          <w:tcPr>
            <w:tcW w:w="1200" w:type="dxa"/>
            <w:vAlign w:val="center"/>
          </w:tcPr>
          <w:p w14:paraId="77C8660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成熟工艺、应用广泛</w:t>
            </w:r>
          </w:p>
        </w:tc>
        <w:tc>
          <w:tcPr>
            <w:tcW w:w="1433" w:type="dxa"/>
            <w:vAlign w:val="center"/>
          </w:tcPr>
          <w:p w14:paraId="4FA280E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工艺成熟</w:t>
            </w:r>
          </w:p>
        </w:tc>
        <w:tc>
          <w:tcPr>
            <w:tcW w:w="1075" w:type="dxa"/>
            <w:vAlign w:val="center"/>
          </w:tcPr>
          <w:p w14:paraId="559BA2E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工艺成熟</w:t>
            </w:r>
          </w:p>
        </w:tc>
        <w:tc>
          <w:tcPr>
            <w:tcW w:w="1440" w:type="dxa"/>
            <w:vAlign w:val="center"/>
          </w:tcPr>
          <w:p w14:paraId="517AFAA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工艺成熟</w:t>
            </w:r>
          </w:p>
        </w:tc>
        <w:tc>
          <w:tcPr>
            <w:tcW w:w="1480" w:type="dxa"/>
            <w:vAlign w:val="center"/>
          </w:tcPr>
          <w:p w14:paraId="21A039A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工艺成熟</w:t>
            </w:r>
          </w:p>
        </w:tc>
        <w:tc>
          <w:tcPr>
            <w:tcW w:w="1506" w:type="dxa"/>
            <w:vAlign w:val="center"/>
          </w:tcPr>
          <w:p w14:paraId="7CF752D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工艺成熟</w:t>
            </w:r>
          </w:p>
        </w:tc>
      </w:tr>
      <w:tr w14:paraId="4AA98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953" w:type="dxa"/>
            <w:vAlign w:val="center"/>
          </w:tcPr>
          <w:p w14:paraId="128E47E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合规情况</w:t>
            </w:r>
          </w:p>
        </w:tc>
        <w:tc>
          <w:tcPr>
            <w:tcW w:w="1200" w:type="dxa"/>
            <w:vAlign w:val="center"/>
          </w:tcPr>
          <w:p w14:paraId="3E9AA46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c>
          <w:tcPr>
            <w:tcW w:w="1433" w:type="dxa"/>
            <w:vAlign w:val="center"/>
          </w:tcPr>
          <w:p w14:paraId="2BFCCD8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c>
          <w:tcPr>
            <w:tcW w:w="1075" w:type="dxa"/>
            <w:vAlign w:val="center"/>
          </w:tcPr>
          <w:p w14:paraId="51736DF4">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c>
          <w:tcPr>
            <w:tcW w:w="1440" w:type="dxa"/>
            <w:vAlign w:val="center"/>
          </w:tcPr>
          <w:p w14:paraId="3260A83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c>
          <w:tcPr>
            <w:tcW w:w="1480" w:type="dxa"/>
            <w:vAlign w:val="center"/>
          </w:tcPr>
          <w:p w14:paraId="3B6C2B9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c>
          <w:tcPr>
            <w:tcW w:w="1506" w:type="dxa"/>
            <w:vAlign w:val="center"/>
          </w:tcPr>
          <w:p w14:paraId="275CE6C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在技术规范推荐范围内</w:t>
            </w:r>
          </w:p>
        </w:tc>
      </w:tr>
      <w:tr w14:paraId="0A28E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953" w:type="dxa"/>
            <w:vAlign w:val="center"/>
          </w:tcPr>
          <w:p w14:paraId="4CDBFA5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特点</w:t>
            </w:r>
          </w:p>
        </w:tc>
        <w:tc>
          <w:tcPr>
            <w:tcW w:w="1200" w:type="dxa"/>
            <w:vAlign w:val="center"/>
          </w:tcPr>
          <w:p w14:paraId="3E773396">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处理效率</w:t>
            </w:r>
            <w:r>
              <w:rPr>
                <w:rFonts w:hint="eastAsia" w:ascii="宋体" w:hAnsi="宋体" w:eastAsia="宋体"/>
                <w:color w:val="auto"/>
                <w:spacing w:val="-4"/>
                <w:sz w:val="21"/>
                <w:szCs w:val="21"/>
                <w:highlight w:val="none"/>
                <w:lang w:eastAsia="en-US"/>
              </w:rPr>
              <w:t>高，运行稳</w:t>
            </w:r>
            <w:r>
              <w:rPr>
                <w:rFonts w:hint="eastAsia" w:ascii="宋体" w:hAnsi="宋体" w:eastAsia="宋体"/>
                <w:color w:val="auto"/>
                <w:sz w:val="21"/>
                <w:szCs w:val="21"/>
                <w:highlight w:val="none"/>
                <w:lang w:eastAsia="en-US"/>
              </w:rPr>
              <w:t>定</w:t>
            </w:r>
          </w:p>
        </w:tc>
        <w:tc>
          <w:tcPr>
            <w:tcW w:w="1433" w:type="dxa"/>
            <w:vAlign w:val="center"/>
          </w:tcPr>
          <w:p w14:paraId="3C796380">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处理效率高、无二次污染</w:t>
            </w:r>
          </w:p>
        </w:tc>
        <w:tc>
          <w:tcPr>
            <w:tcW w:w="1075" w:type="dxa"/>
            <w:vAlign w:val="center"/>
          </w:tcPr>
          <w:p w14:paraId="1E7A204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处理效率</w:t>
            </w:r>
            <w:r>
              <w:rPr>
                <w:rFonts w:hint="eastAsia" w:ascii="宋体" w:hAnsi="宋体" w:eastAsia="宋体"/>
                <w:color w:val="auto"/>
                <w:spacing w:val="-13"/>
                <w:sz w:val="21"/>
                <w:szCs w:val="21"/>
                <w:highlight w:val="none"/>
                <w:lang w:eastAsia="en-US"/>
              </w:rPr>
              <w:t>高、无二次</w:t>
            </w:r>
            <w:r>
              <w:rPr>
                <w:rFonts w:hint="eastAsia" w:ascii="宋体" w:hAnsi="宋体" w:eastAsia="宋体"/>
                <w:color w:val="auto"/>
                <w:sz w:val="21"/>
                <w:szCs w:val="21"/>
                <w:highlight w:val="none"/>
                <w:lang w:eastAsia="en-US"/>
              </w:rPr>
              <w:t>污染</w:t>
            </w:r>
          </w:p>
        </w:tc>
        <w:tc>
          <w:tcPr>
            <w:tcW w:w="1440" w:type="dxa"/>
            <w:vAlign w:val="center"/>
          </w:tcPr>
          <w:p w14:paraId="17E8571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脱臭净化效果</w:t>
            </w:r>
            <w:r>
              <w:rPr>
                <w:rFonts w:hint="eastAsia" w:ascii="宋体" w:hAnsi="宋体" w:eastAsia="宋体"/>
                <w:color w:val="auto"/>
                <w:spacing w:val="-9"/>
                <w:sz w:val="21"/>
                <w:szCs w:val="21"/>
                <w:highlight w:val="none"/>
                <w:lang w:eastAsia="en-US"/>
              </w:rPr>
              <w:t>较好，只能够对</w:t>
            </w:r>
            <w:r>
              <w:rPr>
                <w:rFonts w:hint="eastAsia" w:ascii="宋体" w:hAnsi="宋体" w:eastAsia="宋体"/>
                <w:color w:val="auto"/>
                <w:sz w:val="21"/>
                <w:szCs w:val="21"/>
                <w:highlight w:val="none"/>
                <w:lang w:eastAsia="en-US"/>
              </w:rPr>
              <w:t>高浓度废气进行直接燃烧</w:t>
            </w:r>
          </w:p>
        </w:tc>
        <w:tc>
          <w:tcPr>
            <w:tcW w:w="1480" w:type="dxa"/>
            <w:vAlign w:val="center"/>
          </w:tcPr>
          <w:p w14:paraId="585FEE7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安全性高，无二次污染</w:t>
            </w:r>
          </w:p>
        </w:tc>
        <w:tc>
          <w:tcPr>
            <w:tcW w:w="1506" w:type="dxa"/>
            <w:vAlign w:val="center"/>
          </w:tcPr>
          <w:p w14:paraId="2E69DDC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对异味净化效果好</w:t>
            </w:r>
          </w:p>
        </w:tc>
      </w:tr>
      <w:tr w14:paraId="715DA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67" w:hRule="atLeast"/>
          <w:jc w:val="center"/>
        </w:trPr>
        <w:tc>
          <w:tcPr>
            <w:tcW w:w="953" w:type="dxa"/>
            <w:vAlign w:val="center"/>
          </w:tcPr>
          <w:p w14:paraId="2AD40FDF">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存在问题</w:t>
            </w:r>
          </w:p>
        </w:tc>
        <w:tc>
          <w:tcPr>
            <w:tcW w:w="1200" w:type="dxa"/>
            <w:vAlign w:val="center"/>
          </w:tcPr>
          <w:p w14:paraId="51EE0FB8">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pacing w:val="-4"/>
                <w:sz w:val="21"/>
                <w:szCs w:val="21"/>
                <w:highlight w:val="none"/>
                <w:lang w:eastAsia="en-US"/>
              </w:rPr>
              <w:t>吸附剂饱和</w:t>
            </w:r>
            <w:r>
              <w:rPr>
                <w:rFonts w:hint="eastAsia" w:ascii="宋体" w:hAnsi="宋体" w:eastAsia="宋体"/>
                <w:color w:val="auto"/>
                <w:sz w:val="21"/>
                <w:szCs w:val="21"/>
                <w:highlight w:val="none"/>
                <w:lang w:eastAsia="en-US"/>
              </w:rPr>
              <w:t>后定期更</w:t>
            </w:r>
            <w:r>
              <w:rPr>
                <w:rFonts w:hint="eastAsia" w:ascii="宋体" w:hAnsi="宋体" w:eastAsia="宋体"/>
                <w:color w:val="auto"/>
                <w:spacing w:val="-4"/>
                <w:sz w:val="21"/>
                <w:szCs w:val="21"/>
                <w:highlight w:val="none"/>
                <w:lang w:eastAsia="en-US"/>
              </w:rPr>
              <w:t>换，传统的设备结构阻</w:t>
            </w:r>
            <w:r>
              <w:rPr>
                <w:rFonts w:hint="eastAsia" w:ascii="宋体" w:hAnsi="宋体" w:eastAsia="宋体"/>
                <w:color w:val="auto"/>
                <w:sz w:val="21"/>
                <w:szCs w:val="21"/>
                <w:highlight w:val="none"/>
                <w:lang w:eastAsia="en-US"/>
              </w:rPr>
              <w:t>力大</w:t>
            </w:r>
          </w:p>
        </w:tc>
        <w:tc>
          <w:tcPr>
            <w:tcW w:w="1433" w:type="dxa"/>
            <w:vAlign w:val="center"/>
          </w:tcPr>
          <w:p w14:paraId="72F491C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产生废冷凝溶</w:t>
            </w:r>
            <w:r>
              <w:rPr>
                <w:rFonts w:hint="eastAsia" w:ascii="宋体" w:hAnsi="宋体" w:eastAsia="宋体"/>
                <w:color w:val="auto"/>
                <w:spacing w:val="-10"/>
                <w:sz w:val="21"/>
                <w:szCs w:val="21"/>
                <w:highlight w:val="none"/>
                <w:lang w:eastAsia="en-US"/>
              </w:rPr>
              <w:t>剂，需委托资质</w:t>
            </w:r>
            <w:r>
              <w:rPr>
                <w:rFonts w:hint="eastAsia" w:ascii="宋体" w:hAnsi="宋体" w:eastAsia="宋体"/>
                <w:color w:val="auto"/>
                <w:sz w:val="21"/>
                <w:szCs w:val="21"/>
                <w:highlight w:val="none"/>
                <w:lang w:eastAsia="en-US"/>
              </w:rPr>
              <w:t>单位处置</w:t>
            </w:r>
          </w:p>
        </w:tc>
        <w:tc>
          <w:tcPr>
            <w:tcW w:w="1075" w:type="dxa"/>
            <w:vAlign w:val="center"/>
          </w:tcPr>
          <w:p w14:paraId="6C1A7792">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可能存在催化剂中</w:t>
            </w:r>
            <w:r>
              <w:rPr>
                <w:rFonts w:hint="eastAsia" w:ascii="宋体" w:hAnsi="宋体" w:eastAsia="宋体"/>
                <w:color w:val="auto"/>
                <w:spacing w:val="-13"/>
                <w:sz w:val="21"/>
                <w:szCs w:val="21"/>
                <w:highlight w:val="none"/>
                <w:lang w:eastAsia="en-US"/>
              </w:rPr>
              <w:t>毒情况，养</w:t>
            </w:r>
            <w:r>
              <w:rPr>
                <w:rFonts w:hint="eastAsia" w:ascii="宋体" w:hAnsi="宋体" w:eastAsia="宋体"/>
                <w:color w:val="auto"/>
                <w:sz w:val="21"/>
                <w:szCs w:val="21"/>
                <w:highlight w:val="none"/>
                <w:lang w:eastAsia="en-US"/>
              </w:rPr>
              <w:t>护成本高</w:t>
            </w:r>
          </w:p>
        </w:tc>
        <w:tc>
          <w:tcPr>
            <w:tcW w:w="1440" w:type="dxa"/>
            <w:vAlign w:val="center"/>
          </w:tcPr>
          <w:p w14:paraId="1433F7F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只能对高浓度的废气进行直接燃烧</w:t>
            </w:r>
          </w:p>
        </w:tc>
        <w:tc>
          <w:tcPr>
            <w:tcW w:w="1480" w:type="dxa"/>
            <w:vAlign w:val="center"/>
          </w:tcPr>
          <w:p w14:paraId="7A752077">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产生废灯管、废催化板等危废需要委托资质单位处置</w:t>
            </w:r>
          </w:p>
        </w:tc>
        <w:tc>
          <w:tcPr>
            <w:tcW w:w="1506" w:type="dxa"/>
            <w:vAlign w:val="center"/>
          </w:tcPr>
          <w:p w14:paraId="73B1414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对废气洁净度、单一性要求高</w:t>
            </w:r>
          </w:p>
        </w:tc>
      </w:tr>
      <w:tr w14:paraId="3DA34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53" w:type="dxa"/>
            <w:vAlign w:val="center"/>
          </w:tcPr>
          <w:p w14:paraId="39FD2DEB">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本项目适用情况</w:t>
            </w:r>
          </w:p>
        </w:tc>
        <w:tc>
          <w:tcPr>
            <w:tcW w:w="1200" w:type="dxa"/>
            <w:vAlign w:val="center"/>
          </w:tcPr>
          <w:p w14:paraId="086ED7DD">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w:t>
            </w:r>
          </w:p>
        </w:tc>
        <w:tc>
          <w:tcPr>
            <w:tcW w:w="1433" w:type="dxa"/>
            <w:vAlign w:val="center"/>
          </w:tcPr>
          <w:p w14:paraId="65429F75">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w:t>
            </w:r>
          </w:p>
        </w:tc>
        <w:tc>
          <w:tcPr>
            <w:tcW w:w="1075" w:type="dxa"/>
            <w:vAlign w:val="center"/>
          </w:tcPr>
          <w:p w14:paraId="654458A1">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不适用</w:t>
            </w:r>
          </w:p>
        </w:tc>
        <w:tc>
          <w:tcPr>
            <w:tcW w:w="1440" w:type="dxa"/>
            <w:vAlign w:val="center"/>
          </w:tcPr>
          <w:p w14:paraId="3A9A72A3">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w:t>
            </w:r>
          </w:p>
        </w:tc>
        <w:tc>
          <w:tcPr>
            <w:tcW w:w="1480" w:type="dxa"/>
            <w:vAlign w:val="center"/>
          </w:tcPr>
          <w:p w14:paraId="3889B3DC">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w:t>
            </w:r>
          </w:p>
        </w:tc>
        <w:tc>
          <w:tcPr>
            <w:tcW w:w="1506" w:type="dxa"/>
            <w:vAlign w:val="center"/>
          </w:tcPr>
          <w:p w14:paraId="4E8AA1AA">
            <w:pPr>
              <w:pStyle w:val="98"/>
              <w:keepNext w:val="0"/>
              <w:keepLines w:val="0"/>
              <w:pageBreakBefore w:val="0"/>
              <w:widowControl w:val="0"/>
              <w:kinsoku/>
              <w:wordWrap/>
              <w:overflowPunct/>
              <w:topLinePunct w:val="0"/>
              <w:autoSpaceDE w:val="0"/>
              <w:autoSpaceDN w:val="0"/>
              <w:bidi w:val="0"/>
              <w:adjustRightInd/>
              <w:snapToGrid/>
              <w:ind w:left="0" w:right="0"/>
              <w:textAlignment w:val="auto"/>
              <w:rPr>
                <w:rFonts w:ascii="宋体" w:hAnsi="宋体" w:eastAsia="宋体"/>
                <w:color w:val="auto"/>
                <w:sz w:val="21"/>
                <w:szCs w:val="21"/>
                <w:highlight w:val="none"/>
                <w:lang w:eastAsia="en-US"/>
              </w:rPr>
            </w:pPr>
            <w:r>
              <w:rPr>
                <w:rFonts w:hint="eastAsia" w:ascii="宋体" w:hAnsi="宋体" w:eastAsia="宋体"/>
                <w:color w:val="auto"/>
                <w:sz w:val="21"/>
                <w:szCs w:val="21"/>
                <w:highlight w:val="none"/>
                <w:lang w:eastAsia="en-US"/>
              </w:rPr>
              <w:t>适用</w:t>
            </w:r>
          </w:p>
        </w:tc>
      </w:tr>
    </w:tbl>
    <w:p w14:paraId="4415609F">
      <w:pPr>
        <w:pStyle w:val="20"/>
        <w:spacing w:before="120" w:beforeLines="50" w:line="360" w:lineRule="auto"/>
        <w:ind w:left="-105" w:right="-105"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rPr>
        <w:t>《江苏省重点行业挥发性有机物污染控制指南》、《江苏省挥发性有机物污染防治管理办法》（省政府令第119号）：“1、对于5000ppm以上的高浓度VOCs废气，优先采用冷凝、吸附回收等技术对废气中的VOCs回收利用，并辅以其他治理技术实现达标排放。2、对于l000ppm～5000ppm的中等浓度VOCs废气，具备回收价值的宜采用吸附技术回收有机溶剂，不具备回收价值的可采用催化燃烧、RTO炉高温焚烧等技术净化后达标排放。当采用热力焚烧技术进行净化时，宜对燃烧后的热量回收利用。3、对于l000ppm以下的低浓度VOCs废气，有回收价值时宜采用吸附技术回收处理，无回收价值时优先采用吸附浓缩一高温燃烧、微生物处理、填料塔吸收等技术净化处理后达标排放。……5、对含尘、含气溶胶、高湿废气，在采用活性炭吸附、催化燃烧、RTO焚烧、低温等离子等工艺处理前应先采用高效除尘、除雾等装置进行预处理。”</w:t>
      </w:r>
    </w:p>
    <w:p w14:paraId="1601E02A">
      <w:pPr>
        <w:pStyle w:val="41"/>
        <w:widowControl w:val="0"/>
        <w:autoSpaceDE w:val="0"/>
        <w:autoSpaceDN w:val="0"/>
        <w:spacing w:before="0" w:beforeAutospacing="0" w:after="0" w:afterAutospacing="0" w:line="360" w:lineRule="auto"/>
        <w:ind w:left="-105" w:right="-105" w:firstLine="472" w:firstLineChars="200"/>
        <w:jc w:val="both"/>
        <w:rPr>
          <w:rFonts w:ascii="Times New Roman" w:hAnsi="Times New Roman"/>
          <w:color w:val="auto"/>
          <w:szCs w:val="24"/>
          <w:highlight w:val="none"/>
          <w:lang w:bidi="ar"/>
        </w:rPr>
      </w:pPr>
      <w:r>
        <w:rPr>
          <w:color w:val="auto"/>
          <w:spacing w:val="-2"/>
          <w:szCs w:val="24"/>
          <w:highlight w:val="none"/>
        </w:rPr>
        <w:t>本项目</w:t>
      </w:r>
      <w:r>
        <w:rPr>
          <w:rFonts w:hint="eastAsia"/>
          <w:color w:val="auto"/>
          <w:spacing w:val="-2"/>
          <w:szCs w:val="24"/>
          <w:highlight w:val="none"/>
        </w:rPr>
        <w:t>生产线和实验室</w:t>
      </w:r>
      <w:r>
        <w:rPr>
          <w:color w:val="auto"/>
          <w:spacing w:val="-2"/>
          <w:szCs w:val="24"/>
          <w:highlight w:val="none"/>
        </w:rPr>
        <w:t>均产生</w:t>
      </w:r>
      <w:r>
        <w:rPr>
          <w:rFonts w:ascii="Times New Roman" w:eastAsia="Times New Roman"/>
          <w:color w:val="auto"/>
          <w:szCs w:val="24"/>
          <w:highlight w:val="none"/>
        </w:rPr>
        <w:t>VOCs</w:t>
      </w:r>
      <w:r>
        <w:rPr>
          <w:color w:val="auto"/>
          <w:szCs w:val="24"/>
          <w:highlight w:val="none"/>
        </w:rPr>
        <w:t>废气（</w:t>
      </w:r>
      <w:r>
        <w:rPr>
          <w:color w:val="auto"/>
          <w:spacing w:val="-5"/>
          <w:szCs w:val="24"/>
          <w:highlight w:val="none"/>
        </w:rPr>
        <w:t>含</w:t>
      </w:r>
      <w:r>
        <w:rPr>
          <w:rFonts w:hint="eastAsia"/>
          <w:color w:val="auto"/>
          <w:spacing w:val="-5"/>
          <w:szCs w:val="24"/>
          <w:highlight w:val="none"/>
        </w:rPr>
        <w:t>甲醇</w:t>
      </w:r>
      <w:r>
        <w:rPr>
          <w:color w:val="auto"/>
          <w:szCs w:val="24"/>
          <w:highlight w:val="none"/>
        </w:rPr>
        <w:t>、非甲烷总烃等）</w:t>
      </w:r>
      <w:r>
        <w:rPr>
          <w:rFonts w:hint="eastAsia"/>
          <w:color w:val="auto"/>
          <w:szCs w:val="24"/>
          <w:highlight w:val="none"/>
        </w:rPr>
        <w:t>，</w:t>
      </w:r>
      <w:r>
        <w:rPr>
          <w:rFonts w:ascii="Times New Roman" w:hAnsi="Times New Roman"/>
          <w:color w:val="auto"/>
          <w:szCs w:val="24"/>
          <w:highlight w:val="none"/>
          <w:lang w:bidi="ar"/>
        </w:rPr>
        <w:t>其中VOCs废气浓度较</w:t>
      </w:r>
      <w:r>
        <w:rPr>
          <w:rFonts w:hint="eastAsia" w:ascii="Times New Roman" w:hAnsi="Times New Roman"/>
          <w:color w:val="auto"/>
          <w:szCs w:val="24"/>
          <w:highlight w:val="none"/>
          <w:lang w:val="en-US" w:eastAsia="zh-CN" w:bidi="ar"/>
        </w:rPr>
        <w:t>低</w:t>
      </w:r>
      <w:r>
        <w:rPr>
          <w:rFonts w:hint="eastAsia" w:ascii="Times New Roman" w:hAnsi="Times New Roman"/>
          <w:color w:val="auto"/>
          <w:szCs w:val="24"/>
          <w:highlight w:val="none"/>
          <w:lang w:bidi="ar"/>
        </w:rPr>
        <w:t>、废气因子均为水溶性较高的有机废气</w:t>
      </w:r>
      <w:r>
        <w:rPr>
          <w:rFonts w:ascii="Times New Roman" w:hAnsi="Times New Roman"/>
          <w:color w:val="auto"/>
          <w:szCs w:val="24"/>
          <w:highlight w:val="none"/>
          <w:lang w:bidi="ar"/>
        </w:rPr>
        <w:t>，</w:t>
      </w:r>
      <w:r>
        <w:rPr>
          <w:rFonts w:hint="eastAsia" w:ascii="Times New Roman" w:hAnsi="Times New Roman"/>
          <w:color w:val="auto"/>
          <w:szCs w:val="24"/>
          <w:highlight w:val="none"/>
          <w:lang w:bidi="ar"/>
        </w:rPr>
        <w:t>通过</w:t>
      </w:r>
      <w:r>
        <w:rPr>
          <w:rFonts w:ascii="Times New Roman" w:hAnsi="Times New Roman"/>
          <w:color w:val="auto"/>
          <w:szCs w:val="24"/>
          <w:highlight w:val="none"/>
          <w:lang w:bidi="ar"/>
        </w:rPr>
        <w:t>选用</w:t>
      </w:r>
      <w:r>
        <w:rPr>
          <w:rFonts w:hint="eastAsia" w:ascii="Times New Roman" w:hAnsi="Times New Roman"/>
          <w:color w:val="auto"/>
          <w:szCs w:val="24"/>
          <w:highlight w:val="none"/>
          <w:lang w:bidi="ar"/>
        </w:rPr>
        <w:t>3级碱液喷淋+二级活性炭吸装置附和两级活性炭吸附装置进行处理，</w:t>
      </w:r>
      <w:r>
        <w:rPr>
          <w:rFonts w:ascii="Times New Roman" w:hAnsi="Times New Roman"/>
          <w:color w:val="auto"/>
          <w:szCs w:val="24"/>
          <w:highlight w:val="none"/>
          <w:lang w:bidi="ar"/>
        </w:rPr>
        <w:t>工艺成熟，能够有效去除有机废气</w:t>
      </w:r>
      <w:r>
        <w:rPr>
          <w:rFonts w:hint="eastAsia" w:ascii="Times New Roman" w:hAnsi="Times New Roman"/>
          <w:color w:val="auto"/>
          <w:szCs w:val="24"/>
          <w:highlight w:val="none"/>
          <w:lang w:bidi="ar"/>
        </w:rPr>
        <w:t>，</w:t>
      </w:r>
      <w:r>
        <w:rPr>
          <w:rFonts w:ascii="Times New Roman" w:hAnsi="Times New Roman"/>
          <w:color w:val="auto"/>
          <w:szCs w:val="24"/>
          <w:highlight w:val="none"/>
          <w:lang w:bidi="ar"/>
        </w:rPr>
        <w:t>具有</w:t>
      </w:r>
      <w:r>
        <w:rPr>
          <w:rFonts w:hint="eastAsia" w:ascii="Times New Roman" w:hAnsi="Times New Roman"/>
          <w:color w:val="auto"/>
          <w:szCs w:val="24"/>
          <w:highlight w:val="none"/>
          <w:lang w:bidi="ar"/>
        </w:rPr>
        <w:t>去除</w:t>
      </w:r>
      <w:r>
        <w:rPr>
          <w:rFonts w:ascii="Times New Roman" w:hAnsi="Times New Roman"/>
          <w:color w:val="auto"/>
          <w:szCs w:val="24"/>
          <w:highlight w:val="none"/>
          <w:lang w:bidi="ar"/>
        </w:rPr>
        <w:t>效率高，适用范围广，工艺成熟，技术合理可行。</w:t>
      </w:r>
    </w:p>
    <w:p w14:paraId="4C140005">
      <w:pPr>
        <w:pStyle w:val="41"/>
        <w:widowControl w:val="0"/>
        <w:autoSpaceDE w:val="0"/>
        <w:autoSpaceDN w:val="0"/>
        <w:spacing w:before="0" w:beforeAutospacing="0" w:after="0" w:afterAutospacing="0" w:line="360" w:lineRule="auto"/>
        <w:ind w:left="-105" w:right="-105" w:firstLine="482" w:firstLineChars="200"/>
        <w:jc w:val="both"/>
        <w:rPr>
          <w:rFonts w:ascii="Times New Roman" w:hAnsi="Times New Roman"/>
          <w:b/>
          <w:bCs/>
          <w:color w:val="auto"/>
          <w:szCs w:val="24"/>
          <w:highlight w:val="none"/>
          <w:lang w:bidi="ar"/>
        </w:rPr>
      </w:pPr>
      <w:r>
        <w:rPr>
          <w:rFonts w:hint="eastAsia" w:ascii="Times New Roman" w:hAnsi="Times New Roman"/>
          <w:b/>
          <w:bCs/>
          <w:color w:val="auto"/>
          <w:szCs w:val="24"/>
          <w:highlight w:val="none"/>
          <w:lang w:bidi="ar"/>
        </w:rPr>
        <w:t>（2）废气收集方式</w:t>
      </w:r>
    </w:p>
    <w:p w14:paraId="2CDB00A2">
      <w:pPr>
        <w:pStyle w:val="41"/>
        <w:widowControl w:val="0"/>
        <w:autoSpaceDE w:val="0"/>
        <w:autoSpaceDN w:val="0"/>
        <w:spacing w:before="0" w:beforeAutospacing="0" w:after="0" w:afterAutospacing="0" w:line="360" w:lineRule="auto"/>
        <w:ind w:left="-105" w:right="-105" w:firstLine="480" w:firstLineChars="200"/>
        <w:jc w:val="both"/>
        <w:rPr>
          <w:rFonts w:hint="default" w:ascii="Times New Roman" w:hAnsi="Times New Roman" w:eastAsia="宋体"/>
          <w:color w:val="auto"/>
          <w:szCs w:val="24"/>
          <w:highlight w:val="none"/>
          <w:lang w:val="en-US" w:eastAsia="zh-CN" w:bidi="ar"/>
        </w:rPr>
      </w:pPr>
      <w:r>
        <w:rPr>
          <w:rFonts w:hint="eastAsia" w:ascii="Times New Roman" w:hAnsi="Times New Roman"/>
          <w:color w:val="auto"/>
          <w:szCs w:val="24"/>
          <w:highlight w:val="none"/>
          <w:lang w:bidi="ar"/>
        </w:rPr>
        <w:t>生产车间按照《电子工业洁净厂房设计规范》（GB50472-2008）等设计规范进行设计，生产车间为洁净室，采用新风系统循环出风保障车间内空气环境并补充因工艺排风系统带走的气量。工艺设备均在洁净室内，各道工序均在独立机台内进行全封闭式操作，各机台均配备相应的液体供应装置、抽排装置及管道，与对应的使用点直接连接，产生的废气直接通过洁净室排风系统对应管道，送入相应废气处理系统。仅有车间出入口有少量逸散废气以无组织形式排放外环境，</w:t>
      </w:r>
      <w:r>
        <w:rPr>
          <w:rFonts w:hint="eastAsia" w:ascii="Times New Roman" w:hAnsi="Times New Roman"/>
          <w:color w:val="auto"/>
          <w:szCs w:val="24"/>
          <w:highlight w:val="none"/>
          <w:lang w:val="en-US" w:eastAsia="zh-CN" w:bidi="ar"/>
        </w:rPr>
        <w:t>故</w:t>
      </w:r>
      <w:r>
        <w:rPr>
          <w:rFonts w:hint="eastAsia" w:ascii="Times New Roman" w:hAnsi="Times New Roman"/>
          <w:color w:val="auto"/>
          <w:szCs w:val="24"/>
          <w:highlight w:val="none"/>
          <w:lang w:bidi="ar"/>
        </w:rPr>
        <w:t>收集效率</w:t>
      </w:r>
      <w:r>
        <w:rPr>
          <w:rFonts w:hint="eastAsia" w:ascii="Times New Roman" w:hAnsi="Times New Roman"/>
          <w:color w:val="auto"/>
          <w:szCs w:val="24"/>
          <w:highlight w:val="none"/>
          <w:lang w:val="en-US" w:eastAsia="zh-CN" w:bidi="ar"/>
        </w:rPr>
        <w:t>取98</w:t>
      </w:r>
      <w:r>
        <w:rPr>
          <w:rFonts w:hint="eastAsia" w:ascii="Times New Roman" w:hAnsi="Times New Roman"/>
          <w:color w:val="auto"/>
          <w:szCs w:val="24"/>
          <w:highlight w:val="none"/>
          <w:lang w:bidi="ar"/>
        </w:rPr>
        <w:t>%。</w:t>
      </w:r>
      <w:r>
        <w:rPr>
          <w:rFonts w:hint="eastAsia" w:ascii="Times New Roman" w:hAnsi="Times New Roman"/>
          <w:color w:val="auto"/>
          <w:szCs w:val="24"/>
          <w:highlight w:val="none"/>
          <w:lang w:val="en-US" w:eastAsia="zh-CN" w:bidi="ar"/>
        </w:rPr>
        <w:t>本项目新增的洁净室排风废气依托现有项目5#废气处理设施，改造时新增洁净室引风风机设计风量为5500m</w:t>
      </w:r>
      <w:r>
        <w:rPr>
          <w:rFonts w:hint="eastAsia" w:ascii="Times New Roman" w:hAnsi="Times New Roman"/>
          <w:color w:val="auto"/>
          <w:szCs w:val="24"/>
          <w:highlight w:val="none"/>
          <w:vertAlign w:val="superscript"/>
          <w:lang w:val="en-US" w:eastAsia="zh-CN" w:bidi="ar"/>
        </w:rPr>
        <w:t>3</w:t>
      </w:r>
      <w:r>
        <w:rPr>
          <w:rFonts w:hint="eastAsia" w:ascii="Times New Roman" w:hAnsi="Times New Roman"/>
          <w:color w:val="auto"/>
          <w:szCs w:val="24"/>
          <w:highlight w:val="none"/>
          <w:lang w:val="en-US" w:eastAsia="zh-CN" w:bidi="ar"/>
        </w:rPr>
        <w:t>/h，接入现有项目处理设施，由于5#废气处理设施排风总风机为变频风机，设计风量为20000m</w:t>
      </w:r>
      <w:r>
        <w:rPr>
          <w:rFonts w:hint="eastAsia" w:ascii="Times New Roman" w:hAnsi="Times New Roman"/>
          <w:color w:val="auto"/>
          <w:szCs w:val="24"/>
          <w:highlight w:val="none"/>
          <w:vertAlign w:val="superscript"/>
          <w:lang w:val="en-US" w:eastAsia="zh-CN" w:bidi="ar"/>
        </w:rPr>
        <w:t>3</w:t>
      </w:r>
      <w:r>
        <w:rPr>
          <w:rFonts w:hint="eastAsia" w:ascii="Times New Roman" w:hAnsi="Times New Roman"/>
          <w:color w:val="auto"/>
          <w:szCs w:val="24"/>
          <w:highlight w:val="none"/>
          <w:vertAlign w:val="baseline"/>
          <w:lang w:val="en-US" w:eastAsia="zh-CN" w:bidi="ar"/>
        </w:rPr>
        <w:t>/h，</w:t>
      </w:r>
      <w:r>
        <w:rPr>
          <w:rFonts w:hint="eastAsia" w:ascii="Times New Roman" w:hAnsi="Times New Roman"/>
          <w:color w:val="auto"/>
          <w:szCs w:val="24"/>
          <w:highlight w:val="none"/>
          <w:lang w:val="en-US" w:eastAsia="zh-CN" w:bidi="ar"/>
        </w:rPr>
        <w:t>实际运行是总风量为15000m</w:t>
      </w:r>
      <w:r>
        <w:rPr>
          <w:rFonts w:hint="eastAsia" w:ascii="Times New Roman" w:hAnsi="Times New Roman"/>
          <w:color w:val="auto"/>
          <w:szCs w:val="24"/>
          <w:highlight w:val="none"/>
          <w:vertAlign w:val="superscript"/>
          <w:lang w:val="en-US" w:eastAsia="zh-CN" w:bidi="ar"/>
        </w:rPr>
        <w:t>3</w:t>
      </w:r>
      <w:r>
        <w:rPr>
          <w:rFonts w:hint="eastAsia" w:ascii="Times New Roman" w:hAnsi="Times New Roman"/>
          <w:color w:val="auto"/>
          <w:szCs w:val="24"/>
          <w:highlight w:val="none"/>
          <w:lang w:val="en-US" w:eastAsia="zh-CN" w:bidi="ar"/>
        </w:rPr>
        <w:t>/h左右，新增风量后在现有排风风机能力内，故依托可行。</w:t>
      </w:r>
    </w:p>
    <w:p w14:paraId="567A5E39">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b/>
          <w:bCs/>
          <w:color w:val="auto"/>
          <w:szCs w:val="24"/>
          <w:highlight w:val="none"/>
          <w:lang w:bidi="ar"/>
        </w:rPr>
      </w:pPr>
      <w:r>
        <w:rPr>
          <w:rFonts w:hint="eastAsia" w:ascii="Times New Roman" w:hAnsi="Times New Roman"/>
          <w:color w:val="auto"/>
          <w:szCs w:val="22"/>
          <w:highlight w:val="none"/>
        </w:rPr>
        <w:t>实验间一</w:t>
      </w:r>
      <w:r>
        <w:rPr>
          <w:rFonts w:hint="eastAsia" w:ascii="Times New Roman" w:hAnsi="Times New Roman"/>
          <w:color w:val="auto"/>
          <w:szCs w:val="22"/>
          <w:highlight w:val="none"/>
          <w:lang w:val="en-US" w:eastAsia="zh-CN"/>
        </w:rPr>
        <w:t>设置</w:t>
      </w:r>
      <w:r>
        <w:rPr>
          <w:rFonts w:ascii="Times New Roman" w:hAnsi="Times New Roman"/>
          <w:color w:val="auto"/>
          <w:szCs w:val="22"/>
          <w:highlight w:val="none"/>
        </w:rPr>
        <w:t>通风橱</w:t>
      </w:r>
      <w:r>
        <w:rPr>
          <w:rFonts w:hint="eastAsia" w:ascii="Times New Roman" w:hAnsi="Times New Roman"/>
          <w:color w:val="auto"/>
          <w:szCs w:val="22"/>
          <w:highlight w:val="none"/>
          <w:lang w:eastAsia="zh-CN"/>
        </w:rPr>
        <w:t>，</w:t>
      </w:r>
      <w:r>
        <w:rPr>
          <w:rFonts w:hint="eastAsia" w:ascii="Times New Roman" w:hAnsi="Times New Roman"/>
          <w:color w:val="auto"/>
          <w:szCs w:val="22"/>
          <w:highlight w:val="none"/>
          <w:lang w:val="en-US" w:eastAsia="zh-CN"/>
        </w:rPr>
        <w:t>但该实验室目前仅进行卡尔费休水分测试，废液转移至收集罐不在通风橱内进行，故废气在实验间一内无组织排放</w:t>
      </w:r>
      <w:r>
        <w:rPr>
          <w:rFonts w:hint="eastAsia" w:ascii="Times New Roman" w:hAnsi="Times New Roman"/>
          <w:color w:val="auto"/>
          <w:szCs w:val="22"/>
          <w:highlight w:val="none"/>
        </w:rPr>
        <w:t>；实验间二</w:t>
      </w:r>
      <w:r>
        <w:rPr>
          <w:rFonts w:hint="eastAsia" w:ascii="Times New Roman" w:hAnsi="Times New Roman"/>
          <w:color w:val="auto"/>
          <w:szCs w:val="22"/>
          <w:highlight w:val="none"/>
          <w:lang w:val="en-US" w:eastAsia="zh-CN"/>
        </w:rPr>
        <w:t>进行粒子计数和质谱测试，硝酸稀释和粒子计数器在通风橱内进行，</w:t>
      </w:r>
      <w:r>
        <w:rPr>
          <w:rFonts w:hint="eastAsia" w:ascii="Times New Roman" w:hAnsi="Times New Roman"/>
          <w:color w:val="auto"/>
          <w:szCs w:val="22"/>
          <w:highlight w:val="none"/>
        </w:rPr>
        <w:t>收集效率</w:t>
      </w:r>
      <w:r>
        <w:rPr>
          <w:rFonts w:hint="eastAsia" w:ascii="Times New Roman" w:hAnsi="Times New Roman"/>
          <w:color w:val="auto"/>
          <w:szCs w:val="22"/>
          <w:highlight w:val="none"/>
          <w:lang w:val="en-US" w:eastAsia="zh-CN"/>
        </w:rPr>
        <w:t>取90</w:t>
      </w:r>
      <w:r>
        <w:rPr>
          <w:rFonts w:hint="eastAsia" w:ascii="Times New Roman" w:hAnsi="Times New Roman"/>
          <w:color w:val="auto"/>
          <w:szCs w:val="22"/>
          <w:highlight w:val="none"/>
        </w:rPr>
        <w:t>%，</w:t>
      </w:r>
      <w:r>
        <w:rPr>
          <w:rFonts w:hint="eastAsia" w:ascii="Times New Roman" w:hAnsi="Times New Roman"/>
          <w:color w:val="auto"/>
          <w:szCs w:val="22"/>
          <w:highlight w:val="none"/>
          <w:lang w:val="en-US" w:eastAsia="zh-CN"/>
        </w:rPr>
        <w:t>质谱仪有引风管直接收集废气至废气处理设施，收集率取100%。</w:t>
      </w:r>
      <w:r>
        <w:rPr>
          <w:rFonts w:hint="eastAsia" w:ascii="Times New Roman" w:hAnsi="Times New Roman"/>
          <w:color w:val="auto"/>
          <w:szCs w:val="22"/>
          <w:highlight w:val="none"/>
        </w:rPr>
        <w:t>未捕集部分以无组织形式排放外环境。</w:t>
      </w:r>
    </w:p>
    <w:p w14:paraId="25AFC058">
      <w:pPr>
        <w:pStyle w:val="41"/>
        <w:widowControl w:val="0"/>
        <w:autoSpaceDE w:val="0"/>
        <w:autoSpaceDN w:val="0"/>
        <w:spacing w:before="0" w:beforeAutospacing="0" w:after="0" w:afterAutospacing="0" w:line="360" w:lineRule="auto"/>
        <w:ind w:left="-105" w:right="-105" w:firstLine="482" w:firstLineChars="200"/>
        <w:jc w:val="both"/>
        <w:rPr>
          <w:rFonts w:ascii="Times New Roman" w:hAnsi="Times New Roman"/>
          <w:b/>
          <w:bCs/>
          <w:color w:val="auto"/>
          <w:szCs w:val="24"/>
          <w:highlight w:val="none"/>
          <w:lang w:bidi="ar"/>
        </w:rPr>
      </w:pPr>
      <w:r>
        <w:rPr>
          <w:rFonts w:hint="eastAsia" w:ascii="Times New Roman" w:hAnsi="Times New Roman"/>
          <w:b/>
          <w:bCs/>
          <w:color w:val="auto"/>
          <w:szCs w:val="24"/>
          <w:highlight w:val="none"/>
          <w:lang w:bidi="ar"/>
        </w:rPr>
        <w:t>（3）治理方法</w:t>
      </w:r>
    </w:p>
    <w:p w14:paraId="3C15F275">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hint="eastAsia" w:ascii="Times New Roman" w:hAnsi="Times New Roman"/>
          <w:color w:val="auto"/>
          <w:szCs w:val="24"/>
          <w:highlight w:val="none"/>
          <w:lang w:bidi="ar"/>
        </w:rPr>
        <w:t>本项目共有2类废气处理设施：分别为三级碱液喷淋塔和二级活性炭装置，各废气处理设施工作原理如下：</w:t>
      </w:r>
    </w:p>
    <w:p w14:paraId="26135369">
      <w:pPr>
        <w:pStyle w:val="41"/>
        <w:widowControl w:val="0"/>
        <w:autoSpaceDE w:val="0"/>
        <w:autoSpaceDN w:val="0"/>
        <w:spacing w:before="0" w:beforeAutospacing="0" w:after="0" w:afterAutospacing="0" w:line="360" w:lineRule="auto"/>
        <w:ind w:left="-105" w:right="-105" w:firstLine="482" w:firstLineChars="200"/>
        <w:jc w:val="both"/>
        <w:rPr>
          <w:rFonts w:cs="宋体"/>
          <w:b/>
          <w:bCs/>
          <w:color w:val="auto"/>
          <w:szCs w:val="24"/>
          <w:highlight w:val="none"/>
          <w:lang w:bidi="ar"/>
        </w:rPr>
      </w:pPr>
      <w:r>
        <w:rPr>
          <w:rFonts w:hint="eastAsia"/>
          <w:b/>
          <w:bCs/>
          <w:color w:val="auto"/>
          <w:szCs w:val="24"/>
          <w:highlight w:val="none"/>
          <w:lang w:bidi="ar"/>
        </w:rPr>
        <w:t>①</w:t>
      </w:r>
      <w:r>
        <w:rPr>
          <w:rFonts w:hint="eastAsia" w:ascii="Times New Roman" w:hAnsi="Times New Roman"/>
          <w:b/>
          <w:bCs/>
          <w:color w:val="auto"/>
          <w:szCs w:val="24"/>
          <w:highlight w:val="none"/>
          <w:lang w:bidi="ar"/>
        </w:rPr>
        <w:t>三级喷淋塔</w:t>
      </w:r>
    </w:p>
    <w:p w14:paraId="74C4AE70">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ascii="Times New Roman" w:hAnsi="Times New Roman"/>
          <w:color w:val="auto"/>
          <w:szCs w:val="24"/>
          <w:highlight w:val="none"/>
          <w:lang w:bidi="ar"/>
        </w:rPr>
        <w:t>本项目的喷淋塔为PP材质，耐腐蚀性能高，热变型温度达120℃，喷淋头均为无堵塞型，采用多面空心球填料，其优越的分散气流性能使废气与吸收液接触面积增大，提高吸收效率，另外塔顶部的除雾器可以防止液体排入空气中，定期视情况添加液碱确保达标排放。采用浓度约10%的NaOH溶液作为喷淋液，碱液喷淋装置的直径为</w:t>
      </w:r>
      <w:r>
        <w:rPr>
          <w:rFonts w:hint="eastAsia" w:ascii="Times New Roman" w:hAnsi="Times New Roman"/>
          <w:color w:val="auto"/>
          <w:szCs w:val="24"/>
          <w:highlight w:val="none"/>
          <w:lang w:bidi="ar"/>
        </w:rPr>
        <w:t>2.5</w:t>
      </w:r>
      <w:r>
        <w:rPr>
          <w:rFonts w:ascii="Times New Roman" w:hAnsi="Times New Roman"/>
          <w:color w:val="auto"/>
          <w:szCs w:val="24"/>
          <w:highlight w:val="none"/>
          <w:lang w:bidi="ar"/>
        </w:rPr>
        <w:t>m、高6.</w:t>
      </w:r>
      <w:r>
        <w:rPr>
          <w:rFonts w:hint="eastAsia" w:ascii="Times New Roman" w:hAnsi="Times New Roman"/>
          <w:color w:val="auto"/>
          <w:szCs w:val="24"/>
          <w:highlight w:val="none"/>
          <w:lang w:bidi="ar"/>
        </w:rPr>
        <w:t>8</w:t>
      </w:r>
      <w:r>
        <w:rPr>
          <w:rFonts w:ascii="Times New Roman" w:hAnsi="Times New Roman"/>
          <w:color w:val="auto"/>
          <w:szCs w:val="24"/>
          <w:highlight w:val="none"/>
          <w:lang w:bidi="ar"/>
        </w:rPr>
        <w:t>m，空塔流速≤1.5m/s。</w:t>
      </w:r>
    </w:p>
    <w:p w14:paraId="2C600F22">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ascii="Times New Roman" w:hAnsi="Times New Roman"/>
          <w:color w:val="auto"/>
          <w:szCs w:val="24"/>
          <w:highlight w:val="none"/>
          <w:lang w:bidi="ar"/>
        </w:rPr>
        <w:t>三级喷淋塔运行原理见</w:t>
      </w:r>
      <w:r>
        <w:rPr>
          <w:rFonts w:ascii="Times New Roman" w:hAnsi="Times New Roman"/>
          <w:color w:val="auto"/>
          <w:szCs w:val="24"/>
          <w:highlight w:val="none"/>
          <w:lang w:bidi="ar"/>
        </w:rPr>
        <w:fldChar w:fldCharType="begin"/>
      </w:r>
      <w:r>
        <w:rPr>
          <w:rFonts w:ascii="Times New Roman" w:hAnsi="Times New Roman"/>
          <w:color w:val="auto"/>
          <w:szCs w:val="24"/>
          <w:highlight w:val="none"/>
          <w:lang w:bidi="ar"/>
        </w:rPr>
        <w:instrText xml:space="preserve"> REF _Ref61876820 \h  \* MERGEFORMAT </w:instrText>
      </w:r>
      <w:r>
        <w:rPr>
          <w:rFonts w:ascii="Times New Roman" w:hAnsi="Times New Roman"/>
          <w:color w:val="auto"/>
          <w:szCs w:val="24"/>
          <w:highlight w:val="none"/>
          <w:lang w:bidi="ar"/>
        </w:rPr>
        <w:fldChar w:fldCharType="separate"/>
      </w:r>
      <w:r>
        <w:rPr>
          <w:rFonts w:ascii="Times New Roman" w:hAnsi="Times New Roman"/>
          <w:color w:val="auto"/>
          <w:szCs w:val="22"/>
          <w:highlight w:val="none"/>
          <w:lang w:bidi="ar"/>
        </w:rPr>
        <w:t>图7.1</w:t>
      </w:r>
      <w:r>
        <w:rPr>
          <w:rFonts w:ascii="Times New Roman" w:hAnsi="Times New Roman"/>
          <w:color w:val="auto"/>
          <w:szCs w:val="22"/>
          <w:highlight w:val="none"/>
          <w:lang w:bidi="ar"/>
        </w:rPr>
        <w:noBreakHyphen/>
      </w:r>
      <w:r>
        <w:rPr>
          <w:rFonts w:ascii="Times New Roman" w:hAnsi="Times New Roman"/>
          <w:color w:val="auto"/>
          <w:szCs w:val="22"/>
          <w:highlight w:val="none"/>
          <w:lang w:bidi="ar"/>
        </w:rPr>
        <w:t>2</w:t>
      </w:r>
      <w:r>
        <w:rPr>
          <w:rFonts w:ascii="Times New Roman" w:hAnsi="Times New Roman"/>
          <w:color w:val="auto"/>
          <w:szCs w:val="24"/>
          <w:highlight w:val="none"/>
          <w:lang w:bidi="ar"/>
        </w:rPr>
        <w:fldChar w:fldCharType="end"/>
      </w:r>
      <w:r>
        <w:rPr>
          <w:rFonts w:ascii="Times New Roman" w:hAnsi="Times New Roman"/>
          <w:color w:val="auto"/>
          <w:szCs w:val="24"/>
          <w:highlight w:val="none"/>
          <w:lang w:bidi="ar"/>
        </w:rPr>
        <w:t>所示。</w:t>
      </w:r>
    </w:p>
    <w:p w14:paraId="686FDA5C">
      <w:pPr>
        <w:ind w:left="-105" w:right="-105" w:firstLine="420"/>
        <w:rPr>
          <w:color w:val="auto"/>
          <w:highlight w:val="none"/>
        </w:rPr>
      </w:pPr>
      <w:r>
        <w:rPr>
          <w:color w:val="auto"/>
          <w:sz w:val="21"/>
          <w:highlight w:val="none"/>
        </w:rPr>
        <mc:AlternateContent>
          <mc:Choice Requires="wpg">
            <w:drawing>
              <wp:anchor distT="0" distB="0" distL="114300" distR="114300" simplePos="0" relativeHeight="251669504" behindDoc="0" locked="0" layoutInCell="1" allowOverlap="1">
                <wp:simplePos x="0" y="0"/>
                <wp:positionH relativeFrom="column">
                  <wp:posOffset>1397635</wp:posOffset>
                </wp:positionH>
                <wp:positionV relativeFrom="paragraph">
                  <wp:posOffset>24765</wp:posOffset>
                </wp:positionV>
                <wp:extent cx="3023870" cy="2825750"/>
                <wp:effectExtent l="0" t="0" r="5080" b="12700"/>
                <wp:wrapTopAndBottom/>
                <wp:docPr id="199" name="组合 199"/>
                <wp:cNvGraphicFramePr/>
                <a:graphic xmlns:a="http://schemas.openxmlformats.org/drawingml/2006/main">
                  <a:graphicData uri="http://schemas.microsoft.com/office/word/2010/wordprocessingGroup">
                    <wpg:wgp>
                      <wpg:cNvGrpSpPr/>
                      <wpg:grpSpPr>
                        <a:xfrm>
                          <a:off x="0" y="0"/>
                          <a:ext cx="3023870" cy="2825750"/>
                          <a:chOff x="5481" y="647115"/>
                          <a:chExt cx="4607" cy="4225"/>
                        </a:xfrm>
                      </wpg:grpSpPr>
                      <pic:pic xmlns:pic="http://schemas.openxmlformats.org/drawingml/2006/picture">
                        <pic:nvPicPr>
                          <pic:cNvPr id="197" name="图片 1161" descr="56b196cf2e546df6cc87f8a8eb0bfcd"/>
                          <pic:cNvPicPr>
                            <a:picLocks noChangeAspect="1"/>
                          </pic:cNvPicPr>
                        </pic:nvPicPr>
                        <pic:blipFill>
                          <a:blip r:embed="rId59"/>
                          <a:stretch>
                            <a:fillRect/>
                          </a:stretch>
                        </pic:blipFill>
                        <pic:spPr>
                          <a:xfrm>
                            <a:off x="5481" y="647115"/>
                            <a:ext cx="4581" cy="3622"/>
                          </a:xfrm>
                          <a:prstGeom prst="rect">
                            <a:avLst/>
                          </a:prstGeom>
                          <a:noFill/>
                          <a:ln>
                            <a:noFill/>
                          </a:ln>
                        </pic:spPr>
                      </pic:pic>
                      <pic:pic xmlns:pic="http://schemas.openxmlformats.org/drawingml/2006/picture">
                        <pic:nvPicPr>
                          <pic:cNvPr id="198" name="图片 1162" descr="56b196cf2e546df6cc87f8a8eb0bfcd"/>
                          <pic:cNvPicPr>
                            <a:picLocks noChangeAspect="1"/>
                          </pic:cNvPicPr>
                        </pic:nvPicPr>
                        <pic:blipFill>
                          <a:blip r:embed="rId59"/>
                          <a:srcRect t="47101" r="-568"/>
                          <a:stretch>
                            <a:fillRect/>
                          </a:stretch>
                        </pic:blipFill>
                        <pic:spPr>
                          <a:xfrm>
                            <a:off x="5481" y="649424"/>
                            <a:ext cx="4607" cy="1916"/>
                          </a:xfrm>
                          <a:prstGeom prst="rect">
                            <a:avLst/>
                          </a:prstGeom>
                          <a:noFill/>
                          <a:ln>
                            <a:noFill/>
                          </a:ln>
                        </pic:spPr>
                      </pic:pic>
                    </wpg:wgp>
                  </a:graphicData>
                </a:graphic>
              </wp:anchor>
            </w:drawing>
          </mc:Choice>
          <mc:Fallback>
            <w:pict>
              <v:group id="_x0000_s1026" o:spid="_x0000_s1026" o:spt="203" style="position:absolute;left:0pt;margin-left:110.05pt;margin-top:1.95pt;height:222.5pt;width:238.1pt;mso-wrap-distance-bottom:0pt;mso-wrap-distance-top:0pt;z-index:251669504;mso-width-relative:page;mso-height-relative:page;" coordorigin="5481,647115" coordsize="4607,4225" o:gfxdata="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">
                <o:lock v:ext="edit" aspectratio="f"/>
                <v:shape id="图片 1161" o:spid="_x0000_s1026" o:spt="75" alt="56b196cf2e546df6cc87f8a8eb0bfcd" type="#_x0000_t75" style="position:absolute;left:5481;top:647115;height:3622;width:4581;" filled="f" o:preferrelative="t" stroked="f" coordsize="21600,21600" o:gfxdata="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teLLsAAADc&#10;AAAADwAAAAAAAAABACAAAAAiAAAAZHJzL2Rvd25yZXYueG1sUEsBAhQAFAAAAAgAh07iQDMvBZ47&#10;AAAAOQAAABAAAAAAAAAAAQAgAAAACgEAAGRycy9zaGFwZXhtbC54bWxQSwUGAAAAAAYABgBbAQAA&#10;tAMAAAAA&#10;">
                  <v:fill on="f" focussize="0,0"/>
                  <v:stroke on="f"/>
                  <v:imagedata r:id="rId59" o:title=""/>
                  <o:lock v:ext="edit" aspectratio="t"/>
                </v:shape>
                <v:shape id="图片 1162" o:spid="_x0000_s1026" o:spt="75" alt="56b196cf2e546df6cc87f8a8eb0bfcd" type="#_x0000_t75" style="position:absolute;left:5481;top:649424;height:1916;width:4607;" filled="f" o:preferrelative="t" stroked="f" coordsize="21600,21600" o:gfxdata="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KT6&#10;MMEAAADcAAAADwAAAAAAAAABACAAAAAiAAAAZHJzL2Rvd25yZXYueG1sUEsBAhQAFAAAAAgAh07i&#10;QDMvBZ47AAAAOQAAABAAAAAAAAAAAQAgAAAAEAEAAGRycy9zaGFwZXhtbC54bWxQSwUGAAAAAAYA&#10;BgBbAQAAugMAAAAA&#10;">
                  <v:fill on="f" focussize="0,0"/>
                  <v:stroke on="f"/>
                  <v:imagedata r:id="rId59" croptop="30868f" cropright="-372f" o:title=""/>
                  <o:lock v:ext="edit" aspectratio="t"/>
                </v:shape>
                <w10:wrap type="topAndBottom"/>
              </v:group>
            </w:pict>
          </mc:Fallback>
        </mc:AlternateContent>
      </w:r>
    </w:p>
    <w:p w14:paraId="1C45D333">
      <w:pPr>
        <w:pStyle w:val="15"/>
        <w:ind w:left="-105" w:right="-105" w:firstLine="482"/>
        <w:rPr>
          <w:rFonts w:eastAsia="宋体" w:cs="Times New Roman"/>
          <w:color w:val="auto"/>
          <w:sz w:val="24"/>
          <w:szCs w:val="22"/>
          <w:highlight w:val="none"/>
          <w:lang w:bidi="ar"/>
        </w:rPr>
      </w:pPr>
      <w:bookmarkStart w:id="445" w:name="_Ref61876820"/>
      <w:r>
        <w:rPr>
          <w:rFonts w:eastAsia="宋体" w:cs="Times New Roman"/>
          <w:color w:val="auto"/>
          <w:sz w:val="24"/>
          <w:szCs w:val="22"/>
          <w:highlight w:val="none"/>
          <w:lang w:bidi="ar"/>
        </w:rPr>
        <w:t>图</w:t>
      </w:r>
      <w:r>
        <w:rPr>
          <w:rFonts w:eastAsia="宋体" w:cs="Times New Roman"/>
          <w:color w:val="auto"/>
          <w:sz w:val="24"/>
          <w:szCs w:val="22"/>
          <w:highlight w:val="none"/>
          <w:lang w:bidi="ar"/>
        </w:rPr>
        <w:fldChar w:fldCharType="begin"/>
      </w:r>
      <w:r>
        <w:rPr>
          <w:rFonts w:eastAsia="宋体" w:cs="Times New Roman"/>
          <w:color w:val="auto"/>
          <w:sz w:val="24"/>
          <w:szCs w:val="22"/>
          <w:highlight w:val="none"/>
          <w:lang w:bidi="ar"/>
        </w:rPr>
        <w:instrText xml:space="preserve"> STYLEREF 2 \s </w:instrText>
      </w:r>
      <w:r>
        <w:rPr>
          <w:rFonts w:eastAsia="宋体" w:cs="Times New Roman"/>
          <w:color w:val="auto"/>
          <w:sz w:val="24"/>
          <w:szCs w:val="22"/>
          <w:highlight w:val="none"/>
          <w:lang w:bidi="ar"/>
        </w:rPr>
        <w:fldChar w:fldCharType="separate"/>
      </w:r>
      <w:r>
        <w:rPr>
          <w:rFonts w:eastAsia="宋体" w:cs="Times New Roman"/>
          <w:color w:val="auto"/>
          <w:sz w:val="24"/>
          <w:szCs w:val="22"/>
          <w:highlight w:val="none"/>
          <w:lang w:bidi="ar"/>
        </w:rPr>
        <w:t>7.1</w:t>
      </w:r>
      <w:r>
        <w:rPr>
          <w:rFonts w:eastAsia="宋体" w:cs="Times New Roman"/>
          <w:color w:val="auto"/>
          <w:sz w:val="24"/>
          <w:szCs w:val="22"/>
          <w:highlight w:val="none"/>
          <w:lang w:bidi="ar"/>
        </w:rPr>
        <w:fldChar w:fldCharType="end"/>
      </w:r>
      <w:r>
        <w:rPr>
          <w:rFonts w:eastAsia="宋体" w:cs="Times New Roman"/>
          <w:color w:val="auto"/>
          <w:sz w:val="24"/>
          <w:szCs w:val="22"/>
          <w:highlight w:val="none"/>
          <w:lang w:bidi="ar"/>
        </w:rPr>
        <w:noBreakHyphen/>
      </w:r>
      <w:r>
        <w:rPr>
          <w:rFonts w:eastAsia="宋体" w:cs="Times New Roman"/>
          <w:color w:val="auto"/>
          <w:sz w:val="24"/>
          <w:szCs w:val="22"/>
          <w:highlight w:val="none"/>
          <w:lang w:bidi="ar"/>
        </w:rPr>
        <w:fldChar w:fldCharType="begin"/>
      </w:r>
      <w:r>
        <w:rPr>
          <w:rFonts w:eastAsia="宋体" w:cs="Times New Roman"/>
          <w:color w:val="auto"/>
          <w:sz w:val="24"/>
          <w:szCs w:val="22"/>
          <w:highlight w:val="none"/>
          <w:lang w:bidi="ar"/>
        </w:rPr>
        <w:instrText xml:space="preserve"> SEQ 图 \* ARABIC \s 2 </w:instrText>
      </w:r>
      <w:r>
        <w:rPr>
          <w:rFonts w:eastAsia="宋体" w:cs="Times New Roman"/>
          <w:color w:val="auto"/>
          <w:sz w:val="24"/>
          <w:szCs w:val="22"/>
          <w:highlight w:val="none"/>
          <w:lang w:bidi="ar"/>
        </w:rPr>
        <w:fldChar w:fldCharType="separate"/>
      </w:r>
      <w:r>
        <w:rPr>
          <w:rFonts w:eastAsia="宋体" w:cs="Times New Roman"/>
          <w:color w:val="auto"/>
          <w:sz w:val="24"/>
          <w:szCs w:val="22"/>
          <w:highlight w:val="none"/>
          <w:lang w:bidi="ar"/>
        </w:rPr>
        <w:t>2</w:t>
      </w:r>
      <w:r>
        <w:rPr>
          <w:rFonts w:eastAsia="宋体" w:cs="Times New Roman"/>
          <w:color w:val="auto"/>
          <w:sz w:val="24"/>
          <w:szCs w:val="22"/>
          <w:highlight w:val="none"/>
          <w:lang w:bidi="ar"/>
        </w:rPr>
        <w:fldChar w:fldCharType="end"/>
      </w:r>
      <w:r>
        <w:rPr>
          <w:rFonts w:hint="eastAsia" w:eastAsia="宋体" w:cs="Times New Roman"/>
          <w:color w:val="auto"/>
          <w:sz w:val="24"/>
          <w:szCs w:val="22"/>
          <w:highlight w:val="none"/>
          <w:lang w:bidi="ar"/>
        </w:rPr>
        <w:t>三级喷淋塔运行原理</w:t>
      </w:r>
      <w:bookmarkEnd w:id="445"/>
    </w:p>
    <w:p w14:paraId="296044F8">
      <w:pPr>
        <w:pStyle w:val="41"/>
        <w:widowControl w:val="0"/>
        <w:autoSpaceDE w:val="0"/>
        <w:autoSpaceDN w:val="0"/>
        <w:spacing w:before="120" w:beforeLines="50" w:beforeAutospacing="0" w:after="0" w:afterAutospacing="0" w:line="360" w:lineRule="auto"/>
        <w:ind w:left="-105" w:right="-105" w:firstLine="482" w:firstLineChars="200"/>
        <w:jc w:val="both"/>
        <w:rPr>
          <w:rFonts w:cs="宋体"/>
          <w:color w:val="auto"/>
          <w:szCs w:val="24"/>
          <w:highlight w:val="none"/>
          <w:lang w:bidi="ar"/>
        </w:rPr>
      </w:pPr>
      <w:r>
        <w:rPr>
          <w:rFonts w:hint="eastAsia" w:cs="宋体"/>
          <w:b/>
          <w:bCs/>
          <w:color w:val="auto"/>
          <w:szCs w:val="24"/>
          <w:highlight w:val="none"/>
          <w:lang w:bidi="ar"/>
        </w:rPr>
        <w:t>去除原理：</w:t>
      </w:r>
      <w:r>
        <w:rPr>
          <w:rFonts w:hint="eastAsia" w:cs="宋体"/>
          <w:color w:val="auto"/>
          <w:szCs w:val="24"/>
          <w:highlight w:val="none"/>
          <w:lang w:bidi="ar"/>
        </w:rPr>
        <w:t>喷淋液从塔顶经液体分布器喷淋到填料上，并沿填料表面流下，气体从塔底送入，经气体分布装置分布，与液体呈逆流连续通过填料层的空隙，气液两相在填料表面密切接触传质。喷淋液循环使用，在使用过程中会有部分损失，位于塔底的循环水箱适时补充喷淋液；含水的气体经过除雾器去除多余水分后由排风机排入大气。</w:t>
      </w:r>
    </w:p>
    <w:p w14:paraId="35CAD561">
      <w:pPr>
        <w:pStyle w:val="15"/>
        <w:ind w:left="-105" w:right="-105" w:firstLine="482"/>
        <w:rPr>
          <w:rFonts w:eastAsia="宋体" w:cs="Times New Roman"/>
          <w:color w:val="auto"/>
          <w:sz w:val="24"/>
          <w:szCs w:val="22"/>
          <w:highlight w:val="none"/>
          <w:lang w:bidi="ar"/>
        </w:rPr>
      </w:pPr>
      <w:r>
        <w:rPr>
          <w:rFonts w:eastAsia="宋体" w:cs="Times New Roman"/>
          <w:color w:val="auto"/>
          <w:sz w:val="24"/>
          <w:szCs w:val="22"/>
          <w:highlight w:val="none"/>
          <w:lang w:bidi="ar"/>
        </w:rPr>
        <w:t>表</w:t>
      </w:r>
      <w:r>
        <w:rPr>
          <w:rFonts w:eastAsia="宋体" w:cs="Times New Roman"/>
          <w:color w:val="auto"/>
          <w:sz w:val="24"/>
          <w:szCs w:val="22"/>
          <w:highlight w:val="none"/>
          <w:lang w:bidi="ar"/>
        </w:rPr>
        <w:fldChar w:fldCharType="begin"/>
      </w:r>
      <w:r>
        <w:rPr>
          <w:rFonts w:eastAsia="宋体" w:cs="Times New Roman"/>
          <w:color w:val="auto"/>
          <w:sz w:val="24"/>
          <w:szCs w:val="22"/>
          <w:highlight w:val="none"/>
          <w:lang w:bidi="ar"/>
        </w:rPr>
        <w:instrText xml:space="preserve"> STYLEREF 2 \s </w:instrText>
      </w:r>
      <w:r>
        <w:rPr>
          <w:rFonts w:eastAsia="宋体" w:cs="Times New Roman"/>
          <w:color w:val="auto"/>
          <w:sz w:val="24"/>
          <w:szCs w:val="22"/>
          <w:highlight w:val="none"/>
          <w:lang w:bidi="ar"/>
        </w:rPr>
        <w:fldChar w:fldCharType="separate"/>
      </w:r>
      <w:r>
        <w:rPr>
          <w:rFonts w:eastAsia="宋体" w:cs="Times New Roman"/>
          <w:color w:val="auto"/>
          <w:sz w:val="24"/>
          <w:szCs w:val="22"/>
          <w:highlight w:val="none"/>
          <w:lang w:bidi="ar"/>
        </w:rPr>
        <w:t>7.1</w:t>
      </w:r>
      <w:r>
        <w:rPr>
          <w:rFonts w:eastAsia="宋体" w:cs="Times New Roman"/>
          <w:color w:val="auto"/>
          <w:sz w:val="24"/>
          <w:szCs w:val="22"/>
          <w:highlight w:val="none"/>
          <w:lang w:bidi="ar"/>
        </w:rPr>
        <w:fldChar w:fldCharType="end"/>
      </w:r>
      <w:r>
        <w:rPr>
          <w:rFonts w:eastAsia="宋体" w:cs="Times New Roman"/>
          <w:color w:val="auto"/>
          <w:sz w:val="24"/>
          <w:szCs w:val="22"/>
          <w:highlight w:val="none"/>
          <w:lang w:bidi="ar"/>
        </w:rPr>
        <w:noBreakHyphen/>
      </w:r>
      <w:r>
        <w:rPr>
          <w:rFonts w:eastAsia="宋体" w:cs="Times New Roman"/>
          <w:color w:val="auto"/>
          <w:sz w:val="24"/>
          <w:szCs w:val="22"/>
          <w:highlight w:val="none"/>
          <w:lang w:bidi="ar"/>
        </w:rPr>
        <w:fldChar w:fldCharType="begin"/>
      </w:r>
      <w:r>
        <w:rPr>
          <w:rFonts w:eastAsia="宋体" w:cs="Times New Roman"/>
          <w:color w:val="auto"/>
          <w:sz w:val="24"/>
          <w:szCs w:val="22"/>
          <w:highlight w:val="none"/>
          <w:lang w:bidi="ar"/>
        </w:rPr>
        <w:instrText xml:space="preserve"> SEQ 表 \* ARABIC \s 2 </w:instrText>
      </w:r>
      <w:r>
        <w:rPr>
          <w:rFonts w:eastAsia="宋体" w:cs="Times New Roman"/>
          <w:color w:val="auto"/>
          <w:sz w:val="24"/>
          <w:szCs w:val="22"/>
          <w:highlight w:val="none"/>
          <w:lang w:bidi="ar"/>
        </w:rPr>
        <w:fldChar w:fldCharType="separate"/>
      </w:r>
      <w:r>
        <w:rPr>
          <w:rFonts w:eastAsia="宋体" w:cs="Times New Roman"/>
          <w:color w:val="auto"/>
          <w:sz w:val="24"/>
          <w:szCs w:val="22"/>
          <w:highlight w:val="none"/>
          <w:lang w:bidi="ar"/>
        </w:rPr>
        <w:t>2</w:t>
      </w:r>
      <w:r>
        <w:rPr>
          <w:rFonts w:eastAsia="宋体" w:cs="Times New Roman"/>
          <w:color w:val="auto"/>
          <w:sz w:val="24"/>
          <w:szCs w:val="22"/>
          <w:highlight w:val="none"/>
          <w:lang w:bidi="ar"/>
        </w:rPr>
        <w:fldChar w:fldCharType="end"/>
      </w:r>
      <w:r>
        <w:rPr>
          <w:rFonts w:eastAsia="宋体" w:cs="Times New Roman"/>
          <w:color w:val="auto"/>
          <w:sz w:val="24"/>
          <w:szCs w:val="22"/>
          <w:highlight w:val="none"/>
          <w:lang w:bidi="ar"/>
        </w:rPr>
        <w:t>三级喷淋塔主要技术参数</w:t>
      </w:r>
    </w:p>
    <w:tbl>
      <w:tblPr>
        <w:tblStyle w:val="45"/>
        <w:tblW w:w="87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602"/>
        <w:gridCol w:w="1335"/>
        <w:gridCol w:w="1512"/>
        <w:gridCol w:w="1051"/>
        <w:gridCol w:w="1121"/>
        <w:gridCol w:w="1036"/>
      </w:tblGrid>
      <w:tr w14:paraId="6433F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44" w:type="dxa"/>
            <w:shd w:val="clear" w:color="auto" w:fill="auto"/>
            <w:noWrap/>
            <w:vAlign w:val="center"/>
          </w:tcPr>
          <w:p w14:paraId="15B47CF3">
            <w:pPr>
              <w:ind w:left="-105" w:right="-105"/>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材质</w:t>
            </w:r>
          </w:p>
        </w:tc>
        <w:tc>
          <w:tcPr>
            <w:tcW w:w="1602" w:type="dxa"/>
            <w:shd w:val="clear" w:color="auto" w:fill="auto"/>
            <w:noWrap/>
            <w:vAlign w:val="center"/>
          </w:tcPr>
          <w:p w14:paraId="7344D191">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处理风量</w:t>
            </w:r>
          </w:p>
        </w:tc>
        <w:tc>
          <w:tcPr>
            <w:tcW w:w="1335" w:type="dxa"/>
            <w:shd w:val="clear" w:color="auto" w:fill="auto"/>
            <w:noWrap/>
            <w:vAlign w:val="center"/>
          </w:tcPr>
          <w:p w14:paraId="474D951E">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设备尺寸（mm)</w:t>
            </w:r>
          </w:p>
        </w:tc>
        <w:tc>
          <w:tcPr>
            <w:tcW w:w="1512" w:type="dxa"/>
            <w:shd w:val="clear" w:color="auto" w:fill="auto"/>
            <w:noWrap/>
            <w:vAlign w:val="center"/>
          </w:tcPr>
          <w:p w14:paraId="7132ED03">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风机</w:t>
            </w:r>
          </w:p>
        </w:tc>
        <w:tc>
          <w:tcPr>
            <w:tcW w:w="1051" w:type="dxa"/>
            <w:shd w:val="clear" w:color="auto" w:fill="auto"/>
            <w:noWrap/>
            <w:vAlign w:val="center"/>
          </w:tcPr>
          <w:p w14:paraId="3050E3F1">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水泵功率</w:t>
            </w:r>
          </w:p>
        </w:tc>
        <w:tc>
          <w:tcPr>
            <w:tcW w:w="1121" w:type="dxa"/>
            <w:shd w:val="clear" w:color="auto" w:fill="auto"/>
            <w:noWrap/>
            <w:vAlign w:val="center"/>
          </w:tcPr>
          <w:p w14:paraId="69FB2A81">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填料</w:t>
            </w:r>
          </w:p>
        </w:tc>
        <w:tc>
          <w:tcPr>
            <w:tcW w:w="1036" w:type="dxa"/>
            <w:shd w:val="clear" w:color="auto" w:fill="auto"/>
            <w:noWrap/>
            <w:vAlign w:val="center"/>
          </w:tcPr>
          <w:p w14:paraId="72DEDE88">
            <w:pPr>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风速</w:t>
            </w:r>
          </w:p>
        </w:tc>
      </w:tr>
      <w:tr w14:paraId="243EF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44" w:type="dxa"/>
            <w:shd w:val="clear" w:color="auto" w:fill="auto"/>
            <w:noWrap/>
            <w:vAlign w:val="center"/>
          </w:tcPr>
          <w:p w14:paraId="5636E9D4">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阻燃PP</w:t>
            </w:r>
          </w:p>
        </w:tc>
        <w:tc>
          <w:tcPr>
            <w:tcW w:w="1602" w:type="dxa"/>
            <w:shd w:val="clear" w:color="auto" w:fill="auto"/>
            <w:noWrap/>
            <w:vAlign w:val="center"/>
          </w:tcPr>
          <w:p w14:paraId="6DCD8BC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20000m³/h</w:t>
            </w:r>
          </w:p>
        </w:tc>
        <w:tc>
          <w:tcPr>
            <w:tcW w:w="1335" w:type="dxa"/>
            <w:shd w:val="clear" w:color="auto" w:fill="auto"/>
            <w:noWrap/>
            <w:vAlign w:val="center"/>
          </w:tcPr>
          <w:p w14:paraId="4AAF983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φ2</w:t>
            </w:r>
            <w:r>
              <w:rPr>
                <w:rFonts w:hint="eastAsia" w:ascii="Times New Roman" w:hAnsi="Times New Roman" w:cs="Times New Roman"/>
                <w:color w:val="auto"/>
                <w:sz w:val="21"/>
                <w:szCs w:val="21"/>
                <w:highlight w:val="none"/>
              </w:rPr>
              <w:t>5</w:t>
            </w:r>
            <w:r>
              <w:rPr>
                <w:rFonts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rPr>
              <w:t>68</w:t>
            </w:r>
            <w:r>
              <w:rPr>
                <w:rFonts w:ascii="Times New Roman" w:hAnsi="Times New Roman" w:cs="Times New Roman"/>
                <w:color w:val="auto"/>
                <w:sz w:val="21"/>
                <w:szCs w:val="21"/>
                <w:highlight w:val="none"/>
              </w:rPr>
              <w:t>00</w:t>
            </w:r>
          </w:p>
        </w:tc>
        <w:tc>
          <w:tcPr>
            <w:tcW w:w="1512" w:type="dxa"/>
            <w:shd w:val="clear" w:color="auto" w:fill="auto"/>
            <w:noWrap/>
            <w:vAlign w:val="center"/>
          </w:tcPr>
          <w:p w14:paraId="5572E75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w:t>
            </w:r>
            <w:r>
              <w:rPr>
                <w:rFonts w:ascii="Times New Roman" w:hAnsi="Times New Roman" w:cs="Times New Roman"/>
                <w:color w:val="auto"/>
                <w:sz w:val="21"/>
                <w:szCs w:val="21"/>
                <w:highlight w:val="none"/>
              </w:rPr>
              <w:t>kw</w:t>
            </w:r>
            <w:r>
              <w:rPr>
                <w:rFonts w:hint="eastAsia" w:ascii="Times New Roman" w:hAnsi="Times New Roman" w:cs="Times New Roman"/>
                <w:color w:val="auto"/>
                <w:sz w:val="21"/>
                <w:szCs w:val="21"/>
                <w:highlight w:val="none"/>
              </w:rPr>
              <w:t>防爆变频电</w:t>
            </w:r>
            <w:r>
              <w:rPr>
                <w:rFonts w:ascii="Times New Roman" w:hAnsi="Times New Roman" w:cs="Times New Roman"/>
                <w:color w:val="auto"/>
                <w:sz w:val="21"/>
                <w:szCs w:val="21"/>
                <w:highlight w:val="none"/>
              </w:rPr>
              <w:t>机</w:t>
            </w:r>
          </w:p>
        </w:tc>
        <w:tc>
          <w:tcPr>
            <w:tcW w:w="1051" w:type="dxa"/>
            <w:shd w:val="clear" w:color="auto" w:fill="auto"/>
            <w:noWrap/>
            <w:vAlign w:val="center"/>
          </w:tcPr>
          <w:p w14:paraId="62C2463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r>
              <w:rPr>
                <w:rFonts w:ascii="Times New Roman" w:hAnsi="Times New Roman" w:cs="Times New Roman"/>
                <w:color w:val="auto"/>
                <w:sz w:val="21"/>
                <w:szCs w:val="21"/>
                <w:highlight w:val="none"/>
              </w:rPr>
              <w:t>.5kw</w:t>
            </w:r>
          </w:p>
        </w:tc>
        <w:tc>
          <w:tcPr>
            <w:tcW w:w="1121" w:type="dxa"/>
            <w:shd w:val="clear" w:color="auto" w:fill="auto"/>
            <w:noWrap/>
            <w:vAlign w:val="center"/>
          </w:tcPr>
          <w:p w14:paraId="01B3660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拉西环2层，空心球1层</w:t>
            </w:r>
          </w:p>
        </w:tc>
        <w:tc>
          <w:tcPr>
            <w:tcW w:w="1036" w:type="dxa"/>
            <w:shd w:val="clear" w:color="auto" w:fill="auto"/>
            <w:noWrap/>
            <w:vAlign w:val="center"/>
          </w:tcPr>
          <w:p w14:paraId="27FAF28C">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3m/s</w:t>
            </w:r>
          </w:p>
        </w:tc>
      </w:tr>
    </w:tbl>
    <w:p w14:paraId="2DFEB08A">
      <w:pPr>
        <w:pStyle w:val="41"/>
        <w:widowControl w:val="0"/>
        <w:autoSpaceDE w:val="0"/>
        <w:autoSpaceDN w:val="0"/>
        <w:spacing w:before="0" w:beforeAutospacing="0" w:after="0" w:afterAutospacing="0" w:line="360" w:lineRule="auto"/>
        <w:ind w:left="-105" w:right="-105" w:firstLine="482" w:firstLineChars="200"/>
        <w:jc w:val="both"/>
        <w:rPr>
          <w:rFonts w:cs="宋体"/>
          <w:b/>
          <w:bCs/>
          <w:color w:val="auto"/>
          <w:szCs w:val="24"/>
          <w:highlight w:val="none"/>
          <w:lang w:bidi="ar"/>
        </w:rPr>
      </w:pPr>
      <w:r>
        <w:rPr>
          <w:rFonts w:hint="eastAsia"/>
          <w:b/>
          <w:bCs/>
          <w:color w:val="auto"/>
          <w:szCs w:val="24"/>
          <w:highlight w:val="none"/>
          <w:lang w:bidi="ar"/>
        </w:rPr>
        <w:t>②</w:t>
      </w:r>
      <w:r>
        <w:rPr>
          <w:rFonts w:hint="eastAsia" w:cs="宋体"/>
          <w:b/>
          <w:bCs/>
          <w:color w:val="auto"/>
          <w:szCs w:val="24"/>
          <w:highlight w:val="none"/>
          <w:lang w:bidi="ar"/>
        </w:rPr>
        <w:t>二级活性炭装置</w:t>
      </w:r>
    </w:p>
    <w:p w14:paraId="2B2FBD6A">
      <w:pPr>
        <w:autoSpaceDE w:val="0"/>
        <w:autoSpaceDN w:val="0"/>
        <w:spacing w:line="360" w:lineRule="auto"/>
        <w:ind w:left="-105" w:right="-105" w:firstLine="482" w:firstLineChars="200"/>
        <w:rPr>
          <w:rFonts w:ascii="Times New Roman" w:hAnsi="Times New Roman" w:cs="Times New Roman"/>
          <w:color w:val="auto"/>
          <w:highlight w:val="none"/>
        </w:rPr>
      </w:pPr>
      <w:r>
        <w:rPr>
          <w:b/>
          <w:color w:val="auto"/>
          <w:highlight w:val="none"/>
        </w:rPr>
        <w:t>吸附原理：</w:t>
      </w:r>
      <w:r>
        <w:rPr>
          <w:color w:val="auto"/>
          <w:highlight w:val="none"/>
        </w:rPr>
        <w:t>活性炭是一种高效的吸附材料，是处理有机废气的有效材料，当工业废气通过吸附介质时，其中的有机溶剂被“阻留”下来，从而使有机废气得到净</w:t>
      </w:r>
      <w:r>
        <w:rPr>
          <w:rFonts w:ascii="Times New Roman" w:hAnsi="Times New Roman" w:cs="Times New Roman"/>
          <w:color w:val="auto"/>
          <w:highlight w:val="none"/>
        </w:rPr>
        <w:t>化。本项目的吸附材料</w:t>
      </w:r>
      <w:r>
        <w:rPr>
          <w:rFonts w:hint="eastAsia" w:ascii="Times New Roman" w:hAnsi="Times New Roman" w:cs="Times New Roman"/>
          <w:color w:val="auto"/>
          <w:highlight w:val="none"/>
        </w:rPr>
        <w:t>两级均</w:t>
      </w:r>
      <w:r>
        <w:rPr>
          <w:rFonts w:ascii="Times New Roman" w:hAnsi="Times New Roman" w:cs="Times New Roman"/>
          <w:color w:val="auto"/>
          <w:highlight w:val="none"/>
        </w:rPr>
        <w:t>采用</w:t>
      </w:r>
      <w:r>
        <w:rPr>
          <w:rFonts w:hint="eastAsia" w:ascii="Times New Roman" w:hAnsi="Times New Roman" w:cs="Times New Roman"/>
          <w:color w:val="auto"/>
          <w:highlight w:val="none"/>
        </w:rPr>
        <w:t>颗粒活性炭</w:t>
      </w:r>
      <w:r>
        <w:rPr>
          <w:rFonts w:ascii="Times New Roman" w:hAnsi="Times New Roman" w:cs="Times New Roman"/>
          <w:color w:val="auto"/>
          <w:highlight w:val="none"/>
        </w:rPr>
        <w:t>。</w:t>
      </w:r>
      <w:r>
        <w:rPr>
          <w:rFonts w:hint="eastAsia" w:ascii="Times New Roman" w:hAnsi="Times New Roman" w:cs="Times New Roman"/>
          <w:color w:val="auto"/>
          <w:highlight w:val="none"/>
        </w:rPr>
        <w:t>颗粒活性炭的优点：1）强大的吸附能力：由于其具有较大的表面积和微孔结构，颗粒活性炭能够有效地吸附气体和液体中的污染物。2）成本效益：颗粒活性炭的生产成本相对较低，因此价格较为便宜，使得它在各种应用中具有较高的性价比。3）机械强度高：颗粒活性炭的结构较为密实，具有较强的机械强度，不易破碎，这使得它在制备、储存和使用过程中更为可靠。4）易于再生：颗粒活性炭可以通过再生过程重复使用，减少了废弃物的产生，符合可持续发展的要求。5）应用范围广：颗粒活性炭被广泛应用于水处理、空气净化、溶剂回收、有机气体处理等多个领域。</w:t>
      </w:r>
    </w:p>
    <w:p w14:paraId="7AF0A88C">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根据《无锡士林电机有限公司——年产汽车用点火线圈100万只、起动电机零部件25万只扩建项目》竣工验收报告锡新环竣监（2014）字第（009）号，二级活性炭对有机废气去除效率达到92%左右，本报告取90%</w:t>
      </w:r>
      <w:r>
        <w:rPr>
          <w:rFonts w:hint="eastAsia" w:ascii="Times New Roman" w:hAnsi="Times New Roman"/>
          <w:color w:val="auto"/>
          <w:highlight w:val="none"/>
        </w:rPr>
        <w:t>。</w:t>
      </w:r>
    </w:p>
    <w:p w14:paraId="18C37EAC">
      <w:pPr>
        <w:adjustRightInd w:val="0"/>
        <w:snapToGrid w:val="0"/>
        <w:spacing w:line="360" w:lineRule="auto"/>
        <w:ind w:left="-105" w:right="-105" w:firstLine="480" w:firstLineChars="200"/>
        <w:jc w:val="both"/>
        <w:rPr>
          <w:rFonts w:ascii="Times New Roman" w:hAnsi="Times New Roman" w:cs="Times New Roman"/>
          <w:bCs/>
          <w:color w:val="auto"/>
          <w:highlight w:val="none"/>
        </w:rPr>
      </w:pPr>
      <w:r>
        <w:rPr>
          <w:rFonts w:hint="eastAsia" w:ascii="Times New Roman" w:hAnsi="Times New Roman" w:cs="Times New Roman"/>
          <w:bCs/>
          <w:color w:val="auto"/>
          <w:highlight w:val="none"/>
        </w:rPr>
        <w:t>本项目</w:t>
      </w:r>
      <w:r>
        <w:rPr>
          <w:rFonts w:hint="eastAsia" w:ascii="Times New Roman" w:hAnsi="Times New Roman" w:cs="Times New Roman"/>
          <w:bCs/>
          <w:color w:val="auto"/>
          <w:highlight w:val="none"/>
          <w:lang w:val="en-US" w:eastAsia="zh-CN"/>
        </w:rPr>
        <w:t>工艺废气</w:t>
      </w:r>
      <w:r>
        <w:rPr>
          <w:rFonts w:hint="eastAsia" w:ascii="Times New Roman" w:hAnsi="Times New Roman" w:cs="Times New Roman"/>
          <w:bCs/>
          <w:color w:val="auto"/>
          <w:highlight w:val="none"/>
        </w:rPr>
        <w:t>依托现有DA005废气处理设施，新增两套二级活性炭吸附装置</w:t>
      </w:r>
      <w:r>
        <w:rPr>
          <w:rFonts w:hint="eastAsia" w:ascii="Times New Roman" w:hAnsi="Times New Roman" w:cs="Times New Roman"/>
          <w:bCs/>
          <w:color w:val="auto"/>
          <w:highlight w:val="none"/>
          <w:lang w:val="en-US" w:eastAsia="zh-CN"/>
        </w:rPr>
        <w:t>处理实验废气</w:t>
      </w:r>
      <w:r>
        <w:rPr>
          <w:rFonts w:hint="eastAsia" w:ascii="Times New Roman" w:hAnsi="Times New Roman" w:cs="Times New Roman"/>
          <w:bCs/>
          <w:color w:val="auto"/>
          <w:highlight w:val="none"/>
        </w:rPr>
        <w:t>，具体参数如下表所示：</w:t>
      </w:r>
    </w:p>
    <w:p w14:paraId="7C192579">
      <w:pPr>
        <w:adjustRightInd w:val="0"/>
        <w:snapToGrid w:val="0"/>
        <w:ind w:left="-480" w:leftChars="-200" w:right="-105" w:firstLine="482"/>
        <w:jc w:val="center"/>
        <w:rPr>
          <w:rFonts w:ascii="Times New Roman" w:hAnsi="Times New Roman" w:cs="Times New Roman"/>
          <w:b/>
          <w:color w:val="auto"/>
          <w:highlight w:val="none"/>
        </w:rPr>
      </w:pPr>
      <w:r>
        <w:rPr>
          <w:rFonts w:ascii="Times New Roman" w:hAnsi="Times New Roman" w:cs="Times New Roman"/>
          <w:b/>
          <w:color w:val="auto"/>
          <w:highlight w:val="none"/>
        </w:rPr>
        <w:t>表</w:t>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STYLEREF 2 \s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7.1</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noBreakHyphen/>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SEQ 表 \* ARABIC \s 2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3</w:t>
      </w:r>
      <w:r>
        <w:rPr>
          <w:rFonts w:ascii="Times New Roman" w:hAnsi="Times New Roman" w:cs="Times New Roman"/>
          <w:b/>
          <w:bCs/>
          <w:color w:val="auto"/>
          <w:szCs w:val="18"/>
          <w:highlight w:val="none"/>
        </w:rPr>
        <w:fldChar w:fldCharType="end"/>
      </w:r>
      <w:r>
        <w:rPr>
          <w:rFonts w:ascii="Times New Roman" w:hAnsi="Times New Roman" w:cs="Times New Roman"/>
          <w:b/>
          <w:color w:val="auto"/>
          <w:highlight w:val="none"/>
        </w:rPr>
        <w:t>活性炭主要参数一览表</w:t>
      </w:r>
    </w:p>
    <w:tbl>
      <w:tblPr>
        <w:tblStyle w:val="45"/>
        <w:tblW w:w="82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741"/>
        <w:gridCol w:w="1920"/>
        <w:gridCol w:w="3561"/>
      </w:tblGrid>
      <w:tr w14:paraId="5A8E75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Align w:val="center"/>
          </w:tcPr>
          <w:p w14:paraId="58FFBD4A">
            <w:pPr>
              <w:widowControl w:val="0"/>
              <w:ind w:left="-105" w:right="-105"/>
              <w:jc w:val="center"/>
              <w:rPr>
                <w:rFonts w:ascii="Times New Roman" w:hAnsi="Times New Roman" w:cs="Times New Roman"/>
                <w:b/>
                <w:color w:val="auto"/>
                <w:highlight w:val="none"/>
              </w:rPr>
            </w:pPr>
            <w:r>
              <w:rPr>
                <w:rFonts w:ascii="Times New Roman" w:hAnsi="Times New Roman" w:cs="Times New Roman"/>
                <w:b/>
                <w:color w:val="auto"/>
                <w:highlight w:val="none"/>
              </w:rPr>
              <w:t>名称</w:t>
            </w:r>
          </w:p>
        </w:tc>
        <w:tc>
          <w:tcPr>
            <w:tcW w:w="1920" w:type="dxa"/>
            <w:vAlign w:val="center"/>
          </w:tcPr>
          <w:p w14:paraId="5CE6C74A">
            <w:pPr>
              <w:widowControl w:val="0"/>
              <w:ind w:left="-105" w:right="-105"/>
              <w:jc w:val="center"/>
              <w:rPr>
                <w:rFonts w:ascii="Times New Roman" w:hAnsi="Times New Roman" w:cs="Times New Roman"/>
                <w:b/>
                <w:color w:val="auto"/>
                <w:highlight w:val="none"/>
              </w:rPr>
            </w:pPr>
            <w:r>
              <w:rPr>
                <w:rFonts w:ascii="Times New Roman" w:hAnsi="Times New Roman" w:cs="Times New Roman"/>
                <w:b/>
                <w:color w:val="auto"/>
                <w:highlight w:val="none"/>
              </w:rPr>
              <w:t>规格参数</w:t>
            </w:r>
          </w:p>
        </w:tc>
        <w:tc>
          <w:tcPr>
            <w:tcW w:w="3561" w:type="dxa"/>
            <w:vAlign w:val="center"/>
          </w:tcPr>
          <w:p w14:paraId="757CFD42">
            <w:pPr>
              <w:widowControl w:val="0"/>
              <w:ind w:left="-105" w:right="-105"/>
              <w:jc w:val="center"/>
              <w:rPr>
                <w:rFonts w:ascii="Times New Roman" w:hAnsi="Times New Roman" w:cs="Times New Roman"/>
                <w:b/>
                <w:color w:val="auto"/>
                <w:highlight w:val="none"/>
              </w:rPr>
            </w:pPr>
            <w:r>
              <w:rPr>
                <w:rFonts w:ascii="Times New Roman" w:hAnsi="Times New Roman" w:cs="Times New Roman"/>
                <w:b/>
                <w:color w:val="auto"/>
                <w:highlight w:val="none"/>
              </w:rPr>
              <w:t>对应排气筒</w:t>
            </w:r>
            <w:r>
              <w:rPr>
                <w:rFonts w:hint="eastAsia" w:ascii="Times New Roman" w:hAnsi="Times New Roman" w:cs="Times New Roman"/>
                <w:b/>
                <w:color w:val="auto"/>
                <w:highlight w:val="none"/>
              </w:rPr>
              <w:t>DA005</w:t>
            </w:r>
          </w:p>
        </w:tc>
      </w:tr>
      <w:tr w14:paraId="337B1C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restart"/>
            <w:vAlign w:val="center"/>
          </w:tcPr>
          <w:p w14:paraId="5A64F371">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二级活性炭吸附装置</w:t>
            </w:r>
          </w:p>
        </w:tc>
        <w:tc>
          <w:tcPr>
            <w:tcW w:w="1920" w:type="dxa"/>
            <w:vAlign w:val="center"/>
          </w:tcPr>
          <w:p w14:paraId="01030A35">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风量</w:t>
            </w:r>
          </w:p>
        </w:tc>
        <w:tc>
          <w:tcPr>
            <w:tcW w:w="3561" w:type="dxa"/>
            <w:vAlign w:val="center"/>
          </w:tcPr>
          <w:p w14:paraId="4F6D68AB">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200</w:t>
            </w:r>
            <w:r>
              <w:rPr>
                <w:rFonts w:ascii="Times New Roman" w:hAnsi="Times New Roman" w:cs="Times New Roman"/>
                <w:color w:val="auto"/>
                <w:highlight w:val="none"/>
              </w:rPr>
              <w:t>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/h</w:t>
            </w:r>
          </w:p>
        </w:tc>
      </w:tr>
      <w:tr w14:paraId="3442BA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0BA996C4">
            <w:pPr>
              <w:widowControl w:val="0"/>
              <w:ind w:left="-105" w:right="-105"/>
              <w:jc w:val="center"/>
              <w:rPr>
                <w:rFonts w:ascii="Times New Roman" w:hAnsi="Times New Roman" w:cs="Times New Roman"/>
                <w:color w:val="auto"/>
                <w:highlight w:val="none"/>
              </w:rPr>
            </w:pPr>
          </w:p>
        </w:tc>
        <w:tc>
          <w:tcPr>
            <w:tcW w:w="1920" w:type="dxa"/>
            <w:vAlign w:val="center"/>
          </w:tcPr>
          <w:p w14:paraId="0D23F599">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过滤</w:t>
            </w:r>
            <w:r>
              <w:rPr>
                <w:rFonts w:ascii="Times New Roman" w:hAnsi="Times New Roman" w:cs="Times New Roman"/>
                <w:color w:val="auto"/>
                <w:highlight w:val="none"/>
              </w:rPr>
              <w:t>风速</w:t>
            </w:r>
          </w:p>
        </w:tc>
        <w:tc>
          <w:tcPr>
            <w:tcW w:w="3561" w:type="dxa"/>
            <w:vAlign w:val="center"/>
          </w:tcPr>
          <w:p w14:paraId="7111C428">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1.122m/s</w:t>
            </w:r>
          </w:p>
        </w:tc>
      </w:tr>
      <w:tr w14:paraId="35634D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295984CC">
            <w:pPr>
              <w:widowControl w:val="0"/>
              <w:ind w:left="-105" w:right="-105"/>
              <w:jc w:val="center"/>
              <w:rPr>
                <w:rFonts w:ascii="Times New Roman" w:hAnsi="Times New Roman" w:cs="Times New Roman"/>
                <w:color w:val="auto"/>
                <w:highlight w:val="none"/>
              </w:rPr>
            </w:pPr>
          </w:p>
        </w:tc>
        <w:tc>
          <w:tcPr>
            <w:tcW w:w="1920" w:type="dxa"/>
            <w:vAlign w:val="center"/>
          </w:tcPr>
          <w:p w14:paraId="20C6EAD7">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过滤</w:t>
            </w:r>
            <w:r>
              <w:rPr>
                <w:rFonts w:ascii="Times New Roman" w:hAnsi="Times New Roman" w:cs="Times New Roman"/>
                <w:color w:val="auto"/>
                <w:highlight w:val="none"/>
              </w:rPr>
              <w:t>面积</w:t>
            </w:r>
          </w:p>
        </w:tc>
        <w:tc>
          <w:tcPr>
            <w:tcW w:w="3561" w:type="dxa"/>
            <w:vAlign w:val="center"/>
          </w:tcPr>
          <w:p w14:paraId="11EA6CBF">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4.95m</w:t>
            </w:r>
            <w:r>
              <w:rPr>
                <w:rFonts w:ascii="Times New Roman" w:hAnsi="Times New Roman" w:cs="Times New Roman"/>
                <w:color w:val="auto"/>
                <w:highlight w:val="none"/>
                <w:vertAlign w:val="superscript"/>
              </w:rPr>
              <w:t>2</w:t>
            </w:r>
          </w:p>
        </w:tc>
      </w:tr>
      <w:tr w14:paraId="6DEBC1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5AB98DC3">
            <w:pPr>
              <w:widowControl w:val="0"/>
              <w:ind w:left="-105" w:right="-105"/>
              <w:jc w:val="center"/>
              <w:rPr>
                <w:rFonts w:ascii="Times New Roman" w:hAnsi="Times New Roman" w:cs="Times New Roman"/>
                <w:color w:val="auto"/>
                <w:highlight w:val="none"/>
              </w:rPr>
            </w:pPr>
          </w:p>
        </w:tc>
        <w:tc>
          <w:tcPr>
            <w:tcW w:w="1920" w:type="dxa"/>
            <w:vAlign w:val="center"/>
          </w:tcPr>
          <w:p w14:paraId="69652A7D">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单级</w:t>
            </w:r>
            <w:r>
              <w:rPr>
                <w:rFonts w:ascii="Times New Roman" w:hAnsi="Times New Roman" w:cs="Times New Roman"/>
                <w:color w:val="auto"/>
                <w:highlight w:val="none"/>
              </w:rPr>
              <w:t>处理效率</w:t>
            </w:r>
          </w:p>
        </w:tc>
        <w:tc>
          <w:tcPr>
            <w:tcW w:w="3561" w:type="dxa"/>
            <w:vAlign w:val="center"/>
          </w:tcPr>
          <w:p w14:paraId="518DF5F9">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70%</w:t>
            </w:r>
          </w:p>
        </w:tc>
      </w:tr>
      <w:tr w14:paraId="764A2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0FBFFE11">
            <w:pPr>
              <w:widowControl w:val="0"/>
              <w:ind w:left="-105" w:right="-105"/>
              <w:jc w:val="center"/>
              <w:rPr>
                <w:rFonts w:ascii="Times New Roman" w:hAnsi="Times New Roman" w:cs="Times New Roman"/>
                <w:color w:val="auto"/>
                <w:highlight w:val="none"/>
              </w:rPr>
            </w:pPr>
          </w:p>
        </w:tc>
        <w:tc>
          <w:tcPr>
            <w:tcW w:w="1920" w:type="dxa"/>
            <w:vAlign w:val="center"/>
          </w:tcPr>
          <w:p w14:paraId="6B5B86C6">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填充量</w:t>
            </w:r>
          </w:p>
        </w:tc>
        <w:tc>
          <w:tcPr>
            <w:tcW w:w="3561" w:type="dxa"/>
            <w:vAlign w:val="center"/>
          </w:tcPr>
          <w:p w14:paraId="4EBC9E06">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1500kg</w:t>
            </w:r>
          </w:p>
        </w:tc>
      </w:tr>
      <w:tr w14:paraId="3EF60A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766E04A6">
            <w:pPr>
              <w:widowControl w:val="0"/>
              <w:ind w:left="-105" w:right="-105"/>
              <w:jc w:val="center"/>
              <w:rPr>
                <w:rFonts w:ascii="Times New Roman" w:hAnsi="Times New Roman" w:cs="Times New Roman"/>
                <w:color w:val="auto"/>
                <w:highlight w:val="none"/>
              </w:rPr>
            </w:pPr>
          </w:p>
        </w:tc>
        <w:tc>
          <w:tcPr>
            <w:tcW w:w="1920" w:type="dxa"/>
            <w:vAlign w:val="center"/>
          </w:tcPr>
          <w:p w14:paraId="5478855B">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活性炭类型</w:t>
            </w:r>
          </w:p>
        </w:tc>
        <w:tc>
          <w:tcPr>
            <w:tcW w:w="3561" w:type="dxa"/>
            <w:vAlign w:val="center"/>
          </w:tcPr>
          <w:p w14:paraId="6EECC31F">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颗粒</w:t>
            </w:r>
            <w:r>
              <w:rPr>
                <w:rFonts w:ascii="Times New Roman" w:hAnsi="Times New Roman" w:cs="Times New Roman"/>
                <w:color w:val="auto"/>
                <w:highlight w:val="none"/>
              </w:rPr>
              <w:t>状活性炭</w:t>
            </w:r>
          </w:p>
        </w:tc>
      </w:tr>
      <w:tr w14:paraId="1290AA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3A274624">
            <w:pPr>
              <w:widowControl w:val="0"/>
              <w:ind w:left="-105" w:right="-105"/>
              <w:jc w:val="center"/>
              <w:rPr>
                <w:rFonts w:ascii="Times New Roman" w:hAnsi="Times New Roman" w:cs="Times New Roman"/>
                <w:color w:val="auto"/>
                <w:highlight w:val="none"/>
              </w:rPr>
            </w:pPr>
          </w:p>
        </w:tc>
        <w:tc>
          <w:tcPr>
            <w:tcW w:w="1920" w:type="dxa"/>
            <w:vAlign w:val="center"/>
          </w:tcPr>
          <w:p w14:paraId="1DCE3D11">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碘值</w:t>
            </w:r>
          </w:p>
        </w:tc>
        <w:tc>
          <w:tcPr>
            <w:tcW w:w="3561" w:type="dxa"/>
            <w:vAlign w:val="center"/>
          </w:tcPr>
          <w:p w14:paraId="7698557C">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800mg/g</w:t>
            </w:r>
          </w:p>
        </w:tc>
      </w:tr>
      <w:tr w14:paraId="43482A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Align w:val="center"/>
          </w:tcPr>
          <w:p w14:paraId="5BDE5723">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名称</w:t>
            </w:r>
          </w:p>
        </w:tc>
        <w:tc>
          <w:tcPr>
            <w:tcW w:w="1920" w:type="dxa"/>
            <w:vAlign w:val="center"/>
          </w:tcPr>
          <w:p w14:paraId="53A18788">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规格参数</w:t>
            </w:r>
          </w:p>
        </w:tc>
        <w:tc>
          <w:tcPr>
            <w:tcW w:w="3561" w:type="dxa"/>
            <w:vAlign w:val="center"/>
          </w:tcPr>
          <w:p w14:paraId="5E04D46F">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对应排气筒</w:t>
            </w:r>
            <w:r>
              <w:rPr>
                <w:rFonts w:hint="eastAsia" w:ascii="Times New Roman" w:hAnsi="Times New Roman" w:cs="Times New Roman"/>
                <w:b/>
                <w:color w:val="auto"/>
                <w:highlight w:val="none"/>
              </w:rPr>
              <w:t>DA006</w:t>
            </w:r>
          </w:p>
        </w:tc>
      </w:tr>
      <w:tr w14:paraId="12F1D1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restart"/>
            <w:vAlign w:val="center"/>
          </w:tcPr>
          <w:p w14:paraId="6B24E92D">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二级活性炭吸附装置</w:t>
            </w:r>
          </w:p>
        </w:tc>
        <w:tc>
          <w:tcPr>
            <w:tcW w:w="1920" w:type="dxa"/>
            <w:vAlign w:val="center"/>
          </w:tcPr>
          <w:p w14:paraId="62C48AD9">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风量</w:t>
            </w:r>
          </w:p>
        </w:tc>
        <w:tc>
          <w:tcPr>
            <w:tcW w:w="3561" w:type="dxa"/>
            <w:vAlign w:val="center"/>
          </w:tcPr>
          <w:p w14:paraId="544B65A9">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000m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/h</w:t>
            </w:r>
          </w:p>
        </w:tc>
      </w:tr>
      <w:tr w14:paraId="37A9E7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2B7EB208">
            <w:pPr>
              <w:widowControl w:val="0"/>
              <w:ind w:left="-105" w:right="-105"/>
              <w:jc w:val="center"/>
              <w:rPr>
                <w:rFonts w:ascii="Times New Roman" w:hAnsi="Times New Roman" w:cs="Times New Roman"/>
                <w:color w:val="auto"/>
                <w:highlight w:val="none"/>
              </w:rPr>
            </w:pPr>
          </w:p>
        </w:tc>
        <w:tc>
          <w:tcPr>
            <w:tcW w:w="1920" w:type="dxa"/>
            <w:vAlign w:val="center"/>
          </w:tcPr>
          <w:p w14:paraId="49406ADA">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过滤</w:t>
            </w:r>
            <w:r>
              <w:rPr>
                <w:rFonts w:ascii="Times New Roman" w:hAnsi="Times New Roman" w:cs="Times New Roman"/>
                <w:color w:val="auto"/>
                <w:highlight w:val="none"/>
              </w:rPr>
              <w:t>风速</w:t>
            </w:r>
          </w:p>
        </w:tc>
        <w:tc>
          <w:tcPr>
            <w:tcW w:w="3561" w:type="dxa"/>
            <w:vAlign w:val="center"/>
          </w:tcPr>
          <w:p w14:paraId="412D21DB">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0.5m/s</w:t>
            </w:r>
          </w:p>
        </w:tc>
      </w:tr>
      <w:tr w14:paraId="586F2E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52F87D03">
            <w:pPr>
              <w:widowControl w:val="0"/>
              <w:ind w:left="-105" w:right="-105"/>
              <w:jc w:val="center"/>
              <w:rPr>
                <w:rFonts w:ascii="Times New Roman" w:hAnsi="Times New Roman" w:cs="Times New Roman"/>
                <w:color w:val="auto"/>
                <w:highlight w:val="none"/>
              </w:rPr>
            </w:pPr>
          </w:p>
        </w:tc>
        <w:tc>
          <w:tcPr>
            <w:tcW w:w="1920" w:type="dxa"/>
            <w:vAlign w:val="center"/>
          </w:tcPr>
          <w:p w14:paraId="5C80BE46">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单级</w:t>
            </w:r>
            <w:r>
              <w:rPr>
                <w:rFonts w:ascii="Times New Roman" w:hAnsi="Times New Roman" w:cs="Times New Roman"/>
                <w:color w:val="auto"/>
                <w:highlight w:val="none"/>
              </w:rPr>
              <w:t>处理效率</w:t>
            </w:r>
          </w:p>
        </w:tc>
        <w:tc>
          <w:tcPr>
            <w:tcW w:w="3561" w:type="dxa"/>
            <w:vAlign w:val="center"/>
          </w:tcPr>
          <w:p w14:paraId="37972688">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70%</w:t>
            </w:r>
          </w:p>
        </w:tc>
      </w:tr>
      <w:tr w14:paraId="0FF344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31BF1090">
            <w:pPr>
              <w:widowControl w:val="0"/>
              <w:ind w:left="-105" w:right="-105"/>
              <w:jc w:val="center"/>
              <w:rPr>
                <w:rFonts w:ascii="Times New Roman" w:hAnsi="Times New Roman" w:cs="Times New Roman"/>
                <w:color w:val="auto"/>
                <w:highlight w:val="none"/>
              </w:rPr>
            </w:pPr>
          </w:p>
        </w:tc>
        <w:tc>
          <w:tcPr>
            <w:tcW w:w="1920" w:type="dxa"/>
            <w:vAlign w:val="center"/>
          </w:tcPr>
          <w:p w14:paraId="1CE36081">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填充量</w:t>
            </w:r>
          </w:p>
        </w:tc>
        <w:tc>
          <w:tcPr>
            <w:tcW w:w="3561" w:type="dxa"/>
            <w:vAlign w:val="center"/>
          </w:tcPr>
          <w:p w14:paraId="5BEEF93A">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150kg</w:t>
            </w:r>
          </w:p>
        </w:tc>
      </w:tr>
      <w:tr w14:paraId="65871A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67902104">
            <w:pPr>
              <w:widowControl w:val="0"/>
              <w:ind w:left="-105" w:right="-105"/>
              <w:jc w:val="center"/>
              <w:rPr>
                <w:rFonts w:ascii="Times New Roman" w:hAnsi="Times New Roman" w:cs="Times New Roman"/>
                <w:color w:val="auto"/>
                <w:highlight w:val="none"/>
              </w:rPr>
            </w:pPr>
          </w:p>
        </w:tc>
        <w:tc>
          <w:tcPr>
            <w:tcW w:w="1920" w:type="dxa"/>
            <w:vAlign w:val="center"/>
          </w:tcPr>
          <w:p w14:paraId="59A05E98">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活性炭类型</w:t>
            </w:r>
          </w:p>
        </w:tc>
        <w:tc>
          <w:tcPr>
            <w:tcW w:w="3561" w:type="dxa"/>
            <w:vAlign w:val="center"/>
          </w:tcPr>
          <w:p w14:paraId="3A6272BE">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颗粒</w:t>
            </w:r>
            <w:r>
              <w:rPr>
                <w:rFonts w:ascii="Times New Roman" w:hAnsi="Times New Roman" w:cs="Times New Roman"/>
                <w:color w:val="auto"/>
                <w:highlight w:val="none"/>
              </w:rPr>
              <w:t>状活性炭</w:t>
            </w:r>
          </w:p>
        </w:tc>
      </w:tr>
      <w:tr w14:paraId="77E7D8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00235C9D">
            <w:pPr>
              <w:widowControl w:val="0"/>
              <w:ind w:left="-105" w:right="-105"/>
              <w:jc w:val="center"/>
              <w:rPr>
                <w:rFonts w:ascii="Times New Roman" w:hAnsi="Times New Roman" w:cs="Times New Roman"/>
                <w:color w:val="auto"/>
                <w:highlight w:val="none"/>
              </w:rPr>
            </w:pPr>
          </w:p>
        </w:tc>
        <w:tc>
          <w:tcPr>
            <w:tcW w:w="1920" w:type="dxa"/>
            <w:vAlign w:val="center"/>
          </w:tcPr>
          <w:p w14:paraId="7F516D12">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碘值</w:t>
            </w:r>
          </w:p>
        </w:tc>
        <w:tc>
          <w:tcPr>
            <w:tcW w:w="3561" w:type="dxa"/>
            <w:vAlign w:val="center"/>
          </w:tcPr>
          <w:p w14:paraId="075D3E9E">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800mg/g</w:t>
            </w:r>
          </w:p>
        </w:tc>
      </w:tr>
      <w:tr w14:paraId="52AC68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Align w:val="center"/>
          </w:tcPr>
          <w:p w14:paraId="672CEEB3">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名称</w:t>
            </w:r>
          </w:p>
        </w:tc>
        <w:tc>
          <w:tcPr>
            <w:tcW w:w="1920" w:type="dxa"/>
            <w:vAlign w:val="center"/>
          </w:tcPr>
          <w:p w14:paraId="1594AE78">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规格参数</w:t>
            </w:r>
          </w:p>
        </w:tc>
        <w:tc>
          <w:tcPr>
            <w:tcW w:w="3561" w:type="dxa"/>
            <w:vAlign w:val="center"/>
          </w:tcPr>
          <w:p w14:paraId="55B0BD79">
            <w:pPr>
              <w:widowControl w:val="0"/>
              <w:ind w:left="-105" w:right="-105"/>
              <w:jc w:val="center"/>
              <w:rPr>
                <w:rFonts w:ascii="Times New Roman" w:hAnsi="Times New Roman" w:cs="Times New Roman"/>
                <w:color w:val="auto"/>
                <w:highlight w:val="none"/>
              </w:rPr>
            </w:pPr>
            <w:r>
              <w:rPr>
                <w:rFonts w:ascii="Times New Roman" w:hAnsi="Times New Roman" w:cs="Times New Roman"/>
                <w:b/>
                <w:color w:val="auto"/>
                <w:highlight w:val="none"/>
              </w:rPr>
              <w:t>对应排气筒</w:t>
            </w:r>
            <w:r>
              <w:rPr>
                <w:rFonts w:hint="eastAsia" w:ascii="Times New Roman" w:hAnsi="Times New Roman" w:cs="Times New Roman"/>
                <w:b/>
                <w:color w:val="auto"/>
                <w:highlight w:val="none"/>
              </w:rPr>
              <w:t>DA006</w:t>
            </w:r>
          </w:p>
        </w:tc>
      </w:tr>
      <w:tr w14:paraId="22AF5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restart"/>
            <w:vAlign w:val="center"/>
          </w:tcPr>
          <w:p w14:paraId="34E8E9A5">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二级活性炭吸附装置</w:t>
            </w:r>
          </w:p>
        </w:tc>
        <w:tc>
          <w:tcPr>
            <w:tcW w:w="1920" w:type="dxa"/>
            <w:vAlign w:val="center"/>
          </w:tcPr>
          <w:p w14:paraId="0A81EA42">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风量</w:t>
            </w:r>
          </w:p>
        </w:tc>
        <w:tc>
          <w:tcPr>
            <w:tcW w:w="3561" w:type="dxa"/>
            <w:vAlign w:val="center"/>
          </w:tcPr>
          <w:p w14:paraId="1F0C50A3">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18</w:t>
            </w:r>
            <w:r>
              <w:rPr>
                <w:rFonts w:ascii="Times New Roman" w:hAnsi="Times New Roman" w:cs="Times New Roman"/>
                <w:color w:val="auto"/>
                <w:highlight w:val="none"/>
              </w:rPr>
              <w:t>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/h</w:t>
            </w:r>
          </w:p>
        </w:tc>
      </w:tr>
      <w:tr w14:paraId="6A79A6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21271691">
            <w:pPr>
              <w:widowControl w:val="0"/>
              <w:ind w:left="-105" w:right="-105"/>
              <w:jc w:val="center"/>
              <w:rPr>
                <w:rFonts w:ascii="Times New Roman" w:hAnsi="Times New Roman" w:cs="Times New Roman"/>
                <w:color w:val="auto"/>
                <w:highlight w:val="none"/>
              </w:rPr>
            </w:pPr>
          </w:p>
        </w:tc>
        <w:tc>
          <w:tcPr>
            <w:tcW w:w="1920" w:type="dxa"/>
            <w:vAlign w:val="center"/>
          </w:tcPr>
          <w:p w14:paraId="1DC8C349">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过滤</w:t>
            </w:r>
            <w:r>
              <w:rPr>
                <w:rFonts w:ascii="Times New Roman" w:hAnsi="Times New Roman" w:cs="Times New Roman"/>
                <w:color w:val="auto"/>
                <w:highlight w:val="none"/>
              </w:rPr>
              <w:t>风速</w:t>
            </w:r>
          </w:p>
        </w:tc>
        <w:tc>
          <w:tcPr>
            <w:tcW w:w="3561" w:type="dxa"/>
            <w:vAlign w:val="center"/>
          </w:tcPr>
          <w:p w14:paraId="37740C96">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0.5m/s</w:t>
            </w:r>
          </w:p>
        </w:tc>
      </w:tr>
      <w:tr w14:paraId="6AB7F5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639CC4B5">
            <w:pPr>
              <w:widowControl w:val="0"/>
              <w:ind w:left="-105" w:right="-105"/>
              <w:jc w:val="center"/>
              <w:rPr>
                <w:rFonts w:ascii="Times New Roman" w:hAnsi="Times New Roman" w:cs="Times New Roman"/>
                <w:color w:val="auto"/>
                <w:highlight w:val="none"/>
              </w:rPr>
            </w:pPr>
          </w:p>
        </w:tc>
        <w:tc>
          <w:tcPr>
            <w:tcW w:w="1920" w:type="dxa"/>
            <w:vAlign w:val="center"/>
          </w:tcPr>
          <w:p w14:paraId="3E63EF46">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单级</w:t>
            </w:r>
            <w:r>
              <w:rPr>
                <w:rFonts w:ascii="Times New Roman" w:hAnsi="Times New Roman" w:cs="Times New Roman"/>
                <w:color w:val="auto"/>
                <w:highlight w:val="none"/>
              </w:rPr>
              <w:t>处理效率</w:t>
            </w:r>
          </w:p>
        </w:tc>
        <w:tc>
          <w:tcPr>
            <w:tcW w:w="3561" w:type="dxa"/>
            <w:vAlign w:val="center"/>
          </w:tcPr>
          <w:p w14:paraId="73A9FFD8">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70%</w:t>
            </w:r>
          </w:p>
        </w:tc>
      </w:tr>
      <w:tr w14:paraId="1FF90F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4F26C59D">
            <w:pPr>
              <w:widowControl w:val="0"/>
              <w:ind w:left="-105" w:right="-105"/>
              <w:jc w:val="center"/>
              <w:rPr>
                <w:rFonts w:ascii="Times New Roman" w:hAnsi="Times New Roman" w:cs="Times New Roman"/>
                <w:color w:val="auto"/>
                <w:highlight w:val="none"/>
              </w:rPr>
            </w:pPr>
          </w:p>
        </w:tc>
        <w:tc>
          <w:tcPr>
            <w:tcW w:w="1920" w:type="dxa"/>
            <w:vAlign w:val="center"/>
          </w:tcPr>
          <w:p w14:paraId="12688F60">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填充量</w:t>
            </w:r>
          </w:p>
        </w:tc>
        <w:tc>
          <w:tcPr>
            <w:tcW w:w="3561" w:type="dxa"/>
            <w:vAlign w:val="center"/>
          </w:tcPr>
          <w:p w14:paraId="473925A5">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100kg</w:t>
            </w:r>
          </w:p>
        </w:tc>
      </w:tr>
      <w:tr w14:paraId="612A46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00091B6B">
            <w:pPr>
              <w:widowControl w:val="0"/>
              <w:ind w:left="-105" w:right="-105"/>
              <w:jc w:val="center"/>
              <w:rPr>
                <w:rFonts w:ascii="Times New Roman" w:hAnsi="Times New Roman" w:cs="Times New Roman"/>
                <w:color w:val="auto"/>
                <w:highlight w:val="none"/>
              </w:rPr>
            </w:pPr>
          </w:p>
        </w:tc>
        <w:tc>
          <w:tcPr>
            <w:tcW w:w="1920" w:type="dxa"/>
            <w:vAlign w:val="center"/>
          </w:tcPr>
          <w:p w14:paraId="19B56129">
            <w:pPr>
              <w:widowControl w:val="0"/>
              <w:ind w:left="-105" w:right="-105"/>
              <w:jc w:val="center"/>
              <w:rPr>
                <w:rFonts w:ascii="Times New Roman" w:hAnsi="Times New Roman" w:cs="Times New Roman"/>
                <w:color w:val="auto"/>
                <w:highlight w:val="none"/>
              </w:rPr>
            </w:pPr>
            <w:r>
              <w:rPr>
                <w:rFonts w:ascii="Times New Roman" w:hAnsi="Times New Roman" w:cs="Times New Roman"/>
                <w:color w:val="auto"/>
                <w:highlight w:val="none"/>
              </w:rPr>
              <w:t>活性炭类型</w:t>
            </w:r>
          </w:p>
        </w:tc>
        <w:tc>
          <w:tcPr>
            <w:tcW w:w="3561" w:type="dxa"/>
            <w:vAlign w:val="center"/>
          </w:tcPr>
          <w:p w14:paraId="1F6FAB76">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颗粒</w:t>
            </w:r>
            <w:r>
              <w:rPr>
                <w:rFonts w:ascii="Times New Roman" w:hAnsi="Times New Roman" w:cs="Times New Roman"/>
                <w:color w:val="auto"/>
                <w:highlight w:val="none"/>
              </w:rPr>
              <w:t>状活性炭</w:t>
            </w:r>
          </w:p>
        </w:tc>
      </w:tr>
      <w:tr w14:paraId="14671A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41" w:type="dxa"/>
            <w:vMerge w:val="continue"/>
            <w:vAlign w:val="center"/>
          </w:tcPr>
          <w:p w14:paraId="48731F6F">
            <w:pPr>
              <w:widowControl w:val="0"/>
              <w:ind w:left="-105" w:right="-105"/>
              <w:jc w:val="center"/>
              <w:rPr>
                <w:rFonts w:ascii="Times New Roman" w:hAnsi="Times New Roman" w:cs="Times New Roman"/>
                <w:color w:val="auto"/>
                <w:highlight w:val="none"/>
              </w:rPr>
            </w:pPr>
          </w:p>
        </w:tc>
        <w:tc>
          <w:tcPr>
            <w:tcW w:w="1920" w:type="dxa"/>
            <w:vAlign w:val="center"/>
          </w:tcPr>
          <w:p w14:paraId="0B1D6319">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碘值</w:t>
            </w:r>
          </w:p>
        </w:tc>
        <w:tc>
          <w:tcPr>
            <w:tcW w:w="3561" w:type="dxa"/>
            <w:vAlign w:val="center"/>
          </w:tcPr>
          <w:p w14:paraId="575335EA">
            <w:pPr>
              <w:widowControl w:val="0"/>
              <w:ind w:left="-105" w:right="-105"/>
              <w:jc w:val="center"/>
              <w:rPr>
                <w:rFonts w:ascii="Times New Roman" w:hAnsi="Times New Roman" w:cs="Times New Roman"/>
                <w:color w:val="auto"/>
                <w:highlight w:val="none"/>
              </w:rPr>
            </w:pPr>
            <w:r>
              <w:rPr>
                <w:rFonts w:hint="eastAsia" w:ascii="Times New Roman" w:hAnsi="Times New Roman" w:cs="Times New Roman"/>
                <w:color w:val="auto"/>
                <w:highlight w:val="none"/>
              </w:rPr>
              <w:t>≥</w:t>
            </w:r>
            <w:r>
              <w:rPr>
                <w:rFonts w:ascii="Times New Roman" w:hAnsi="Times New Roman" w:cs="Times New Roman"/>
                <w:color w:val="auto"/>
                <w:highlight w:val="none"/>
              </w:rPr>
              <w:t>800mg/g</w:t>
            </w:r>
          </w:p>
        </w:tc>
      </w:tr>
    </w:tbl>
    <w:p w14:paraId="62793C3E">
      <w:pPr>
        <w:pStyle w:val="41"/>
        <w:widowControl w:val="0"/>
        <w:autoSpaceDE w:val="0"/>
        <w:autoSpaceDN w:val="0"/>
        <w:spacing w:before="0" w:beforeAutospacing="0" w:after="0" w:afterAutospacing="0" w:line="360" w:lineRule="auto"/>
        <w:ind w:left="-105" w:right="-105" w:firstLine="482" w:firstLineChars="200"/>
        <w:jc w:val="both"/>
        <w:rPr>
          <w:rFonts w:ascii="Times New Roman" w:hAnsi="Times New Roman"/>
          <w:b/>
          <w:bCs/>
          <w:color w:val="auto"/>
          <w:szCs w:val="24"/>
          <w:highlight w:val="none"/>
          <w:lang w:bidi="ar"/>
        </w:rPr>
      </w:pPr>
      <w:r>
        <w:rPr>
          <w:rFonts w:hint="eastAsia" w:ascii="Times New Roman" w:hAnsi="Times New Roman"/>
          <w:b/>
          <w:bCs/>
          <w:color w:val="auto"/>
          <w:szCs w:val="24"/>
          <w:highlight w:val="none"/>
          <w:lang w:bidi="ar"/>
        </w:rPr>
        <w:t>（4）可行技术分析</w:t>
      </w:r>
    </w:p>
    <w:p w14:paraId="107247E6">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本项目采用的“碱喷淋+活性炭吸附”及“两级活性炭吸附”</w:t>
      </w:r>
      <w:r>
        <w:rPr>
          <w:rFonts w:hint="eastAsia" w:cs="宋体"/>
          <w:color w:val="auto"/>
          <w:szCs w:val="24"/>
          <w:highlight w:val="none"/>
          <w:lang w:val="en-US" w:eastAsia="zh-CN" w:bidi="ar"/>
        </w:rPr>
        <w:t>参照</w:t>
      </w:r>
      <w:r>
        <w:rPr>
          <w:rFonts w:hint="eastAsia" w:cs="宋体"/>
          <w:color w:val="auto"/>
          <w:szCs w:val="24"/>
          <w:highlight w:val="none"/>
          <w:lang w:bidi="ar"/>
        </w:rPr>
        <w:t>《排污许可证申请与核发技术规范</w:t>
      </w:r>
      <w:r>
        <w:rPr>
          <w:rFonts w:hint="eastAsia" w:cs="宋体"/>
          <w:color w:val="auto"/>
          <w:szCs w:val="24"/>
          <w:highlight w:val="none"/>
          <w:lang w:val="en-US" w:eastAsia="zh-CN" w:bidi="ar"/>
        </w:rPr>
        <w:t xml:space="preserve"> 电子</w:t>
      </w:r>
      <w:r>
        <w:rPr>
          <w:rFonts w:hint="eastAsia" w:cs="宋体"/>
          <w:color w:val="auto"/>
          <w:szCs w:val="24"/>
          <w:highlight w:val="none"/>
          <w:lang w:bidi="ar"/>
        </w:rPr>
        <w:t>工业》</w:t>
      </w:r>
      <w:r>
        <w:rPr>
          <w:rFonts w:ascii="Times New Roman" w:hAnsi="Times New Roman"/>
          <w:color w:val="auto"/>
          <w:szCs w:val="24"/>
          <w:highlight w:val="none"/>
          <w:lang w:bidi="ar"/>
        </w:rPr>
        <w:t>（HJ</w:t>
      </w:r>
      <w:r>
        <w:rPr>
          <w:rFonts w:hint="eastAsia" w:ascii="Times New Roman" w:hAnsi="Times New Roman"/>
          <w:color w:val="auto"/>
          <w:szCs w:val="24"/>
          <w:highlight w:val="none"/>
          <w:lang w:val="en-US" w:eastAsia="zh-CN" w:bidi="ar"/>
        </w:rPr>
        <w:t>2031-2019</w:t>
      </w:r>
      <w:r>
        <w:rPr>
          <w:rFonts w:ascii="Times New Roman" w:hAnsi="Times New Roman"/>
          <w:color w:val="auto"/>
          <w:szCs w:val="24"/>
          <w:highlight w:val="none"/>
          <w:lang w:bidi="ar"/>
        </w:rPr>
        <w:t>）</w:t>
      </w:r>
      <w:r>
        <w:rPr>
          <w:rFonts w:hint="eastAsia" w:cs="宋体"/>
          <w:color w:val="auto"/>
          <w:szCs w:val="24"/>
          <w:highlight w:val="none"/>
          <w:lang w:bidi="ar"/>
        </w:rPr>
        <w:t>中“</w:t>
      </w:r>
      <w:r>
        <w:rPr>
          <w:rFonts w:ascii="Times New Roman" w:hAnsi="Times New Roman"/>
          <w:color w:val="auto"/>
          <w:szCs w:val="24"/>
          <w:highlight w:val="none"/>
          <w:lang w:bidi="ar"/>
        </w:rPr>
        <w:t>表</w:t>
      </w:r>
      <w:r>
        <w:rPr>
          <w:rFonts w:hint="eastAsia" w:ascii="Times New Roman" w:hAnsi="Times New Roman"/>
          <w:color w:val="auto"/>
          <w:szCs w:val="24"/>
          <w:highlight w:val="none"/>
          <w:lang w:val="en-US" w:eastAsia="zh-CN" w:bidi="ar"/>
        </w:rPr>
        <w:t>B</w:t>
      </w:r>
      <w:r>
        <w:rPr>
          <w:rFonts w:ascii="Times New Roman" w:hAnsi="Times New Roman"/>
          <w:color w:val="auto"/>
          <w:szCs w:val="24"/>
          <w:highlight w:val="none"/>
          <w:lang w:bidi="ar"/>
        </w:rPr>
        <w:t>.1</w:t>
      </w:r>
      <w:r>
        <w:rPr>
          <w:rFonts w:hint="eastAsia" w:ascii="Times New Roman" w:hAnsi="Times New Roman"/>
          <w:color w:val="auto"/>
          <w:szCs w:val="24"/>
          <w:highlight w:val="none"/>
          <w:lang w:val="en-US" w:eastAsia="zh-CN" w:bidi="ar"/>
        </w:rPr>
        <w:t>电子工业排污单位</w:t>
      </w:r>
      <w:r>
        <w:rPr>
          <w:rFonts w:ascii="Times New Roman" w:hAnsi="Times New Roman"/>
          <w:color w:val="auto"/>
          <w:szCs w:val="24"/>
          <w:highlight w:val="none"/>
          <w:lang w:bidi="ar"/>
        </w:rPr>
        <w:t>废</w:t>
      </w:r>
      <w:r>
        <w:rPr>
          <w:rFonts w:hint="eastAsia" w:cs="宋体"/>
          <w:color w:val="auto"/>
          <w:szCs w:val="24"/>
          <w:highlight w:val="none"/>
          <w:lang w:bidi="ar"/>
        </w:rPr>
        <w:t>气防治可行技术参考表”</w:t>
      </w:r>
      <w:r>
        <w:rPr>
          <w:rFonts w:hint="eastAsia" w:cs="宋体"/>
          <w:color w:val="auto"/>
          <w:szCs w:val="24"/>
          <w:highlight w:val="none"/>
          <w:lang w:val="en-US" w:eastAsia="zh-CN" w:bidi="ar"/>
        </w:rPr>
        <w:t>中“互联与封装材料制造排污单位-清洗、表面处理-氮氧化物、硫酸雾等”和“工艺与辅助材料制造排污单位-研磨-挥发性有机物”的</w:t>
      </w:r>
      <w:r>
        <w:rPr>
          <w:rFonts w:hint="eastAsia" w:cs="宋体"/>
          <w:color w:val="auto"/>
          <w:szCs w:val="24"/>
          <w:highlight w:val="none"/>
          <w:lang w:bidi="ar"/>
        </w:rPr>
        <w:t>可行技术</w:t>
      </w:r>
      <w:r>
        <w:rPr>
          <w:rFonts w:hint="eastAsia" w:cs="宋体"/>
          <w:color w:val="auto"/>
          <w:szCs w:val="24"/>
          <w:highlight w:val="none"/>
          <w:lang w:eastAsia="zh-CN" w:bidi="ar"/>
        </w:rPr>
        <w:t>“</w:t>
      </w:r>
      <w:r>
        <w:rPr>
          <w:rFonts w:hint="eastAsia" w:cs="宋体"/>
          <w:color w:val="auto"/>
          <w:szCs w:val="24"/>
          <w:highlight w:val="none"/>
          <w:lang w:val="en-US" w:eastAsia="zh-CN" w:bidi="ar"/>
        </w:rPr>
        <w:t>碱液喷淋洗涤吸收法</w:t>
      </w:r>
      <w:r>
        <w:rPr>
          <w:rFonts w:hint="eastAsia" w:cs="宋体"/>
          <w:color w:val="auto"/>
          <w:szCs w:val="24"/>
          <w:highlight w:val="none"/>
          <w:lang w:eastAsia="zh-CN" w:bidi="ar"/>
        </w:rPr>
        <w:t>”“</w:t>
      </w:r>
      <w:r>
        <w:rPr>
          <w:rFonts w:hint="eastAsia" w:cs="宋体"/>
          <w:color w:val="auto"/>
          <w:szCs w:val="24"/>
          <w:highlight w:val="none"/>
          <w:lang w:val="en-US" w:eastAsia="zh-CN" w:bidi="ar"/>
        </w:rPr>
        <w:t>活性炭吸附法</w:t>
      </w:r>
      <w:r>
        <w:rPr>
          <w:rFonts w:hint="eastAsia" w:cs="宋体"/>
          <w:color w:val="auto"/>
          <w:szCs w:val="24"/>
          <w:highlight w:val="none"/>
          <w:lang w:eastAsia="zh-CN" w:bidi="ar"/>
        </w:rPr>
        <w:t>”</w:t>
      </w:r>
      <w:r>
        <w:rPr>
          <w:rFonts w:hint="eastAsia" w:cs="宋体"/>
          <w:color w:val="auto"/>
          <w:szCs w:val="24"/>
          <w:highlight w:val="none"/>
          <w:lang w:bidi="ar"/>
        </w:rPr>
        <w:t>，且废气治理措施能满足有组织排放要求，是可行的。</w:t>
      </w:r>
    </w:p>
    <w:p w14:paraId="13E5DD0E">
      <w:pPr>
        <w:pStyle w:val="41"/>
        <w:widowControl w:val="0"/>
        <w:autoSpaceDE w:val="0"/>
        <w:autoSpaceDN w:val="0"/>
        <w:spacing w:before="0" w:beforeAutospacing="0" w:after="0" w:afterAutospacing="0" w:line="360" w:lineRule="auto"/>
        <w:ind w:left="-105" w:right="-105" w:firstLine="482" w:firstLineChars="200"/>
        <w:jc w:val="both"/>
        <w:rPr>
          <w:rFonts w:ascii="Times New Roman" w:hAnsi="Times New Roman"/>
          <w:b/>
          <w:bCs/>
          <w:color w:val="auto"/>
          <w:szCs w:val="24"/>
          <w:highlight w:val="none"/>
          <w:lang w:bidi="ar"/>
        </w:rPr>
      </w:pPr>
      <w:r>
        <w:rPr>
          <w:rFonts w:ascii="Times New Roman" w:hAnsi="Times New Roman"/>
          <w:b/>
          <w:bCs/>
          <w:color w:val="auto"/>
          <w:szCs w:val="24"/>
          <w:highlight w:val="none"/>
          <w:lang w:bidi="ar"/>
        </w:rPr>
        <w:t>（5）</w:t>
      </w:r>
      <w:r>
        <w:rPr>
          <w:b/>
          <w:bCs/>
          <w:color w:val="auto"/>
          <w:szCs w:val="22"/>
          <w:highlight w:val="none"/>
        </w:rPr>
        <w:t>稳定达标分析</w:t>
      </w:r>
    </w:p>
    <w:p w14:paraId="413A9DA6">
      <w:pPr>
        <w:spacing w:line="360" w:lineRule="auto"/>
        <w:ind w:left="-105" w:right="-105" w:firstLine="480"/>
        <w:jc w:val="both"/>
        <w:rPr>
          <w:rFonts w:ascii="Times New Roman" w:hAnsi="Times New Roman" w:cs="Times New Roman"/>
          <w:color w:val="auto"/>
          <w:highlight w:val="none"/>
        </w:rPr>
      </w:pPr>
      <w:r>
        <w:rPr>
          <w:rFonts w:ascii="Times New Roman" w:hAnsi="Times New Roman"/>
          <w:color w:val="auto"/>
          <w:highlight w:val="none"/>
        </w:rPr>
        <w:t>经处理后项目废气排放情况见第四章</w:t>
      </w:r>
      <w:r>
        <w:rPr>
          <w:rFonts w:hint="eastAsia" w:ascii="Times New Roman" w:hAnsi="Times New Roman"/>
          <w:color w:val="auto"/>
          <w:highlight w:val="none"/>
        </w:rPr>
        <w:t>表4</w:t>
      </w:r>
      <w:r>
        <w:rPr>
          <w:rFonts w:ascii="Times New Roman" w:hAnsi="Times New Roman"/>
          <w:color w:val="auto"/>
          <w:highlight w:val="none"/>
        </w:rPr>
        <w:t>.6-4</w:t>
      </w:r>
      <w:r>
        <w:rPr>
          <w:rFonts w:hint="eastAsia" w:ascii="Times New Roman" w:hAnsi="Times New Roman"/>
          <w:color w:val="auto"/>
          <w:highlight w:val="none"/>
        </w:rPr>
        <w:t>、表4.6-5</w:t>
      </w:r>
      <w:r>
        <w:rPr>
          <w:rFonts w:ascii="Times New Roman" w:hAnsi="Times New Roman"/>
          <w:color w:val="auto"/>
          <w:highlight w:val="none"/>
        </w:rPr>
        <w:t>，本项目各类废气经过废气处理设施集中处理后均能达标排放，</w:t>
      </w:r>
      <w:r>
        <w:rPr>
          <w:rFonts w:hint="eastAsia" w:ascii="Times New Roman" w:hAnsi="Times New Roman"/>
          <w:bCs/>
          <w:color w:val="auto"/>
          <w:highlight w:val="none"/>
        </w:rPr>
        <w:t>本项目生产过程和实验室产生的氮氧化物、非甲烷总烃、甲醇排放执行《大气污染物综合排放标准》（DB32/4041-2021）表1、表3标准限值。</w:t>
      </w:r>
    </w:p>
    <w:p w14:paraId="7995C205">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highlight w:val="none"/>
        </w:rPr>
      </w:pPr>
      <w:r>
        <w:rPr>
          <w:rFonts w:ascii="Times New Roman" w:hAnsi="Times New Roman"/>
          <w:color w:val="auto"/>
          <w:highlight w:val="none"/>
        </w:rPr>
        <w:t>本项目各项废气处理设施对对应废气均具有较高的去除效果，运行稳定、有效，具有操作简单，处理效果好、设备耐用，维护简单等优点。</w:t>
      </w:r>
    </w:p>
    <w:p w14:paraId="6E7B3C57">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highlight w:val="none"/>
        </w:rPr>
      </w:pPr>
      <w:r>
        <w:rPr>
          <w:rFonts w:hint="eastAsia" w:ascii="Times New Roman" w:hAnsi="Times New Roman"/>
          <w:color w:val="auto"/>
          <w:highlight w:val="none"/>
        </w:rPr>
        <w:t>根据《吸附法工业有机废气治理工程技术规范》（</w:t>
      </w:r>
      <w:r>
        <w:rPr>
          <w:rFonts w:ascii="Times New Roman" w:hAnsi="Times New Roman"/>
          <w:color w:val="auto"/>
          <w:highlight w:val="none"/>
        </w:rPr>
        <w:t>HJ2026-2013</w:t>
      </w:r>
      <w:r>
        <w:rPr>
          <w:rFonts w:hint="eastAsia" w:ascii="Times New Roman" w:hAnsi="Times New Roman"/>
          <w:color w:val="auto"/>
          <w:highlight w:val="none"/>
        </w:rPr>
        <w:t>）</w:t>
      </w:r>
      <w:r>
        <w:rPr>
          <w:rFonts w:hint="eastAsia" w:ascii="Times New Roman" w:hAnsi="Times New Roman"/>
          <w:color w:val="auto"/>
          <w:highlight w:val="none"/>
          <w:lang w:eastAsia="zh-CN"/>
        </w:rPr>
        <w:t>、</w:t>
      </w:r>
      <w:r>
        <w:rPr>
          <w:rFonts w:hint="eastAsia" w:ascii="Times New Roman" w:hAnsi="Times New Roman"/>
          <w:color w:val="auto"/>
          <w:highlight w:val="none"/>
          <w:lang w:eastAsia="zh-CN"/>
        </w:rPr>
        <w:t>《</w:t>
      </w:r>
      <w:r>
        <w:rPr>
          <w:rFonts w:hint="eastAsia"/>
          <w:color w:val="auto"/>
          <w:highlight w:val="none"/>
        </w:rPr>
        <w:t>实验室废气污染控制技术规范</w:t>
      </w:r>
      <w:r>
        <w:rPr>
          <w:rFonts w:hint="eastAsia" w:ascii="Times New Roman" w:hAnsi="Times New Roman"/>
          <w:color w:val="auto"/>
          <w:highlight w:val="none"/>
          <w:lang w:eastAsia="zh-CN"/>
        </w:rPr>
        <w:t>》（DB32／T 4455-2023）</w:t>
      </w:r>
      <w:r>
        <w:rPr>
          <w:rFonts w:hint="eastAsia" w:ascii="Times New Roman" w:hAnsi="Times New Roman"/>
          <w:color w:val="auto"/>
          <w:highlight w:val="none"/>
        </w:rPr>
        <w:t>等要求，对生产线、实验室的有机废气采用二级活性炭吸附装置处理有机废气，需要注意相关的安全措施：1）</w:t>
      </w:r>
      <w:r>
        <w:rPr>
          <w:rFonts w:ascii="Times New Roman" w:hAnsi="Times New Roman"/>
          <w:color w:val="auto"/>
          <w:highlight w:val="none"/>
        </w:rPr>
        <w:t>治理系统应有事故自动报警装置，并符合安全生产、事故防范的相关规定</w:t>
      </w:r>
      <w:r>
        <w:rPr>
          <w:rFonts w:hint="eastAsia" w:ascii="Times New Roman" w:hAnsi="Times New Roman"/>
          <w:color w:val="auto"/>
          <w:highlight w:val="none"/>
        </w:rPr>
        <w:t>；2）</w:t>
      </w:r>
      <w:r>
        <w:rPr>
          <w:rFonts w:ascii="Times New Roman" w:hAnsi="Times New Roman"/>
          <w:color w:val="auto"/>
          <w:highlight w:val="none"/>
        </w:rPr>
        <w:t>治理系统与主体生产装置之间的管道系统应安装阻火器(防火阀),阻火器性能应符合GB13347</w:t>
      </w:r>
      <w:r>
        <w:rPr>
          <w:rFonts w:hint="eastAsia" w:ascii="Times New Roman" w:hAnsi="Times New Roman"/>
          <w:color w:val="auto"/>
          <w:highlight w:val="none"/>
        </w:rPr>
        <w:t>的规定；3）</w:t>
      </w:r>
      <w:r>
        <w:rPr>
          <w:rFonts w:ascii="Times New Roman" w:hAnsi="Times New Roman"/>
          <w:color w:val="auto"/>
          <w:highlight w:val="none"/>
        </w:rPr>
        <w:t>风机、电机和置于现场的电气仪表等应不低于现场防爆等级。当吸附剂采用降压解吸方式再生</w:t>
      </w:r>
      <w:r>
        <w:rPr>
          <w:rFonts w:hint="eastAsia" w:ascii="Times New Roman" w:hAnsi="Times New Roman"/>
          <w:color w:val="auto"/>
          <w:highlight w:val="none"/>
        </w:rPr>
        <w:t>；4）</w:t>
      </w:r>
      <w:r>
        <w:rPr>
          <w:rFonts w:ascii="Times New Roman" w:hAnsi="Times New Roman"/>
          <w:color w:val="auto"/>
          <w:highlight w:val="none"/>
        </w:rPr>
        <w:t>在吸附操作周期内</w:t>
      </w:r>
      <w:r>
        <w:rPr>
          <w:rFonts w:hint="eastAsia" w:ascii="Times New Roman" w:hAnsi="Times New Roman"/>
          <w:color w:val="auto"/>
          <w:highlight w:val="none"/>
        </w:rPr>
        <w:t>，</w:t>
      </w:r>
      <w:r>
        <w:rPr>
          <w:rFonts w:ascii="Times New Roman" w:hAnsi="Times New Roman"/>
          <w:color w:val="auto"/>
          <w:highlight w:val="none"/>
        </w:rPr>
        <w:t>吸附了有机气体后吸附床内的温度应低于83</w:t>
      </w:r>
      <w:r>
        <w:rPr>
          <w:rFonts w:hint="eastAsia" w:ascii="Times New Roman" w:hAnsi="Times New Roman"/>
          <w:color w:val="auto"/>
          <w:highlight w:val="none"/>
        </w:rPr>
        <w:t>℃，</w:t>
      </w:r>
      <w:r>
        <w:rPr>
          <w:rFonts w:ascii="Times New Roman" w:hAnsi="Times New Roman"/>
          <w:color w:val="auto"/>
          <w:highlight w:val="none"/>
        </w:rPr>
        <w:t>当吸附装置内的温度超过83</w:t>
      </w:r>
      <w:r>
        <w:rPr>
          <w:rFonts w:hint="eastAsia" w:ascii="Times New Roman" w:hAnsi="Times New Roman"/>
          <w:color w:val="auto"/>
          <w:highlight w:val="none"/>
        </w:rPr>
        <w:t>℃</w:t>
      </w:r>
      <w:r>
        <w:rPr>
          <w:rFonts w:ascii="Times New Roman" w:hAnsi="Times New Roman"/>
          <w:color w:val="auto"/>
          <w:highlight w:val="none"/>
        </w:rPr>
        <w:t>时，应能自动报警，并立即启动降温装置</w:t>
      </w:r>
      <w:r>
        <w:rPr>
          <w:rFonts w:hint="eastAsia" w:ascii="Times New Roman" w:hAnsi="Times New Roman"/>
          <w:color w:val="auto"/>
          <w:highlight w:val="none"/>
        </w:rPr>
        <w:t>；5）</w:t>
      </w:r>
      <w:r>
        <w:rPr>
          <w:rFonts w:ascii="Times New Roman" w:hAnsi="Times New Roman"/>
          <w:color w:val="auto"/>
          <w:highlight w:val="none"/>
        </w:rPr>
        <w:t>治理装置安装区域应按规定设置消防设施</w:t>
      </w:r>
      <w:r>
        <w:rPr>
          <w:rFonts w:hint="eastAsia" w:ascii="Times New Roman" w:hAnsi="Times New Roman"/>
          <w:color w:val="auto"/>
          <w:highlight w:val="none"/>
        </w:rPr>
        <w:t>；6）</w:t>
      </w:r>
      <w:r>
        <w:rPr>
          <w:rFonts w:ascii="Times New Roman" w:hAnsi="Times New Roman"/>
          <w:color w:val="auto"/>
          <w:highlight w:val="none"/>
        </w:rPr>
        <w:t>治理设备应具备短路保护和接地保护，接地电阻应小于4Ω</w:t>
      </w:r>
      <w:r>
        <w:rPr>
          <w:rFonts w:hint="eastAsia" w:ascii="Times New Roman" w:hAnsi="Times New Roman"/>
          <w:color w:val="auto"/>
          <w:highlight w:val="none"/>
        </w:rPr>
        <w:t>；7）</w:t>
      </w:r>
      <w:r>
        <w:rPr>
          <w:rFonts w:ascii="Times New Roman" w:hAnsi="Times New Roman"/>
          <w:color w:val="auto"/>
          <w:highlight w:val="none"/>
        </w:rPr>
        <w:t>室外治理设备应安装符合GB50057规定的避雷装置。</w:t>
      </w:r>
    </w:p>
    <w:p w14:paraId="655D69DC">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ascii="Times New Roman" w:hAnsi="Times New Roman"/>
          <w:color w:val="auto"/>
          <w:szCs w:val="24"/>
          <w:highlight w:val="none"/>
          <w:lang w:bidi="ar"/>
        </w:rPr>
        <w:t>综上所述，通过以上废气污染控制措施处理后，本项目产生的各类废气均能够达到相关排放标准要求，大气污染防治措施从技术上和经济上均具有可行性，污染防治措施总体可信、可行。</w:t>
      </w:r>
    </w:p>
    <w:p w14:paraId="3FB32AE1">
      <w:pPr>
        <w:pStyle w:val="5"/>
        <w:keepLines w:val="0"/>
        <w:numPr>
          <w:ilvl w:val="2"/>
          <w:numId w:val="0"/>
        </w:numPr>
        <w:tabs>
          <w:tab w:val="left" w:pos="360"/>
          <w:tab w:val="left" w:pos="567"/>
          <w:tab w:val="left" w:pos="709"/>
          <w:tab w:val="left" w:pos="993"/>
        </w:tabs>
        <w:spacing w:before="0" w:after="0" w:line="360" w:lineRule="auto"/>
        <w:ind w:right="-105"/>
        <w:rPr>
          <w:rFonts w:eastAsia="宋体"/>
          <w:color w:val="auto"/>
          <w:sz w:val="28"/>
          <w:szCs w:val="28"/>
          <w:highlight w:val="none"/>
        </w:rPr>
      </w:pPr>
      <w:bookmarkStart w:id="446" w:name="_Toc461443197"/>
      <w:bookmarkStart w:id="447" w:name="_Toc60653587"/>
      <w:bookmarkStart w:id="448" w:name="_Toc60653589"/>
      <w:r>
        <w:rPr>
          <w:rFonts w:hint="eastAsia" w:eastAsia="宋体"/>
          <w:color w:val="auto"/>
          <w:sz w:val="28"/>
          <w:szCs w:val="28"/>
          <w:highlight w:val="none"/>
        </w:rPr>
        <w:t>7.1.</w:t>
      </w:r>
      <w:r>
        <w:rPr>
          <w:rFonts w:hint="eastAsia" w:eastAsia="宋体"/>
          <w:color w:val="auto"/>
          <w:sz w:val="28"/>
          <w:szCs w:val="28"/>
          <w:highlight w:val="none"/>
          <w:lang w:val="en-US" w:eastAsia="zh-CN"/>
        </w:rPr>
        <w:t>3</w:t>
      </w:r>
      <w:r>
        <w:rPr>
          <w:rFonts w:eastAsia="宋体"/>
          <w:color w:val="auto"/>
          <w:sz w:val="28"/>
          <w:szCs w:val="28"/>
          <w:highlight w:val="none"/>
        </w:rPr>
        <w:t>无组织废气排放控制措施</w:t>
      </w:r>
      <w:bookmarkEnd w:id="446"/>
      <w:bookmarkEnd w:id="447"/>
    </w:p>
    <w:p w14:paraId="79070A2A">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本项目无组织排放废气主要为生产线和实验室未捕集的废气：非甲烷总烃（含甲醇）。企业可通过以下措施控制和减少无组织废气的产生及排放。</w:t>
      </w:r>
    </w:p>
    <w:p w14:paraId="5644828F">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①严格控制生产工艺参数，减少废气的排放量。</w:t>
      </w:r>
    </w:p>
    <w:p w14:paraId="1B32E55E">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②加强对各类废气收集与处理装置的检查和维护，保障其稳定运行，避免事故无组织排放。</w:t>
      </w:r>
    </w:p>
    <w:p w14:paraId="491C0422">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③合理设计生产车间集气装置与进风门窗的相对位置，避免出现局部对流，影响车间内废气的捕集效率。合理设置各类废气收集装置的位置，保证废气捕集效率。</w:t>
      </w:r>
    </w:p>
    <w:p w14:paraId="0E3BB599">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以上各项措施可以有效地减少无组织排放气体量，防止造成环境污染。建设单位同时拟采取如下措施，以减少项目无组织废气产生量：</w:t>
      </w:r>
    </w:p>
    <w:p w14:paraId="3BED2B15">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①从源头上控制大气污染物的无组织排放。建设单位在生产过程中将加强对生产各加工工序的监控力度，最大可能的实现封闭式作业，杜绝敞开式作业，避免各工序中无组织排放量增大，大气污染物过度无组织排放。</w:t>
      </w:r>
    </w:p>
    <w:p w14:paraId="1C663854">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②加强设备的维护，定期对生产装置进行检查检验，减少装置的跑、冒、滴、漏。</w:t>
      </w:r>
    </w:p>
    <w:p w14:paraId="6AB7B28A">
      <w:pPr>
        <w:pStyle w:val="41"/>
        <w:widowControl w:val="0"/>
        <w:autoSpaceDE w:val="0"/>
        <w:autoSpaceDN w:val="0"/>
        <w:spacing w:before="0" w:beforeAutospacing="0" w:after="0" w:afterAutospacing="0" w:line="360" w:lineRule="auto"/>
        <w:ind w:left="-105" w:right="-105" w:firstLine="480" w:firstLineChars="200"/>
        <w:jc w:val="both"/>
        <w:rPr>
          <w:rFonts w:cs="宋体"/>
          <w:color w:val="auto"/>
          <w:szCs w:val="24"/>
          <w:highlight w:val="none"/>
          <w:lang w:bidi="ar"/>
        </w:rPr>
      </w:pPr>
      <w:r>
        <w:rPr>
          <w:rFonts w:hint="eastAsia" w:cs="宋体"/>
          <w:color w:val="auto"/>
          <w:szCs w:val="24"/>
          <w:highlight w:val="none"/>
          <w:lang w:bidi="ar"/>
        </w:rPr>
        <w:t>③加强对操作工的培训和管理，以减少人为造成的废气无组织排放。</w:t>
      </w:r>
    </w:p>
    <w:p w14:paraId="34D41FBA">
      <w:pPr>
        <w:pStyle w:val="41"/>
        <w:widowControl w:val="0"/>
        <w:autoSpaceDE w:val="0"/>
        <w:autoSpaceDN w:val="0"/>
        <w:spacing w:before="0" w:beforeAutospacing="0" w:after="0" w:afterAutospacing="0" w:line="360" w:lineRule="auto"/>
        <w:ind w:left="-105" w:right="-105" w:firstLine="480" w:firstLineChars="200"/>
        <w:jc w:val="both"/>
        <w:rPr>
          <w:rFonts w:hint="eastAsia" w:cs="宋体"/>
          <w:color w:val="auto"/>
          <w:szCs w:val="24"/>
          <w:highlight w:val="none"/>
          <w:lang w:bidi="ar"/>
        </w:rPr>
      </w:pPr>
      <w:r>
        <w:rPr>
          <w:rFonts w:hint="eastAsia" w:cs="宋体"/>
          <w:color w:val="auto"/>
          <w:szCs w:val="24"/>
          <w:highlight w:val="none"/>
          <w:lang w:bidi="ar"/>
        </w:rPr>
        <w:t>④合理布置车间，将产生无组织废气的工序布置在远离厂界的地方，以减少无组织废气对厂界周围环境的影响。</w:t>
      </w:r>
    </w:p>
    <w:p w14:paraId="76438251">
      <w:pPr>
        <w:pStyle w:val="5"/>
        <w:keepLines w:val="0"/>
        <w:numPr>
          <w:ilvl w:val="2"/>
          <w:numId w:val="0"/>
        </w:numPr>
        <w:tabs>
          <w:tab w:val="left" w:pos="360"/>
          <w:tab w:val="left" w:pos="567"/>
          <w:tab w:val="left" w:pos="709"/>
          <w:tab w:val="left" w:pos="993"/>
        </w:tabs>
        <w:spacing w:before="0" w:after="0" w:line="360" w:lineRule="auto"/>
        <w:ind w:right="-105"/>
        <w:rPr>
          <w:rFonts w:eastAsia="宋体"/>
          <w:color w:val="auto"/>
          <w:sz w:val="28"/>
          <w:szCs w:val="28"/>
          <w:highlight w:val="none"/>
        </w:rPr>
      </w:pPr>
      <w:r>
        <w:rPr>
          <w:rFonts w:hint="eastAsia" w:eastAsia="宋体"/>
          <w:color w:val="auto"/>
          <w:sz w:val="28"/>
          <w:szCs w:val="28"/>
          <w:highlight w:val="none"/>
        </w:rPr>
        <w:t>7.1.</w:t>
      </w:r>
      <w:r>
        <w:rPr>
          <w:rFonts w:hint="eastAsia" w:eastAsia="宋体"/>
          <w:color w:val="auto"/>
          <w:sz w:val="28"/>
          <w:szCs w:val="28"/>
          <w:highlight w:val="none"/>
          <w:lang w:val="en-US" w:eastAsia="zh-CN"/>
        </w:rPr>
        <w:t>4</w:t>
      </w:r>
      <w:r>
        <w:rPr>
          <w:rFonts w:hint="eastAsia" w:eastAsia="宋体"/>
          <w:color w:val="auto"/>
          <w:sz w:val="28"/>
          <w:szCs w:val="28"/>
          <w:highlight w:val="none"/>
        </w:rPr>
        <w:t>废气治理措施经济可行性分析</w:t>
      </w:r>
    </w:p>
    <w:p w14:paraId="63AF03D5">
      <w:pPr>
        <w:pStyle w:val="41"/>
        <w:widowControl w:val="0"/>
        <w:autoSpaceDE w:val="0"/>
        <w:autoSpaceDN w:val="0"/>
        <w:spacing w:before="0" w:beforeAutospacing="0" w:after="0" w:afterAutospacing="0" w:line="360" w:lineRule="auto"/>
        <w:ind w:left="-105" w:right="-105" w:firstLine="480" w:firstLineChars="200"/>
        <w:jc w:val="both"/>
        <w:rPr>
          <w:rFonts w:hint="eastAsia" w:cs="宋体"/>
          <w:color w:val="auto"/>
          <w:szCs w:val="24"/>
          <w:highlight w:val="none"/>
          <w:lang w:bidi="ar"/>
        </w:rPr>
      </w:pPr>
      <w:r>
        <w:rPr>
          <w:rFonts w:ascii="Times New Roman" w:hAnsi="Times New Roman"/>
          <w:color w:val="auto"/>
          <w:szCs w:val="24"/>
          <w:highlight w:val="none"/>
          <w:lang w:bidi="ar"/>
        </w:rPr>
        <w:t>本项目废气处理装置总投资</w:t>
      </w:r>
      <w:r>
        <w:rPr>
          <w:rFonts w:hint="eastAsia" w:ascii="Times New Roman" w:hAnsi="Times New Roman"/>
          <w:color w:val="auto"/>
          <w:szCs w:val="24"/>
          <w:highlight w:val="none"/>
          <w:lang w:bidi="ar"/>
        </w:rPr>
        <w:t>20</w:t>
      </w:r>
      <w:r>
        <w:rPr>
          <w:rFonts w:ascii="Times New Roman" w:hAnsi="Times New Roman"/>
          <w:color w:val="auto"/>
          <w:szCs w:val="24"/>
          <w:highlight w:val="none"/>
          <w:lang w:bidi="ar"/>
        </w:rPr>
        <w:t>万人民币，约占总投资</w:t>
      </w:r>
      <w:r>
        <w:rPr>
          <w:rFonts w:hint="eastAsia" w:ascii="Times New Roman" w:hAnsi="Times New Roman"/>
          <w:color w:val="auto"/>
          <w:szCs w:val="24"/>
          <w:highlight w:val="none"/>
          <w:lang w:bidi="ar"/>
        </w:rPr>
        <w:t>2</w:t>
      </w:r>
      <w:r>
        <w:rPr>
          <w:rFonts w:ascii="Times New Roman" w:hAnsi="Times New Roman"/>
          <w:color w:val="auto"/>
          <w:szCs w:val="24"/>
          <w:highlight w:val="none"/>
          <w:lang w:bidi="ar"/>
        </w:rPr>
        <w:t>%，每年运行成本和维护保养费按10万人民币/年，活性炭、过滤器等购买及处理费用约</w:t>
      </w:r>
      <w:r>
        <w:rPr>
          <w:rFonts w:hint="eastAsia" w:ascii="Times New Roman" w:hAnsi="Times New Roman"/>
          <w:color w:val="auto"/>
          <w:szCs w:val="24"/>
          <w:highlight w:val="none"/>
          <w:lang w:bidi="ar"/>
        </w:rPr>
        <w:t>1</w:t>
      </w:r>
      <w:r>
        <w:rPr>
          <w:rFonts w:ascii="Times New Roman" w:hAnsi="Times New Roman"/>
          <w:color w:val="auto"/>
          <w:szCs w:val="24"/>
          <w:highlight w:val="none"/>
          <w:lang w:bidi="ar"/>
        </w:rPr>
        <w:t>0万人民币/年，共计20万人民币/年，本项目效益较好，企业可以承受，同时大大减少了污染物排入大气，可实现较大的环境效益。因此，从经济效益的角度分析，建设项目废气治理措施经济可行。</w:t>
      </w:r>
    </w:p>
    <w:p w14:paraId="1D8C0968">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49" w:name="_Toc25773"/>
      <w:r>
        <w:rPr>
          <w:rFonts w:ascii="Times New Roman" w:eastAsia="宋体"/>
          <w:color w:val="auto"/>
          <w:sz w:val="28"/>
          <w:szCs w:val="28"/>
          <w:highlight w:val="none"/>
        </w:rPr>
        <w:t>废水防治措施评述</w:t>
      </w:r>
      <w:bookmarkEnd w:id="440"/>
      <w:bookmarkEnd w:id="441"/>
      <w:bookmarkEnd w:id="442"/>
      <w:bookmarkEnd w:id="448"/>
      <w:bookmarkEnd w:id="449"/>
    </w:p>
    <w:p w14:paraId="7EE6D3CF">
      <w:pPr>
        <w:pStyle w:val="41"/>
        <w:widowControl w:val="0"/>
        <w:autoSpaceDE w:val="0"/>
        <w:autoSpaceDN w:val="0"/>
        <w:spacing w:before="0" w:beforeAutospacing="0" w:after="0" w:afterAutospacing="0" w:line="360" w:lineRule="auto"/>
        <w:ind w:left="-105" w:right="-105" w:firstLine="480" w:firstLineChars="200"/>
        <w:jc w:val="both"/>
        <w:rPr>
          <w:rFonts w:ascii="Times New Roman" w:hAnsi="Times New Roman"/>
          <w:color w:val="auto"/>
          <w:szCs w:val="24"/>
          <w:highlight w:val="none"/>
          <w:lang w:bidi="ar"/>
        </w:rPr>
      </w:pPr>
      <w:r>
        <w:rPr>
          <w:rFonts w:ascii="Times New Roman" w:hAnsi="Times New Roman"/>
          <w:color w:val="auto"/>
          <w:szCs w:val="24"/>
          <w:highlight w:val="none"/>
          <w:lang w:bidi="ar"/>
        </w:rPr>
        <w:t>本项目实行雨污分流。</w:t>
      </w:r>
      <w:r>
        <w:rPr>
          <w:rFonts w:hint="eastAsia" w:ascii="Times New Roman" w:hAnsi="Times New Roman"/>
          <w:color w:val="auto"/>
          <w:szCs w:val="24"/>
          <w:highlight w:val="none"/>
          <w:lang w:bidi="ar"/>
        </w:rPr>
        <w:t>全厂</w:t>
      </w:r>
      <w:r>
        <w:rPr>
          <w:rFonts w:ascii="Times New Roman" w:hAnsi="Times New Roman"/>
          <w:color w:val="auto"/>
          <w:szCs w:val="24"/>
          <w:highlight w:val="none"/>
          <w:lang w:bidi="ar"/>
        </w:rPr>
        <w:t>生活污水经化粪池预处理后与15分钟初期雨水一起进入经无锡</w:t>
      </w:r>
      <w:r>
        <w:rPr>
          <w:rFonts w:hint="eastAsia" w:ascii="Times New Roman" w:hAnsi="Times New Roman"/>
          <w:color w:val="auto"/>
          <w:szCs w:val="24"/>
          <w:highlight w:val="none"/>
          <w:lang w:bidi="ar"/>
        </w:rPr>
        <w:t>先进化药</w:t>
      </w:r>
      <w:r>
        <w:rPr>
          <w:rFonts w:ascii="Times New Roman" w:hAnsi="Times New Roman"/>
          <w:color w:val="auto"/>
          <w:szCs w:val="24"/>
          <w:highlight w:val="none"/>
          <w:lang w:bidi="ar"/>
        </w:rPr>
        <w:t>化工有限公司处理达标后接入无锡市锡山云林污水处理有限公司，接管水质中达到《合成树脂工业污染物排放标准》（GB31572-2015）表2中标准，尾水达《城镇污水处理厂污染物排放标准》（DB32/4440-2022）表1中C级标准后排入</w:t>
      </w:r>
      <w:r>
        <w:rPr>
          <w:rFonts w:hint="eastAsia" w:ascii="Times New Roman" w:hAnsi="Times New Roman"/>
          <w:color w:val="auto"/>
          <w:szCs w:val="24"/>
          <w:highlight w:val="none"/>
          <w:lang w:bidi="ar"/>
        </w:rPr>
        <w:t>北兴塘</w:t>
      </w:r>
      <w:r>
        <w:rPr>
          <w:rFonts w:ascii="Times New Roman" w:hAnsi="Times New Roman"/>
          <w:color w:val="auto"/>
          <w:szCs w:val="24"/>
          <w:highlight w:val="none"/>
          <w:lang w:bidi="ar"/>
        </w:rPr>
        <w:t>河。</w:t>
      </w:r>
    </w:p>
    <w:p w14:paraId="71B9C26C">
      <w:pPr>
        <w:pStyle w:val="41"/>
        <w:widowControl w:val="0"/>
        <w:autoSpaceDE w:val="0"/>
        <w:autoSpaceDN w:val="0"/>
        <w:spacing w:before="0" w:beforeAutospacing="0" w:after="0" w:afterAutospacing="0" w:line="360" w:lineRule="auto"/>
        <w:ind w:left="-105" w:right="-105" w:firstLine="480" w:firstLineChars="200"/>
        <w:jc w:val="both"/>
        <w:rPr>
          <w:rFonts w:ascii="Times New Roman"/>
          <w:color w:val="auto"/>
          <w:sz w:val="28"/>
          <w:szCs w:val="28"/>
          <w:highlight w:val="none"/>
        </w:rPr>
      </w:pPr>
      <w:r>
        <w:rPr>
          <w:rFonts w:ascii="Times New Roman" w:hAnsi="Times New Roman"/>
          <w:color w:val="auto"/>
          <w:szCs w:val="24"/>
          <w:highlight w:val="none"/>
          <w:lang w:bidi="ar"/>
        </w:rPr>
        <w:t>本项目不涉及新增废水排放，废水排放方式也无变动，本报告不再对废水排放情况进行分析评价，也不对依托污染处理设施环境可行性进行分析。</w:t>
      </w:r>
    </w:p>
    <w:p w14:paraId="2D71C68F">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50" w:name="_Toc60653594"/>
      <w:bookmarkStart w:id="451" w:name="_Toc8304"/>
      <w:bookmarkStart w:id="452" w:name="_Toc313475002"/>
      <w:bookmarkStart w:id="453" w:name="_Toc30146"/>
      <w:bookmarkStart w:id="454" w:name="_Toc347332643"/>
      <w:r>
        <w:rPr>
          <w:rFonts w:ascii="Times New Roman" w:eastAsia="宋体"/>
          <w:color w:val="auto"/>
          <w:sz w:val="28"/>
          <w:szCs w:val="28"/>
          <w:highlight w:val="none"/>
        </w:rPr>
        <w:t>噪声治理措施评述</w:t>
      </w:r>
      <w:bookmarkEnd w:id="450"/>
      <w:bookmarkEnd w:id="451"/>
      <w:bookmarkEnd w:id="452"/>
      <w:bookmarkEnd w:id="453"/>
      <w:bookmarkEnd w:id="454"/>
    </w:p>
    <w:p w14:paraId="6E761BE7">
      <w:pPr>
        <w:pStyle w:val="5"/>
        <w:keepLines w:val="0"/>
        <w:numPr>
          <w:ilvl w:val="2"/>
          <w:numId w:val="6"/>
        </w:numPr>
        <w:tabs>
          <w:tab w:val="left" w:pos="141"/>
          <w:tab w:val="left" w:pos="567"/>
          <w:tab w:val="left" w:pos="709"/>
          <w:tab w:val="left" w:pos="993"/>
          <w:tab w:val="left" w:pos="6663"/>
        </w:tabs>
        <w:spacing w:before="0" w:after="0" w:line="360" w:lineRule="auto"/>
        <w:ind w:left="-105" w:right="-105"/>
        <w:rPr>
          <w:rFonts w:eastAsia="宋体"/>
          <w:color w:val="auto"/>
          <w:sz w:val="28"/>
          <w:szCs w:val="28"/>
          <w:highlight w:val="none"/>
        </w:rPr>
      </w:pPr>
      <w:r>
        <w:rPr>
          <w:rFonts w:eastAsia="宋体"/>
          <w:color w:val="auto"/>
          <w:sz w:val="28"/>
          <w:szCs w:val="28"/>
          <w:highlight w:val="none"/>
        </w:rPr>
        <w:t>噪声控制原则</w:t>
      </w:r>
    </w:p>
    <w:p w14:paraId="5FF40CEB">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选用符合国家噪声标准规定的设备；</w:t>
      </w:r>
    </w:p>
    <w:p w14:paraId="1B82C577">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②</w:t>
      </w:r>
      <w:r>
        <w:rPr>
          <w:rFonts w:ascii="Times New Roman" w:hAnsi="Times New Roman" w:cs="Times New Roman"/>
          <w:color w:val="auto"/>
          <w:highlight w:val="none"/>
        </w:rPr>
        <w:t>合理厂区平面布置，尽量集中布置高噪设备，并利用绿化加强噪声的影响；</w:t>
      </w:r>
    </w:p>
    <w:p w14:paraId="74149F69">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合理布置通风、通气和通水管道，采用正确的结构，防止产生振动和噪声；</w:t>
      </w:r>
    </w:p>
    <w:p w14:paraId="02C3A13D">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④</w:t>
      </w:r>
      <w:r>
        <w:rPr>
          <w:rFonts w:ascii="Times New Roman" w:hAnsi="Times New Roman" w:cs="Times New Roman"/>
          <w:color w:val="auto"/>
          <w:highlight w:val="none"/>
        </w:rPr>
        <w:t>对于声源上无法根治的生产噪声，分别按不同情况采用消声隔振、隔声、吸声等措施，并着重控制声强高的噪声源；</w:t>
      </w:r>
    </w:p>
    <w:p w14:paraId="6B9BD6BC">
      <w:pPr>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⑤</w:t>
      </w:r>
      <w:r>
        <w:rPr>
          <w:rFonts w:ascii="Times New Roman" w:hAnsi="Times New Roman" w:cs="Times New Roman"/>
          <w:color w:val="auto"/>
          <w:highlight w:val="none"/>
        </w:rPr>
        <w:t>合理安排物流运输计划，大型物流运输车辆进出厂区和途径集中居民点时，应减速、禁鸣。</w:t>
      </w:r>
    </w:p>
    <w:p w14:paraId="20A0A4E6">
      <w:pPr>
        <w:pStyle w:val="5"/>
        <w:keepLines w:val="0"/>
        <w:numPr>
          <w:ilvl w:val="2"/>
          <w:numId w:val="6"/>
        </w:numPr>
        <w:tabs>
          <w:tab w:val="left" w:pos="141"/>
          <w:tab w:val="left" w:pos="567"/>
          <w:tab w:val="left" w:pos="709"/>
          <w:tab w:val="left" w:pos="993"/>
          <w:tab w:val="left" w:pos="6663"/>
        </w:tabs>
        <w:spacing w:before="0" w:after="0" w:line="360" w:lineRule="auto"/>
        <w:ind w:left="-105" w:right="-105"/>
        <w:rPr>
          <w:rFonts w:eastAsia="宋体"/>
          <w:color w:val="auto"/>
          <w:sz w:val="28"/>
          <w:szCs w:val="28"/>
          <w:highlight w:val="none"/>
        </w:rPr>
      </w:pPr>
      <w:r>
        <w:rPr>
          <w:rFonts w:eastAsia="宋体"/>
          <w:color w:val="auto"/>
          <w:sz w:val="28"/>
          <w:szCs w:val="28"/>
          <w:highlight w:val="none"/>
        </w:rPr>
        <w:t>噪声污染防治措施</w:t>
      </w:r>
    </w:p>
    <w:p w14:paraId="67F3601A">
      <w:pPr>
        <w:spacing w:line="360" w:lineRule="auto"/>
        <w:ind w:left="-105" w:right="-105"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根据《环境影响评价技术导则</w:t>
      </w:r>
      <w:r>
        <w:rPr>
          <w:rFonts w:ascii="Times New Roman" w:hAnsi="Times New Roman" w:cs="Times New Roman"/>
          <w:bCs/>
          <w:color w:val="auto"/>
          <w:highlight w:val="none"/>
        </w:rPr>
        <w:t>声环境》（HJ2.4-2021），噪声防治对策措施中防治途径从规划防治对策、噪声源控制措施、噪声传播途径控制措施、声环境保护目标自身防护措施、管理措施五个方面来防治噪声。</w:t>
      </w:r>
    </w:p>
    <w:p w14:paraId="5083C4DB">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（1）规划防治对策</w:t>
      </w:r>
    </w:p>
    <w:p w14:paraId="65043ABA">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本项目位于</w:t>
      </w:r>
      <w:r>
        <w:rPr>
          <w:rFonts w:hint="eastAsia" w:ascii="Times New Roman" w:hAnsi="Times New Roman"/>
          <w:color w:val="auto"/>
          <w:szCs w:val="18"/>
          <w:highlight w:val="none"/>
        </w:rPr>
        <w:t>江苏省</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highlight w:val="none"/>
        </w:rPr>
        <w:t>，位于3类声环境功能区，设备合理布局，远离声环境保护目标，规划布局合理。</w:t>
      </w:r>
    </w:p>
    <w:p w14:paraId="7D026D95">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（2）噪声源控制措施</w:t>
      </w:r>
    </w:p>
    <w:p w14:paraId="652F1C64">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项目室</w:t>
      </w:r>
      <w:r>
        <w:rPr>
          <w:rFonts w:hint="eastAsia" w:ascii="Times New Roman" w:hAnsi="Times New Roman" w:cs="Times New Roman"/>
          <w:color w:val="auto"/>
          <w:highlight w:val="none"/>
          <w:lang w:val="en-US" w:eastAsia="zh-CN"/>
        </w:rPr>
        <w:t>外</w:t>
      </w:r>
      <w:r>
        <w:rPr>
          <w:rFonts w:ascii="Times New Roman" w:hAnsi="Times New Roman" w:cs="Times New Roman"/>
          <w:color w:val="auto"/>
          <w:highlight w:val="none"/>
        </w:rPr>
        <w:t>噪声源主要为</w:t>
      </w:r>
      <w:r>
        <w:rPr>
          <w:rFonts w:hint="eastAsia" w:ascii="Times New Roman" w:hAnsi="Times New Roman" w:cs="Times New Roman"/>
          <w:color w:val="auto"/>
          <w:highlight w:val="none"/>
          <w:lang w:val="en-US" w:eastAsia="zh-CN"/>
        </w:rPr>
        <w:t>新增</w:t>
      </w:r>
      <w:r>
        <w:rPr>
          <w:rFonts w:hint="eastAsia" w:ascii="Times New Roman" w:hAnsi="Times New Roman" w:cs="Times New Roman"/>
          <w:color w:val="auto"/>
          <w:highlight w:val="none"/>
        </w:rPr>
        <w:t>的二工场洁净室引风风机</w:t>
      </w:r>
      <w:r>
        <w:rPr>
          <w:rFonts w:hint="eastAsia" w:ascii="Times New Roman" w:hAnsi="Times New Roman" w:cs="Times New Roman"/>
          <w:color w:val="auto"/>
          <w:highlight w:val="none"/>
        </w:rPr>
        <w:t>和实验楼DA006废气处理设施及配套风机，</w:t>
      </w:r>
      <w:r>
        <w:rPr>
          <w:rFonts w:hint="eastAsia" w:ascii="Times New Roman" w:hAnsi="Times New Roman" w:cs="Times New Roman"/>
          <w:color w:val="auto"/>
          <w:highlight w:val="none"/>
          <w:lang w:val="en-US" w:eastAsia="zh-CN"/>
        </w:rPr>
        <w:t>可</w:t>
      </w:r>
      <w:r>
        <w:rPr>
          <w:rFonts w:hint="eastAsia" w:ascii="Times New Roman" w:hAnsi="Times New Roman" w:cs="Times New Roman"/>
          <w:color w:val="auto"/>
          <w:highlight w:val="none"/>
        </w:rPr>
        <w:t>采取的控制措施如下</w:t>
      </w:r>
      <w:r>
        <w:rPr>
          <w:rFonts w:ascii="Times New Roman" w:hAnsi="Times New Roman" w:cs="Times New Roman"/>
          <w:color w:val="auto"/>
          <w:highlight w:val="none"/>
        </w:rPr>
        <w:t>。</w:t>
      </w:r>
    </w:p>
    <w:p w14:paraId="3994F972">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①</w:t>
      </w:r>
      <w:r>
        <w:rPr>
          <w:rFonts w:ascii="Times New Roman" w:hAnsi="Times New Roman" w:cs="Times New Roman"/>
          <w:color w:val="auto"/>
          <w:highlight w:val="none"/>
        </w:rPr>
        <w:t>优化设备选型：在设备选型时选用满足国际标准的先进低噪声、低振动设备。</w:t>
      </w:r>
    </w:p>
    <w:p w14:paraId="6BB5E798">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②</w:t>
      </w:r>
      <w:r>
        <w:rPr>
          <w:rFonts w:ascii="Times New Roman" w:hAnsi="Times New Roman" w:cs="Times New Roman"/>
          <w:color w:val="auto"/>
          <w:highlight w:val="none"/>
        </w:rPr>
        <w:t>消声：消声器可降噪约10dB（A）。</w:t>
      </w:r>
    </w:p>
    <w:p w14:paraId="3FFBA226">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hint="eastAsia"/>
          <w:color w:val="auto"/>
          <w:highlight w:val="none"/>
        </w:rPr>
        <w:t>③</w:t>
      </w:r>
      <w:r>
        <w:rPr>
          <w:rFonts w:ascii="Times New Roman" w:hAnsi="Times New Roman" w:cs="Times New Roman"/>
          <w:color w:val="auto"/>
          <w:highlight w:val="none"/>
        </w:rPr>
        <w:t>隔振、减振：基础减振隔振可降噪约10dB（A）。</w:t>
      </w:r>
    </w:p>
    <w:p w14:paraId="1ECA4A1F">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4 \* GB3 \* MERGEFORMAT </w:instrText>
      </w:r>
      <w:r>
        <w:rPr>
          <w:rFonts w:ascii="Times New Roman" w:hAnsi="Times New Roman" w:cs="Times New Roman"/>
          <w:color w:val="auto"/>
          <w:highlight w:val="none"/>
        </w:rPr>
        <w:fldChar w:fldCharType="separate"/>
      </w:r>
      <w:r>
        <w:rPr>
          <w:rFonts w:hint="eastAsia"/>
          <w:color w:val="auto"/>
          <w:highlight w:val="none"/>
        </w:rPr>
        <w:t>④</w:t>
      </w:r>
      <w:r>
        <w:rPr>
          <w:rFonts w:ascii="Times New Roman" w:hAnsi="Times New Roman" w:cs="Times New Roman"/>
          <w:color w:val="auto"/>
          <w:highlight w:val="none"/>
        </w:rPr>
        <w:fldChar w:fldCharType="end"/>
      </w:r>
      <w:r>
        <w:rPr>
          <w:rFonts w:ascii="Times New Roman" w:hAnsi="Times New Roman" w:cs="Times New Roman"/>
          <w:color w:val="auto"/>
          <w:highlight w:val="none"/>
        </w:rPr>
        <w:t>软管连接：软管连接可降噪约10dB（A）。</w:t>
      </w:r>
    </w:p>
    <w:p w14:paraId="3B410C6B">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5 \* GB3 \* MERGEFORMAT </w:instrText>
      </w:r>
      <w:r>
        <w:rPr>
          <w:rFonts w:ascii="Times New Roman" w:hAnsi="Times New Roman" w:cs="Times New Roman"/>
          <w:color w:val="auto"/>
          <w:highlight w:val="none"/>
        </w:rPr>
        <w:fldChar w:fldCharType="separate"/>
      </w:r>
      <w:r>
        <w:rPr>
          <w:rFonts w:hint="eastAsia"/>
          <w:color w:val="auto"/>
          <w:highlight w:val="none"/>
        </w:rPr>
        <w:t>⑤</w:t>
      </w:r>
      <w:r>
        <w:rPr>
          <w:rFonts w:ascii="Times New Roman" w:hAnsi="Times New Roman" w:cs="Times New Roman"/>
          <w:color w:val="auto"/>
          <w:highlight w:val="none"/>
        </w:rPr>
        <w:fldChar w:fldCharType="end"/>
      </w:r>
      <w:r>
        <w:rPr>
          <w:rFonts w:ascii="Times New Roman" w:hAnsi="Times New Roman" w:cs="Times New Roman"/>
          <w:color w:val="auto"/>
          <w:highlight w:val="none"/>
        </w:rPr>
        <w:t>聚氨酯多孔泡沫塑料垫：可降噪约15dB（A）。</w:t>
      </w:r>
    </w:p>
    <w:p w14:paraId="692BC773">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6 \* GB3 \* MERGEFORMAT </w:instrText>
      </w:r>
      <w:r>
        <w:rPr>
          <w:rFonts w:ascii="Times New Roman" w:hAnsi="Times New Roman" w:cs="Times New Roman"/>
          <w:color w:val="auto"/>
          <w:highlight w:val="none"/>
        </w:rPr>
        <w:fldChar w:fldCharType="separate"/>
      </w:r>
      <w:r>
        <w:rPr>
          <w:rFonts w:hint="eastAsia"/>
          <w:color w:val="auto"/>
          <w:highlight w:val="none"/>
        </w:rPr>
        <w:t>⑥</w:t>
      </w:r>
      <w:r>
        <w:rPr>
          <w:rFonts w:ascii="Times New Roman" w:hAnsi="Times New Roman" w:cs="Times New Roman"/>
          <w:color w:val="auto"/>
          <w:highlight w:val="none"/>
        </w:rPr>
        <w:fldChar w:fldCharType="end"/>
      </w:r>
      <w:r>
        <w:rPr>
          <w:rFonts w:ascii="Times New Roman" w:hAnsi="Times New Roman" w:cs="Times New Roman"/>
          <w:color w:val="auto"/>
          <w:highlight w:val="none"/>
        </w:rPr>
        <w:t>橡胶隔振垫：可降噪约15dB（A）。</w:t>
      </w:r>
    </w:p>
    <w:p w14:paraId="2B2AAA51">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（3）噪声传播途径控制措施</w:t>
      </w:r>
    </w:p>
    <w:p w14:paraId="49A9C9F6">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隔声罩：隔声罩可降噪约15dB（A）</w:t>
      </w:r>
    </w:p>
    <w:p w14:paraId="06DA7CE4">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（4）声环境保护目标自身防护措施</w:t>
      </w:r>
    </w:p>
    <w:p w14:paraId="1B4105B0">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采取安装减振垫、隔声罩</w:t>
      </w:r>
      <w:r>
        <w:rPr>
          <w:rFonts w:ascii="Times New Roman" w:hAnsi="Times New Roman" w:cs="Times New Roman"/>
          <w:color w:val="auto"/>
          <w:highlight w:val="none"/>
        </w:rPr>
        <w:t>措施后</w:t>
      </w:r>
      <w:r>
        <w:rPr>
          <w:rFonts w:ascii="Times New Roman" w:hAnsi="Times New Roman" w:cs="Times New Roman"/>
          <w:color w:val="auto"/>
          <w:highlight w:val="none"/>
        </w:rPr>
        <w:t>，根据噪声预测结果，厂界可达标，声环境保护目标不需要做措施。</w:t>
      </w:r>
    </w:p>
    <w:p w14:paraId="4CB2F1CC">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（5）管理措施</w:t>
      </w:r>
    </w:p>
    <w:p w14:paraId="3F998A58">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加强对设备的维护保养，按照自行监测的要求定期监测，减少噪声对周边环境的影响。</w:t>
      </w:r>
    </w:p>
    <w:p w14:paraId="74C56B9A">
      <w:pPr>
        <w:spacing w:line="360" w:lineRule="auto"/>
        <w:ind w:left="-105" w:right="-105" w:firstLine="480" w:firstLineChars="200"/>
        <w:rPr>
          <w:rFonts w:ascii="Times New Roman" w:hAnsi="Times New Roman" w:cs="Times New Roman"/>
          <w:color w:val="auto"/>
          <w:highlight w:val="none"/>
          <w:lang w:bidi="ar"/>
        </w:rPr>
      </w:pPr>
      <w:r>
        <w:rPr>
          <w:rFonts w:ascii="Times New Roman" w:hAnsi="Times New Roman" w:cs="Times New Roman"/>
          <w:color w:val="auto"/>
          <w:highlight w:val="none"/>
          <w:lang w:bidi="ar"/>
        </w:rPr>
        <w:t>综上，采取降噪措施后，主要噪声源对厂界噪声影响很小，厂界噪声均可达标排放。因此，项目噪声污染防治措施是切实可行的。</w:t>
      </w:r>
    </w:p>
    <w:p w14:paraId="34C41086">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55" w:name="_Toc5409"/>
      <w:bookmarkStart w:id="456" w:name="_Toc1899"/>
      <w:bookmarkStart w:id="457" w:name="_Toc60653595"/>
      <w:bookmarkStart w:id="458" w:name="_Toc175038179"/>
      <w:r>
        <w:rPr>
          <w:rFonts w:ascii="Times New Roman" w:eastAsia="宋体"/>
          <w:color w:val="auto"/>
          <w:sz w:val="28"/>
          <w:szCs w:val="28"/>
          <w:highlight w:val="none"/>
        </w:rPr>
        <w:t>固体废物污染防治措施</w:t>
      </w:r>
      <w:bookmarkEnd w:id="455"/>
      <w:bookmarkEnd w:id="456"/>
      <w:bookmarkEnd w:id="457"/>
    </w:p>
    <w:p w14:paraId="24ADAE02">
      <w:pPr>
        <w:pStyle w:val="5"/>
        <w:keepLines w:val="0"/>
        <w:numPr>
          <w:ilvl w:val="2"/>
          <w:numId w:val="6"/>
        </w:numPr>
        <w:tabs>
          <w:tab w:val="left" w:pos="141"/>
          <w:tab w:val="left" w:pos="567"/>
          <w:tab w:val="left" w:pos="709"/>
          <w:tab w:val="left" w:pos="993"/>
          <w:tab w:val="left" w:pos="6663"/>
        </w:tabs>
        <w:spacing w:before="0" w:after="0" w:line="360" w:lineRule="auto"/>
        <w:ind w:left="-105" w:right="-105"/>
        <w:rPr>
          <w:rFonts w:eastAsia="宋体"/>
          <w:color w:val="auto"/>
          <w:sz w:val="28"/>
          <w:szCs w:val="28"/>
          <w:highlight w:val="none"/>
        </w:rPr>
      </w:pPr>
      <w:bookmarkStart w:id="459" w:name="_Toc43798563"/>
      <w:r>
        <w:rPr>
          <w:rFonts w:eastAsia="宋体"/>
          <w:color w:val="auto"/>
          <w:sz w:val="28"/>
          <w:szCs w:val="28"/>
          <w:highlight w:val="none"/>
        </w:rPr>
        <w:t>一般工业固废防治措施评述</w:t>
      </w:r>
      <w:bookmarkEnd w:id="459"/>
    </w:p>
    <w:p w14:paraId="095D8B27">
      <w:pPr>
        <w:adjustRightInd w:val="0"/>
        <w:snapToGrid w:val="0"/>
        <w:spacing w:line="360" w:lineRule="auto"/>
        <w:ind w:left="-105" w:right="-105" w:firstLine="480" w:firstLineChars="200"/>
        <w:jc w:val="both"/>
        <w:rPr>
          <w:rFonts w:ascii="Times New Roman" w:hAnsi="Times New Roman" w:cs="Times New Roman"/>
          <w:color w:val="auto"/>
          <w:szCs w:val="28"/>
          <w:highlight w:val="none"/>
        </w:rPr>
      </w:pPr>
      <w:r>
        <w:rPr>
          <w:rFonts w:ascii="Times New Roman" w:hAnsi="Times New Roman" w:cs="Times New Roman"/>
          <w:color w:val="auto"/>
          <w:szCs w:val="28"/>
          <w:highlight w:val="none"/>
        </w:rPr>
        <w:t>一般工业固废的暂存场所需按照《一般工业固体废物贮存和填埋污染控制标准》（GB18599-2020）和《关于加强一般工业固体废物管理的通知》（锡环办[2021]138号）要求建设，具体要求如下：</w:t>
      </w:r>
    </w:p>
    <w:p w14:paraId="156B2EA0">
      <w:pPr>
        <w:adjustRightInd w:val="0"/>
        <w:snapToGrid w:val="0"/>
        <w:spacing w:line="360" w:lineRule="auto"/>
        <w:ind w:left="-105" w:right="-105" w:firstLine="480" w:firstLineChars="200"/>
        <w:jc w:val="both"/>
        <w:rPr>
          <w:rFonts w:ascii="Times New Roman" w:hAnsi="Times New Roman" w:cs="Times New Roman"/>
          <w:color w:val="auto"/>
          <w:szCs w:val="28"/>
          <w:highlight w:val="none"/>
        </w:rPr>
      </w:pPr>
      <w:r>
        <w:rPr>
          <w:rFonts w:hint="eastAsia"/>
          <w:color w:val="auto"/>
          <w:szCs w:val="28"/>
          <w:highlight w:val="none"/>
        </w:rPr>
        <w:t>①</w:t>
      </w:r>
      <w:r>
        <w:rPr>
          <w:rFonts w:ascii="Times New Roman" w:hAnsi="Times New Roman" w:cs="Times New Roman"/>
          <w:color w:val="auto"/>
          <w:szCs w:val="28"/>
          <w:highlight w:val="none"/>
        </w:rPr>
        <w:t>贮存、处置场的建设类型，必须与将要堆放的一般工业固体废物的类别相一致。</w:t>
      </w:r>
    </w:p>
    <w:p w14:paraId="28ED5ED7">
      <w:pPr>
        <w:adjustRightInd w:val="0"/>
        <w:snapToGrid w:val="0"/>
        <w:spacing w:line="360" w:lineRule="auto"/>
        <w:ind w:left="-105" w:right="-105" w:firstLine="480" w:firstLineChars="200"/>
        <w:jc w:val="both"/>
        <w:rPr>
          <w:rFonts w:ascii="Times New Roman" w:hAnsi="Times New Roman" w:cs="Times New Roman"/>
          <w:color w:val="auto"/>
          <w:szCs w:val="28"/>
          <w:highlight w:val="none"/>
        </w:rPr>
      </w:pPr>
      <w:r>
        <w:rPr>
          <w:rFonts w:hint="eastAsia"/>
          <w:color w:val="auto"/>
          <w:szCs w:val="28"/>
          <w:highlight w:val="none"/>
        </w:rPr>
        <w:t>②</w:t>
      </w:r>
      <w:r>
        <w:rPr>
          <w:rFonts w:ascii="Times New Roman" w:hAnsi="Times New Roman" w:cs="Times New Roman"/>
          <w:color w:val="auto"/>
          <w:szCs w:val="28"/>
          <w:highlight w:val="none"/>
        </w:rPr>
        <w:t>贮存、处置场应采取防止粉尘污染的措施。</w:t>
      </w:r>
    </w:p>
    <w:p w14:paraId="1A209D91">
      <w:pPr>
        <w:adjustRightInd w:val="0"/>
        <w:snapToGrid w:val="0"/>
        <w:spacing w:line="360" w:lineRule="auto"/>
        <w:ind w:left="-105" w:right="-105" w:firstLine="480" w:firstLineChars="200"/>
        <w:jc w:val="both"/>
        <w:rPr>
          <w:rFonts w:ascii="Times New Roman" w:hAnsi="Times New Roman" w:cs="Times New Roman"/>
          <w:color w:val="auto"/>
          <w:szCs w:val="28"/>
          <w:highlight w:val="none"/>
        </w:rPr>
      </w:pPr>
      <w:r>
        <w:rPr>
          <w:rFonts w:hint="eastAsia"/>
          <w:color w:val="auto"/>
          <w:szCs w:val="28"/>
          <w:highlight w:val="none"/>
        </w:rPr>
        <w:t>③</w:t>
      </w:r>
      <w:r>
        <w:rPr>
          <w:rFonts w:ascii="Times New Roman" w:hAnsi="Times New Roman" w:cs="Times New Roman"/>
          <w:color w:val="auto"/>
          <w:szCs w:val="28"/>
          <w:highlight w:val="none"/>
        </w:rPr>
        <w:t>不得露天堆放，防止雨水进入，产生二次污染。</w:t>
      </w:r>
    </w:p>
    <w:p w14:paraId="330DCDEF">
      <w:pPr>
        <w:spacing w:line="360" w:lineRule="auto"/>
        <w:ind w:left="-105" w:right="-105" w:firstLine="480" w:firstLineChars="200"/>
        <w:rPr>
          <w:rFonts w:ascii="Times New Roman" w:hAnsi="Times New Roman" w:cs="Times New Roman"/>
          <w:color w:val="auto"/>
          <w:szCs w:val="28"/>
          <w:highlight w:val="none"/>
          <w:lang w:val="zh-CN"/>
        </w:rPr>
      </w:pPr>
      <w:r>
        <w:rPr>
          <w:rFonts w:ascii="Times New Roman" w:hAnsi="Times New Roman" w:cs="Times New Roman"/>
          <w:color w:val="auto"/>
          <w:szCs w:val="28"/>
          <w:highlight w:val="none"/>
        </w:rPr>
        <w:t>一般固体废物按照不同的类别和性质，分区堆放。通过规范设置固体废物暂存场，同时建立完善厂内固体废物防范措施和管理制度，可使固体废物在收集、存放过程中对环境的影响至最低限度。</w:t>
      </w:r>
      <w:r>
        <w:rPr>
          <w:rFonts w:ascii="Times New Roman" w:hAnsi="Times New Roman" w:cs="Times New Roman"/>
          <w:color w:val="auto"/>
          <w:szCs w:val="28"/>
          <w:highlight w:val="none"/>
          <w:lang w:val="zh-CN"/>
        </w:rPr>
        <w:t>本项目一般固体废物贮存场所见下表。</w:t>
      </w:r>
    </w:p>
    <w:p w14:paraId="70CE6AEE">
      <w:pPr>
        <w:spacing w:line="360" w:lineRule="auto"/>
        <w:ind w:left="-105" w:right="-105" w:firstLine="482"/>
        <w:jc w:val="center"/>
        <w:rPr>
          <w:rFonts w:ascii="Times New Roman" w:hAnsi="Times New Roman" w:cs="Times New Roman"/>
          <w:b/>
          <w:bCs/>
          <w:color w:val="auto"/>
          <w:szCs w:val="28"/>
          <w:highlight w:val="none"/>
          <w:lang w:val="zh-CN"/>
        </w:rPr>
      </w:pPr>
      <w:r>
        <w:rPr>
          <w:rFonts w:ascii="Times New Roman" w:hAnsi="Times New Roman" w:cs="Times New Roman"/>
          <w:b/>
          <w:bCs/>
          <w:color w:val="auto"/>
          <w:szCs w:val="18"/>
          <w:highlight w:val="none"/>
        </w:rPr>
        <w:t>表</w:t>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STYLEREF 2 \s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7.4</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noBreakHyphen/>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SEQ 表 \* ARABIC \s 2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1</w:t>
      </w:r>
      <w:r>
        <w:rPr>
          <w:rFonts w:ascii="Times New Roman" w:hAnsi="Times New Roman" w:cs="Times New Roman"/>
          <w:b/>
          <w:bCs/>
          <w:color w:val="auto"/>
          <w:szCs w:val="18"/>
          <w:highlight w:val="none"/>
        </w:rPr>
        <w:fldChar w:fldCharType="end"/>
      </w:r>
      <w:r>
        <w:rPr>
          <w:rFonts w:ascii="Times New Roman" w:hAnsi="Times New Roman" w:cs="Times New Roman"/>
          <w:b/>
          <w:bCs/>
          <w:color w:val="auto"/>
          <w:highlight w:val="none"/>
        </w:rPr>
        <w:t>建设项目</w:t>
      </w:r>
      <w:bookmarkStart w:id="460" w:name="_Hlk136609526"/>
      <w:r>
        <w:rPr>
          <w:rFonts w:ascii="Times New Roman" w:hAnsi="Times New Roman" w:cs="Times New Roman"/>
          <w:b/>
          <w:bCs/>
          <w:color w:val="auto"/>
          <w:highlight w:val="none"/>
        </w:rPr>
        <w:t>一般固体废物贮存场所基本情况表</w:t>
      </w:r>
      <w:bookmarkStart w:id="461" w:name="_Hlk136609580"/>
    </w:p>
    <w:tbl>
      <w:tblPr>
        <w:tblStyle w:val="45"/>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75"/>
        <w:gridCol w:w="1116"/>
        <w:gridCol w:w="899"/>
        <w:gridCol w:w="1359"/>
        <w:gridCol w:w="574"/>
        <w:gridCol w:w="785"/>
        <w:gridCol w:w="1106"/>
        <w:gridCol w:w="715"/>
        <w:gridCol w:w="815"/>
      </w:tblGrid>
      <w:tr w14:paraId="64B82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5" w:type="dxa"/>
            <w:vAlign w:val="center"/>
          </w:tcPr>
          <w:p w14:paraId="6FAF1401">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673" w:type="dxa"/>
            <w:vAlign w:val="center"/>
          </w:tcPr>
          <w:p w14:paraId="30570BF3">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贮存场所</w:t>
            </w:r>
          </w:p>
          <w:p w14:paraId="1B9BE95B">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名称</w:t>
            </w:r>
          </w:p>
        </w:tc>
        <w:tc>
          <w:tcPr>
            <w:tcW w:w="1118" w:type="dxa"/>
            <w:vAlign w:val="center"/>
          </w:tcPr>
          <w:p w14:paraId="785C0731">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固废名称</w:t>
            </w:r>
          </w:p>
        </w:tc>
        <w:tc>
          <w:tcPr>
            <w:tcW w:w="900" w:type="dxa"/>
            <w:vAlign w:val="center"/>
          </w:tcPr>
          <w:p w14:paraId="113D3C1E">
            <w:pPr>
              <w:pStyle w:val="98"/>
              <w:autoSpaceDE/>
              <w:autoSpaceDN/>
              <w:adjustRightInd w:val="0"/>
              <w:snapToGrid w:val="0"/>
              <w:ind w:left="-105" w:right="-105"/>
              <w:rPr>
                <w:color w:val="auto"/>
                <w:sz w:val="21"/>
                <w:szCs w:val="21"/>
                <w:highlight w:val="none"/>
              </w:rPr>
            </w:pPr>
            <w:r>
              <w:rPr>
                <w:rFonts w:eastAsia="宋体"/>
                <w:b/>
                <w:bCs/>
                <w:color w:val="auto"/>
                <w:sz w:val="21"/>
                <w:szCs w:val="21"/>
                <w:highlight w:val="none"/>
              </w:rPr>
              <w:t>废物类别</w:t>
            </w:r>
          </w:p>
        </w:tc>
        <w:tc>
          <w:tcPr>
            <w:tcW w:w="1363" w:type="dxa"/>
            <w:vAlign w:val="center"/>
          </w:tcPr>
          <w:p w14:paraId="6ECE973B">
            <w:pPr>
              <w:pStyle w:val="98"/>
              <w:autoSpaceDE/>
              <w:autoSpaceDN/>
              <w:adjustRightInd w:val="0"/>
              <w:snapToGrid w:val="0"/>
              <w:ind w:left="-105" w:right="-105"/>
              <w:rPr>
                <w:color w:val="auto"/>
                <w:sz w:val="21"/>
                <w:szCs w:val="21"/>
                <w:highlight w:val="none"/>
              </w:rPr>
            </w:pPr>
            <w:r>
              <w:rPr>
                <w:rFonts w:eastAsia="宋体"/>
                <w:b/>
                <w:bCs/>
                <w:color w:val="auto"/>
                <w:sz w:val="21"/>
                <w:szCs w:val="21"/>
                <w:highlight w:val="none"/>
              </w:rPr>
              <w:t>废物代码</w:t>
            </w:r>
          </w:p>
        </w:tc>
        <w:tc>
          <w:tcPr>
            <w:tcW w:w="571" w:type="dxa"/>
            <w:vAlign w:val="center"/>
          </w:tcPr>
          <w:p w14:paraId="10386082">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位置</w:t>
            </w:r>
          </w:p>
        </w:tc>
        <w:tc>
          <w:tcPr>
            <w:tcW w:w="785" w:type="dxa"/>
            <w:vAlign w:val="center"/>
          </w:tcPr>
          <w:p w14:paraId="0FF82B27">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占地面积</w:t>
            </w:r>
          </w:p>
        </w:tc>
        <w:tc>
          <w:tcPr>
            <w:tcW w:w="1109" w:type="dxa"/>
            <w:vAlign w:val="center"/>
          </w:tcPr>
          <w:p w14:paraId="30D12631">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贮存方式</w:t>
            </w:r>
          </w:p>
        </w:tc>
        <w:tc>
          <w:tcPr>
            <w:tcW w:w="713" w:type="dxa"/>
            <w:vAlign w:val="center"/>
          </w:tcPr>
          <w:p w14:paraId="4850C10B">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w:t>
            </w:r>
          </w:p>
          <w:p w14:paraId="38DAA948">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能力</w:t>
            </w:r>
          </w:p>
        </w:tc>
        <w:tc>
          <w:tcPr>
            <w:tcW w:w="815" w:type="dxa"/>
            <w:vAlign w:val="center"/>
          </w:tcPr>
          <w:p w14:paraId="532F4A44">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w:t>
            </w:r>
          </w:p>
          <w:p w14:paraId="50F6BA5B">
            <w:pPr>
              <w:ind w:left="-105" w:right="-105"/>
              <w:jc w:val="center"/>
              <w:rPr>
                <w:rFonts w:ascii="Times New Roman" w:hAnsi="Times New Roman" w:cs="Times New Roman"/>
                <w:color w:val="auto"/>
                <w:sz w:val="21"/>
                <w:szCs w:val="21"/>
                <w:highlight w:val="none"/>
              </w:rPr>
            </w:pPr>
            <w:r>
              <w:rPr>
                <w:rFonts w:ascii="Times New Roman" w:hAnsi="Times New Roman" w:cs="Times New Roman"/>
                <w:b/>
                <w:color w:val="auto"/>
                <w:sz w:val="21"/>
                <w:szCs w:val="21"/>
                <w:highlight w:val="none"/>
              </w:rPr>
              <w:t>周期</w:t>
            </w:r>
          </w:p>
        </w:tc>
      </w:tr>
      <w:tr w14:paraId="5A7BB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14:paraId="2402CE7C">
            <w:pPr>
              <w:numPr>
                <w:ilvl w:val="0"/>
                <w:numId w:val="33"/>
              </w:numPr>
              <w:ind w:left="-105" w:right="-105" w:firstLine="0"/>
              <w:jc w:val="center"/>
              <w:rPr>
                <w:rFonts w:ascii="Times New Roman" w:hAnsi="Times New Roman" w:cs="Times New Roman"/>
                <w:color w:val="auto"/>
                <w:sz w:val="21"/>
                <w:szCs w:val="21"/>
                <w:highlight w:val="none"/>
              </w:rPr>
            </w:pPr>
          </w:p>
        </w:tc>
        <w:tc>
          <w:tcPr>
            <w:tcW w:w="673" w:type="dxa"/>
            <w:vMerge w:val="restart"/>
            <w:vAlign w:val="center"/>
          </w:tcPr>
          <w:p w14:paraId="7ACCE3A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一般固废贮存场所</w:t>
            </w:r>
          </w:p>
        </w:tc>
        <w:tc>
          <w:tcPr>
            <w:tcW w:w="1118" w:type="dxa"/>
            <w:vAlign w:val="center"/>
          </w:tcPr>
          <w:p w14:paraId="1DE11A2A">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废过滤介质</w:t>
            </w:r>
          </w:p>
        </w:tc>
        <w:tc>
          <w:tcPr>
            <w:tcW w:w="900" w:type="dxa"/>
            <w:vAlign w:val="center"/>
          </w:tcPr>
          <w:p w14:paraId="2B43FD00">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SW59</w:t>
            </w:r>
          </w:p>
        </w:tc>
        <w:tc>
          <w:tcPr>
            <w:tcW w:w="1363" w:type="dxa"/>
            <w:vAlign w:val="center"/>
          </w:tcPr>
          <w:p w14:paraId="52FA3DE7">
            <w:pPr>
              <w:pStyle w:val="98"/>
              <w:autoSpaceDE/>
              <w:autoSpaceDN/>
              <w:adjustRightInd w:val="0"/>
              <w:snapToGrid w:val="0"/>
              <w:ind w:left="-105" w:right="-105"/>
              <w:rPr>
                <w:color w:val="auto"/>
                <w:sz w:val="21"/>
                <w:szCs w:val="21"/>
                <w:highlight w:val="none"/>
              </w:rPr>
            </w:pPr>
            <w:r>
              <w:rPr>
                <w:rFonts w:hint="eastAsia" w:eastAsia="宋体"/>
                <w:color w:val="auto"/>
                <w:sz w:val="21"/>
                <w:szCs w:val="21"/>
                <w:highlight w:val="none"/>
                <w:lang w:val="en-US"/>
              </w:rPr>
              <w:t>900-009-S59</w:t>
            </w:r>
          </w:p>
        </w:tc>
        <w:tc>
          <w:tcPr>
            <w:tcW w:w="571" w:type="dxa"/>
            <w:vMerge w:val="restart"/>
            <w:vAlign w:val="center"/>
          </w:tcPr>
          <w:p w14:paraId="4AD6D933">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厂区</w:t>
            </w:r>
            <w:r>
              <w:rPr>
                <w:rFonts w:hint="eastAsia" w:ascii="Times New Roman" w:hAnsi="Times New Roman" w:cs="Times New Roman"/>
                <w:color w:val="auto"/>
                <w:sz w:val="21"/>
                <w:szCs w:val="21"/>
                <w:highlight w:val="none"/>
              </w:rPr>
              <w:t>东</w:t>
            </w:r>
            <w:r>
              <w:rPr>
                <w:rFonts w:ascii="Times New Roman" w:hAnsi="Times New Roman" w:cs="Times New Roman"/>
                <w:color w:val="auto"/>
                <w:sz w:val="21"/>
                <w:szCs w:val="21"/>
                <w:highlight w:val="none"/>
              </w:rPr>
              <w:t>侧</w:t>
            </w:r>
          </w:p>
        </w:tc>
        <w:tc>
          <w:tcPr>
            <w:tcW w:w="785" w:type="dxa"/>
            <w:vMerge w:val="restart"/>
            <w:vAlign w:val="center"/>
          </w:tcPr>
          <w:p w14:paraId="315CF1F0">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2</w:t>
            </w:r>
          </w:p>
        </w:tc>
        <w:tc>
          <w:tcPr>
            <w:tcW w:w="1109" w:type="dxa"/>
            <w:vAlign w:val="center"/>
          </w:tcPr>
          <w:p w14:paraId="0D85E009">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13" w:type="dxa"/>
            <w:vAlign w:val="center"/>
          </w:tcPr>
          <w:p w14:paraId="34349191">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815" w:type="dxa"/>
            <w:vAlign w:val="center"/>
          </w:tcPr>
          <w:p w14:paraId="30D1D6E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w:t>
            </w:r>
            <w:r>
              <w:rPr>
                <w:rFonts w:ascii="Times New Roman" w:hAnsi="Times New Roman" w:cs="Times New Roman"/>
                <w:color w:val="auto"/>
                <w:sz w:val="21"/>
                <w:szCs w:val="21"/>
                <w:highlight w:val="none"/>
              </w:rPr>
              <w:t>个月</w:t>
            </w:r>
          </w:p>
        </w:tc>
      </w:tr>
      <w:tr w14:paraId="516C2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14:paraId="47612749">
            <w:pPr>
              <w:numPr>
                <w:ilvl w:val="0"/>
                <w:numId w:val="33"/>
              </w:numPr>
              <w:ind w:left="-105" w:right="-105" w:firstLine="0"/>
              <w:jc w:val="center"/>
              <w:rPr>
                <w:rFonts w:ascii="Times New Roman" w:hAnsi="Times New Roman" w:cs="Times New Roman"/>
                <w:color w:val="auto"/>
                <w:sz w:val="21"/>
                <w:szCs w:val="21"/>
                <w:highlight w:val="none"/>
              </w:rPr>
            </w:pPr>
          </w:p>
        </w:tc>
        <w:tc>
          <w:tcPr>
            <w:tcW w:w="673" w:type="dxa"/>
            <w:vMerge w:val="continue"/>
            <w:vAlign w:val="center"/>
          </w:tcPr>
          <w:p w14:paraId="3A0AE8A7">
            <w:pPr>
              <w:ind w:left="-105" w:right="-105"/>
              <w:jc w:val="center"/>
              <w:rPr>
                <w:rFonts w:ascii="Times New Roman" w:hAnsi="Times New Roman" w:cs="Times New Roman"/>
                <w:color w:val="auto"/>
                <w:sz w:val="21"/>
                <w:szCs w:val="21"/>
                <w:highlight w:val="none"/>
              </w:rPr>
            </w:pPr>
          </w:p>
        </w:tc>
        <w:tc>
          <w:tcPr>
            <w:tcW w:w="1118" w:type="dxa"/>
            <w:vAlign w:val="center"/>
          </w:tcPr>
          <w:p w14:paraId="32E3AA6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w:t>
            </w:r>
          </w:p>
        </w:tc>
        <w:tc>
          <w:tcPr>
            <w:tcW w:w="900" w:type="dxa"/>
            <w:vAlign w:val="center"/>
          </w:tcPr>
          <w:p w14:paraId="4D927F6D">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SW59</w:t>
            </w:r>
          </w:p>
        </w:tc>
        <w:tc>
          <w:tcPr>
            <w:tcW w:w="1363" w:type="dxa"/>
            <w:vAlign w:val="center"/>
          </w:tcPr>
          <w:p w14:paraId="27A41174">
            <w:pPr>
              <w:adjustRightInd w:val="0"/>
              <w:snapToGrid w:val="0"/>
              <w:ind w:left="-105" w:right="-10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900-009-S59</w:t>
            </w:r>
          </w:p>
        </w:tc>
        <w:tc>
          <w:tcPr>
            <w:tcW w:w="571" w:type="dxa"/>
            <w:vMerge w:val="continue"/>
            <w:vAlign w:val="center"/>
          </w:tcPr>
          <w:p w14:paraId="4FC77FF6">
            <w:pPr>
              <w:ind w:left="-105" w:right="-105"/>
              <w:jc w:val="center"/>
              <w:rPr>
                <w:rFonts w:ascii="Times New Roman" w:hAnsi="Times New Roman" w:cs="Times New Roman"/>
                <w:color w:val="auto"/>
                <w:sz w:val="21"/>
                <w:szCs w:val="21"/>
                <w:highlight w:val="none"/>
              </w:rPr>
            </w:pPr>
          </w:p>
        </w:tc>
        <w:tc>
          <w:tcPr>
            <w:tcW w:w="785" w:type="dxa"/>
            <w:vMerge w:val="continue"/>
            <w:vAlign w:val="center"/>
          </w:tcPr>
          <w:p w14:paraId="2D1AE9EA">
            <w:pPr>
              <w:ind w:left="-105" w:right="-105"/>
              <w:jc w:val="center"/>
              <w:rPr>
                <w:rFonts w:ascii="Times New Roman" w:hAnsi="Times New Roman" w:cs="Times New Roman"/>
                <w:color w:val="auto"/>
                <w:sz w:val="21"/>
                <w:szCs w:val="21"/>
                <w:highlight w:val="none"/>
              </w:rPr>
            </w:pPr>
          </w:p>
        </w:tc>
        <w:tc>
          <w:tcPr>
            <w:tcW w:w="1109" w:type="dxa"/>
            <w:vAlign w:val="center"/>
          </w:tcPr>
          <w:p w14:paraId="649668AF">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13" w:type="dxa"/>
            <w:vAlign w:val="center"/>
          </w:tcPr>
          <w:p w14:paraId="05E1E91F">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815" w:type="dxa"/>
            <w:vAlign w:val="center"/>
          </w:tcPr>
          <w:p w14:paraId="0AD20C1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w:t>
            </w:r>
            <w:r>
              <w:rPr>
                <w:rFonts w:ascii="Times New Roman" w:hAnsi="Times New Roman" w:cs="Times New Roman"/>
                <w:color w:val="auto"/>
                <w:sz w:val="21"/>
                <w:szCs w:val="21"/>
                <w:highlight w:val="none"/>
              </w:rPr>
              <w:t>个月</w:t>
            </w:r>
          </w:p>
        </w:tc>
      </w:tr>
      <w:tr w14:paraId="6A7CC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14:paraId="7A00A725">
            <w:pPr>
              <w:numPr>
                <w:ilvl w:val="0"/>
                <w:numId w:val="33"/>
              </w:numPr>
              <w:ind w:left="-105" w:right="-105" w:firstLine="0"/>
              <w:jc w:val="center"/>
              <w:rPr>
                <w:rFonts w:ascii="Times New Roman" w:hAnsi="Times New Roman" w:cs="Times New Roman"/>
                <w:color w:val="auto"/>
                <w:sz w:val="21"/>
                <w:szCs w:val="21"/>
                <w:highlight w:val="none"/>
              </w:rPr>
            </w:pPr>
          </w:p>
        </w:tc>
        <w:tc>
          <w:tcPr>
            <w:tcW w:w="673" w:type="dxa"/>
            <w:vMerge w:val="continue"/>
            <w:vAlign w:val="center"/>
          </w:tcPr>
          <w:p w14:paraId="5E567736">
            <w:pPr>
              <w:ind w:left="-105" w:right="-105"/>
              <w:jc w:val="center"/>
              <w:rPr>
                <w:rFonts w:ascii="Times New Roman" w:hAnsi="Times New Roman" w:cs="Times New Roman"/>
                <w:color w:val="auto"/>
                <w:sz w:val="21"/>
                <w:szCs w:val="21"/>
                <w:highlight w:val="none"/>
              </w:rPr>
            </w:pPr>
          </w:p>
        </w:tc>
        <w:tc>
          <w:tcPr>
            <w:tcW w:w="1118" w:type="dxa"/>
            <w:vAlign w:val="center"/>
          </w:tcPr>
          <w:p w14:paraId="213CAF6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废RO膜</w:t>
            </w:r>
          </w:p>
        </w:tc>
        <w:tc>
          <w:tcPr>
            <w:tcW w:w="900" w:type="dxa"/>
            <w:vAlign w:val="center"/>
          </w:tcPr>
          <w:p w14:paraId="20F83245">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SW59</w:t>
            </w:r>
          </w:p>
        </w:tc>
        <w:tc>
          <w:tcPr>
            <w:tcW w:w="1363" w:type="dxa"/>
            <w:vAlign w:val="center"/>
          </w:tcPr>
          <w:p w14:paraId="4A2FCEC4">
            <w:pPr>
              <w:adjustRightInd w:val="0"/>
              <w:snapToGrid w:val="0"/>
              <w:ind w:left="-105" w:right="-10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900-009-S59</w:t>
            </w:r>
          </w:p>
        </w:tc>
        <w:tc>
          <w:tcPr>
            <w:tcW w:w="571" w:type="dxa"/>
            <w:vMerge w:val="continue"/>
            <w:vAlign w:val="center"/>
          </w:tcPr>
          <w:p w14:paraId="00FBBEC7">
            <w:pPr>
              <w:ind w:left="-105" w:right="-105"/>
              <w:jc w:val="center"/>
              <w:rPr>
                <w:rFonts w:ascii="Times New Roman" w:hAnsi="Times New Roman" w:cs="Times New Roman"/>
                <w:color w:val="auto"/>
                <w:sz w:val="21"/>
                <w:szCs w:val="21"/>
                <w:highlight w:val="none"/>
              </w:rPr>
            </w:pPr>
          </w:p>
        </w:tc>
        <w:tc>
          <w:tcPr>
            <w:tcW w:w="785" w:type="dxa"/>
            <w:vMerge w:val="continue"/>
            <w:vAlign w:val="center"/>
          </w:tcPr>
          <w:p w14:paraId="21AB9780">
            <w:pPr>
              <w:ind w:left="-105" w:right="-105"/>
              <w:jc w:val="center"/>
              <w:rPr>
                <w:rFonts w:ascii="Times New Roman" w:hAnsi="Times New Roman" w:cs="Times New Roman"/>
                <w:color w:val="auto"/>
                <w:sz w:val="21"/>
                <w:szCs w:val="21"/>
                <w:highlight w:val="none"/>
              </w:rPr>
            </w:pPr>
          </w:p>
        </w:tc>
        <w:tc>
          <w:tcPr>
            <w:tcW w:w="1109" w:type="dxa"/>
            <w:vAlign w:val="center"/>
          </w:tcPr>
          <w:p w14:paraId="0CA466A1">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13" w:type="dxa"/>
            <w:vAlign w:val="center"/>
          </w:tcPr>
          <w:p w14:paraId="19F7BB56">
            <w:pPr>
              <w:ind w:left="-105" w:right="-105"/>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815" w:type="dxa"/>
            <w:vAlign w:val="center"/>
          </w:tcPr>
          <w:p w14:paraId="5499B70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w:t>
            </w:r>
            <w:r>
              <w:rPr>
                <w:rFonts w:ascii="Times New Roman" w:hAnsi="Times New Roman" w:cs="Times New Roman"/>
                <w:color w:val="auto"/>
                <w:sz w:val="21"/>
                <w:szCs w:val="21"/>
                <w:highlight w:val="none"/>
              </w:rPr>
              <w:t>个月</w:t>
            </w:r>
          </w:p>
        </w:tc>
      </w:tr>
      <w:bookmarkEnd w:id="460"/>
      <w:bookmarkEnd w:id="461"/>
    </w:tbl>
    <w:p w14:paraId="2A74A2B3">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szCs w:val="28"/>
          <w:highlight w:val="none"/>
          <w:lang w:val="zh-CN"/>
        </w:rPr>
        <w:t>根据工程分析可知，本项目一般固废主要为</w:t>
      </w:r>
      <w:r>
        <w:rPr>
          <w:rFonts w:hint="eastAsia" w:ascii="Times New Roman" w:hAnsi="Times New Roman" w:cs="Times New Roman"/>
          <w:color w:val="auto"/>
          <w:szCs w:val="28"/>
          <w:highlight w:val="none"/>
          <w:lang w:val="zh-CN"/>
        </w:rPr>
        <w:t>废过滤介质、废活性炭、废RO膜</w:t>
      </w:r>
      <w:r>
        <w:rPr>
          <w:rFonts w:ascii="Times New Roman" w:hAnsi="Times New Roman" w:cs="Times New Roman"/>
          <w:color w:val="auto"/>
          <w:szCs w:val="28"/>
          <w:highlight w:val="none"/>
          <w:lang w:val="zh-CN"/>
        </w:rPr>
        <w:t>等，</w:t>
      </w:r>
      <w:r>
        <w:rPr>
          <w:rFonts w:ascii="Times New Roman" w:hAnsi="Times New Roman" w:cs="Times New Roman"/>
          <w:color w:val="auto"/>
          <w:highlight w:val="none"/>
        </w:rPr>
        <w:t>所有废物实行分类收集、暂存和处置。</w:t>
      </w:r>
    </w:p>
    <w:p w14:paraId="688594C3">
      <w:pPr>
        <w:pStyle w:val="5"/>
        <w:keepLines w:val="0"/>
        <w:numPr>
          <w:ilvl w:val="2"/>
          <w:numId w:val="6"/>
        </w:numPr>
        <w:tabs>
          <w:tab w:val="left" w:pos="141"/>
          <w:tab w:val="left" w:pos="567"/>
          <w:tab w:val="left" w:pos="709"/>
          <w:tab w:val="left" w:pos="993"/>
          <w:tab w:val="left" w:pos="6663"/>
        </w:tabs>
        <w:spacing w:before="0" w:after="0" w:line="360" w:lineRule="auto"/>
        <w:ind w:left="-105" w:right="-105"/>
        <w:rPr>
          <w:rFonts w:eastAsia="宋体"/>
          <w:color w:val="auto"/>
          <w:sz w:val="28"/>
          <w:szCs w:val="28"/>
          <w:highlight w:val="none"/>
        </w:rPr>
      </w:pPr>
      <w:bookmarkStart w:id="462" w:name="_Toc43798564"/>
      <w:r>
        <w:rPr>
          <w:rFonts w:eastAsia="宋体"/>
          <w:color w:val="auto"/>
          <w:sz w:val="28"/>
          <w:szCs w:val="28"/>
          <w:highlight w:val="none"/>
        </w:rPr>
        <w:t>危险废物防治措施评述</w:t>
      </w:r>
      <w:bookmarkEnd w:id="462"/>
    </w:p>
    <w:p w14:paraId="2DAC3868">
      <w:pPr>
        <w:adjustRightInd w:val="0"/>
        <w:snapToGrid w:val="0"/>
        <w:spacing w:line="360" w:lineRule="auto"/>
        <w:ind w:left="-105" w:right="-105" w:firstLine="480" w:firstLineChars="200"/>
        <w:jc w:val="both"/>
        <w:rPr>
          <w:rFonts w:ascii="Times New Roman" w:hAnsi="Times New Roman" w:cs="Times New Roman"/>
          <w:color w:val="auto"/>
          <w:szCs w:val="28"/>
          <w:highlight w:val="none"/>
          <w:lang w:val="zh-CN"/>
        </w:rPr>
      </w:pPr>
      <w:r>
        <w:rPr>
          <w:rFonts w:ascii="Times New Roman" w:hAnsi="Times New Roman" w:cs="Times New Roman"/>
          <w:color w:val="auto"/>
          <w:szCs w:val="28"/>
          <w:highlight w:val="none"/>
          <w:lang w:val="zh-CN"/>
        </w:rPr>
        <w:t>本项目危险废物包括</w:t>
      </w:r>
      <w:r>
        <w:rPr>
          <w:rFonts w:hint="eastAsia" w:ascii="Times New Roman" w:hAnsi="Times New Roman" w:cs="Times New Roman"/>
          <w:color w:val="auto"/>
          <w:szCs w:val="28"/>
          <w:highlight w:val="none"/>
          <w:lang w:val="zh-CN"/>
        </w:rPr>
        <w:t>废滤芯、实验废液、废实验耗材、废包装桶、废包装袋、废活性炭（</w:t>
      </w:r>
      <w:r>
        <w:rPr>
          <w:rFonts w:hint="eastAsia" w:ascii="Times New Roman" w:hAnsi="Times New Roman" w:cs="Times New Roman"/>
          <w:color w:val="auto"/>
          <w:szCs w:val="28"/>
          <w:highlight w:val="none"/>
        </w:rPr>
        <w:t>废气处理</w:t>
      </w:r>
      <w:r>
        <w:rPr>
          <w:rFonts w:hint="eastAsia" w:ascii="Times New Roman" w:hAnsi="Times New Roman" w:cs="Times New Roman"/>
          <w:color w:val="auto"/>
          <w:szCs w:val="28"/>
          <w:highlight w:val="none"/>
          <w:lang w:val="zh-CN"/>
        </w:rPr>
        <w:t>）</w:t>
      </w:r>
      <w:r>
        <w:rPr>
          <w:rFonts w:ascii="Times New Roman" w:hAnsi="Times New Roman" w:cs="Times New Roman"/>
          <w:color w:val="auto"/>
          <w:szCs w:val="28"/>
          <w:highlight w:val="none"/>
          <w:lang w:val="zh-CN"/>
        </w:rPr>
        <w:t>等，需按国家有关规定进行转移、运输及处置，要求企业将危险废物、一般工业固废、生活垃圾分类收集，分开处理。</w:t>
      </w:r>
    </w:p>
    <w:p w14:paraId="230E9EDF">
      <w:pPr>
        <w:adjustRightInd w:val="0"/>
        <w:snapToGrid w:val="0"/>
        <w:spacing w:line="360" w:lineRule="auto"/>
        <w:ind w:left="-105" w:right="-105" w:firstLine="480" w:firstLineChars="200"/>
        <w:jc w:val="both"/>
        <w:rPr>
          <w:rFonts w:ascii="Times New Roman" w:hAnsi="Times New Roman" w:cs="Times New Roman"/>
          <w:color w:val="auto"/>
          <w:szCs w:val="28"/>
          <w:highlight w:val="none"/>
          <w:lang w:val="zh-CN"/>
        </w:rPr>
      </w:pPr>
      <w:r>
        <w:rPr>
          <w:rFonts w:ascii="Times New Roman" w:hAnsi="Times New Roman" w:cs="Times New Roman"/>
          <w:color w:val="auto"/>
          <w:szCs w:val="28"/>
          <w:highlight w:val="none"/>
          <w:lang w:val="zh-CN"/>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按照</w:t>
      </w:r>
      <w:r>
        <w:rPr>
          <w:rFonts w:hint="eastAsia" w:ascii="Times New Roman" w:hAnsi="Times New Roman" w:cs="Times New Roman"/>
          <w:color w:val="auto"/>
          <w:szCs w:val="28"/>
          <w:highlight w:val="none"/>
          <w:lang w:val="zh-CN"/>
        </w:rPr>
        <w:t>《省生态环境厅关于印发</w:t>
      </w:r>
      <w:r>
        <w:rPr>
          <w:rFonts w:hint="eastAsia" w:ascii="Times New Roman" w:hAnsi="Times New Roman" w:cs="Times New Roman"/>
          <w:color w:val="auto"/>
          <w:szCs w:val="28"/>
          <w:highlight w:val="none"/>
        </w:rPr>
        <w:t>&lt;</w:t>
      </w:r>
      <w:r>
        <w:rPr>
          <w:rFonts w:hint="eastAsia" w:ascii="Times New Roman" w:hAnsi="Times New Roman" w:cs="Times New Roman"/>
          <w:color w:val="auto"/>
          <w:szCs w:val="28"/>
          <w:highlight w:val="none"/>
          <w:lang w:val="zh-CN"/>
        </w:rPr>
        <w:t>江苏省固体废物全过程环境监管工作意见</w:t>
      </w:r>
      <w:r>
        <w:rPr>
          <w:rFonts w:hint="eastAsia" w:ascii="Times New Roman" w:hAnsi="Times New Roman" w:cs="Times New Roman"/>
          <w:color w:val="auto"/>
          <w:szCs w:val="28"/>
          <w:highlight w:val="none"/>
        </w:rPr>
        <w:t>&gt;</w:t>
      </w:r>
      <w:r>
        <w:rPr>
          <w:rFonts w:hint="eastAsia" w:ascii="Times New Roman" w:hAnsi="Times New Roman" w:cs="Times New Roman"/>
          <w:color w:val="auto"/>
          <w:szCs w:val="28"/>
          <w:highlight w:val="none"/>
          <w:lang w:val="zh-CN"/>
        </w:rPr>
        <w:t>的通知（苏环办〔2024〕16号）》</w:t>
      </w:r>
      <w:r>
        <w:rPr>
          <w:rFonts w:ascii="Times New Roman" w:hAnsi="Times New Roman" w:cs="Times New Roman"/>
          <w:color w:val="auto"/>
          <w:szCs w:val="28"/>
          <w:highlight w:val="none"/>
          <w:lang w:val="zh-CN"/>
        </w:rPr>
        <w:t>要求，对危险废物进行安全包装，并在包装的明显位置附上危险废物标签。</w:t>
      </w:r>
    </w:p>
    <w:p w14:paraId="5FF200FF">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w:t>
      </w:r>
      <w:r>
        <w:rPr>
          <w:rFonts w:ascii="Times New Roman" w:hAnsi="Times New Roman"/>
          <w:color w:val="auto"/>
          <w:sz w:val="24"/>
          <w:szCs w:val="24"/>
          <w:highlight w:val="none"/>
        </w:rPr>
        <w:t>.4.2.1危废贮存场所（设施）污染防治措施</w:t>
      </w:r>
    </w:p>
    <w:p w14:paraId="13E56253">
      <w:pPr>
        <w:adjustRightInd w:val="0"/>
        <w:snapToGrid w:val="0"/>
        <w:spacing w:line="360" w:lineRule="auto"/>
        <w:ind w:left="-105" w:right="-105" w:firstLine="480" w:firstLineChars="200"/>
        <w:jc w:val="both"/>
        <w:rPr>
          <w:rFonts w:ascii="Times New Roman" w:hAnsi="Times New Roman" w:cs="Times New Roman"/>
          <w:color w:val="auto"/>
          <w:szCs w:val="28"/>
          <w:highlight w:val="none"/>
          <w:lang w:val="zh-CN"/>
        </w:rPr>
      </w:pPr>
      <w:r>
        <w:rPr>
          <w:rFonts w:ascii="Times New Roman" w:hAnsi="Times New Roman" w:cs="Times New Roman"/>
          <w:color w:val="auto"/>
          <w:szCs w:val="28"/>
          <w:highlight w:val="none"/>
          <w:lang w:val="zh-CN"/>
        </w:rPr>
        <w:t>本项目危险废物产生量约为</w:t>
      </w:r>
      <w:r>
        <w:rPr>
          <w:rFonts w:hint="eastAsia" w:ascii="Times New Roman" w:hAnsi="Times New Roman" w:cs="Times New Roman"/>
          <w:color w:val="auto"/>
          <w:szCs w:val="28"/>
          <w:highlight w:val="none"/>
          <w:lang w:val="en-US" w:eastAsia="zh-CN"/>
        </w:rPr>
        <w:t>21.0189</w:t>
      </w:r>
      <w:r>
        <w:rPr>
          <w:rFonts w:ascii="Times New Roman" w:hAnsi="Times New Roman" w:cs="Times New Roman"/>
          <w:color w:val="auto"/>
          <w:szCs w:val="28"/>
          <w:highlight w:val="none"/>
          <w:lang w:val="zh-CN"/>
        </w:rPr>
        <w:t>t/a，</w:t>
      </w:r>
      <w:r>
        <w:rPr>
          <w:rFonts w:ascii="Times New Roman" w:hAnsi="Times New Roman" w:cs="Times New Roman"/>
          <w:color w:val="auto"/>
          <w:szCs w:val="28"/>
          <w:highlight w:val="none"/>
          <w:lang w:val="zh-CN"/>
        </w:rPr>
        <w:t>分别收集至危废仓库和</w:t>
      </w:r>
      <w:r>
        <w:rPr>
          <w:rFonts w:hint="eastAsia" w:ascii="Times New Roman" w:hAnsi="Times New Roman" w:cs="Times New Roman"/>
          <w:color w:val="auto"/>
          <w:szCs w:val="28"/>
          <w:highlight w:val="none"/>
        </w:rPr>
        <w:t>废液储罐</w:t>
      </w:r>
      <w:r>
        <w:rPr>
          <w:rFonts w:ascii="Times New Roman" w:hAnsi="Times New Roman" w:cs="Times New Roman"/>
          <w:color w:val="auto"/>
          <w:szCs w:val="28"/>
          <w:highlight w:val="none"/>
          <w:lang w:val="zh-CN"/>
        </w:rPr>
        <w:t>内，定期委托资质单位处置，根据</w:t>
      </w:r>
      <w:r>
        <w:rPr>
          <w:rFonts w:ascii="Times New Roman" w:hAnsi="Times New Roman" w:cs="Times New Roman"/>
          <w:color w:val="auto"/>
          <w:highlight w:val="none"/>
        </w:rPr>
        <w:t>建设项目危险废物贮存场所（设施）基本情况表确定的危废贮存和转移周期危险废物暂存仓库的贮存能力能满足要求。</w:t>
      </w:r>
    </w:p>
    <w:p w14:paraId="1D3A971C">
      <w:pPr>
        <w:pStyle w:val="15"/>
        <w:spacing w:line="360" w:lineRule="auto"/>
        <w:ind w:left="-105" w:right="-105" w:firstLine="482"/>
        <w:rPr>
          <w:rFonts w:eastAsia="宋体"/>
          <w:color w:val="auto"/>
          <w:sz w:val="24"/>
          <w:szCs w:val="24"/>
          <w:highlight w:val="none"/>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7.4</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2</w:t>
      </w:r>
      <w:r>
        <w:rPr>
          <w:rFonts w:eastAsia="宋体"/>
          <w:color w:val="auto"/>
          <w:sz w:val="24"/>
          <w:szCs w:val="24"/>
          <w:highlight w:val="none"/>
        </w:rPr>
        <w:fldChar w:fldCharType="end"/>
      </w:r>
      <w:r>
        <w:rPr>
          <w:rFonts w:eastAsia="宋体"/>
          <w:color w:val="auto"/>
          <w:spacing w:val="6"/>
          <w:sz w:val="24"/>
          <w:szCs w:val="24"/>
          <w:highlight w:val="none"/>
        </w:rPr>
        <w:t>本项目危险废物贮存场所（设施）基本情况表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87"/>
        <w:gridCol w:w="1360"/>
        <w:gridCol w:w="873"/>
        <w:gridCol w:w="1270"/>
        <w:gridCol w:w="579"/>
        <w:gridCol w:w="808"/>
        <w:gridCol w:w="1119"/>
        <w:gridCol w:w="728"/>
        <w:gridCol w:w="871"/>
      </w:tblGrid>
      <w:tr w14:paraId="04622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6" w:type="dxa"/>
            <w:vAlign w:val="center"/>
          </w:tcPr>
          <w:p w14:paraId="1BF98241">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687" w:type="dxa"/>
            <w:vAlign w:val="center"/>
          </w:tcPr>
          <w:p w14:paraId="6B4B5AD2">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贮存场所</w:t>
            </w:r>
          </w:p>
          <w:p w14:paraId="53C8290A">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名称</w:t>
            </w:r>
          </w:p>
        </w:tc>
        <w:tc>
          <w:tcPr>
            <w:tcW w:w="1360" w:type="dxa"/>
            <w:vAlign w:val="center"/>
          </w:tcPr>
          <w:p w14:paraId="249B7712">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危险废物名称</w:t>
            </w:r>
          </w:p>
        </w:tc>
        <w:tc>
          <w:tcPr>
            <w:tcW w:w="873" w:type="dxa"/>
            <w:vAlign w:val="center"/>
          </w:tcPr>
          <w:p w14:paraId="2C21D815">
            <w:pPr>
              <w:pStyle w:val="98"/>
              <w:autoSpaceDE/>
              <w:autoSpaceDN/>
              <w:adjustRightInd w:val="0"/>
              <w:snapToGrid w:val="0"/>
              <w:ind w:left="-105" w:right="-105"/>
              <w:rPr>
                <w:b/>
                <w:color w:val="auto"/>
                <w:sz w:val="21"/>
                <w:szCs w:val="21"/>
                <w:highlight w:val="none"/>
              </w:rPr>
            </w:pPr>
            <w:r>
              <w:rPr>
                <w:rFonts w:eastAsia="宋体"/>
                <w:b/>
                <w:bCs/>
                <w:color w:val="auto"/>
                <w:sz w:val="21"/>
                <w:szCs w:val="21"/>
                <w:highlight w:val="none"/>
              </w:rPr>
              <w:t>废物类别</w:t>
            </w:r>
          </w:p>
        </w:tc>
        <w:tc>
          <w:tcPr>
            <w:tcW w:w="1270" w:type="dxa"/>
            <w:vAlign w:val="center"/>
          </w:tcPr>
          <w:p w14:paraId="29AD724C">
            <w:pPr>
              <w:pStyle w:val="98"/>
              <w:autoSpaceDE/>
              <w:autoSpaceDN/>
              <w:adjustRightInd w:val="0"/>
              <w:snapToGrid w:val="0"/>
              <w:ind w:left="-105" w:right="-105"/>
              <w:rPr>
                <w:b/>
                <w:color w:val="auto"/>
                <w:sz w:val="21"/>
                <w:szCs w:val="21"/>
                <w:highlight w:val="none"/>
              </w:rPr>
            </w:pPr>
            <w:r>
              <w:rPr>
                <w:rFonts w:eastAsia="宋体"/>
                <w:b/>
                <w:bCs/>
                <w:color w:val="auto"/>
                <w:sz w:val="21"/>
                <w:szCs w:val="21"/>
                <w:highlight w:val="none"/>
              </w:rPr>
              <w:t>废物代码</w:t>
            </w:r>
          </w:p>
        </w:tc>
        <w:tc>
          <w:tcPr>
            <w:tcW w:w="579" w:type="dxa"/>
            <w:vAlign w:val="center"/>
          </w:tcPr>
          <w:p w14:paraId="4183DACE">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位置</w:t>
            </w:r>
          </w:p>
        </w:tc>
        <w:tc>
          <w:tcPr>
            <w:tcW w:w="808" w:type="dxa"/>
            <w:vAlign w:val="center"/>
          </w:tcPr>
          <w:p w14:paraId="0420097A">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占地面积</w:t>
            </w:r>
          </w:p>
        </w:tc>
        <w:tc>
          <w:tcPr>
            <w:tcW w:w="1119" w:type="dxa"/>
            <w:vAlign w:val="center"/>
          </w:tcPr>
          <w:p w14:paraId="7AA978FD">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贮存方式</w:t>
            </w:r>
          </w:p>
        </w:tc>
        <w:tc>
          <w:tcPr>
            <w:tcW w:w="728" w:type="dxa"/>
            <w:vAlign w:val="center"/>
          </w:tcPr>
          <w:p w14:paraId="42662FA9">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w:t>
            </w:r>
          </w:p>
          <w:p w14:paraId="6E7B90E1">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能力</w:t>
            </w:r>
          </w:p>
        </w:tc>
        <w:tc>
          <w:tcPr>
            <w:tcW w:w="871" w:type="dxa"/>
            <w:vAlign w:val="center"/>
          </w:tcPr>
          <w:p w14:paraId="30A48355">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贮存</w:t>
            </w:r>
          </w:p>
          <w:p w14:paraId="5B4E26E5">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周期</w:t>
            </w:r>
          </w:p>
        </w:tc>
      </w:tr>
      <w:tr w14:paraId="7BDEF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0EC76CCD">
            <w:pPr>
              <w:numPr>
                <w:ilvl w:val="0"/>
                <w:numId w:val="34"/>
              </w:numPr>
              <w:topLinePunct/>
              <w:ind w:left="-105" w:right="-105"/>
              <w:jc w:val="center"/>
              <w:rPr>
                <w:rFonts w:ascii="Times New Roman" w:hAnsi="Times New Roman" w:cs="Times New Roman"/>
                <w:bCs/>
                <w:color w:val="auto"/>
                <w:sz w:val="21"/>
                <w:szCs w:val="21"/>
                <w:highlight w:val="none"/>
              </w:rPr>
            </w:pPr>
          </w:p>
        </w:tc>
        <w:tc>
          <w:tcPr>
            <w:tcW w:w="687" w:type="dxa"/>
            <w:vMerge w:val="restart"/>
            <w:vAlign w:val="center"/>
          </w:tcPr>
          <w:p w14:paraId="5780B44D">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危废仓库</w:t>
            </w:r>
          </w:p>
        </w:tc>
        <w:tc>
          <w:tcPr>
            <w:tcW w:w="1360" w:type="dxa"/>
            <w:vAlign w:val="center"/>
          </w:tcPr>
          <w:p w14:paraId="318F42C6">
            <w:pPr>
              <w:pStyle w:val="98"/>
              <w:autoSpaceDE/>
              <w:autoSpaceDN/>
              <w:adjustRightInd w:val="0"/>
              <w:snapToGrid w:val="0"/>
              <w:ind w:left="-105" w:right="-105"/>
              <w:rPr>
                <w:b/>
                <w:color w:val="auto"/>
                <w:sz w:val="21"/>
                <w:szCs w:val="21"/>
                <w:highlight w:val="none"/>
              </w:rPr>
            </w:pPr>
            <w:r>
              <w:rPr>
                <w:rFonts w:hint="eastAsia"/>
                <w:color w:val="auto"/>
                <w:sz w:val="21"/>
                <w:szCs w:val="18"/>
                <w:highlight w:val="none"/>
                <w:lang w:val="en-US"/>
              </w:rPr>
              <w:t>废滤芯</w:t>
            </w:r>
          </w:p>
        </w:tc>
        <w:tc>
          <w:tcPr>
            <w:tcW w:w="873" w:type="dxa"/>
            <w:vAlign w:val="center"/>
          </w:tcPr>
          <w:p w14:paraId="3E0CFFFD">
            <w:pPr>
              <w:pStyle w:val="98"/>
              <w:autoSpaceDE/>
              <w:autoSpaceDN/>
              <w:adjustRightInd w:val="0"/>
              <w:snapToGrid w:val="0"/>
              <w:ind w:left="-105" w:right="-105"/>
              <w:rPr>
                <w:b/>
                <w:color w:val="auto"/>
                <w:sz w:val="21"/>
                <w:szCs w:val="21"/>
                <w:highlight w:val="none"/>
              </w:rPr>
            </w:pPr>
            <w:r>
              <w:rPr>
                <w:rFonts w:eastAsia="宋体"/>
                <w:color w:val="auto"/>
                <w:sz w:val="21"/>
                <w:szCs w:val="21"/>
                <w:highlight w:val="none"/>
                <w:lang w:val="en-US"/>
              </w:rPr>
              <w:t>HW49</w:t>
            </w:r>
          </w:p>
        </w:tc>
        <w:tc>
          <w:tcPr>
            <w:tcW w:w="1270" w:type="dxa"/>
            <w:vAlign w:val="center"/>
          </w:tcPr>
          <w:p w14:paraId="4F6F9B99">
            <w:pPr>
              <w:pStyle w:val="98"/>
              <w:autoSpaceDE/>
              <w:autoSpaceDN/>
              <w:adjustRightInd w:val="0"/>
              <w:snapToGrid w:val="0"/>
              <w:ind w:left="-105" w:right="-105"/>
              <w:rPr>
                <w:b/>
                <w:color w:val="auto"/>
                <w:sz w:val="21"/>
                <w:szCs w:val="21"/>
                <w:highlight w:val="none"/>
              </w:rPr>
            </w:pPr>
            <w:r>
              <w:rPr>
                <w:rFonts w:eastAsia="宋体"/>
                <w:color w:val="auto"/>
                <w:sz w:val="21"/>
                <w:szCs w:val="21"/>
                <w:highlight w:val="none"/>
                <w:lang w:val="en-US"/>
              </w:rPr>
              <w:t>900-041-49</w:t>
            </w:r>
          </w:p>
        </w:tc>
        <w:tc>
          <w:tcPr>
            <w:tcW w:w="579" w:type="dxa"/>
            <w:vMerge w:val="restart"/>
            <w:vAlign w:val="center"/>
          </w:tcPr>
          <w:p w14:paraId="6AA57227">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厂区东侧</w:t>
            </w:r>
          </w:p>
        </w:tc>
        <w:tc>
          <w:tcPr>
            <w:tcW w:w="808" w:type="dxa"/>
            <w:vMerge w:val="restart"/>
            <w:vAlign w:val="center"/>
          </w:tcPr>
          <w:p w14:paraId="02F98F41">
            <w:pPr>
              <w:topLinePunct/>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2</w:t>
            </w:r>
          </w:p>
        </w:tc>
        <w:tc>
          <w:tcPr>
            <w:tcW w:w="1119" w:type="dxa"/>
            <w:vAlign w:val="center"/>
          </w:tcPr>
          <w:p w14:paraId="5DEBA1F3">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color w:val="auto"/>
                <w:sz w:val="21"/>
                <w:szCs w:val="21"/>
                <w:highlight w:val="none"/>
              </w:rPr>
              <w:t>吨袋暂存</w:t>
            </w:r>
          </w:p>
        </w:tc>
        <w:tc>
          <w:tcPr>
            <w:tcW w:w="728" w:type="dxa"/>
            <w:vAlign w:val="center"/>
          </w:tcPr>
          <w:p w14:paraId="509D2266">
            <w:pPr>
              <w:topLinePunct/>
              <w:ind w:left="-105" w:right="-105"/>
              <w:jc w:val="center"/>
              <w:rPr>
                <w:rFonts w:ascii="Times New Roman" w:hAnsi="Times New Roman" w:cs="Times New Roman"/>
                <w:b/>
                <w:color w:val="auto"/>
                <w:sz w:val="21"/>
                <w:szCs w:val="21"/>
                <w:highlight w:val="none"/>
              </w:rPr>
            </w:pPr>
            <w:r>
              <w:rPr>
                <w:rFonts w:hint="eastAsia" w:ascii="Times New Roman" w:hAnsi="Times New Roman" w:cs="Times New Roman"/>
                <w:bCs/>
                <w:color w:val="auto"/>
                <w:sz w:val="21"/>
                <w:szCs w:val="21"/>
                <w:highlight w:val="none"/>
              </w:rPr>
              <w:t>1.25</w:t>
            </w:r>
          </w:p>
        </w:tc>
        <w:tc>
          <w:tcPr>
            <w:tcW w:w="871" w:type="dxa"/>
            <w:vAlign w:val="center"/>
          </w:tcPr>
          <w:p w14:paraId="38AD1192">
            <w:pPr>
              <w:topLinePunct/>
              <w:ind w:left="-105" w:right="-105"/>
              <w:jc w:val="center"/>
              <w:rPr>
                <w:rFonts w:ascii="Times New Roman" w:hAnsi="Times New Roman" w:cs="Times New Roman"/>
                <w:b/>
                <w:color w:val="auto"/>
                <w:sz w:val="21"/>
                <w:szCs w:val="21"/>
                <w:highlight w:val="none"/>
              </w:rPr>
            </w:pPr>
            <w:r>
              <w:rPr>
                <w:rFonts w:ascii="Times New Roman" w:hAnsi="Times New Roman" w:cs="Times New Roman"/>
                <w:color w:val="auto"/>
                <w:sz w:val="21"/>
                <w:szCs w:val="21"/>
                <w:highlight w:val="none"/>
              </w:rPr>
              <w:t>1个月</w:t>
            </w:r>
          </w:p>
        </w:tc>
      </w:tr>
      <w:tr w14:paraId="63B6C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50B71D52">
            <w:pPr>
              <w:numPr>
                <w:ilvl w:val="0"/>
                <w:numId w:val="34"/>
              </w:numPr>
              <w:topLinePunct/>
              <w:ind w:left="-105" w:right="-105"/>
              <w:jc w:val="center"/>
              <w:rPr>
                <w:rFonts w:ascii="Times New Roman" w:hAnsi="Times New Roman" w:cs="Times New Roman"/>
                <w:bCs/>
                <w:color w:val="auto"/>
                <w:sz w:val="21"/>
                <w:szCs w:val="21"/>
                <w:highlight w:val="none"/>
              </w:rPr>
            </w:pPr>
          </w:p>
        </w:tc>
        <w:tc>
          <w:tcPr>
            <w:tcW w:w="687" w:type="dxa"/>
            <w:vMerge w:val="continue"/>
            <w:vAlign w:val="center"/>
          </w:tcPr>
          <w:p w14:paraId="5FFF311F">
            <w:pPr>
              <w:topLinePunct/>
              <w:ind w:left="-105" w:right="-105"/>
              <w:jc w:val="center"/>
              <w:rPr>
                <w:rFonts w:ascii="Times New Roman" w:hAnsi="Times New Roman" w:cs="Times New Roman"/>
                <w:color w:val="auto"/>
                <w:sz w:val="21"/>
                <w:szCs w:val="21"/>
                <w:highlight w:val="none"/>
              </w:rPr>
            </w:pPr>
          </w:p>
        </w:tc>
        <w:tc>
          <w:tcPr>
            <w:tcW w:w="1360" w:type="dxa"/>
            <w:vAlign w:val="center"/>
          </w:tcPr>
          <w:p w14:paraId="43BE5D2E">
            <w:pPr>
              <w:ind w:left="-105" w:leftChars="0" w:right="-105"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rPr>
              <w:t>实验废液</w:t>
            </w:r>
          </w:p>
        </w:tc>
        <w:tc>
          <w:tcPr>
            <w:tcW w:w="873" w:type="dxa"/>
            <w:vAlign w:val="center"/>
          </w:tcPr>
          <w:p w14:paraId="18FDB603">
            <w:pPr>
              <w:pStyle w:val="98"/>
              <w:autoSpaceDE/>
              <w:autoSpaceDN/>
              <w:adjustRightInd w:val="0"/>
              <w:snapToGrid w:val="0"/>
              <w:ind w:left="-105" w:leftChars="0" w:right="-105" w:rightChars="0"/>
              <w:rPr>
                <w:rFonts w:ascii="Times New Roman" w:hAnsi="Times New Roman" w:eastAsia="Times New Roman" w:cs="Times New Roman"/>
                <w:color w:val="auto"/>
                <w:sz w:val="21"/>
                <w:szCs w:val="21"/>
                <w:highlight w:val="none"/>
                <w:lang w:val="en-US" w:eastAsia="zh-CN" w:bidi="zh-CN"/>
              </w:rPr>
            </w:pPr>
            <w:r>
              <w:rPr>
                <w:rFonts w:eastAsia="宋体"/>
                <w:color w:val="auto"/>
                <w:sz w:val="21"/>
                <w:szCs w:val="21"/>
                <w:highlight w:val="none"/>
                <w:lang w:val="en-US"/>
              </w:rPr>
              <w:t>HW49</w:t>
            </w:r>
          </w:p>
        </w:tc>
        <w:tc>
          <w:tcPr>
            <w:tcW w:w="1270" w:type="dxa"/>
            <w:vAlign w:val="center"/>
          </w:tcPr>
          <w:p w14:paraId="690AF43D">
            <w:pPr>
              <w:pStyle w:val="98"/>
              <w:autoSpaceDE/>
              <w:autoSpaceDN/>
              <w:adjustRightInd w:val="0"/>
              <w:snapToGrid w:val="0"/>
              <w:ind w:left="-105" w:leftChars="0" w:right="-105" w:rightChars="0"/>
              <w:rPr>
                <w:rFonts w:ascii="Times New Roman" w:hAnsi="Times New Roman" w:eastAsia="Times New Roman" w:cs="Times New Roman"/>
                <w:color w:val="auto"/>
                <w:sz w:val="21"/>
                <w:szCs w:val="21"/>
                <w:highlight w:val="none"/>
                <w:lang w:val="en-US" w:eastAsia="zh-CN" w:bidi="zh-CN"/>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579" w:type="dxa"/>
            <w:vMerge w:val="continue"/>
            <w:vAlign w:val="center"/>
          </w:tcPr>
          <w:p w14:paraId="3E9903F5">
            <w:pPr>
              <w:topLinePunct/>
              <w:ind w:left="-105" w:right="-105"/>
              <w:jc w:val="center"/>
              <w:rPr>
                <w:rFonts w:ascii="Times New Roman" w:hAnsi="Times New Roman" w:cs="Times New Roman"/>
                <w:color w:val="auto"/>
                <w:sz w:val="21"/>
                <w:szCs w:val="21"/>
                <w:highlight w:val="none"/>
              </w:rPr>
            </w:pPr>
          </w:p>
        </w:tc>
        <w:tc>
          <w:tcPr>
            <w:tcW w:w="808" w:type="dxa"/>
            <w:vMerge w:val="continue"/>
            <w:vAlign w:val="center"/>
          </w:tcPr>
          <w:p w14:paraId="30853704">
            <w:pPr>
              <w:topLinePunct/>
              <w:ind w:left="-105" w:right="-105"/>
              <w:jc w:val="center"/>
              <w:rPr>
                <w:rFonts w:hint="eastAsia" w:ascii="Times New Roman" w:hAnsi="Times New Roman" w:cs="Times New Roman"/>
                <w:color w:val="auto"/>
                <w:sz w:val="21"/>
                <w:szCs w:val="21"/>
                <w:highlight w:val="none"/>
              </w:rPr>
            </w:pPr>
          </w:p>
        </w:tc>
        <w:tc>
          <w:tcPr>
            <w:tcW w:w="1119" w:type="dxa"/>
            <w:vAlign w:val="center"/>
          </w:tcPr>
          <w:p w14:paraId="7505AF76">
            <w:pPr>
              <w:topLinePunct/>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包装桶暂存</w:t>
            </w:r>
          </w:p>
        </w:tc>
        <w:tc>
          <w:tcPr>
            <w:tcW w:w="728" w:type="dxa"/>
            <w:vAlign w:val="center"/>
          </w:tcPr>
          <w:p w14:paraId="1987A4B1">
            <w:pPr>
              <w:topLinePunct/>
              <w:ind w:left="-105" w:right="-105"/>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0.02</w:t>
            </w:r>
          </w:p>
        </w:tc>
        <w:tc>
          <w:tcPr>
            <w:tcW w:w="871" w:type="dxa"/>
            <w:vAlign w:val="center"/>
          </w:tcPr>
          <w:p w14:paraId="31586F32">
            <w:pPr>
              <w:topLinePunct/>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6个月</w:t>
            </w:r>
          </w:p>
        </w:tc>
      </w:tr>
      <w:tr w14:paraId="2662D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15B358FC">
            <w:pPr>
              <w:pStyle w:val="97"/>
              <w:numPr>
                <w:ilvl w:val="0"/>
                <w:numId w:val="34"/>
              </w:numPr>
              <w:tabs>
                <w:tab w:val="left" w:pos="420"/>
              </w:tabs>
              <w:topLinePunct/>
              <w:ind w:left="-105" w:right="-105" w:firstLineChars="0"/>
              <w:jc w:val="center"/>
              <w:rPr>
                <w:rFonts w:eastAsia="宋体"/>
                <w:color w:val="auto"/>
                <w:sz w:val="21"/>
                <w:szCs w:val="21"/>
                <w:highlight w:val="none"/>
              </w:rPr>
            </w:pPr>
          </w:p>
        </w:tc>
        <w:tc>
          <w:tcPr>
            <w:tcW w:w="687" w:type="dxa"/>
            <w:vMerge w:val="continue"/>
            <w:vAlign w:val="center"/>
          </w:tcPr>
          <w:p w14:paraId="5FADA76F">
            <w:pPr>
              <w:topLinePunct/>
              <w:ind w:left="-105" w:right="-105"/>
              <w:jc w:val="center"/>
              <w:rPr>
                <w:rFonts w:ascii="Times New Roman" w:hAnsi="Times New Roman" w:cs="Times New Roman"/>
                <w:color w:val="auto"/>
                <w:sz w:val="21"/>
                <w:szCs w:val="21"/>
                <w:highlight w:val="none"/>
              </w:rPr>
            </w:pPr>
          </w:p>
        </w:tc>
        <w:tc>
          <w:tcPr>
            <w:tcW w:w="1360" w:type="dxa"/>
            <w:vAlign w:val="center"/>
          </w:tcPr>
          <w:p w14:paraId="1DC3E4B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废实验耗材</w:t>
            </w:r>
          </w:p>
        </w:tc>
        <w:tc>
          <w:tcPr>
            <w:tcW w:w="873" w:type="dxa"/>
            <w:vAlign w:val="center"/>
          </w:tcPr>
          <w:p w14:paraId="4FBC3A1D">
            <w:pPr>
              <w:pStyle w:val="98"/>
              <w:autoSpaceDE/>
              <w:autoSpaceDN/>
              <w:adjustRightInd w:val="0"/>
              <w:snapToGrid w:val="0"/>
              <w:ind w:left="-105" w:right="-105"/>
              <w:rPr>
                <w:color w:val="auto"/>
                <w:sz w:val="21"/>
                <w:szCs w:val="21"/>
                <w:highlight w:val="none"/>
              </w:rPr>
            </w:pPr>
            <w:r>
              <w:rPr>
                <w:rFonts w:eastAsia="宋体"/>
                <w:color w:val="auto"/>
                <w:sz w:val="21"/>
                <w:szCs w:val="21"/>
                <w:highlight w:val="none"/>
                <w:lang w:val="en-US"/>
              </w:rPr>
              <w:t>HW49</w:t>
            </w:r>
          </w:p>
        </w:tc>
        <w:tc>
          <w:tcPr>
            <w:tcW w:w="1270" w:type="dxa"/>
            <w:vAlign w:val="center"/>
          </w:tcPr>
          <w:p w14:paraId="2537624E">
            <w:pPr>
              <w:pStyle w:val="98"/>
              <w:autoSpaceDE/>
              <w:autoSpaceDN/>
              <w:adjustRightInd w:val="0"/>
              <w:snapToGrid w:val="0"/>
              <w:ind w:left="-105" w:right="-105"/>
              <w:rPr>
                <w:color w:val="auto"/>
                <w:sz w:val="21"/>
                <w:szCs w:val="21"/>
                <w:highlight w:val="none"/>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579" w:type="dxa"/>
            <w:vMerge w:val="continue"/>
            <w:vAlign w:val="center"/>
          </w:tcPr>
          <w:p w14:paraId="0AC6BAD9">
            <w:pPr>
              <w:topLinePunct/>
              <w:ind w:left="-105" w:right="-105"/>
              <w:jc w:val="center"/>
              <w:rPr>
                <w:rFonts w:ascii="Times New Roman" w:hAnsi="Times New Roman" w:cs="Times New Roman"/>
                <w:color w:val="auto"/>
                <w:sz w:val="21"/>
                <w:szCs w:val="21"/>
                <w:highlight w:val="none"/>
              </w:rPr>
            </w:pPr>
          </w:p>
        </w:tc>
        <w:tc>
          <w:tcPr>
            <w:tcW w:w="808" w:type="dxa"/>
            <w:vMerge w:val="continue"/>
            <w:vAlign w:val="center"/>
          </w:tcPr>
          <w:p w14:paraId="35897688">
            <w:pPr>
              <w:topLinePunct/>
              <w:ind w:left="-105" w:right="-105"/>
              <w:jc w:val="center"/>
              <w:rPr>
                <w:rFonts w:ascii="Times New Roman" w:hAnsi="Times New Roman" w:cs="Times New Roman"/>
                <w:color w:val="auto"/>
                <w:sz w:val="21"/>
                <w:szCs w:val="21"/>
                <w:highlight w:val="none"/>
              </w:rPr>
            </w:pPr>
          </w:p>
        </w:tc>
        <w:tc>
          <w:tcPr>
            <w:tcW w:w="1119" w:type="dxa"/>
            <w:vAlign w:val="center"/>
          </w:tcPr>
          <w:p w14:paraId="5E0785DA">
            <w:pPr>
              <w:topLinePunct/>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28" w:type="dxa"/>
            <w:vAlign w:val="center"/>
          </w:tcPr>
          <w:p w14:paraId="5BEE058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871" w:type="dxa"/>
            <w:vAlign w:val="center"/>
          </w:tcPr>
          <w:p w14:paraId="7548E227">
            <w:pPr>
              <w:ind w:left="-60" w:leftChars="-25" w:right="-60" w:rightChars="-2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ascii="Times New Roman" w:hAnsi="Times New Roman" w:cs="Times New Roman"/>
                <w:color w:val="auto"/>
                <w:sz w:val="21"/>
                <w:szCs w:val="21"/>
                <w:highlight w:val="none"/>
              </w:rPr>
              <w:t>个月</w:t>
            </w:r>
          </w:p>
        </w:tc>
      </w:tr>
      <w:tr w14:paraId="613AA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3343A29C">
            <w:pPr>
              <w:pStyle w:val="97"/>
              <w:numPr>
                <w:ilvl w:val="0"/>
                <w:numId w:val="34"/>
              </w:numPr>
              <w:tabs>
                <w:tab w:val="left" w:pos="420"/>
              </w:tabs>
              <w:topLinePunct/>
              <w:ind w:left="-105" w:right="-105" w:firstLineChars="0"/>
              <w:jc w:val="center"/>
              <w:rPr>
                <w:rFonts w:eastAsia="宋体"/>
                <w:color w:val="auto"/>
                <w:sz w:val="21"/>
                <w:szCs w:val="21"/>
                <w:highlight w:val="none"/>
              </w:rPr>
            </w:pPr>
          </w:p>
        </w:tc>
        <w:tc>
          <w:tcPr>
            <w:tcW w:w="687" w:type="dxa"/>
            <w:vMerge w:val="continue"/>
            <w:vAlign w:val="center"/>
          </w:tcPr>
          <w:p w14:paraId="2229414B">
            <w:pPr>
              <w:topLinePunct/>
              <w:ind w:left="-105" w:right="-105"/>
              <w:jc w:val="center"/>
              <w:rPr>
                <w:rFonts w:ascii="Times New Roman" w:hAnsi="Times New Roman" w:cs="Times New Roman"/>
                <w:color w:val="auto"/>
                <w:sz w:val="21"/>
                <w:szCs w:val="21"/>
                <w:highlight w:val="none"/>
              </w:rPr>
            </w:pPr>
          </w:p>
        </w:tc>
        <w:tc>
          <w:tcPr>
            <w:tcW w:w="1360" w:type="dxa"/>
            <w:vAlign w:val="center"/>
          </w:tcPr>
          <w:p w14:paraId="78C1B267">
            <w:pPr>
              <w:ind w:left="-105" w:right="-105"/>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18"/>
                <w:highlight w:val="none"/>
              </w:rPr>
              <w:t>废包装桶</w:t>
            </w:r>
            <w:r>
              <w:rPr>
                <w:rFonts w:hint="eastAsia" w:ascii="Times New Roman" w:hAnsi="Times New Roman" w:cs="Times New Roman"/>
                <w:color w:val="auto"/>
                <w:sz w:val="21"/>
                <w:szCs w:val="18"/>
                <w:highlight w:val="none"/>
                <w:lang w:eastAsia="zh-CN"/>
              </w:rPr>
              <w:t>（</w:t>
            </w:r>
            <w:r>
              <w:rPr>
                <w:rFonts w:hint="eastAsia" w:ascii="Times New Roman" w:hAnsi="Times New Roman" w:cs="Times New Roman"/>
                <w:color w:val="auto"/>
                <w:sz w:val="21"/>
                <w:szCs w:val="18"/>
                <w:highlight w:val="none"/>
                <w:lang w:val="en-US" w:eastAsia="zh-CN"/>
              </w:rPr>
              <w:t>瓶</w:t>
            </w:r>
            <w:r>
              <w:rPr>
                <w:rFonts w:hint="eastAsia" w:ascii="Times New Roman" w:hAnsi="Times New Roman" w:cs="Times New Roman"/>
                <w:color w:val="auto"/>
                <w:sz w:val="21"/>
                <w:szCs w:val="18"/>
                <w:highlight w:val="none"/>
                <w:lang w:eastAsia="zh-CN"/>
              </w:rPr>
              <w:t>）</w:t>
            </w:r>
          </w:p>
        </w:tc>
        <w:tc>
          <w:tcPr>
            <w:tcW w:w="873" w:type="dxa"/>
            <w:vAlign w:val="center"/>
          </w:tcPr>
          <w:p w14:paraId="08136670">
            <w:pPr>
              <w:pStyle w:val="98"/>
              <w:autoSpaceDE/>
              <w:autoSpaceDN/>
              <w:adjustRightInd w:val="0"/>
              <w:snapToGrid w:val="0"/>
              <w:ind w:left="-105" w:right="-105"/>
              <w:rPr>
                <w:bCs/>
                <w:color w:val="auto"/>
                <w:sz w:val="21"/>
                <w:szCs w:val="21"/>
                <w:highlight w:val="none"/>
              </w:rPr>
            </w:pPr>
            <w:r>
              <w:rPr>
                <w:rFonts w:eastAsia="宋体"/>
                <w:color w:val="auto"/>
                <w:sz w:val="21"/>
                <w:szCs w:val="21"/>
                <w:highlight w:val="none"/>
                <w:lang w:val="en-US"/>
              </w:rPr>
              <w:t>HW49</w:t>
            </w:r>
          </w:p>
        </w:tc>
        <w:tc>
          <w:tcPr>
            <w:tcW w:w="1270" w:type="dxa"/>
            <w:vAlign w:val="center"/>
          </w:tcPr>
          <w:p w14:paraId="24C57CEC">
            <w:pPr>
              <w:pStyle w:val="98"/>
              <w:autoSpaceDE/>
              <w:autoSpaceDN/>
              <w:adjustRightInd w:val="0"/>
              <w:snapToGrid w:val="0"/>
              <w:ind w:left="-105" w:right="-105"/>
              <w:rPr>
                <w:color w:val="auto"/>
                <w:sz w:val="21"/>
                <w:szCs w:val="21"/>
                <w:highlight w:val="none"/>
              </w:rPr>
            </w:pPr>
            <w:r>
              <w:rPr>
                <w:rFonts w:eastAsia="宋体"/>
                <w:color w:val="auto"/>
                <w:sz w:val="21"/>
                <w:szCs w:val="21"/>
                <w:highlight w:val="none"/>
                <w:lang w:val="en-US"/>
              </w:rPr>
              <w:t>900-041-49</w:t>
            </w:r>
          </w:p>
        </w:tc>
        <w:tc>
          <w:tcPr>
            <w:tcW w:w="579" w:type="dxa"/>
            <w:vMerge w:val="continue"/>
            <w:vAlign w:val="center"/>
          </w:tcPr>
          <w:p w14:paraId="5E53E394">
            <w:pPr>
              <w:topLinePunct/>
              <w:ind w:left="-105" w:right="-105"/>
              <w:jc w:val="center"/>
              <w:rPr>
                <w:rFonts w:ascii="Times New Roman" w:hAnsi="Times New Roman" w:cs="Times New Roman"/>
                <w:color w:val="auto"/>
                <w:sz w:val="21"/>
                <w:szCs w:val="21"/>
                <w:highlight w:val="none"/>
              </w:rPr>
            </w:pPr>
          </w:p>
        </w:tc>
        <w:tc>
          <w:tcPr>
            <w:tcW w:w="808" w:type="dxa"/>
            <w:vMerge w:val="continue"/>
            <w:vAlign w:val="center"/>
          </w:tcPr>
          <w:p w14:paraId="4441BABE">
            <w:pPr>
              <w:topLinePunct/>
              <w:ind w:left="-105" w:right="-105"/>
              <w:jc w:val="center"/>
              <w:rPr>
                <w:rFonts w:ascii="Times New Roman" w:hAnsi="Times New Roman" w:cs="Times New Roman"/>
                <w:color w:val="auto"/>
                <w:sz w:val="21"/>
                <w:szCs w:val="21"/>
                <w:highlight w:val="none"/>
              </w:rPr>
            </w:pPr>
          </w:p>
        </w:tc>
        <w:tc>
          <w:tcPr>
            <w:tcW w:w="1119" w:type="dxa"/>
            <w:vAlign w:val="center"/>
          </w:tcPr>
          <w:p w14:paraId="7E467BE0">
            <w:pPr>
              <w:topLinePunct/>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28" w:type="dxa"/>
            <w:vAlign w:val="center"/>
          </w:tcPr>
          <w:p w14:paraId="581D432F">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15.35</w:t>
            </w:r>
          </w:p>
        </w:tc>
        <w:tc>
          <w:tcPr>
            <w:tcW w:w="871" w:type="dxa"/>
            <w:vAlign w:val="center"/>
          </w:tcPr>
          <w:p w14:paraId="6F902EFF">
            <w:pPr>
              <w:ind w:left="-60" w:leftChars="-25" w:right="-60" w:rightChars="-2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1个月</w:t>
            </w:r>
          </w:p>
        </w:tc>
      </w:tr>
      <w:tr w14:paraId="1C766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0FEECF09">
            <w:pPr>
              <w:pStyle w:val="97"/>
              <w:numPr>
                <w:ilvl w:val="0"/>
                <w:numId w:val="34"/>
              </w:numPr>
              <w:tabs>
                <w:tab w:val="left" w:pos="420"/>
              </w:tabs>
              <w:topLinePunct/>
              <w:ind w:left="-105" w:right="-105" w:firstLineChars="0"/>
              <w:jc w:val="center"/>
              <w:rPr>
                <w:rFonts w:eastAsia="宋体"/>
                <w:color w:val="auto"/>
                <w:sz w:val="21"/>
                <w:szCs w:val="21"/>
                <w:highlight w:val="none"/>
              </w:rPr>
            </w:pPr>
          </w:p>
        </w:tc>
        <w:tc>
          <w:tcPr>
            <w:tcW w:w="687" w:type="dxa"/>
            <w:vMerge w:val="continue"/>
            <w:vAlign w:val="center"/>
          </w:tcPr>
          <w:p w14:paraId="0E0598BA">
            <w:pPr>
              <w:ind w:left="-105" w:right="-105"/>
              <w:jc w:val="center"/>
              <w:rPr>
                <w:rFonts w:ascii="Times New Roman" w:hAnsi="Times New Roman" w:cs="Times New Roman"/>
                <w:color w:val="auto"/>
                <w:sz w:val="21"/>
                <w:szCs w:val="21"/>
                <w:highlight w:val="none"/>
              </w:rPr>
            </w:pPr>
          </w:p>
        </w:tc>
        <w:tc>
          <w:tcPr>
            <w:tcW w:w="1360" w:type="dxa"/>
            <w:vAlign w:val="center"/>
          </w:tcPr>
          <w:p w14:paraId="1A0E4AB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废包装袋</w:t>
            </w:r>
          </w:p>
        </w:tc>
        <w:tc>
          <w:tcPr>
            <w:tcW w:w="873" w:type="dxa"/>
            <w:vAlign w:val="center"/>
          </w:tcPr>
          <w:p w14:paraId="6B590E1A">
            <w:pPr>
              <w:pStyle w:val="98"/>
              <w:autoSpaceDE/>
              <w:autoSpaceDN/>
              <w:adjustRightInd w:val="0"/>
              <w:snapToGrid w:val="0"/>
              <w:ind w:left="-105" w:right="-105"/>
              <w:rPr>
                <w:bCs/>
                <w:color w:val="auto"/>
                <w:sz w:val="21"/>
                <w:szCs w:val="21"/>
                <w:highlight w:val="none"/>
              </w:rPr>
            </w:pPr>
            <w:r>
              <w:rPr>
                <w:rFonts w:eastAsia="宋体"/>
                <w:color w:val="auto"/>
                <w:sz w:val="21"/>
                <w:szCs w:val="21"/>
                <w:highlight w:val="none"/>
                <w:lang w:val="en-US"/>
              </w:rPr>
              <w:t>HW49</w:t>
            </w:r>
          </w:p>
        </w:tc>
        <w:tc>
          <w:tcPr>
            <w:tcW w:w="1270" w:type="dxa"/>
            <w:vAlign w:val="center"/>
          </w:tcPr>
          <w:p w14:paraId="267224DA">
            <w:pPr>
              <w:pStyle w:val="98"/>
              <w:autoSpaceDE/>
              <w:autoSpaceDN/>
              <w:adjustRightInd w:val="0"/>
              <w:snapToGrid w:val="0"/>
              <w:ind w:left="-105" w:right="-105"/>
              <w:rPr>
                <w:bCs/>
                <w:color w:val="auto"/>
                <w:sz w:val="21"/>
                <w:szCs w:val="21"/>
                <w:highlight w:val="none"/>
              </w:rPr>
            </w:pPr>
            <w:r>
              <w:rPr>
                <w:rFonts w:eastAsia="宋体"/>
                <w:color w:val="auto"/>
                <w:sz w:val="21"/>
                <w:szCs w:val="21"/>
                <w:highlight w:val="none"/>
                <w:lang w:val="en-US"/>
              </w:rPr>
              <w:t>900-041-49</w:t>
            </w:r>
          </w:p>
        </w:tc>
        <w:tc>
          <w:tcPr>
            <w:tcW w:w="579" w:type="dxa"/>
            <w:vMerge w:val="continue"/>
            <w:vAlign w:val="center"/>
          </w:tcPr>
          <w:p w14:paraId="622848BD">
            <w:pPr>
              <w:ind w:left="-105" w:right="-105"/>
              <w:jc w:val="center"/>
              <w:rPr>
                <w:rFonts w:ascii="Times New Roman" w:hAnsi="Times New Roman" w:cs="Times New Roman"/>
                <w:color w:val="auto"/>
                <w:sz w:val="21"/>
                <w:szCs w:val="21"/>
                <w:highlight w:val="none"/>
              </w:rPr>
            </w:pPr>
          </w:p>
        </w:tc>
        <w:tc>
          <w:tcPr>
            <w:tcW w:w="808" w:type="dxa"/>
            <w:vMerge w:val="continue"/>
            <w:vAlign w:val="center"/>
          </w:tcPr>
          <w:p w14:paraId="1A76313E">
            <w:pPr>
              <w:ind w:left="-105" w:right="-105"/>
              <w:jc w:val="center"/>
              <w:rPr>
                <w:rFonts w:ascii="Times New Roman" w:hAnsi="Times New Roman" w:cs="Times New Roman"/>
                <w:color w:val="auto"/>
                <w:sz w:val="21"/>
                <w:szCs w:val="21"/>
                <w:highlight w:val="none"/>
              </w:rPr>
            </w:pPr>
          </w:p>
        </w:tc>
        <w:tc>
          <w:tcPr>
            <w:tcW w:w="1119" w:type="dxa"/>
            <w:vAlign w:val="center"/>
          </w:tcPr>
          <w:p w14:paraId="5E37B710">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28" w:type="dxa"/>
            <w:vAlign w:val="center"/>
          </w:tcPr>
          <w:p w14:paraId="0C22955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w:t>
            </w:r>
          </w:p>
        </w:tc>
        <w:tc>
          <w:tcPr>
            <w:tcW w:w="871" w:type="dxa"/>
            <w:vAlign w:val="center"/>
          </w:tcPr>
          <w:p w14:paraId="3CF26402">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1个月</w:t>
            </w:r>
          </w:p>
        </w:tc>
      </w:tr>
      <w:tr w14:paraId="6155C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53C32226">
            <w:pPr>
              <w:pStyle w:val="97"/>
              <w:numPr>
                <w:ilvl w:val="0"/>
                <w:numId w:val="34"/>
              </w:numPr>
              <w:tabs>
                <w:tab w:val="left" w:pos="420"/>
              </w:tabs>
              <w:topLinePunct/>
              <w:ind w:left="-105" w:right="-105" w:firstLineChars="0"/>
              <w:jc w:val="center"/>
              <w:rPr>
                <w:rFonts w:eastAsia="宋体"/>
                <w:color w:val="auto"/>
                <w:sz w:val="21"/>
                <w:szCs w:val="21"/>
                <w:highlight w:val="none"/>
              </w:rPr>
            </w:pPr>
          </w:p>
        </w:tc>
        <w:tc>
          <w:tcPr>
            <w:tcW w:w="687" w:type="dxa"/>
            <w:vMerge w:val="continue"/>
            <w:vAlign w:val="center"/>
          </w:tcPr>
          <w:p w14:paraId="758C22B5">
            <w:pPr>
              <w:ind w:left="-105" w:right="-105"/>
              <w:jc w:val="center"/>
              <w:rPr>
                <w:rFonts w:ascii="Times New Roman" w:hAnsi="Times New Roman" w:cs="Times New Roman"/>
                <w:color w:val="auto"/>
                <w:sz w:val="21"/>
                <w:szCs w:val="21"/>
                <w:highlight w:val="none"/>
              </w:rPr>
            </w:pPr>
          </w:p>
        </w:tc>
        <w:tc>
          <w:tcPr>
            <w:tcW w:w="1360" w:type="dxa"/>
            <w:vAlign w:val="center"/>
          </w:tcPr>
          <w:p w14:paraId="5AAE7EC8">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18"/>
                <w:highlight w:val="none"/>
              </w:rPr>
              <w:t>废活性炭</w:t>
            </w:r>
          </w:p>
        </w:tc>
        <w:tc>
          <w:tcPr>
            <w:tcW w:w="873" w:type="dxa"/>
            <w:vAlign w:val="center"/>
          </w:tcPr>
          <w:p w14:paraId="7E1B552E">
            <w:pPr>
              <w:pStyle w:val="98"/>
              <w:autoSpaceDE/>
              <w:autoSpaceDN/>
              <w:adjustRightInd w:val="0"/>
              <w:snapToGrid w:val="0"/>
              <w:ind w:left="-105" w:right="-105"/>
              <w:rPr>
                <w:color w:val="auto"/>
                <w:sz w:val="21"/>
                <w:szCs w:val="21"/>
                <w:highlight w:val="none"/>
              </w:rPr>
            </w:pPr>
            <w:r>
              <w:rPr>
                <w:rFonts w:eastAsia="宋体"/>
                <w:color w:val="auto"/>
                <w:sz w:val="21"/>
                <w:szCs w:val="21"/>
                <w:highlight w:val="none"/>
                <w:lang w:val="en-US"/>
              </w:rPr>
              <w:t>HW49</w:t>
            </w:r>
          </w:p>
        </w:tc>
        <w:tc>
          <w:tcPr>
            <w:tcW w:w="1270" w:type="dxa"/>
            <w:vAlign w:val="center"/>
          </w:tcPr>
          <w:p w14:paraId="6FBBA7E5">
            <w:pPr>
              <w:pStyle w:val="98"/>
              <w:autoSpaceDE/>
              <w:autoSpaceDN/>
              <w:adjustRightInd w:val="0"/>
              <w:snapToGrid w:val="0"/>
              <w:ind w:left="-105" w:right="-105"/>
              <w:rPr>
                <w:color w:val="auto"/>
                <w:sz w:val="21"/>
                <w:szCs w:val="21"/>
                <w:highlight w:val="none"/>
              </w:rPr>
            </w:pPr>
            <w:r>
              <w:rPr>
                <w:rFonts w:eastAsia="宋体"/>
                <w:color w:val="auto"/>
                <w:sz w:val="21"/>
                <w:szCs w:val="21"/>
                <w:highlight w:val="none"/>
                <w:lang w:val="en-US"/>
              </w:rPr>
              <w:t>900-0</w:t>
            </w:r>
            <w:r>
              <w:rPr>
                <w:rFonts w:hint="eastAsia" w:eastAsia="宋体"/>
                <w:color w:val="auto"/>
                <w:sz w:val="21"/>
                <w:szCs w:val="21"/>
                <w:highlight w:val="none"/>
                <w:lang w:val="en-US"/>
              </w:rPr>
              <w:t>39</w:t>
            </w:r>
            <w:r>
              <w:rPr>
                <w:rFonts w:eastAsia="宋体"/>
                <w:color w:val="auto"/>
                <w:sz w:val="21"/>
                <w:szCs w:val="21"/>
                <w:highlight w:val="none"/>
                <w:lang w:val="en-US"/>
              </w:rPr>
              <w:t>-49</w:t>
            </w:r>
          </w:p>
        </w:tc>
        <w:tc>
          <w:tcPr>
            <w:tcW w:w="579" w:type="dxa"/>
            <w:vMerge w:val="continue"/>
            <w:vAlign w:val="center"/>
          </w:tcPr>
          <w:p w14:paraId="11CC8AE8">
            <w:pPr>
              <w:ind w:left="-105" w:right="-105"/>
              <w:jc w:val="center"/>
              <w:rPr>
                <w:rFonts w:ascii="Times New Roman" w:hAnsi="Times New Roman" w:cs="Times New Roman"/>
                <w:color w:val="auto"/>
                <w:sz w:val="21"/>
                <w:szCs w:val="21"/>
                <w:highlight w:val="none"/>
              </w:rPr>
            </w:pPr>
          </w:p>
        </w:tc>
        <w:tc>
          <w:tcPr>
            <w:tcW w:w="808" w:type="dxa"/>
            <w:vMerge w:val="continue"/>
            <w:vAlign w:val="center"/>
          </w:tcPr>
          <w:p w14:paraId="21056737">
            <w:pPr>
              <w:ind w:left="-105" w:right="-105"/>
              <w:jc w:val="center"/>
              <w:rPr>
                <w:rFonts w:ascii="Times New Roman" w:hAnsi="Times New Roman" w:cs="Times New Roman"/>
                <w:color w:val="auto"/>
                <w:sz w:val="21"/>
                <w:szCs w:val="21"/>
                <w:highlight w:val="none"/>
              </w:rPr>
            </w:pPr>
          </w:p>
        </w:tc>
        <w:tc>
          <w:tcPr>
            <w:tcW w:w="1119" w:type="dxa"/>
            <w:vAlign w:val="center"/>
          </w:tcPr>
          <w:p w14:paraId="1709C5A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吨袋暂存</w:t>
            </w:r>
          </w:p>
        </w:tc>
        <w:tc>
          <w:tcPr>
            <w:tcW w:w="728" w:type="dxa"/>
            <w:vAlign w:val="center"/>
          </w:tcPr>
          <w:p w14:paraId="2BFEF409">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18.4089</w:t>
            </w:r>
          </w:p>
        </w:tc>
        <w:tc>
          <w:tcPr>
            <w:tcW w:w="871" w:type="dxa"/>
            <w:vAlign w:val="center"/>
          </w:tcPr>
          <w:p w14:paraId="42C3246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rPr>
              <w:t>5天</w:t>
            </w:r>
          </w:p>
        </w:tc>
      </w:tr>
      <w:tr w14:paraId="47FDD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056579C2">
            <w:pPr>
              <w:pStyle w:val="97"/>
              <w:numPr>
                <w:ilvl w:val="0"/>
                <w:numId w:val="34"/>
              </w:numPr>
              <w:tabs>
                <w:tab w:val="left" w:pos="420"/>
              </w:tabs>
              <w:topLinePunct/>
              <w:ind w:left="-105" w:right="-105" w:firstLineChars="0"/>
              <w:jc w:val="center"/>
              <w:rPr>
                <w:rFonts w:eastAsia="宋体"/>
                <w:color w:val="auto"/>
                <w:sz w:val="21"/>
                <w:szCs w:val="21"/>
                <w:highlight w:val="none"/>
              </w:rPr>
            </w:pPr>
          </w:p>
        </w:tc>
        <w:tc>
          <w:tcPr>
            <w:tcW w:w="687" w:type="dxa"/>
            <w:vAlign w:val="center"/>
          </w:tcPr>
          <w:p w14:paraId="3DC32D42">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废液储罐</w:t>
            </w:r>
          </w:p>
        </w:tc>
        <w:tc>
          <w:tcPr>
            <w:tcW w:w="1360" w:type="dxa"/>
            <w:vAlign w:val="center"/>
          </w:tcPr>
          <w:p w14:paraId="0AFF9715">
            <w:pPr>
              <w:ind w:left="-105" w:right="-105"/>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实验室清洗废水</w:t>
            </w:r>
          </w:p>
        </w:tc>
        <w:tc>
          <w:tcPr>
            <w:tcW w:w="873" w:type="dxa"/>
            <w:vAlign w:val="center"/>
          </w:tcPr>
          <w:p w14:paraId="0F7670A7">
            <w:pPr>
              <w:pStyle w:val="98"/>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sz w:val="21"/>
                <w:szCs w:val="21"/>
                <w:highlight w:val="none"/>
              </w:rPr>
            </w:pPr>
            <w:r>
              <w:rPr>
                <w:rFonts w:eastAsia="宋体"/>
                <w:color w:val="auto"/>
                <w:sz w:val="21"/>
                <w:szCs w:val="21"/>
                <w:highlight w:val="none"/>
                <w:lang w:val="en-US"/>
              </w:rPr>
              <w:t>HW49</w:t>
            </w:r>
          </w:p>
        </w:tc>
        <w:tc>
          <w:tcPr>
            <w:tcW w:w="1270" w:type="dxa"/>
            <w:vAlign w:val="center"/>
          </w:tcPr>
          <w:p w14:paraId="34A9D9F8">
            <w:pPr>
              <w:pStyle w:val="98"/>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sz w:val="21"/>
                <w:szCs w:val="21"/>
                <w:highlight w:val="none"/>
              </w:rPr>
            </w:pPr>
            <w:r>
              <w:rPr>
                <w:rFonts w:eastAsia="宋体"/>
                <w:color w:val="auto"/>
                <w:sz w:val="21"/>
                <w:szCs w:val="21"/>
                <w:highlight w:val="none"/>
                <w:lang w:val="en-US"/>
              </w:rPr>
              <w:t>900-04</w:t>
            </w:r>
            <w:r>
              <w:rPr>
                <w:rFonts w:hint="eastAsia" w:eastAsia="宋体"/>
                <w:color w:val="auto"/>
                <w:sz w:val="21"/>
                <w:szCs w:val="21"/>
                <w:highlight w:val="none"/>
                <w:lang w:val="en-US"/>
              </w:rPr>
              <w:t>7</w:t>
            </w:r>
            <w:r>
              <w:rPr>
                <w:rFonts w:eastAsia="宋体"/>
                <w:color w:val="auto"/>
                <w:sz w:val="21"/>
                <w:szCs w:val="21"/>
                <w:highlight w:val="none"/>
                <w:lang w:val="en-US"/>
              </w:rPr>
              <w:t>-49</w:t>
            </w:r>
          </w:p>
        </w:tc>
        <w:tc>
          <w:tcPr>
            <w:tcW w:w="579" w:type="dxa"/>
            <w:vAlign w:val="center"/>
          </w:tcPr>
          <w:p w14:paraId="59791DF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厂区西侧</w:t>
            </w:r>
          </w:p>
        </w:tc>
        <w:tc>
          <w:tcPr>
            <w:tcW w:w="808" w:type="dxa"/>
            <w:vAlign w:val="center"/>
          </w:tcPr>
          <w:p w14:paraId="57ED0508">
            <w:pPr>
              <w:ind w:left="-105" w:right="-105"/>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2×20m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，1×15m</w:t>
            </w:r>
            <w:r>
              <w:rPr>
                <w:rFonts w:hint="eastAsia" w:ascii="Times New Roman" w:hAnsi="Times New Roman"/>
                <w:color w:val="auto"/>
                <w:sz w:val="21"/>
                <w:szCs w:val="21"/>
                <w:highlight w:val="none"/>
                <w:vertAlign w:val="superscript"/>
              </w:rPr>
              <w:t>3</w:t>
            </w:r>
          </w:p>
        </w:tc>
        <w:tc>
          <w:tcPr>
            <w:tcW w:w="1119" w:type="dxa"/>
            <w:vAlign w:val="center"/>
          </w:tcPr>
          <w:p w14:paraId="335DE9E5">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储罐</w:t>
            </w:r>
            <w:r>
              <w:rPr>
                <w:rFonts w:ascii="Times New Roman" w:hAnsi="Times New Roman" w:cs="Times New Roman"/>
                <w:color w:val="auto"/>
                <w:sz w:val="21"/>
                <w:szCs w:val="21"/>
                <w:highlight w:val="none"/>
              </w:rPr>
              <w:t>暂存</w:t>
            </w:r>
          </w:p>
        </w:tc>
        <w:tc>
          <w:tcPr>
            <w:tcW w:w="728" w:type="dxa"/>
            <w:vAlign w:val="center"/>
          </w:tcPr>
          <w:p w14:paraId="70494650">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871" w:type="dxa"/>
            <w:vAlign w:val="center"/>
          </w:tcPr>
          <w:p w14:paraId="0274012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1个月</w:t>
            </w:r>
          </w:p>
        </w:tc>
      </w:tr>
    </w:tbl>
    <w:p w14:paraId="5E821594">
      <w:pPr>
        <w:adjustRightInd w:val="0"/>
        <w:snapToGrid w:val="0"/>
        <w:spacing w:line="360" w:lineRule="auto"/>
        <w:ind w:left="-105" w:right="-105" w:firstLine="504" w:firstLineChars="200"/>
        <w:jc w:val="both"/>
        <w:rPr>
          <w:rFonts w:ascii="Times New Roman" w:hAnsi="Times New Roman" w:cs="Times New Roman"/>
          <w:color w:val="auto"/>
          <w:spacing w:val="6"/>
          <w:highlight w:val="none"/>
        </w:rPr>
      </w:pPr>
      <w:r>
        <w:rPr>
          <w:rFonts w:ascii="Times New Roman" w:hAnsi="Times New Roman" w:cs="Times New Roman"/>
          <w:color w:val="auto"/>
          <w:spacing w:val="6"/>
          <w:highlight w:val="none"/>
        </w:rPr>
        <w:t>厂区内危险废物暂存场地的设置应按《危险废物贮存污染控制标准》(GB18597-2023)、《省生态环境厅关于印发江苏省危险废物贮存规范化管理专项整治行动方案的通知》（苏环办[2019]149号）和</w:t>
      </w:r>
      <w:r>
        <w:rPr>
          <w:rFonts w:hint="eastAsia" w:ascii="Times New Roman" w:hAnsi="Times New Roman" w:cs="Times New Roman"/>
          <w:color w:val="auto"/>
          <w:szCs w:val="28"/>
          <w:highlight w:val="none"/>
          <w:lang w:val="zh-CN"/>
        </w:rPr>
        <w:t>《省生态环境厅关于印发</w:t>
      </w:r>
      <w:r>
        <w:rPr>
          <w:rFonts w:hint="eastAsia" w:ascii="Times New Roman" w:hAnsi="Times New Roman" w:cs="Times New Roman"/>
          <w:color w:val="auto"/>
          <w:szCs w:val="28"/>
          <w:highlight w:val="none"/>
        </w:rPr>
        <w:t>&lt;</w:t>
      </w:r>
      <w:r>
        <w:rPr>
          <w:rFonts w:hint="eastAsia" w:ascii="Times New Roman" w:hAnsi="Times New Roman" w:cs="Times New Roman"/>
          <w:color w:val="auto"/>
          <w:szCs w:val="28"/>
          <w:highlight w:val="none"/>
          <w:lang w:val="zh-CN"/>
        </w:rPr>
        <w:t>江苏省固体废物全过程环境监管工作意见</w:t>
      </w:r>
      <w:r>
        <w:rPr>
          <w:rFonts w:hint="eastAsia" w:ascii="Times New Roman" w:hAnsi="Times New Roman" w:cs="Times New Roman"/>
          <w:color w:val="auto"/>
          <w:szCs w:val="28"/>
          <w:highlight w:val="none"/>
        </w:rPr>
        <w:t>&gt;</w:t>
      </w:r>
      <w:r>
        <w:rPr>
          <w:rFonts w:hint="eastAsia" w:ascii="Times New Roman" w:hAnsi="Times New Roman" w:cs="Times New Roman"/>
          <w:color w:val="auto"/>
          <w:szCs w:val="28"/>
          <w:highlight w:val="none"/>
          <w:lang w:val="zh-CN"/>
        </w:rPr>
        <w:t>的通知（苏环办〔2024〕16号）》</w:t>
      </w:r>
      <w:r>
        <w:rPr>
          <w:rFonts w:ascii="Times New Roman" w:hAnsi="Times New Roman" w:cs="Times New Roman"/>
          <w:color w:val="auto"/>
          <w:spacing w:val="6"/>
          <w:highlight w:val="none"/>
        </w:rPr>
        <w:t>要求设置，要求做到以下几点：</w:t>
      </w:r>
    </w:p>
    <w:p w14:paraId="58FAF8B7">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（1）贮存场所设置危险废物明显标志，危险废物暂存场所应设有符合环境保护的专用标志。</w:t>
      </w:r>
    </w:p>
    <w:p w14:paraId="1B40E95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（2）贮存区内禁止混放不相容危险废物。</w:t>
      </w:r>
    </w:p>
    <w:p w14:paraId="6FB42146">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（3）贮存区考虑相应的集排水和防渗设施。</w:t>
      </w:r>
    </w:p>
    <w:p w14:paraId="1531F220">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（4）贮存区符合消防要求。</w:t>
      </w:r>
    </w:p>
    <w:p w14:paraId="38437976">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（5）贮存容器必须有明显标志，具有耐腐蚀、耐压、密封和不与所贮存的废物发生发应等特性。</w:t>
      </w:r>
    </w:p>
    <w:p w14:paraId="04B9988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（6）危险废物的储存容器均应具有耐腐蚀、耐压、密封和不与所贮存的废物发生反应等特性</w:t>
      </w:r>
    </w:p>
    <w:p w14:paraId="21FD2C7E">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（7）贮存容器保证完好无损并具有明显标志</w:t>
      </w:r>
    </w:p>
    <w:p w14:paraId="36DFBBA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（8）按照《危险废物贮存污染控制标准》（GB18597-2023）的要求，基础防渗层为至少1m厚粘土层（渗透系数≤10</w:t>
      </w:r>
      <w:r>
        <w:rPr>
          <w:rFonts w:ascii="Times New Roman" w:hAnsi="Times New Roman" w:cs="Times New Roman"/>
          <w:color w:val="auto"/>
          <w:highlight w:val="none"/>
          <w:vertAlign w:val="superscript"/>
        </w:rPr>
        <w:t>-7</w:t>
      </w:r>
      <w:r>
        <w:rPr>
          <w:rFonts w:ascii="Times New Roman" w:hAnsi="Times New Roman" w:cs="Times New Roman"/>
          <w:color w:val="auto"/>
          <w:highlight w:val="none"/>
        </w:rPr>
        <w:t>cm/s），或2mm厚高密度聚乙烯</w:t>
      </w:r>
      <w:r>
        <w:rPr>
          <w:rFonts w:hint="eastAsia" w:ascii="Times New Roman" w:hAnsi="Times New Roman" w:cs="Times New Roman"/>
          <w:color w:val="auto"/>
          <w:highlight w:val="none"/>
        </w:rPr>
        <w:t>膜等</w:t>
      </w:r>
      <w:r>
        <w:rPr>
          <w:rFonts w:ascii="Times New Roman" w:hAnsi="Times New Roman" w:cs="Times New Roman"/>
          <w:color w:val="auto"/>
          <w:highlight w:val="none"/>
        </w:rPr>
        <w:t>人工</w:t>
      </w:r>
      <w:r>
        <w:rPr>
          <w:rFonts w:hint="eastAsia" w:ascii="Times New Roman" w:hAnsi="Times New Roman" w:cs="Times New Roman"/>
          <w:color w:val="auto"/>
          <w:highlight w:val="none"/>
        </w:rPr>
        <w:t>防渗</w:t>
      </w:r>
      <w:r>
        <w:rPr>
          <w:rFonts w:ascii="Times New Roman" w:hAnsi="Times New Roman" w:cs="Times New Roman"/>
          <w:color w:val="auto"/>
          <w:highlight w:val="none"/>
        </w:rPr>
        <w:t>材料，渗透系数≤10</w:t>
      </w:r>
      <w:r>
        <w:rPr>
          <w:rFonts w:ascii="Times New Roman" w:hAnsi="Times New Roman" w:cs="Times New Roman"/>
          <w:color w:val="auto"/>
          <w:highlight w:val="none"/>
          <w:vertAlign w:val="superscript"/>
        </w:rPr>
        <w:t>-10</w:t>
      </w:r>
      <w:r>
        <w:rPr>
          <w:rFonts w:ascii="Times New Roman" w:hAnsi="Times New Roman" w:cs="Times New Roman"/>
          <w:color w:val="auto"/>
          <w:highlight w:val="none"/>
        </w:rPr>
        <w:t>cm/s</w:t>
      </w:r>
      <w:r>
        <w:rPr>
          <w:rFonts w:hint="eastAsia" w:ascii="Times New Roman" w:hAnsi="Times New Roman" w:cs="Times New Roman"/>
          <w:color w:val="auto"/>
          <w:highlight w:val="none"/>
        </w:rPr>
        <w:t>，或其他防渗性能等效的材料</w:t>
      </w:r>
      <w:r>
        <w:rPr>
          <w:rFonts w:ascii="Times New Roman" w:hAnsi="Times New Roman" w:cs="Times New Roman"/>
          <w:color w:val="auto"/>
          <w:highlight w:val="none"/>
        </w:rPr>
        <w:t>。</w:t>
      </w:r>
    </w:p>
    <w:p w14:paraId="1419CD18">
      <w:pPr>
        <w:adjustRightInd w:val="0"/>
        <w:snapToGrid w:val="0"/>
        <w:spacing w:line="360" w:lineRule="auto"/>
        <w:ind w:left="-105" w:right="-105" w:firstLine="504" w:firstLineChars="200"/>
        <w:jc w:val="both"/>
        <w:rPr>
          <w:rFonts w:ascii="Times New Roman" w:hAnsi="Times New Roman" w:cs="Times New Roman"/>
          <w:color w:val="auto"/>
          <w:highlight w:val="none"/>
        </w:rPr>
      </w:pPr>
      <w:r>
        <w:rPr>
          <w:rFonts w:ascii="Times New Roman" w:hAnsi="Times New Roman" w:cs="Times New Roman"/>
          <w:color w:val="auto"/>
          <w:spacing w:val="6"/>
          <w:highlight w:val="none"/>
        </w:rPr>
        <w:t>危险固废暂存场所的环境保护图形标志见下表。</w:t>
      </w:r>
    </w:p>
    <w:p w14:paraId="11B2A685">
      <w:pPr>
        <w:pStyle w:val="15"/>
        <w:ind w:left="-105" w:right="-105" w:firstLine="482"/>
        <w:rPr>
          <w:bCs/>
          <w:color w:val="auto"/>
          <w:sz w:val="24"/>
          <w:highlight w:val="none"/>
        </w:rPr>
      </w:pPr>
      <w:r>
        <w:rPr>
          <w:rFonts w:eastAsia="宋体" w:cs="Times New Roman"/>
          <w:bCs/>
          <w:color w:val="auto"/>
          <w:sz w:val="24"/>
          <w:highlight w:val="none"/>
        </w:rPr>
        <w:t>表</w:t>
      </w:r>
      <w:r>
        <w:rPr>
          <w:rFonts w:eastAsia="宋体" w:cs="Times New Roman"/>
          <w:bCs/>
          <w:color w:val="auto"/>
          <w:sz w:val="24"/>
          <w:highlight w:val="none"/>
        </w:rPr>
        <w:fldChar w:fldCharType="begin"/>
      </w:r>
      <w:r>
        <w:rPr>
          <w:rFonts w:eastAsia="宋体" w:cs="Times New Roman"/>
          <w:bCs/>
          <w:color w:val="auto"/>
          <w:sz w:val="24"/>
          <w:highlight w:val="none"/>
        </w:rPr>
        <w:instrText xml:space="preserve"> STYLEREF 2 \s </w:instrText>
      </w:r>
      <w:r>
        <w:rPr>
          <w:rFonts w:eastAsia="宋体" w:cs="Times New Roman"/>
          <w:bCs/>
          <w:color w:val="auto"/>
          <w:sz w:val="24"/>
          <w:highlight w:val="none"/>
        </w:rPr>
        <w:fldChar w:fldCharType="separate"/>
      </w:r>
      <w:r>
        <w:rPr>
          <w:rFonts w:eastAsia="宋体" w:cs="Times New Roman"/>
          <w:bCs/>
          <w:color w:val="auto"/>
          <w:sz w:val="24"/>
          <w:highlight w:val="none"/>
        </w:rPr>
        <w:t>7.4</w:t>
      </w:r>
      <w:r>
        <w:rPr>
          <w:rFonts w:eastAsia="宋体" w:cs="Times New Roman"/>
          <w:bCs/>
          <w:color w:val="auto"/>
          <w:sz w:val="24"/>
          <w:highlight w:val="none"/>
        </w:rPr>
        <w:fldChar w:fldCharType="end"/>
      </w:r>
      <w:r>
        <w:rPr>
          <w:rFonts w:eastAsia="宋体" w:cs="Times New Roman"/>
          <w:bCs/>
          <w:color w:val="auto"/>
          <w:sz w:val="24"/>
          <w:highlight w:val="none"/>
        </w:rPr>
        <w:t>-</w:t>
      </w:r>
      <w:r>
        <w:rPr>
          <w:rFonts w:eastAsia="宋体" w:cs="Times New Roman"/>
          <w:bCs/>
          <w:color w:val="auto"/>
          <w:sz w:val="24"/>
          <w:highlight w:val="none"/>
        </w:rPr>
        <w:fldChar w:fldCharType="begin"/>
      </w:r>
      <w:r>
        <w:rPr>
          <w:rFonts w:eastAsia="宋体" w:cs="Times New Roman"/>
          <w:bCs/>
          <w:color w:val="auto"/>
          <w:sz w:val="24"/>
          <w:highlight w:val="none"/>
        </w:rPr>
        <w:instrText xml:space="preserve"> SEQ 表 \* ARABIC \s 2 </w:instrText>
      </w:r>
      <w:r>
        <w:rPr>
          <w:rFonts w:eastAsia="宋体" w:cs="Times New Roman"/>
          <w:bCs/>
          <w:color w:val="auto"/>
          <w:sz w:val="24"/>
          <w:highlight w:val="none"/>
        </w:rPr>
        <w:fldChar w:fldCharType="separate"/>
      </w:r>
      <w:r>
        <w:rPr>
          <w:rFonts w:eastAsia="宋体" w:cs="Times New Roman"/>
          <w:bCs/>
          <w:color w:val="auto"/>
          <w:sz w:val="24"/>
          <w:highlight w:val="none"/>
        </w:rPr>
        <w:t>3</w:t>
      </w:r>
      <w:r>
        <w:rPr>
          <w:rFonts w:eastAsia="宋体" w:cs="Times New Roman"/>
          <w:bCs/>
          <w:color w:val="auto"/>
          <w:sz w:val="24"/>
          <w:highlight w:val="none"/>
        </w:rPr>
        <w:fldChar w:fldCharType="end"/>
      </w:r>
      <w:r>
        <w:rPr>
          <w:rFonts w:eastAsia="宋体" w:cs="Times New Roman"/>
          <w:bCs/>
          <w:color w:val="auto"/>
          <w:sz w:val="24"/>
          <w:highlight w:val="none"/>
        </w:rPr>
        <w:t>危废间的环境保护图形标志</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864"/>
        <w:gridCol w:w="4011"/>
      </w:tblGrid>
      <w:tr w14:paraId="1ED9F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2BB41A5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危废标识名称</w:t>
            </w:r>
          </w:p>
        </w:tc>
        <w:tc>
          <w:tcPr>
            <w:tcW w:w="2215" w:type="pct"/>
            <w:vAlign w:val="center"/>
          </w:tcPr>
          <w:p w14:paraId="55F02DB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图案样式</w:t>
            </w:r>
          </w:p>
        </w:tc>
        <w:tc>
          <w:tcPr>
            <w:tcW w:w="2300" w:type="pct"/>
            <w:vAlign w:val="center"/>
          </w:tcPr>
          <w:p w14:paraId="3DC79F2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设置规范</w:t>
            </w:r>
          </w:p>
        </w:tc>
      </w:tr>
      <w:tr w14:paraId="1A335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529B5C6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贮存设施警示标志牌</w:t>
            </w:r>
          </w:p>
        </w:tc>
        <w:tc>
          <w:tcPr>
            <w:tcW w:w="2215" w:type="pct"/>
            <w:vAlign w:val="center"/>
          </w:tcPr>
          <w:p w14:paraId="6827688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1759585" cy="1155700"/>
                  <wp:effectExtent l="0" t="0" r="12065" b="6350"/>
                  <wp:docPr id="4" name="图片 1" descr="167780990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778099007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59585" cy="1155700"/>
                          </a:xfrm>
                          <a:prstGeom prst="rect">
                            <a:avLst/>
                          </a:prstGeom>
                          <a:noFill/>
                          <a:ln>
                            <a:noFill/>
                          </a:ln>
                        </pic:spPr>
                      </pic:pic>
                    </a:graphicData>
                  </a:graphic>
                </wp:inline>
              </w:drawing>
            </w:r>
            <w:r>
              <w:rPr>
                <w:rFonts w:ascii="Times New Roman" w:hAnsi="Times New Roman" w:cs="Times New Roman"/>
                <w:color w:val="auto"/>
                <w:sz w:val="21"/>
                <w:szCs w:val="21"/>
                <w:highlight w:val="none"/>
              </w:rPr>
              <w:drawing>
                <wp:inline distT="0" distB="0" distL="0" distR="0">
                  <wp:extent cx="1268095" cy="2026920"/>
                  <wp:effectExtent l="0" t="0" r="8255" b="11430"/>
                  <wp:docPr id="13" name="图片 2" descr="16778102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6778102963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68095" cy="2026920"/>
                          </a:xfrm>
                          <a:prstGeom prst="rect">
                            <a:avLst/>
                          </a:prstGeom>
                          <a:noFill/>
                          <a:ln>
                            <a:noFill/>
                          </a:ln>
                        </pic:spPr>
                      </pic:pic>
                    </a:graphicData>
                  </a:graphic>
                </wp:inline>
              </w:drawing>
            </w:r>
          </w:p>
        </w:tc>
        <w:tc>
          <w:tcPr>
            <w:tcW w:w="2300" w:type="pct"/>
            <w:vAlign w:val="center"/>
          </w:tcPr>
          <w:p w14:paraId="071371E2">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snapToGrid w:val="0"/>
                <w:color w:val="auto"/>
                <w:sz w:val="21"/>
                <w:szCs w:val="21"/>
                <w:highlight w:val="none"/>
              </w:rPr>
              <w:t>危险废物设施标志可采用附着式和柱式两种固定方式，应优先选择附着式，当无法选择附着式时，可选择柱式，附着式标志的设置高度，应尽量与视线高度一致；柱式的标志和支架应牢固地联接在一起，标志牌最上端距地面约2m；位于室外的标志牌中，支架固定在地下的，其支架埋深约0.3m。</w:t>
            </w:r>
          </w:p>
        </w:tc>
      </w:tr>
      <w:tr w14:paraId="6F59A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7737920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包装识别标签</w:t>
            </w:r>
          </w:p>
        </w:tc>
        <w:tc>
          <w:tcPr>
            <w:tcW w:w="2215" w:type="pct"/>
            <w:vAlign w:val="center"/>
          </w:tcPr>
          <w:p w14:paraId="5DAD487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rPr>
              <w:drawing>
                <wp:inline distT="0" distB="0" distL="0" distR="0">
                  <wp:extent cx="2139315" cy="2130425"/>
                  <wp:effectExtent l="0" t="0" r="13335"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39315" cy="2130425"/>
                          </a:xfrm>
                          <a:prstGeom prst="rect">
                            <a:avLst/>
                          </a:prstGeom>
                          <a:noFill/>
                          <a:ln>
                            <a:noFill/>
                          </a:ln>
                        </pic:spPr>
                      </pic:pic>
                    </a:graphicData>
                  </a:graphic>
                </wp:inline>
              </w:drawing>
            </w:r>
          </w:p>
        </w:tc>
        <w:tc>
          <w:tcPr>
            <w:tcW w:w="2300" w:type="pct"/>
            <w:vAlign w:val="center"/>
          </w:tcPr>
          <w:p w14:paraId="3FDEFA37">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1.危险废物标签背景色应采用醒目的橘黄色，RGB颜色值为（255,150,0）。标签边框和字体颜色为黑色，RGB颜色值为（0,0,0）。</w:t>
            </w:r>
          </w:p>
          <w:p w14:paraId="45837D12">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2.危险废物标签字体宜采用黑体字，其中“危险废物”字样应加粗放大。</w:t>
            </w:r>
          </w:p>
          <w:p w14:paraId="44D0F212">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危险废物标签的尺寸宜根据容器或包装物要求设置，容器或包装容积≤50L，标签最小尺寸100×100mm，最低文字高度3mm；容器或包装容积50~450L，标签最小尺寸150×150mm，最低文字高度5mm；容器或包装容积＞450L，标签最小尺寸200×200mm，最低文字高度6mm。</w:t>
            </w:r>
          </w:p>
          <w:p w14:paraId="42F88B04">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4.危险废物标签所选用的材质宜具有一定的耐用性和防水性。标签可采用不干胶印刷品，或印刷品外加防水塑料袋或塑封等。</w:t>
            </w:r>
          </w:p>
          <w:p w14:paraId="32AEC83B">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5.危险废物标签印刷的油墨应均匀，图案和文字应清晰、完整。危险废物标签的文字边缘宜加黑色边框，边框宽度不小于1mm，边框外宜留不小于3mm的空白。</w:t>
            </w:r>
          </w:p>
        </w:tc>
      </w:tr>
      <w:tr w14:paraId="30852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39418D1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固体废物贮存、处置场图形标志</w:t>
            </w:r>
          </w:p>
        </w:tc>
        <w:tc>
          <w:tcPr>
            <w:tcW w:w="2215" w:type="pct"/>
            <w:vAlign w:val="center"/>
          </w:tcPr>
          <w:p w14:paraId="47C2E00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drawing>
                <wp:inline distT="0" distB="0" distL="0" distR="0">
                  <wp:extent cx="2182495" cy="1621790"/>
                  <wp:effectExtent l="0" t="0" r="8255" b="1651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82495" cy="1621790"/>
                          </a:xfrm>
                          <a:prstGeom prst="rect">
                            <a:avLst/>
                          </a:prstGeom>
                          <a:noFill/>
                          <a:ln>
                            <a:noFill/>
                          </a:ln>
                        </pic:spPr>
                      </pic:pic>
                    </a:graphicData>
                  </a:graphic>
                </wp:inline>
              </w:drawing>
            </w:r>
          </w:p>
        </w:tc>
        <w:tc>
          <w:tcPr>
            <w:tcW w:w="2300" w:type="pct"/>
            <w:vAlign w:val="center"/>
          </w:tcPr>
          <w:p w14:paraId="1064712B">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《环境保护图形标志—固体废物贮存（处置）场》（GB15562.2-1995）修改单将表示危险废物贮存、处置场的警告图形符号修改为左图</w:t>
            </w:r>
          </w:p>
        </w:tc>
      </w:tr>
      <w:tr w14:paraId="15C86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Align w:val="center"/>
          </w:tcPr>
          <w:p w14:paraId="115D0C3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kern w:val="21"/>
                <w:sz w:val="21"/>
                <w:szCs w:val="21"/>
                <w:highlight w:val="none"/>
              </w:rPr>
              <w:t>危险废物贮存分区标志</w:t>
            </w:r>
          </w:p>
        </w:tc>
        <w:tc>
          <w:tcPr>
            <w:tcW w:w="2215" w:type="pct"/>
            <w:vAlign w:val="center"/>
          </w:tcPr>
          <w:p w14:paraId="02CBC9C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kern w:val="21"/>
                <w:sz w:val="21"/>
                <w:szCs w:val="21"/>
                <w:highlight w:val="none"/>
              </w:rPr>
              <w:drawing>
                <wp:inline distT="0" distB="0" distL="0" distR="0">
                  <wp:extent cx="2242820" cy="1863090"/>
                  <wp:effectExtent l="0" t="0" r="5080" b="3810"/>
                  <wp:docPr id="1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图示&#10;&#10;描述已自动生成"/>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242820" cy="1863090"/>
                          </a:xfrm>
                          <a:prstGeom prst="rect">
                            <a:avLst/>
                          </a:prstGeom>
                          <a:noFill/>
                          <a:ln>
                            <a:noFill/>
                          </a:ln>
                        </pic:spPr>
                      </pic:pic>
                    </a:graphicData>
                  </a:graphic>
                </wp:inline>
              </w:drawing>
            </w:r>
          </w:p>
        </w:tc>
        <w:tc>
          <w:tcPr>
            <w:tcW w:w="2300" w:type="pct"/>
            <w:vAlign w:val="center"/>
          </w:tcPr>
          <w:p w14:paraId="7501AEA5">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bCs/>
                <w:color w:val="auto"/>
                <w:kern w:val="21"/>
                <w:sz w:val="21"/>
                <w:szCs w:val="21"/>
                <w:highlight w:val="none"/>
              </w:rPr>
            </w:pPr>
            <w:r>
              <w:rPr>
                <w:rFonts w:ascii="Times New Roman" w:hAnsi="Times New Roman" w:cs="Times New Roman"/>
                <w:bCs/>
                <w:color w:val="auto"/>
                <w:kern w:val="21"/>
                <w:sz w:val="21"/>
                <w:szCs w:val="21"/>
                <w:highlight w:val="none"/>
              </w:rPr>
              <w:t>1.颜色：危险废物分区标志背景色应采用黄色，RGB颜色值为（255,255,0）。废物种类信息应采用醒目的橘黄色，RGB颜色值为（255,150,0）。字体颜色为黑色，RGB颜色值为（0,0,0）。</w:t>
            </w:r>
          </w:p>
          <w:p w14:paraId="4AC53B40">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bCs/>
                <w:color w:val="auto"/>
                <w:kern w:val="21"/>
                <w:sz w:val="21"/>
                <w:szCs w:val="21"/>
                <w:highlight w:val="none"/>
              </w:rPr>
            </w:pPr>
            <w:r>
              <w:rPr>
                <w:rFonts w:ascii="Times New Roman" w:hAnsi="Times New Roman" w:cs="Times New Roman"/>
                <w:bCs/>
                <w:color w:val="auto"/>
                <w:kern w:val="21"/>
                <w:sz w:val="21"/>
                <w:szCs w:val="21"/>
                <w:highlight w:val="none"/>
              </w:rPr>
              <w:t>2.字体：危险废物分区标志的字体宜采用黑体字，其中“危险废物贮存分区标志”字样应加粗放大并居中显示。</w:t>
            </w:r>
          </w:p>
          <w:p w14:paraId="60430666">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bCs/>
                <w:color w:val="auto"/>
                <w:kern w:val="21"/>
                <w:sz w:val="21"/>
                <w:szCs w:val="21"/>
                <w:highlight w:val="none"/>
              </w:rPr>
            </w:pPr>
            <w:r>
              <w:rPr>
                <w:rFonts w:ascii="Times New Roman" w:hAnsi="Times New Roman" w:cs="Times New Roman"/>
                <w:bCs/>
                <w:color w:val="auto"/>
                <w:kern w:val="21"/>
                <w:sz w:val="21"/>
                <w:szCs w:val="21"/>
                <w:highlight w:val="none"/>
              </w:rPr>
              <w:t>3.尺寸：观察距离0＜L≤2.5m，标志整体外形尺寸300*300mm，贮存分区标志最低文字高度20mm；观察距离2.5＜L≤4m，标志整体外形尺寸450*450mm，贮存分区标志最低文字高度30mm；观察距离L＞4m，标志整体外形尺寸600*600mm，贮存分区标志最低文字高度40mm；</w:t>
            </w:r>
          </w:p>
          <w:p w14:paraId="751DABDD">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bCs/>
                <w:color w:val="auto"/>
                <w:kern w:val="21"/>
                <w:sz w:val="21"/>
                <w:szCs w:val="21"/>
                <w:highlight w:val="none"/>
              </w:rPr>
            </w:pPr>
            <w:r>
              <w:rPr>
                <w:rFonts w:ascii="Times New Roman" w:hAnsi="Times New Roman" w:cs="Times New Roman"/>
                <w:bCs/>
                <w:color w:val="auto"/>
                <w:kern w:val="21"/>
                <w:sz w:val="21"/>
                <w:szCs w:val="21"/>
                <w:highlight w:val="none"/>
              </w:rPr>
              <w:t>4.材质：危险废物贮存分区标志的衬底宜采用坚固耐用的材料，并具有耐用性和防水性。废物贮存种类信息等可采用印刷纸张、不粘胶材质或塑料卡片等，以便固定在衬底上。</w:t>
            </w:r>
          </w:p>
          <w:p w14:paraId="6B7ECE5A">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ascii="Times New Roman" w:hAnsi="Times New Roman" w:cs="Times New Roman"/>
                <w:bCs/>
                <w:color w:val="auto"/>
                <w:kern w:val="21"/>
                <w:sz w:val="21"/>
                <w:szCs w:val="21"/>
                <w:highlight w:val="none"/>
              </w:rPr>
              <w:t>5.印刷：危险废物贮存分区标志的图形和文字应清晰、完整，保证在足够的观察距离条件下不影响阅读。“危险废物贮存分区标志”字样与其他信息宜加黑色分界线区分，分界线的宽度不小于2mm。</w:t>
            </w:r>
          </w:p>
        </w:tc>
      </w:tr>
    </w:tbl>
    <w:p w14:paraId="514EB66D">
      <w:pPr>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建设单位应设有专人专职负责危险废物的收集、暂存和保管，加强对危险废物的管理，保证得到及时处理，防止造成二次污染。必须指出的是，固体废物处理处置前在厂内的堆放、贮存场所应按照国家固体废物贮存有关要求设置，危险废物应分类收集、贮存，防止危险废物与一般工业固体废物、生活垃圾混放后，引发危险废物的二次污染；各种固体废物在厂内堆放和转移输运过程应防止对环境造成影响，堆放场所采取防火、防扬散、防流失、防渗漏或者其他防止污染环境的措施后，降低对环境的影响。</w:t>
      </w:r>
    </w:p>
    <w:p w14:paraId="5FFEA037">
      <w:pPr>
        <w:adjustRightInd w:val="0"/>
        <w:snapToGrid w:val="0"/>
        <w:spacing w:line="360" w:lineRule="auto"/>
        <w:ind w:left="-105" w:right="-105" w:firstLine="480" w:firstLineChars="200"/>
        <w:rPr>
          <w:rFonts w:ascii="Times New Roman" w:hAnsi="Times New Roman" w:cs="Times New Roman"/>
          <w:color w:val="auto"/>
          <w:highlight w:val="none"/>
        </w:rPr>
      </w:pPr>
      <w:bookmarkStart w:id="463" w:name="_Hlk93579082"/>
      <w:r>
        <w:rPr>
          <w:rFonts w:ascii="Times New Roman" w:hAnsi="Times New Roman" w:cs="Times New Roman"/>
          <w:color w:val="auto"/>
          <w:highlight w:val="none"/>
        </w:rPr>
        <w:t>本项目与</w:t>
      </w:r>
      <w:r>
        <w:rPr>
          <w:rFonts w:hint="eastAsia" w:ascii="Times New Roman" w:hAnsi="Times New Roman" w:cs="Times New Roman"/>
          <w:color w:val="auto"/>
          <w:highlight w:val="none"/>
        </w:rPr>
        <w:t>《危险废物贮存污染控制标准》（GB18597-2023）</w:t>
      </w:r>
      <w:r>
        <w:rPr>
          <w:rFonts w:ascii="Times New Roman" w:hAnsi="Times New Roman" w:cs="Times New Roman"/>
          <w:color w:val="auto"/>
          <w:highlight w:val="none"/>
        </w:rPr>
        <w:t>的对照相符性分析</w:t>
      </w:r>
      <w:bookmarkEnd w:id="463"/>
      <w:r>
        <w:rPr>
          <w:rFonts w:ascii="Times New Roman" w:hAnsi="Times New Roman" w:cs="Times New Roman"/>
          <w:color w:val="auto"/>
          <w:highlight w:val="none"/>
        </w:rPr>
        <w:t>见下表</w:t>
      </w:r>
      <w:r>
        <w:rPr>
          <w:rFonts w:hint="eastAsia" w:ascii="Times New Roman" w:hAnsi="Times New Roman" w:cs="Times New Roman"/>
          <w:color w:val="auto"/>
          <w:highlight w:val="none"/>
        </w:rPr>
        <w:t>：</w:t>
      </w:r>
    </w:p>
    <w:p w14:paraId="37AF165A">
      <w:pPr>
        <w:pStyle w:val="15"/>
        <w:adjustRightInd w:val="0"/>
        <w:snapToGrid w:val="0"/>
        <w:spacing w:line="360" w:lineRule="auto"/>
        <w:ind w:left="-105" w:right="-105" w:firstLine="482"/>
        <w:rPr>
          <w:rFonts w:eastAsia="宋体" w:cs="Times New Roman"/>
          <w:color w:val="auto"/>
          <w:sz w:val="24"/>
          <w:szCs w:val="24"/>
          <w:highlight w:val="none"/>
        </w:rPr>
      </w:pPr>
      <w:r>
        <w:rPr>
          <w:rFonts w:eastAsia="宋体" w:cs="Times New Roman"/>
          <w:color w:val="auto"/>
          <w:sz w:val="24"/>
          <w:szCs w:val="24"/>
          <w:highlight w:val="none"/>
        </w:rPr>
        <w:t>表</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STYLEREF 2 \s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7.4</w:t>
      </w:r>
      <w:r>
        <w:rPr>
          <w:rFonts w:eastAsia="宋体" w:cs="Times New Roman"/>
          <w:color w:val="auto"/>
          <w:sz w:val="24"/>
          <w:szCs w:val="24"/>
          <w:highlight w:val="none"/>
        </w:rPr>
        <w:fldChar w:fldCharType="end"/>
      </w:r>
      <w:r>
        <w:rPr>
          <w:rFonts w:eastAsia="宋体" w:cs="Times New Roman"/>
          <w:color w:val="auto"/>
          <w:sz w:val="24"/>
          <w:szCs w:val="24"/>
          <w:highlight w:val="none"/>
        </w:rPr>
        <w:t>-</w:t>
      </w:r>
      <w:r>
        <w:rPr>
          <w:rFonts w:eastAsia="宋体" w:cs="Times New Roman"/>
          <w:color w:val="auto"/>
          <w:sz w:val="24"/>
          <w:szCs w:val="24"/>
          <w:highlight w:val="none"/>
        </w:rPr>
        <w:fldChar w:fldCharType="begin"/>
      </w:r>
      <w:r>
        <w:rPr>
          <w:rFonts w:eastAsia="宋体" w:cs="Times New Roman"/>
          <w:color w:val="auto"/>
          <w:sz w:val="24"/>
          <w:szCs w:val="24"/>
          <w:highlight w:val="none"/>
        </w:rPr>
        <w:instrText xml:space="preserve"> SEQ 表 \* ARABIC \s 2 </w:instrText>
      </w:r>
      <w:r>
        <w:rPr>
          <w:rFonts w:eastAsia="宋体" w:cs="Times New Roman"/>
          <w:color w:val="auto"/>
          <w:sz w:val="24"/>
          <w:szCs w:val="24"/>
          <w:highlight w:val="none"/>
        </w:rPr>
        <w:fldChar w:fldCharType="separate"/>
      </w:r>
      <w:r>
        <w:rPr>
          <w:rFonts w:eastAsia="宋体" w:cs="Times New Roman"/>
          <w:color w:val="auto"/>
          <w:sz w:val="24"/>
          <w:szCs w:val="24"/>
          <w:highlight w:val="none"/>
        </w:rPr>
        <w:t>4</w:t>
      </w:r>
      <w:r>
        <w:rPr>
          <w:rFonts w:eastAsia="宋体" w:cs="Times New Roman"/>
          <w:color w:val="auto"/>
          <w:sz w:val="24"/>
          <w:szCs w:val="24"/>
          <w:highlight w:val="none"/>
        </w:rPr>
        <w:fldChar w:fldCharType="end"/>
      </w:r>
      <w:r>
        <w:rPr>
          <w:rFonts w:eastAsia="宋体" w:cs="Times New Roman"/>
          <w:color w:val="auto"/>
          <w:sz w:val="24"/>
          <w:szCs w:val="24"/>
          <w:highlight w:val="none"/>
        </w:rPr>
        <w:t>贮存设施建设要求</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6"/>
        <w:gridCol w:w="3792"/>
        <w:gridCol w:w="3226"/>
        <w:gridCol w:w="1030"/>
      </w:tblGrid>
      <w:tr w14:paraId="25D76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9947CF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2229" w:type="pct"/>
            <w:vAlign w:val="center"/>
          </w:tcPr>
          <w:p w14:paraId="54A8AA4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贮存设施建设要求</w:t>
            </w:r>
          </w:p>
        </w:tc>
        <w:tc>
          <w:tcPr>
            <w:tcW w:w="1896" w:type="pct"/>
            <w:vAlign w:val="center"/>
          </w:tcPr>
          <w:p w14:paraId="23490C7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建设单位应采取的应对措施</w:t>
            </w:r>
          </w:p>
        </w:tc>
        <w:tc>
          <w:tcPr>
            <w:tcW w:w="605" w:type="pct"/>
            <w:vAlign w:val="center"/>
          </w:tcPr>
          <w:p w14:paraId="29327A9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相符性</w:t>
            </w:r>
          </w:p>
        </w:tc>
      </w:tr>
      <w:tr w14:paraId="5E058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130B61A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229" w:type="pct"/>
            <w:vAlign w:val="center"/>
          </w:tcPr>
          <w:p w14:paraId="78F2539A">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贮存设施应根据危险废物的形态、物理化学性质、包装形式和污染物迁移途径，采取必要的防风、防晒、防雨、防漏、防渗、防腐以及其他环境污染防治措施，不应露天堆放危险废物。</w:t>
            </w:r>
          </w:p>
        </w:tc>
        <w:tc>
          <w:tcPr>
            <w:tcW w:w="1896" w:type="pct"/>
            <w:vAlign w:val="center"/>
          </w:tcPr>
          <w:p w14:paraId="7781D413">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企业危废仓库为独立的库房，具备防风、防晒、防雨、防漏、防渗、防腐的功能，并设置有事故废水收集措施</w:t>
            </w:r>
            <w:r>
              <w:rPr>
                <w:rFonts w:hint="eastAsia" w:ascii="Times New Roman" w:hAnsi="Times New Roman" w:cs="Times New Roman"/>
                <w:bCs/>
                <w:color w:val="auto"/>
                <w:sz w:val="21"/>
                <w:szCs w:val="21"/>
                <w:highlight w:val="none"/>
              </w:rPr>
              <w:t>导流沟、收集坑</w:t>
            </w:r>
            <w:r>
              <w:rPr>
                <w:rFonts w:ascii="Times New Roman" w:hAnsi="Times New Roman" w:cs="Times New Roman"/>
                <w:bCs/>
                <w:color w:val="auto"/>
                <w:sz w:val="21"/>
                <w:szCs w:val="21"/>
                <w:highlight w:val="none"/>
              </w:rPr>
              <w:t>。</w:t>
            </w:r>
            <w:r>
              <w:rPr>
                <w:rFonts w:hint="eastAsia" w:ascii="Times New Roman" w:hAnsi="Times New Roman" w:cs="Times New Roman"/>
                <w:bCs/>
                <w:color w:val="auto"/>
                <w:sz w:val="21"/>
                <w:szCs w:val="21"/>
                <w:highlight w:val="none"/>
              </w:rPr>
              <w:t>废液储罐区有围堰，并</w:t>
            </w:r>
            <w:r>
              <w:rPr>
                <w:rFonts w:hint="eastAsia" w:ascii="Times New Roman" w:hAnsi="Times New Roman" w:cs="Times New Roman"/>
                <w:bCs/>
                <w:color w:val="auto"/>
                <w:sz w:val="21"/>
                <w:szCs w:val="21"/>
                <w:highlight w:val="none"/>
                <w:lang w:val="en-US" w:eastAsia="zh-CN"/>
              </w:rPr>
              <w:t>与</w:t>
            </w:r>
            <w:r>
              <w:rPr>
                <w:rFonts w:hint="eastAsia" w:ascii="Times New Roman" w:hAnsi="Times New Roman" w:cs="Times New Roman"/>
                <w:bCs/>
                <w:color w:val="auto"/>
                <w:sz w:val="21"/>
                <w:szCs w:val="21"/>
                <w:highlight w:val="none"/>
              </w:rPr>
              <w:t>事故应急池连通。</w:t>
            </w:r>
          </w:p>
        </w:tc>
        <w:tc>
          <w:tcPr>
            <w:tcW w:w="605" w:type="pct"/>
            <w:vAlign w:val="center"/>
          </w:tcPr>
          <w:p w14:paraId="2D1D9FD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相符</w:t>
            </w:r>
          </w:p>
        </w:tc>
      </w:tr>
      <w:tr w14:paraId="4CC24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680A4E0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229" w:type="pct"/>
            <w:vAlign w:val="center"/>
          </w:tcPr>
          <w:p w14:paraId="2AECC641">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贮存设施应根据危险废物的类别、数量、形态、物理化学性质和污染防治等要求设置必要的贮存分区，避免不相容的危险废物接触、混合。</w:t>
            </w:r>
          </w:p>
        </w:tc>
        <w:tc>
          <w:tcPr>
            <w:tcW w:w="1896" w:type="pct"/>
            <w:vAlign w:val="center"/>
          </w:tcPr>
          <w:p w14:paraId="5ECE06FD">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企业将针对危险废物种类、数量形态、物理化学性质和污染防治等要求设置必要的贮存分区。</w:t>
            </w:r>
          </w:p>
          <w:p w14:paraId="47F60674">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危险废物采用合适的包装，危废仓库地面采取防渗措施</w:t>
            </w:r>
            <w:r>
              <w:rPr>
                <w:rFonts w:hint="eastAsia" w:ascii="Times New Roman" w:hAnsi="Times New Roman" w:cs="Times New Roman"/>
                <w:bCs/>
                <w:color w:val="auto"/>
                <w:sz w:val="21"/>
                <w:szCs w:val="21"/>
                <w:highlight w:val="none"/>
              </w:rPr>
              <w:t>，废液储罐区有防腐防渗措施</w:t>
            </w:r>
            <w:r>
              <w:rPr>
                <w:rFonts w:ascii="Times New Roman" w:hAnsi="Times New Roman" w:cs="Times New Roman"/>
                <w:bCs/>
                <w:color w:val="auto"/>
                <w:sz w:val="21"/>
                <w:szCs w:val="21"/>
                <w:highlight w:val="none"/>
              </w:rPr>
              <w:t>。危废间内设置禁火标志，并布置灭火器、沙包等消防物资。</w:t>
            </w:r>
          </w:p>
        </w:tc>
        <w:tc>
          <w:tcPr>
            <w:tcW w:w="605" w:type="pct"/>
            <w:vAlign w:val="center"/>
          </w:tcPr>
          <w:p w14:paraId="7D2EED8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r w14:paraId="4B06B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0D86E7D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2229" w:type="pct"/>
            <w:vAlign w:val="center"/>
          </w:tcPr>
          <w:p w14:paraId="36518F04">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896" w:type="pct"/>
            <w:vAlign w:val="center"/>
          </w:tcPr>
          <w:p w14:paraId="789580CE">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企业危废仓库设立独立区域，</w:t>
            </w:r>
            <w:r>
              <w:rPr>
                <w:rFonts w:hint="eastAsia" w:ascii="Times New Roman" w:hAnsi="Times New Roman" w:cs="Times New Roman"/>
                <w:bCs/>
                <w:color w:val="auto"/>
                <w:sz w:val="21"/>
                <w:szCs w:val="21"/>
                <w:highlight w:val="none"/>
              </w:rPr>
              <w:t>库内设置</w:t>
            </w:r>
            <w:r>
              <w:rPr>
                <w:rFonts w:hint="eastAsia" w:ascii="Times New Roman" w:hAnsi="Times New Roman" w:cs="Times New Roman"/>
                <w:bCs/>
                <w:color w:val="auto"/>
                <w:sz w:val="21"/>
                <w:szCs w:val="21"/>
                <w:highlight w:val="none"/>
                <w:lang w:val="en-US" w:eastAsia="zh-CN"/>
              </w:rPr>
              <w:t>防泄漏托盘和</w:t>
            </w:r>
            <w:r>
              <w:rPr>
                <w:rFonts w:ascii="Times New Roman" w:hAnsi="Times New Roman" w:cs="Times New Roman"/>
                <w:bCs/>
                <w:color w:val="auto"/>
                <w:sz w:val="21"/>
                <w:szCs w:val="21"/>
                <w:highlight w:val="none"/>
              </w:rPr>
              <w:t>收集沟，收集沟与</w:t>
            </w:r>
            <w:r>
              <w:rPr>
                <w:rFonts w:hint="eastAsia" w:ascii="Times New Roman" w:hAnsi="Times New Roman" w:cs="Times New Roman"/>
                <w:bCs/>
                <w:color w:val="auto"/>
                <w:sz w:val="21"/>
                <w:szCs w:val="21"/>
                <w:highlight w:val="none"/>
              </w:rPr>
              <w:t>收集坑</w:t>
            </w:r>
            <w:r>
              <w:rPr>
                <w:rFonts w:ascii="Times New Roman" w:hAnsi="Times New Roman" w:cs="Times New Roman"/>
                <w:bCs/>
                <w:color w:val="auto"/>
                <w:sz w:val="21"/>
                <w:szCs w:val="21"/>
                <w:highlight w:val="none"/>
              </w:rPr>
              <w:t>相连通。</w:t>
            </w:r>
          </w:p>
          <w:p w14:paraId="0669AA9F">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color w:val="auto"/>
                <w:sz w:val="21"/>
                <w:szCs w:val="21"/>
                <w:highlight w:val="none"/>
              </w:rPr>
            </w:pPr>
            <w:r>
              <w:rPr>
                <w:rFonts w:hint="eastAsia" w:ascii="Times New Roman" w:hAnsi="Times New Roman" w:cs="Times New Roman"/>
                <w:bCs/>
                <w:color w:val="auto"/>
                <w:sz w:val="21"/>
                <w:szCs w:val="21"/>
                <w:highlight w:val="none"/>
              </w:rPr>
              <w:t>废液储罐区有围堰，并于事故应急池连通。</w:t>
            </w:r>
          </w:p>
        </w:tc>
        <w:tc>
          <w:tcPr>
            <w:tcW w:w="605" w:type="pct"/>
            <w:vAlign w:val="center"/>
          </w:tcPr>
          <w:p w14:paraId="6509ED7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bCs/>
                <w:color w:val="auto"/>
                <w:sz w:val="21"/>
                <w:szCs w:val="21"/>
                <w:highlight w:val="none"/>
              </w:rPr>
              <w:t>相符</w:t>
            </w:r>
          </w:p>
        </w:tc>
      </w:tr>
      <w:tr w14:paraId="57216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6B9D7C7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2229" w:type="pct"/>
            <w:vAlign w:val="center"/>
          </w:tcPr>
          <w:p w14:paraId="3FFE6E56">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贮存易产生粉尘、VOCs、酸雾、有毒有害大气污染物和刺激性气味气体的危险废物贮存库，应设置气体收集装置和气体净化设施。</w:t>
            </w:r>
          </w:p>
        </w:tc>
        <w:tc>
          <w:tcPr>
            <w:tcW w:w="1896" w:type="pct"/>
            <w:vAlign w:val="center"/>
          </w:tcPr>
          <w:p w14:paraId="4B535436">
            <w:pPr>
              <w:keepNext w:val="0"/>
              <w:keepLines w:val="0"/>
              <w:pageBreakBefore w:val="0"/>
              <w:widowControl w:val="0"/>
              <w:kinsoku/>
              <w:wordWrap/>
              <w:overflowPunct/>
              <w:topLinePunct w:val="0"/>
              <w:autoSpaceDE/>
              <w:autoSpaceDN/>
              <w:bidi w:val="0"/>
              <w:adjustRightInd w:val="0"/>
              <w:snapToGrid w:val="0"/>
              <w:ind w:left="0" w:right="0" w:firstLine="420" w:firstLineChars="200"/>
              <w:jc w:val="both"/>
              <w:textAlignment w:val="auto"/>
              <w:rPr>
                <w:rFonts w:ascii="Times New Roman" w:hAnsi="Times New Roman" w:cs="Times New Roman"/>
                <w:bCs/>
                <w:color w:val="auto"/>
                <w:kern w:val="2"/>
                <w:sz w:val="21"/>
                <w:szCs w:val="21"/>
                <w:highlight w:val="none"/>
              </w:rPr>
            </w:pPr>
            <w:r>
              <w:rPr>
                <w:rFonts w:ascii="Times New Roman" w:hAnsi="Times New Roman" w:cs="Times New Roman"/>
                <w:bCs/>
                <w:color w:val="auto"/>
                <w:sz w:val="21"/>
                <w:szCs w:val="21"/>
                <w:highlight w:val="none"/>
              </w:rPr>
              <w:t>危险废物</w:t>
            </w:r>
            <w:r>
              <w:rPr>
                <w:rFonts w:hint="eastAsia" w:ascii="Times New Roman" w:hAnsi="Times New Roman" w:cs="Times New Roman"/>
                <w:bCs/>
                <w:color w:val="auto"/>
                <w:sz w:val="21"/>
                <w:szCs w:val="21"/>
                <w:highlight w:val="none"/>
              </w:rPr>
              <w:t>均通过密闭容器贮存，吨袋有内衬、袋口扎紧，</w:t>
            </w:r>
            <w:r>
              <w:rPr>
                <w:rFonts w:hint="eastAsia" w:ascii="Times New Roman" w:hAnsi="Times New Roman" w:cs="Times New Roman"/>
                <w:bCs/>
                <w:color w:val="auto"/>
                <w:sz w:val="21"/>
                <w:szCs w:val="21"/>
                <w:highlight w:val="none"/>
                <w:lang w:val="en-US" w:eastAsia="zh-CN"/>
              </w:rPr>
              <w:t>废丁酮</w:t>
            </w:r>
            <w:r>
              <w:rPr>
                <w:rFonts w:hint="eastAsia" w:ascii="Times New Roman" w:hAnsi="Times New Roman" w:cs="Times New Roman"/>
                <w:bCs/>
                <w:color w:val="auto"/>
                <w:sz w:val="21"/>
                <w:szCs w:val="21"/>
                <w:highlight w:val="none"/>
              </w:rPr>
              <w:t>包装桶均</w:t>
            </w:r>
            <w:r>
              <w:rPr>
                <w:rFonts w:hint="eastAsia" w:ascii="Times New Roman" w:hAnsi="Times New Roman" w:cs="Times New Roman"/>
                <w:bCs/>
                <w:color w:val="auto"/>
                <w:sz w:val="21"/>
                <w:szCs w:val="21"/>
                <w:highlight w:val="none"/>
                <w:lang w:val="en-US" w:eastAsia="zh-CN"/>
              </w:rPr>
              <w:t>盖紧</w:t>
            </w:r>
            <w:r>
              <w:rPr>
                <w:rFonts w:hint="eastAsia" w:ascii="Times New Roman" w:hAnsi="Times New Roman" w:cs="Times New Roman"/>
                <w:bCs/>
                <w:color w:val="auto"/>
                <w:sz w:val="21"/>
                <w:szCs w:val="21"/>
                <w:highlight w:val="none"/>
              </w:rPr>
              <w:t>桶盖并用塑料膜缠绕，故</w:t>
            </w:r>
            <w:r>
              <w:rPr>
                <w:rFonts w:hint="eastAsia" w:ascii="Times New Roman" w:hAnsi="Times New Roman" w:cs="Times New Roman"/>
                <w:bCs/>
                <w:color w:val="auto"/>
                <w:sz w:val="21"/>
                <w:szCs w:val="21"/>
                <w:highlight w:val="none"/>
              </w:rPr>
              <w:t>不</w:t>
            </w:r>
            <w:r>
              <w:rPr>
                <w:rFonts w:ascii="Times New Roman" w:hAnsi="Times New Roman" w:cs="Times New Roman"/>
                <w:bCs/>
                <w:color w:val="auto"/>
                <w:sz w:val="21"/>
                <w:szCs w:val="21"/>
                <w:highlight w:val="none"/>
              </w:rPr>
              <w:t>易产生粉尘、VOCs、酸雾、有毒有害大气污染物和刺激性气味气体</w:t>
            </w:r>
            <w:r>
              <w:rPr>
                <w:rFonts w:hint="eastAsia" w:ascii="Times New Roman" w:hAnsi="Times New Roman" w:cs="Times New Roman"/>
                <w:bCs/>
                <w:color w:val="auto"/>
                <w:sz w:val="21"/>
                <w:szCs w:val="21"/>
                <w:highlight w:val="none"/>
              </w:rPr>
              <w:t>，</w:t>
            </w:r>
            <w:r>
              <w:rPr>
                <w:rFonts w:ascii="Times New Roman" w:hAnsi="Times New Roman" w:cs="Times New Roman"/>
                <w:bCs/>
                <w:color w:val="auto"/>
                <w:sz w:val="21"/>
                <w:szCs w:val="21"/>
                <w:highlight w:val="none"/>
              </w:rPr>
              <w:t>仓库</w:t>
            </w:r>
            <w:r>
              <w:rPr>
                <w:rFonts w:hint="eastAsia" w:ascii="Times New Roman" w:hAnsi="Times New Roman" w:cs="Times New Roman"/>
                <w:bCs/>
                <w:color w:val="auto"/>
                <w:sz w:val="21"/>
                <w:szCs w:val="21"/>
                <w:highlight w:val="none"/>
              </w:rPr>
              <w:t>无需</w:t>
            </w:r>
            <w:r>
              <w:rPr>
                <w:rFonts w:ascii="Times New Roman" w:hAnsi="Times New Roman" w:cs="Times New Roman"/>
                <w:bCs/>
                <w:color w:val="auto"/>
                <w:sz w:val="21"/>
                <w:szCs w:val="21"/>
                <w:highlight w:val="none"/>
              </w:rPr>
              <w:t>设置气体收集装置和气体净化设施</w:t>
            </w:r>
            <w:r>
              <w:rPr>
                <w:rFonts w:ascii="Times New Roman" w:hAnsi="Times New Roman" w:cs="Times New Roman"/>
                <w:bCs/>
                <w:color w:val="auto"/>
                <w:sz w:val="21"/>
                <w:szCs w:val="21"/>
                <w:highlight w:val="none"/>
              </w:rPr>
              <w:t>。</w:t>
            </w:r>
          </w:p>
        </w:tc>
        <w:tc>
          <w:tcPr>
            <w:tcW w:w="605" w:type="pct"/>
            <w:vAlign w:val="center"/>
          </w:tcPr>
          <w:p w14:paraId="386509E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kern w:val="2"/>
                <w:sz w:val="21"/>
                <w:szCs w:val="21"/>
                <w:highlight w:val="none"/>
              </w:rPr>
            </w:pPr>
            <w:r>
              <w:rPr>
                <w:rFonts w:ascii="Times New Roman" w:hAnsi="Times New Roman" w:cs="Times New Roman"/>
                <w:bCs/>
                <w:color w:val="auto"/>
                <w:sz w:val="21"/>
                <w:szCs w:val="21"/>
                <w:highlight w:val="none"/>
              </w:rPr>
              <w:t>相符</w:t>
            </w:r>
          </w:p>
        </w:tc>
      </w:tr>
      <w:tr w14:paraId="13D63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67B8457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229" w:type="pct"/>
            <w:vAlign w:val="center"/>
          </w:tcPr>
          <w:p w14:paraId="7042BA17">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rPr>
              <w:t>贮存设施或场所、容器和包装物应按HJ1276要求设置危险废物贮存设施或场所标志、危险废物贮存分区标志和危险废物标签等危险废物识别标志。</w:t>
            </w:r>
          </w:p>
        </w:tc>
        <w:tc>
          <w:tcPr>
            <w:tcW w:w="1896" w:type="pct"/>
            <w:vAlign w:val="center"/>
          </w:tcPr>
          <w:p w14:paraId="00E6BC18">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将按要求设置危险废物识别标志。</w:t>
            </w:r>
          </w:p>
        </w:tc>
        <w:tc>
          <w:tcPr>
            <w:tcW w:w="605" w:type="pct"/>
            <w:vAlign w:val="center"/>
          </w:tcPr>
          <w:p w14:paraId="58E5639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14:paraId="1EE4A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776C75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2229" w:type="pct"/>
            <w:vAlign w:val="center"/>
          </w:tcPr>
          <w:p w14:paraId="5692FA88">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在常温常压下易爆、易燃及排出有毒气体的危险废物应进行预处理，使之稳定后贮存，否则应按易爆、易燃危险品贮存。</w:t>
            </w:r>
          </w:p>
        </w:tc>
        <w:tc>
          <w:tcPr>
            <w:tcW w:w="1896" w:type="pct"/>
            <w:vAlign w:val="center"/>
          </w:tcPr>
          <w:p w14:paraId="64F8FF28">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不涉及易爆、易燃及排出有毒气体的危险废物。</w:t>
            </w:r>
          </w:p>
        </w:tc>
        <w:tc>
          <w:tcPr>
            <w:tcW w:w="605" w:type="pct"/>
            <w:vAlign w:val="center"/>
          </w:tcPr>
          <w:p w14:paraId="2028A73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14:paraId="29381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7BA587F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w:t>
            </w:r>
          </w:p>
        </w:tc>
        <w:tc>
          <w:tcPr>
            <w:tcW w:w="2229" w:type="pct"/>
            <w:vAlign w:val="center"/>
          </w:tcPr>
          <w:p w14:paraId="65E5CE18">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贮存设施所有者或运营者应按照国家有关规定编制突发环境事件应急预案，定期开展必要的培训和环境应急演练，并做好培训、演练记录。</w:t>
            </w:r>
          </w:p>
        </w:tc>
        <w:tc>
          <w:tcPr>
            <w:tcW w:w="1896" w:type="pct"/>
            <w:vAlign w:val="center"/>
          </w:tcPr>
          <w:p w14:paraId="38E4D431">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将重新编制突发环境事件应急预案，定期开展必要的培训和环境应急演练。</w:t>
            </w:r>
          </w:p>
        </w:tc>
        <w:tc>
          <w:tcPr>
            <w:tcW w:w="605" w:type="pct"/>
            <w:vAlign w:val="center"/>
          </w:tcPr>
          <w:p w14:paraId="49C9FF2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r w14:paraId="3DAA9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 w:type="pct"/>
            <w:vAlign w:val="center"/>
          </w:tcPr>
          <w:p w14:paraId="334831B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w:t>
            </w:r>
          </w:p>
        </w:tc>
        <w:tc>
          <w:tcPr>
            <w:tcW w:w="2229" w:type="pct"/>
            <w:vAlign w:val="center"/>
          </w:tcPr>
          <w:p w14:paraId="6264FA43">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贮存设施所有者或运营者应配备满足其突发环境事件应急要求的应急人员、装备和物资，并应设置应急照明系统。</w:t>
            </w:r>
          </w:p>
        </w:tc>
        <w:tc>
          <w:tcPr>
            <w:tcW w:w="1896" w:type="pct"/>
            <w:vAlign w:val="center"/>
          </w:tcPr>
          <w:p w14:paraId="55BC36F3">
            <w:pPr>
              <w:keepNext w:val="0"/>
              <w:keepLines w:val="0"/>
              <w:pageBreakBefore w:val="0"/>
              <w:kinsoku/>
              <w:wordWrap/>
              <w:overflowPunct/>
              <w:topLinePunct w:val="0"/>
              <w:autoSpaceDE/>
              <w:autoSpaceDN/>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企业</w:t>
            </w:r>
            <w:r>
              <w:rPr>
                <w:rFonts w:ascii="Times New Roman" w:hAnsi="Times New Roman" w:cs="Times New Roman"/>
                <w:color w:val="auto"/>
                <w:sz w:val="21"/>
                <w:szCs w:val="21"/>
                <w:highlight w:val="none"/>
              </w:rPr>
              <w:t>危废仓库配备有满足突发环境事件应急要求的应急人员、装备和物资，并应设置应急照明系统。</w:t>
            </w:r>
          </w:p>
        </w:tc>
        <w:tc>
          <w:tcPr>
            <w:tcW w:w="605" w:type="pct"/>
            <w:vAlign w:val="center"/>
          </w:tcPr>
          <w:p w14:paraId="1A72F0E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相符</w:t>
            </w:r>
          </w:p>
        </w:tc>
      </w:tr>
    </w:tbl>
    <w:p w14:paraId="7270BBD8">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w:t>
      </w:r>
      <w:r>
        <w:rPr>
          <w:rFonts w:ascii="Times New Roman" w:hAnsi="Times New Roman"/>
          <w:color w:val="auto"/>
          <w:sz w:val="24"/>
          <w:szCs w:val="24"/>
          <w:highlight w:val="none"/>
        </w:rPr>
        <w:t>.4.2.2运输过程的污染防治措施</w:t>
      </w:r>
    </w:p>
    <w:p w14:paraId="773F11B1">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对于委托处理的危险废物，运输中应做到以下几点：</w:t>
      </w:r>
    </w:p>
    <w:p w14:paraId="2F51FCEA">
      <w:pPr>
        <w:adjustRightInd w:val="0"/>
        <w:snapToGrid w:val="0"/>
        <w:spacing w:line="360" w:lineRule="auto"/>
        <w:ind w:left="-105" w:right="-105" w:firstLine="240" w:firstLineChars="100"/>
        <w:rPr>
          <w:rFonts w:ascii="Times New Roman" w:hAnsi="Times New Roman" w:cs="Times New Roman"/>
          <w:color w:val="auto"/>
          <w:highlight w:val="none"/>
        </w:rPr>
      </w:pPr>
      <w:r>
        <w:rPr>
          <w:rFonts w:ascii="Times New Roman" w:hAnsi="Times New Roman" w:cs="Times New Roman"/>
          <w:color w:val="auto"/>
          <w:highlight w:val="none"/>
        </w:rPr>
        <w:t>（1）该运输车辆须经主管单位检查，并持有有关单位签发的许可证，负责运输的司机应通过培训，持有证明文件。</w:t>
      </w:r>
    </w:p>
    <w:p w14:paraId="555F2EA4">
      <w:pPr>
        <w:adjustRightInd w:val="0"/>
        <w:snapToGrid w:val="0"/>
        <w:spacing w:line="360" w:lineRule="auto"/>
        <w:ind w:left="-105" w:right="-105" w:firstLine="240" w:firstLineChars="100"/>
        <w:rPr>
          <w:rFonts w:ascii="Times New Roman" w:hAnsi="Times New Roman" w:cs="Times New Roman"/>
          <w:color w:val="auto"/>
          <w:highlight w:val="none"/>
        </w:rPr>
      </w:pPr>
      <w:r>
        <w:rPr>
          <w:rFonts w:ascii="Times New Roman" w:hAnsi="Times New Roman" w:cs="Times New Roman"/>
          <w:color w:val="auto"/>
          <w:highlight w:val="none"/>
        </w:rPr>
        <w:t>（2）承载危险废物的车辆须有明显的标志或适当的危险符号，以引起注意。</w:t>
      </w:r>
    </w:p>
    <w:p w14:paraId="1A8CA30F">
      <w:pPr>
        <w:adjustRightInd w:val="0"/>
        <w:snapToGrid w:val="0"/>
        <w:spacing w:line="360" w:lineRule="auto"/>
        <w:ind w:left="-105" w:right="-105" w:firstLine="240" w:firstLineChars="100"/>
        <w:rPr>
          <w:rFonts w:ascii="Times New Roman" w:hAnsi="Times New Roman" w:cs="Times New Roman"/>
          <w:color w:val="auto"/>
          <w:highlight w:val="none"/>
        </w:rPr>
      </w:pPr>
      <w:r>
        <w:rPr>
          <w:rFonts w:ascii="Times New Roman" w:hAnsi="Times New Roman" w:cs="Times New Roman"/>
          <w:color w:val="auto"/>
          <w:highlight w:val="none"/>
        </w:rPr>
        <w:t>（3）载有危险废物的车辆在公路上行驶时，需持有运输许可证，其上应注明废物来源、性质和运往地点。</w:t>
      </w:r>
    </w:p>
    <w:p w14:paraId="6BAF011E">
      <w:pPr>
        <w:adjustRightInd w:val="0"/>
        <w:snapToGrid w:val="0"/>
        <w:spacing w:line="360" w:lineRule="auto"/>
        <w:ind w:left="-105" w:right="-105" w:firstLine="240" w:firstLineChars="100"/>
        <w:rPr>
          <w:rFonts w:ascii="Times New Roman" w:hAnsi="Times New Roman" w:cs="Times New Roman"/>
          <w:color w:val="auto"/>
          <w:highlight w:val="none"/>
        </w:rPr>
      </w:pPr>
      <w:r>
        <w:rPr>
          <w:rFonts w:ascii="Times New Roman" w:hAnsi="Times New Roman" w:cs="Times New Roman"/>
          <w:color w:val="auto"/>
          <w:highlight w:val="none"/>
        </w:rPr>
        <w:t>（4）组织危险废物的运输单位，在事先需作出周密的运输计划和行驶路线，其中包括有效的废物泄漏情况下的应急措施。</w:t>
      </w:r>
    </w:p>
    <w:p w14:paraId="5060124C">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7.4.2.3危废利用或者处置方式的污染防治措施</w:t>
      </w:r>
    </w:p>
    <w:p w14:paraId="14CCADD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本项目产生的危废委托有资质单位处置，不涉及利用或者处置危险固废，不需进行利用或者处置方式的污染防治措施论证。</w:t>
      </w:r>
    </w:p>
    <w:p w14:paraId="71B424C7">
      <w:pPr>
        <w:pStyle w:val="5"/>
        <w:keepLines w:val="0"/>
        <w:numPr>
          <w:ilvl w:val="2"/>
          <w:numId w:val="6"/>
        </w:numPr>
        <w:tabs>
          <w:tab w:val="left" w:pos="141"/>
          <w:tab w:val="left" w:pos="567"/>
          <w:tab w:val="left" w:pos="709"/>
          <w:tab w:val="left" w:pos="993"/>
          <w:tab w:val="left" w:pos="6663"/>
        </w:tabs>
        <w:spacing w:before="0" w:after="0" w:line="360" w:lineRule="auto"/>
        <w:ind w:left="-105" w:right="-105"/>
        <w:rPr>
          <w:rFonts w:eastAsia="宋体"/>
          <w:color w:val="auto"/>
          <w:sz w:val="28"/>
          <w:szCs w:val="28"/>
          <w:highlight w:val="none"/>
        </w:rPr>
      </w:pPr>
      <w:bookmarkStart w:id="464" w:name="_Toc43798565"/>
      <w:r>
        <w:rPr>
          <w:rFonts w:eastAsia="宋体"/>
          <w:color w:val="auto"/>
          <w:sz w:val="28"/>
          <w:szCs w:val="28"/>
          <w:highlight w:val="none"/>
        </w:rPr>
        <w:t>日常管理要求</w:t>
      </w:r>
      <w:bookmarkEnd w:id="464"/>
    </w:p>
    <w:p w14:paraId="3B3AAA0F">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1、危险废物</w:t>
      </w:r>
    </w:p>
    <w:p w14:paraId="01931CF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（1）履行申报登记制度；</w:t>
      </w:r>
    </w:p>
    <w:p w14:paraId="542D3818">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（2）建立台账管理制度，企业须做好危险废物情况的记录，记录上需注明危险废物的名称、来源、数量、特性和包装容器的类别；</w:t>
      </w:r>
    </w:p>
    <w:p w14:paraId="2BF48D54">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（3）委托处置应执行报批和转移联单等制度；</w:t>
      </w:r>
    </w:p>
    <w:p w14:paraId="4FDF191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（4）必须定期对暂存的危险废物包装容器及贮存设施进行检查，及早发现破损，及时采取措施清理更换；</w:t>
      </w:r>
    </w:p>
    <w:p w14:paraId="5710BEA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（5）直接从事收集、贮存、运输、利用、处置危险废物的人员，应当接受专业培训，经考核合格，方可从事该项工作。</w:t>
      </w:r>
    </w:p>
    <w:p w14:paraId="4D89DEC9">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2、一般工业固废</w:t>
      </w:r>
    </w:p>
    <w:p w14:paraId="1B41F9C0">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（1）企业应建立检查维护制度；</w:t>
      </w:r>
    </w:p>
    <w:p w14:paraId="6872CAAA">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（2）应建立档案制度，将一般工业固废的种类和数量详细记录在案，长期保存，以供查阅。</w:t>
      </w:r>
    </w:p>
    <w:p w14:paraId="71CA1B6F">
      <w:pPr>
        <w:adjustRightInd w:val="0"/>
        <w:snapToGrid w:val="0"/>
        <w:spacing w:line="360" w:lineRule="auto"/>
        <w:ind w:left="-105" w:right="-105" w:firstLine="480" w:firstLineChars="200"/>
        <w:jc w:val="both"/>
        <w:rPr>
          <w:rFonts w:ascii="Times New Roman" w:hAnsi="Times New Roman"/>
          <w:color w:val="auto"/>
          <w:highlight w:val="none"/>
        </w:rPr>
      </w:pPr>
      <w:r>
        <w:rPr>
          <w:rFonts w:ascii="Times New Roman" w:hAnsi="Times New Roman" w:cs="Times New Roman"/>
          <w:color w:val="auto"/>
          <w:highlight w:val="none"/>
        </w:rPr>
        <w:t>综上，以上固废全部做到妥善处置，实现了无害化。</w:t>
      </w:r>
    </w:p>
    <w:bookmarkEnd w:id="458"/>
    <w:p w14:paraId="7A8B3D8D">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65" w:name="_Toc24078"/>
      <w:bookmarkStart w:id="466" w:name="_Toc60653596"/>
      <w:bookmarkStart w:id="467" w:name="_Toc306443308"/>
      <w:bookmarkStart w:id="468" w:name="_Toc461444294"/>
      <w:bookmarkStart w:id="469" w:name="_Toc470515086"/>
      <w:bookmarkStart w:id="470" w:name="_Toc439595263"/>
      <w:bookmarkStart w:id="471" w:name="_Toc313475004"/>
      <w:bookmarkStart w:id="472" w:name="_Toc461443210"/>
      <w:bookmarkStart w:id="473" w:name="_Toc347332645"/>
      <w:bookmarkStart w:id="474" w:name="_Toc460422617"/>
      <w:bookmarkStart w:id="475" w:name="_Toc55155433"/>
      <w:bookmarkStart w:id="476" w:name="_Toc118628736"/>
      <w:bookmarkStart w:id="477" w:name="_Toc4226737"/>
      <w:bookmarkStart w:id="478" w:name="_Toc101291792"/>
      <w:bookmarkStart w:id="479" w:name="_Toc100053287"/>
      <w:bookmarkStart w:id="480" w:name="_Toc118620508"/>
      <w:bookmarkStart w:id="481" w:name="_Toc313475006"/>
      <w:bookmarkStart w:id="482" w:name="_Toc127345283"/>
      <w:bookmarkStart w:id="483" w:name="_Toc347332646"/>
      <w:bookmarkStart w:id="484" w:name="_Toc175038181"/>
      <w:r>
        <w:rPr>
          <w:rFonts w:ascii="Times New Roman" w:eastAsia="宋体"/>
          <w:color w:val="auto"/>
          <w:sz w:val="28"/>
          <w:szCs w:val="28"/>
          <w:highlight w:val="none"/>
        </w:rPr>
        <w:t>地下水、土壤污染防治措施</w:t>
      </w:r>
      <w:bookmarkEnd w:id="465"/>
      <w:bookmarkEnd w:id="466"/>
      <w:bookmarkEnd w:id="467"/>
      <w:bookmarkEnd w:id="468"/>
      <w:bookmarkEnd w:id="469"/>
      <w:bookmarkEnd w:id="470"/>
      <w:bookmarkEnd w:id="471"/>
      <w:bookmarkEnd w:id="472"/>
      <w:bookmarkEnd w:id="473"/>
      <w:bookmarkEnd w:id="474"/>
    </w:p>
    <w:p w14:paraId="61F29BF3">
      <w:pPr>
        <w:pStyle w:val="20"/>
        <w:spacing w:line="360" w:lineRule="auto"/>
        <w:ind w:left="-105" w:right="-105" w:firstLine="464" w:firstLineChars="200"/>
        <w:jc w:val="both"/>
        <w:rPr>
          <w:rFonts w:ascii="Times New Roman" w:hAnsi="Times New Roman" w:cs="Times New Roman"/>
          <w:color w:val="auto"/>
          <w:spacing w:val="-4"/>
          <w:sz w:val="24"/>
          <w:szCs w:val="24"/>
          <w:highlight w:val="none"/>
          <w:lang w:val="en-US"/>
        </w:rPr>
      </w:pPr>
      <w:r>
        <w:rPr>
          <w:rFonts w:ascii="Times New Roman" w:hAnsi="Times New Roman" w:cs="Times New Roman"/>
          <w:color w:val="auto"/>
          <w:spacing w:val="-4"/>
          <w:sz w:val="24"/>
          <w:szCs w:val="24"/>
          <w:highlight w:val="none"/>
        </w:rPr>
        <w:t>针对本项目运营期各个单元可能存在的污水下渗，采取合理有效的工程措施可防止污染物对土壤、地下水的污染。地下水的污染主要是由于污染物迁移穿过包气带进入含水层造成的。若污水发生渗漏，首先污染土壤，同时污染物会较快穿过包气带进入浅层地下水，对浅层地下水造成污染。由于地下水一旦受污染其发现和治理难度较大，为了更好的保护地下水资源，将本项目对地下水、土壤的影响降至最低限度，建议采取以下的污染防治措施：</w:t>
      </w:r>
    </w:p>
    <w:bookmarkEnd w:id="475"/>
    <w:bookmarkEnd w:id="476"/>
    <w:bookmarkEnd w:id="477"/>
    <w:bookmarkEnd w:id="478"/>
    <w:bookmarkEnd w:id="479"/>
    <w:bookmarkEnd w:id="480"/>
    <w:bookmarkEnd w:id="481"/>
    <w:bookmarkEnd w:id="482"/>
    <w:bookmarkEnd w:id="483"/>
    <w:bookmarkEnd w:id="484"/>
    <w:p w14:paraId="2972ADCF">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bookmarkStart w:id="485" w:name="_Toc60653597"/>
      <w:bookmarkStart w:id="486" w:name="_Toc6096"/>
      <w:bookmarkStart w:id="487" w:name="_Toc313475007"/>
      <w:bookmarkStart w:id="488" w:name="_Toc347332647"/>
      <w:r>
        <w:rPr>
          <w:rFonts w:eastAsia="宋体"/>
          <w:color w:val="auto"/>
          <w:sz w:val="28"/>
          <w:szCs w:val="28"/>
          <w:highlight w:val="none"/>
        </w:rPr>
        <w:t>源头控制</w:t>
      </w:r>
    </w:p>
    <w:p w14:paraId="0A2EA09C">
      <w:pPr>
        <w:pStyle w:val="105"/>
        <w:spacing w:line="360" w:lineRule="auto"/>
        <w:ind w:firstLine="480" w:firstLineChars="200"/>
        <w:jc w:val="both"/>
        <w:rPr>
          <w:rFonts w:ascii="Times New Roman" w:cs="Times New Roman"/>
          <w:color w:val="auto"/>
          <w:highlight w:val="none"/>
          <w:lang w:val="zh-CN" w:bidi="zh-CN"/>
        </w:rPr>
      </w:pPr>
      <w:r>
        <w:rPr>
          <w:rFonts w:hint="eastAsia" w:ascii="Times New Roman" w:cs="Times New Roman"/>
          <w:color w:val="auto"/>
          <w:highlight w:val="none"/>
          <w:lang w:val="zh-CN" w:bidi="zh-CN"/>
        </w:rPr>
        <w:t>（</w:t>
      </w:r>
      <w:r>
        <w:rPr>
          <w:rFonts w:ascii="Times New Roman" w:cs="Times New Roman"/>
          <w:color w:val="auto"/>
          <w:highlight w:val="none"/>
          <w:lang w:val="zh-CN" w:bidi="zh-CN"/>
        </w:rPr>
        <w:t>1</w:t>
      </w:r>
      <w:r>
        <w:rPr>
          <w:rFonts w:hint="eastAsia" w:ascii="Times New Roman" w:cs="Times New Roman"/>
          <w:color w:val="auto"/>
          <w:highlight w:val="none"/>
          <w:lang w:val="zh-CN" w:bidi="zh-CN"/>
        </w:rPr>
        <w:t>）生产线建设</w:t>
      </w:r>
      <w:r>
        <w:rPr>
          <w:rFonts w:hint="eastAsia" w:ascii="Times New Roman" w:cs="Times New Roman"/>
          <w:color w:val="auto"/>
          <w:highlight w:val="none"/>
          <w:lang w:bidi="zh-CN"/>
        </w:rPr>
        <w:t>防腐防渗环氧地坪，车间内设置收集沟于事故应急池连通</w:t>
      </w:r>
      <w:r>
        <w:rPr>
          <w:rFonts w:hint="eastAsia" w:ascii="Times New Roman" w:cs="Times New Roman"/>
          <w:color w:val="auto"/>
          <w:highlight w:val="none"/>
          <w:lang w:val="zh-CN" w:bidi="zh-CN"/>
        </w:rPr>
        <w:t>，防止槽液泄漏污染地下水。</w:t>
      </w:r>
    </w:p>
    <w:p w14:paraId="7CBF9B89">
      <w:pPr>
        <w:pStyle w:val="105"/>
        <w:spacing w:line="360" w:lineRule="auto"/>
        <w:ind w:firstLine="480" w:firstLineChars="200"/>
        <w:jc w:val="both"/>
        <w:rPr>
          <w:rFonts w:ascii="Times New Roman" w:cs="Times New Roman"/>
          <w:color w:val="auto"/>
          <w:highlight w:val="none"/>
          <w:lang w:val="zh-CN" w:bidi="zh-CN"/>
        </w:rPr>
      </w:pPr>
      <w:r>
        <w:rPr>
          <w:rFonts w:hint="eastAsia" w:ascii="Times New Roman" w:cs="Times New Roman"/>
          <w:color w:val="auto"/>
          <w:highlight w:val="none"/>
          <w:lang w:val="zh-CN" w:bidi="zh-CN"/>
        </w:rPr>
        <w:t>（</w:t>
      </w:r>
      <w:r>
        <w:rPr>
          <w:rFonts w:ascii="Times New Roman" w:cs="Times New Roman"/>
          <w:color w:val="auto"/>
          <w:highlight w:val="none"/>
          <w:lang w:val="zh-CN" w:bidi="zh-CN"/>
        </w:rPr>
        <w:t>2</w:t>
      </w:r>
      <w:r>
        <w:rPr>
          <w:rFonts w:hint="eastAsia" w:ascii="Times New Roman" w:cs="Times New Roman"/>
          <w:color w:val="auto"/>
          <w:highlight w:val="none"/>
          <w:lang w:val="zh-CN" w:bidi="zh-CN"/>
        </w:rPr>
        <w:t>）所有设备凡与</w:t>
      </w:r>
      <w:r>
        <w:rPr>
          <w:rFonts w:hint="eastAsia" w:ascii="Times New Roman" w:cs="Times New Roman"/>
          <w:color w:val="auto"/>
          <w:highlight w:val="none"/>
          <w:lang w:bidi="zh-CN"/>
        </w:rPr>
        <w:t>原料</w:t>
      </w:r>
      <w:r>
        <w:rPr>
          <w:rFonts w:hint="eastAsia" w:ascii="Times New Roman" w:cs="Times New Roman"/>
          <w:color w:val="auto"/>
          <w:highlight w:val="none"/>
          <w:lang w:val="zh-CN" w:bidi="zh-CN"/>
        </w:rPr>
        <w:t>接触部件均为不锈钢、</w:t>
      </w:r>
      <w:r>
        <w:rPr>
          <w:rFonts w:ascii="Times New Roman" w:cs="Times New Roman"/>
          <w:color w:val="auto"/>
          <w:highlight w:val="none"/>
          <w:lang w:val="zh-CN" w:bidi="zh-CN"/>
        </w:rPr>
        <w:t>PVC</w:t>
      </w:r>
      <w:r>
        <w:rPr>
          <w:rFonts w:hint="eastAsia" w:ascii="Times New Roman" w:cs="Times New Roman"/>
          <w:color w:val="auto"/>
          <w:highlight w:val="none"/>
          <w:lang w:val="zh-CN" w:bidi="zh-CN"/>
        </w:rPr>
        <w:t>、</w:t>
      </w:r>
      <w:r>
        <w:rPr>
          <w:rFonts w:ascii="Times New Roman" w:cs="Times New Roman"/>
          <w:color w:val="auto"/>
          <w:highlight w:val="none"/>
          <w:lang w:val="zh-CN" w:bidi="zh-CN"/>
        </w:rPr>
        <w:t>ABS</w:t>
      </w:r>
      <w:r>
        <w:rPr>
          <w:rFonts w:hint="eastAsia" w:ascii="Times New Roman" w:cs="Times New Roman"/>
          <w:color w:val="auto"/>
          <w:highlight w:val="none"/>
          <w:lang w:val="zh-CN" w:bidi="zh-CN"/>
        </w:rPr>
        <w:t>等防腐材质。所有阀体（空气管道除外），包括自动阀、切换阀、球阀等均为</w:t>
      </w:r>
      <w:r>
        <w:rPr>
          <w:rFonts w:ascii="Times New Roman" w:cs="Times New Roman"/>
          <w:color w:val="auto"/>
          <w:highlight w:val="none"/>
          <w:lang w:val="zh-CN" w:bidi="zh-CN"/>
        </w:rPr>
        <w:t>PVC</w:t>
      </w:r>
      <w:r>
        <w:rPr>
          <w:rFonts w:hint="eastAsia" w:ascii="Times New Roman" w:cs="Times New Roman"/>
          <w:color w:val="auto"/>
          <w:highlight w:val="none"/>
          <w:lang w:val="zh-CN" w:bidi="zh-CN"/>
        </w:rPr>
        <w:t>、衬胶等防腐材质。</w:t>
      </w:r>
    </w:p>
    <w:p w14:paraId="02826F6F">
      <w:pPr>
        <w:pStyle w:val="105"/>
        <w:spacing w:line="360" w:lineRule="auto"/>
        <w:ind w:firstLine="480" w:firstLineChars="200"/>
        <w:jc w:val="both"/>
        <w:rPr>
          <w:rFonts w:ascii="Times New Roman" w:cs="Times New Roman"/>
          <w:color w:val="auto"/>
          <w:highlight w:val="none"/>
          <w:lang w:val="zh-CN" w:bidi="zh-CN"/>
        </w:rPr>
      </w:pPr>
      <w:r>
        <w:rPr>
          <w:rFonts w:hint="eastAsia" w:ascii="Times New Roman" w:cs="Times New Roman"/>
          <w:color w:val="auto"/>
          <w:highlight w:val="none"/>
          <w:lang w:val="zh-CN" w:bidi="zh-CN"/>
        </w:rPr>
        <w:t>（</w:t>
      </w:r>
      <w:r>
        <w:rPr>
          <w:rFonts w:hint="eastAsia" w:ascii="Times New Roman" w:cs="Times New Roman"/>
          <w:color w:val="auto"/>
          <w:highlight w:val="none"/>
          <w:lang w:bidi="zh-CN"/>
        </w:rPr>
        <w:t>3</w:t>
      </w:r>
      <w:r>
        <w:rPr>
          <w:rFonts w:hint="eastAsia" w:ascii="Times New Roman" w:cs="Times New Roman"/>
          <w:color w:val="auto"/>
          <w:highlight w:val="none"/>
          <w:lang w:val="zh-CN" w:bidi="zh-CN"/>
        </w:rPr>
        <w:t>）做好废液的收集、贮存和管理，防止废液外渗污染地下水。在车间内设置加盖桶装收集危险废物，避免化学品与地面直接接触。</w:t>
      </w:r>
    </w:p>
    <w:p w14:paraId="7E4F7F6B">
      <w:pPr>
        <w:pStyle w:val="105"/>
        <w:spacing w:line="360" w:lineRule="auto"/>
        <w:ind w:firstLine="480" w:firstLineChars="200"/>
        <w:jc w:val="both"/>
        <w:rPr>
          <w:rFonts w:ascii="Times New Roman" w:cs="Times New Roman"/>
          <w:color w:val="auto"/>
          <w:highlight w:val="none"/>
          <w:lang w:val="zh-CN" w:bidi="zh-CN"/>
        </w:rPr>
      </w:pPr>
      <w:r>
        <w:rPr>
          <w:rFonts w:hint="eastAsia" w:ascii="Times New Roman" w:cs="Times New Roman"/>
          <w:color w:val="auto"/>
          <w:highlight w:val="none"/>
          <w:lang w:val="zh-CN" w:bidi="zh-CN"/>
        </w:rPr>
        <w:t>（</w:t>
      </w:r>
      <w:r>
        <w:rPr>
          <w:rFonts w:hint="eastAsia" w:ascii="Times New Roman" w:cs="Times New Roman"/>
          <w:color w:val="auto"/>
          <w:highlight w:val="none"/>
          <w:lang w:bidi="zh-CN"/>
        </w:rPr>
        <w:t>4</w:t>
      </w:r>
      <w:r>
        <w:rPr>
          <w:rFonts w:hint="eastAsia" w:ascii="Times New Roman" w:cs="Times New Roman"/>
          <w:color w:val="auto"/>
          <w:highlight w:val="none"/>
          <w:lang w:val="zh-CN" w:bidi="zh-CN"/>
        </w:rPr>
        <w:t>）车间地面及危废暂存间、</w:t>
      </w:r>
      <w:r>
        <w:rPr>
          <w:rFonts w:hint="eastAsia" w:ascii="Times New Roman" w:cs="Times New Roman"/>
          <w:color w:val="auto"/>
          <w:highlight w:val="none"/>
          <w:lang w:bidi="zh-CN"/>
        </w:rPr>
        <w:t>危险品仓库、废液储罐区</w:t>
      </w:r>
      <w:r>
        <w:rPr>
          <w:rFonts w:hint="eastAsia" w:ascii="Times New Roman" w:cs="Times New Roman"/>
          <w:color w:val="auto"/>
          <w:highlight w:val="none"/>
          <w:lang w:val="zh-CN" w:bidi="zh-CN"/>
        </w:rPr>
        <w:t>地面及裙角范围按重点污染防治区进行防腐防渗处理，防渗层要求等效黏土防渗层</w:t>
      </w:r>
      <w:r>
        <w:rPr>
          <w:rFonts w:ascii="Times New Roman" w:cs="Times New Roman"/>
          <w:color w:val="auto"/>
          <w:highlight w:val="none"/>
          <w:lang w:val="zh-CN" w:bidi="zh-CN"/>
        </w:rPr>
        <w:t>Mb</w:t>
      </w:r>
      <w:r>
        <w:rPr>
          <w:rFonts w:hint="eastAsia" w:ascii="Times New Roman" w:cs="Times New Roman"/>
          <w:color w:val="auto"/>
          <w:highlight w:val="none"/>
          <w:lang w:val="zh-CN" w:bidi="zh-CN"/>
        </w:rPr>
        <w:t>≥</w:t>
      </w:r>
      <w:r>
        <w:rPr>
          <w:rFonts w:ascii="Times New Roman" w:cs="Times New Roman"/>
          <w:color w:val="auto"/>
          <w:highlight w:val="none"/>
          <w:lang w:val="zh-CN" w:bidi="zh-CN"/>
        </w:rPr>
        <w:t>6.0m</w:t>
      </w:r>
      <w:r>
        <w:rPr>
          <w:rFonts w:hint="eastAsia" w:ascii="Times New Roman" w:cs="Times New Roman"/>
          <w:color w:val="auto"/>
          <w:highlight w:val="none"/>
          <w:lang w:val="zh-CN" w:bidi="zh-CN"/>
        </w:rPr>
        <w:t>，</w:t>
      </w:r>
      <w:r>
        <w:rPr>
          <w:rFonts w:ascii="Times New Roman" w:cs="Times New Roman"/>
          <w:color w:val="auto"/>
          <w:highlight w:val="none"/>
          <w:lang w:val="zh-CN" w:bidi="zh-CN"/>
        </w:rPr>
        <w:t>K</w:t>
      </w:r>
      <w:r>
        <w:rPr>
          <w:rFonts w:hint="eastAsia" w:ascii="Times New Roman" w:cs="Times New Roman"/>
          <w:color w:val="auto"/>
          <w:highlight w:val="none"/>
          <w:lang w:val="zh-CN" w:bidi="zh-CN"/>
        </w:rPr>
        <w:t>≤</w:t>
      </w:r>
      <w:r>
        <w:rPr>
          <w:rFonts w:ascii="Times New Roman" w:cs="Times New Roman"/>
          <w:color w:val="auto"/>
          <w:highlight w:val="none"/>
          <w:lang w:val="zh-CN" w:bidi="zh-CN"/>
        </w:rPr>
        <w:t>1</w:t>
      </w:r>
      <w:r>
        <w:rPr>
          <w:rFonts w:hint="eastAsia" w:ascii="Times New Roman" w:cs="Times New Roman"/>
          <w:color w:val="auto"/>
          <w:highlight w:val="none"/>
          <w:lang w:val="zh-CN" w:bidi="zh-CN"/>
        </w:rPr>
        <w:t>×</w:t>
      </w:r>
      <w:r>
        <w:rPr>
          <w:rFonts w:ascii="Times New Roman" w:cs="Times New Roman"/>
          <w:color w:val="auto"/>
          <w:highlight w:val="none"/>
          <w:lang w:val="zh-CN" w:bidi="zh-CN"/>
        </w:rPr>
        <w:t>10</w:t>
      </w:r>
      <w:r>
        <w:rPr>
          <w:rFonts w:ascii="Times New Roman" w:cs="Times New Roman"/>
          <w:color w:val="auto"/>
          <w:highlight w:val="none"/>
          <w:vertAlign w:val="superscript"/>
          <w:lang w:val="zh-CN" w:bidi="zh-CN"/>
        </w:rPr>
        <w:t>-10</w:t>
      </w:r>
      <w:r>
        <w:rPr>
          <w:rFonts w:ascii="Times New Roman" w:cs="Times New Roman"/>
          <w:color w:val="auto"/>
          <w:highlight w:val="none"/>
          <w:lang w:val="zh-CN" w:bidi="zh-CN"/>
        </w:rPr>
        <w:t>cm/s</w:t>
      </w:r>
      <w:r>
        <w:rPr>
          <w:rFonts w:hint="eastAsia" w:ascii="Times New Roman" w:cs="Times New Roman"/>
          <w:color w:val="auto"/>
          <w:highlight w:val="none"/>
          <w:lang w:val="zh-CN" w:bidi="zh-CN"/>
        </w:rPr>
        <w:t>；其他工作区作一般防渗处理，防渗层要求等效黏土防渗层</w:t>
      </w:r>
      <w:r>
        <w:rPr>
          <w:rFonts w:ascii="Times New Roman" w:cs="Times New Roman"/>
          <w:color w:val="auto"/>
          <w:highlight w:val="none"/>
          <w:lang w:val="zh-CN" w:bidi="zh-CN"/>
        </w:rPr>
        <w:t>Mb</w:t>
      </w:r>
      <w:r>
        <w:rPr>
          <w:rFonts w:hint="eastAsia" w:ascii="Times New Roman" w:cs="Times New Roman"/>
          <w:color w:val="auto"/>
          <w:highlight w:val="none"/>
          <w:lang w:val="zh-CN" w:bidi="zh-CN"/>
        </w:rPr>
        <w:t>≥</w:t>
      </w:r>
      <w:r>
        <w:rPr>
          <w:rFonts w:ascii="Times New Roman" w:cs="Times New Roman"/>
          <w:color w:val="auto"/>
          <w:highlight w:val="none"/>
          <w:lang w:val="zh-CN" w:bidi="zh-CN"/>
        </w:rPr>
        <w:t>1.5m</w:t>
      </w:r>
      <w:r>
        <w:rPr>
          <w:rFonts w:hint="eastAsia" w:ascii="Times New Roman" w:cs="Times New Roman"/>
          <w:color w:val="auto"/>
          <w:highlight w:val="none"/>
          <w:lang w:val="zh-CN" w:bidi="zh-CN"/>
        </w:rPr>
        <w:t>，</w:t>
      </w:r>
      <w:r>
        <w:rPr>
          <w:rFonts w:ascii="Times New Roman" w:cs="Times New Roman"/>
          <w:color w:val="auto"/>
          <w:highlight w:val="none"/>
          <w:lang w:val="zh-CN" w:bidi="zh-CN"/>
        </w:rPr>
        <w:t>K</w:t>
      </w:r>
      <w:r>
        <w:rPr>
          <w:rFonts w:hint="eastAsia" w:ascii="Times New Roman" w:cs="Times New Roman"/>
          <w:color w:val="auto"/>
          <w:highlight w:val="none"/>
          <w:lang w:val="zh-CN" w:bidi="zh-CN"/>
        </w:rPr>
        <w:t>≤</w:t>
      </w:r>
      <w:r>
        <w:rPr>
          <w:rFonts w:ascii="Times New Roman" w:cs="Times New Roman"/>
          <w:color w:val="auto"/>
          <w:highlight w:val="none"/>
          <w:lang w:val="zh-CN" w:bidi="zh-CN"/>
        </w:rPr>
        <w:t>1</w:t>
      </w:r>
      <w:r>
        <w:rPr>
          <w:rFonts w:hint="eastAsia" w:ascii="Times New Roman" w:cs="Times New Roman"/>
          <w:color w:val="auto"/>
          <w:highlight w:val="none"/>
          <w:lang w:val="zh-CN" w:bidi="zh-CN"/>
        </w:rPr>
        <w:t>×</w:t>
      </w:r>
      <w:r>
        <w:rPr>
          <w:rFonts w:ascii="Times New Roman" w:cs="Times New Roman"/>
          <w:color w:val="auto"/>
          <w:highlight w:val="none"/>
          <w:lang w:val="zh-CN" w:bidi="zh-CN"/>
        </w:rPr>
        <w:t>10</w:t>
      </w:r>
      <w:r>
        <w:rPr>
          <w:rFonts w:ascii="Times New Roman" w:cs="Times New Roman"/>
          <w:color w:val="auto"/>
          <w:highlight w:val="none"/>
          <w:vertAlign w:val="superscript"/>
          <w:lang w:val="zh-CN" w:bidi="zh-CN"/>
        </w:rPr>
        <w:t>-7</w:t>
      </w:r>
      <w:r>
        <w:rPr>
          <w:rFonts w:ascii="Times New Roman" w:cs="Times New Roman"/>
          <w:color w:val="auto"/>
          <w:highlight w:val="none"/>
          <w:lang w:val="zh-CN" w:bidi="zh-CN"/>
        </w:rPr>
        <w:t>cm/s</w:t>
      </w:r>
      <w:r>
        <w:rPr>
          <w:rFonts w:hint="eastAsia" w:ascii="Times New Roman" w:cs="Times New Roman"/>
          <w:color w:val="auto"/>
          <w:highlight w:val="none"/>
          <w:lang w:val="zh-CN" w:bidi="zh-CN"/>
        </w:rPr>
        <w:t>。</w:t>
      </w:r>
    </w:p>
    <w:p w14:paraId="7F543CB3">
      <w:pPr>
        <w:pStyle w:val="21"/>
        <w:spacing w:line="360" w:lineRule="auto"/>
        <w:ind w:left="-105" w:right="-105" w:firstLine="480" w:firstLineChars="200"/>
        <w:rPr>
          <w:rFonts w:eastAsia="宋体"/>
          <w:color w:val="auto"/>
          <w:kern w:val="0"/>
          <w:sz w:val="24"/>
          <w:highlight w:val="none"/>
          <w:lang w:val="zh-CN" w:bidi="zh-CN"/>
        </w:rPr>
      </w:pPr>
      <w:r>
        <w:rPr>
          <w:rFonts w:hint="eastAsia" w:eastAsia="宋体"/>
          <w:color w:val="auto"/>
          <w:kern w:val="0"/>
          <w:sz w:val="24"/>
          <w:highlight w:val="none"/>
          <w:lang w:val="zh-CN" w:bidi="zh-CN"/>
        </w:rPr>
        <w:t>（</w:t>
      </w:r>
      <w:r>
        <w:rPr>
          <w:rFonts w:eastAsia="宋体"/>
          <w:color w:val="auto"/>
          <w:kern w:val="0"/>
          <w:sz w:val="24"/>
          <w:highlight w:val="none"/>
          <w:lang w:val="zh-CN" w:bidi="zh-CN"/>
        </w:rPr>
        <w:t>8</w:t>
      </w:r>
      <w:r>
        <w:rPr>
          <w:rFonts w:hint="eastAsia" w:eastAsia="宋体"/>
          <w:color w:val="auto"/>
          <w:kern w:val="0"/>
          <w:sz w:val="24"/>
          <w:highlight w:val="none"/>
          <w:lang w:val="zh-CN" w:bidi="zh-CN"/>
        </w:rPr>
        <w:t>）危险品仓库与生产装置区</w:t>
      </w:r>
      <w:r>
        <w:rPr>
          <w:rFonts w:hint="eastAsia" w:eastAsia="宋体"/>
          <w:color w:val="auto"/>
          <w:kern w:val="0"/>
          <w:sz w:val="24"/>
          <w:highlight w:val="none"/>
          <w:lang w:bidi="zh-CN"/>
        </w:rPr>
        <w:t>设置</w:t>
      </w:r>
      <w:r>
        <w:rPr>
          <w:rFonts w:hint="eastAsia" w:eastAsia="宋体"/>
          <w:color w:val="auto"/>
          <w:kern w:val="0"/>
          <w:sz w:val="24"/>
          <w:highlight w:val="none"/>
          <w:lang w:val="zh-CN" w:bidi="zh-CN"/>
        </w:rPr>
        <w:t>隔离，做好通风措施，地面进行防腐防渗处理。将固体与液体、酸性与碱性化学品分开储存。液体化学品临时储存区设立围堤，防止化学品泄漏污染地下水。</w:t>
      </w:r>
    </w:p>
    <w:p w14:paraId="30E88576">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厂区防渗</w:t>
      </w:r>
    </w:p>
    <w:p w14:paraId="542F4A81">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w:t>
      </w:r>
      <w:r>
        <w:rPr>
          <w:rFonts w:ascii="Times New Roman" w:hAnsi="Times New Roman"/>
          <w:color w:val="auto"/>
          <w:sz w:val="24"/>
          <w:szCs w:val="24"/>
          <w:highlight w:val="none"/>
        </w:rPr>
        <w:t>.5.2.1防渗分区划分</w:t>
      </w:r>
    </w:p>
    <w:p w14:paraId="65C96905">
      <w:pPr>
        <w:pStyle w:val="20"/>
        <w:spacing w:line="360" w:lineRule="auto"/>
        <w:ind w:left="-105" w:right="-105" w:firstLine="464" w:firstLineChars="200"/>
        <w:jc w:val="both"/>
        <w:rPr>
          <w:rFonts w:ascii="Times New Roman" w:hAnsi="Times New Roman" w:cs="Times New Roman"/>
          <w:color w:val="auto"/>
          <w:spacing w:val="-4"/>
          <w:sz w:val="24"/>
          <w:szCs w:val="24"/>
          <w:highlight w:val="none"/>
        </w:rPr>
      </w:pPr>
      <w:r>
        <w:rPr>
          <w:rFonts w:ascii="Times New Roman" w:hAnsi="Times New Roman" w:cs="Times New Roman"/>
          <w:color w:val="auto"/>
          <w:spacing w:val="-4"/>
          <w:sz w:val="24"/>
          <w:szCs w:val="24"/>
          <w:highlight w:val="none"/>
        </w:rPr>
        <w:t>本项目可能造成地下水和土壤污染影响的环节有：生产区、</w:t>
      </w:r>
      <w:r>
        <w:rPr>
          <w:rFonts w:hint="eastAsia" w:ascii="Times New Roman" w:hAnsi="Times New Roman" w:cs="Times New Roman"/>
          <w:color w:val="auto"/>
          <w:spacing w:val="-4"/>
          <w:sz w:val="24"/>
          <w:szCs w:val="24"/>
          <w:highlight w:val="none"/>
          <w:lang w:val="en-US" w:eastAsia="zh-CN"/>
        </w:rPr>
        <w:t>危险品仓库</w:t>
      </w:r>
      <w:r>
        <w:rPr>
          <w:rFonts w:ascii="Times New Roman" w:hAnsi="Times New Roman" w:cs="Times New Roman"/>
          <w:color w:val="auto"/>
          <w:spacing w:val="-4"/>
          <w:sz w:val="24"/>
          <w:szCs w:val="24"/>
          <w:highlight w:val="none"/>
        </w:rPr>
        <w:t>、</w:t>
      </w:r>
      <w:r>
        <w:rPr>
          <w:rFonts w:hint="eastAsia" w:ascii="Times New Roman" w:hAnsi="Times New Roman" w:cs="Times New Roman"/>
          <w:color w:val="auto"/>
          <w:spacing w:val="-4"/>
          <w:sz w:val="24"/>
          <w:szCs w:val="24"/>
          <w:highlight w:val="none"/>
          <w:lang w:val="en-US"/>
        </w:rPr>
        <w:t>成品仓库、埋地柴油罐、废液储罐区</w:t>
      </w:r>
      <w:r>
        <w:rPr>
          <w:rFonts w:ascii="Times New Roman" w:hAnsi="Times New Roman" w:cs="Times New Roman"/>
          <w:color w:val="auto"/>
          <w:spacing w:val="-4"/>
          <w:sz w:val="24"/>
          <w:szCs w:val="24"/>
          <w:highlight w:val="none"/>
        </w:rPr>
        <w:t>、危废仓库、事故池</w:t>
      </w:r>
      <w:r>
        <w:rPr>
          <w:rFonts w:hint="eastAsia" w:ascii="Times New Roman" w:hAnsi="Times New Roman" w:cs="Times New Roman"/>
          <w:color w:val="auto"/>
          <w:spacing w:val="-4"/>
          <w:sz w:val="24"/>
          <w:szCs w:val="24"/>
          <w:highlight w:val="none"/>
        </w:rPr>
        <w:t>、</w:t>
      </w:r>
      <w:r>
        <w:rPr>
          <w:rFonts w:hint="eastAsia" w:ascii="Times New Roman" w:hAnsi="Times New Roman" w:cs="Times New Roman"/>
          <w:color w:val="auto"/>
          <w:spacing w:val="-4"/>
          <w:sz w:val="24"/>
          <w:szCs w:val="24"/>
          <w:highlight w:val="none"/>
          <w:lang w:val="en-US"/>
        </w:rPr>
        <w:t>初期雨水收集池</w:t>
      </w:r>
      <w:r>
        <w:rPr>
          <w:rFonts w:ascii="Times New Roman" w:hAnsi="Times New Roman" w:cs="Times New Roman"/>
          <w:color w:val="auto"/>
          <w:spacing w:val="-4"/>
          <w:sz w:val="24"/>
          <w:szCs w:val="24"/>
          <w:highlight w:val="none"/>
        </w:rPr>
        <w:t>等场所，以及原料储存、运输过程中，可能会发生泄漏，对土壤和地下水存在风险。</w:t>
      </w:r>
    </w:p>
    <w:p w14:paraId="77C376E5">
      <w:pPr>
        <w:pStyle w:val="20"/>
        <w:spacing w:line="360" w:lineRule="auto"/>
        <w:ind w:left="-105" w:right="-105" w:firstLine="464" w:firstLineChars="200"/>
        <w:jc w:val="both"/>
        <w:rPr>
          <w:rFonts w:ascii="Times New Roman" w:hAnsi="Times New Roman" w:cs="Times New Roman"/>
          <w:color w:val="auto"/>
          <w:spacing w:val="-4"/>
          <w:sz w:val="24"/>
          <w:szCs w:val="24"/>
          <w:highlight w:val="none"/>
        </w:rPr>
      </w:pPr>
      <w:r>
        <w:rPr>
          <w:rFonts w:ascii="Times New Roman" w:hAnsi="Times New Roman" w:cs="Times New Roman"/>
          <w:color w:val="auto"/>
          <w:spacing w:val="-4"/>
          <w:sz w:val="24"/>
          <w:szCs w:val="24"/>
          <w:highlight w:val="none"/>
        </w:rPr>
        <w:t>因此，本项目厂区划分为重点防渗区、一般防渗区和简单防渗区，生产区、</w:t>
      </w:r>
      <w:r>
        <w:rPr>
          <w:rFonts w:hint="eastAsia" w:ascii="Times New Roman" w:hAnsi="Times New Roman" w:cs="Times New Roman"/>
          <w:color w:val="auto"/>
          <w:spacing w:val="-4"/>
          <w:sz w:val="24"/>
          <w:szCs w:val="24"/>
          <w:highlight w:val="none"/>
          <w:lang w:val="en-US" w:eastAsia="zh-CN"/>
        </w:rPr>
        <w:t>危险品仓库</w:t>
      </w:r>
      <w:r>
        <w:rPr>
          <w:rFonts w:ascii="Times New Roman" w:hAnsi="Times New Roman" w:cs="Times New Roman"/>
          <w:color w:val="auto"/>
          <w:spacing w:val="-4"/>
          <w:sz w:val="24"/>
          <w:szCs w:val="24"/>
          <w:highlight w:val="none"/>
        </w:rPr>
        <w:t>、</w:t>
      </w:r>
      <w:r>
        <w:rPr>
          <w:rFonts w:hint="eastAsia" w:ascii="Times New Roman" w:hAnsi="Times New Roman" w:cs="Times New Roman"/>
          <w:color w:val="auto"/>
          <w:spacing w:val="-4"/>
          <w:sz w:val="24"/>
          <w:szCs w:val="24"/>
          <w:highlight w:val="none"/>
          <w:lang w:val="en-US"/>
        </w:rPr>
        <w:t>成品仓库、埋地柴油罐、废液储罐区</w:t>
      </w:r>
      <w:r>
        <w:rPr>
          <w:rFonts w:ascii="Times New Roman" w:hAnsi="Times New Roman" w:cs="Times New Roman"/>
          <w:color w:val="auto"/>
          <w:spacing w:val="-4"/>
          <w:sz w:val="24"/>
          <w:szCs w:val="24"/>
          <w:highlight w:val="none"/>
        </w:rPr>
        <w:t>、危废仓库、事故池</w:t>
      </w:r>
      <w:r>
        <w:rPr>
          <w:rFonts w:hint="eastAsia" w:ascii="Times New Roman" w:hAnsi="Times New Roman" w:cs="Times New Roman"/>
          <w:color w:val="auto"/>
          <w:spacing w:val="-4"/>
          <w:sz w:val="24"/>
          <w:szCs w:val="24"/>
          <w:highlight w:val="none"/>
        </w:rPr>
        <w:t>、</w:t>
      </w:r>
      <w:r>
        <w:rPr>
          <w:rFonts w:hint="eastAsia" w:ascii="Times New Roman" w:hAnsi="Times New Roman" w:cs="Times New Roman"/>
          <w:color w:val="auto"/>
          <w:spacing w:val="-4"/>
          <w:sz w:val="24"/>
          <w:szCs w:val="24"/>
          <w:highlight w:val="none"/>
          <w:lang w:val="en-US"/>
        </w:rPr>
        <w:t>初期雨水收集池</w:t>
      </w:r>
      <w:r>
        <w:rPr>
          <w:rFonts w:ascii="Times New Roman" w:hAnsi="Times New Roman" w:cs="Times New Roman"/>
          <w:color w:val="auto"/>
          <w:spacing w:val="-4"/>
          <w:sz w:val="24"/>
          <w:szCs w:val="24"/>
          <w:highlight w:val="none"/>
        </w:rPr>
        <w:t>等属于重点防渗区；</w:t>
      </w:r>
      <w:r>
        <w:rPr>
          <w:rFonts w:hint="eastAsia" w:ascii="Times New Roman" w:hAnsi="Times New Roman" w:cs="Times New Roman"/>
          <w:color w:val="auto"/>
          <w:spacing w:val="-4"/>
          <w:sz w:val="24"/>
          <w:szCs w:val="24"/>
          <w:highlight w:val="none"/>
          <w:lang w:val="en-US"/>
        </w:rPr>
        <w:t>实验</w:t>
      </w:r>
      <w:r>
        <w:rPr>
          <w:rFonts w:hint="eastAsia" w:ascii="Times New Roman" w:hAnsi="Times New Roman" w:cs="Times New Roman"/>
          <w:color w:val="auto"/>
          <w:spacing w:val="-4"/>
          <w:sz w:val="24"/>
          <w:szCs w:val="24"/>
          <w:highlight w:val="none"/>
        </w:rPr>
        <w:t>楼、</w:t>
      </w:r>
      <w:r>
        <w:rPr>
          <w:rFonts w:ascii="Times New Roman" w:hAnsi="Times New Roman" w:cs="Times New Roman"/>
          <w:color w:val="auto"/>
          <w:spacing w:val="-4"/>
          <w:sz w:val="24"/>
          <w:szCs w:val="24"/>
          <w:highlight w:val="none"/>
        </w:rPr>
        <w:t>一般固废仓库</w:t>
      </w:r>
      <w:r>
        <w:rPr>
          <w:rFonts w:hint="eastAsia" w:ascii="Times New Roman" w:hAnsi="Times New Roman" w:cs="Times New Roman"/>
          <w:color w:val="auto"/>
          <w:spacing w:val="-4"/>
          <w:sz w:val="24"/>
          <w:szCs w:val="24"/>
          <w:highlight w:val="none"/>
        </w:rPr>
        <w:t>、</w:t>
      </w:r>
      <w:r>
        <w:rPr>
          <w:rFonts w:hint="eastAsia" w:ascii="Times New Roman" w:hAnsi="Times New Roman" w:cs="Times New Roman"/>
          <w:color w:val="auto"/>
          <w:spacing w:val="-4"/>
          <w:sz w:val="24"/>
          <w:szCs w:val="24"/>
          <w:highlight w:val="none"/>
          <w:lang w:val="en-US"/>
        </w:rPr>
        <w:t>辅房</w:t>
      </w:r>
      <w:r>
        <w:rPr>
          <w:rFonts w:ascii="Times New Roman" w:hAnsi="Times New Roman" w:cs="Times New Roman"/>
          <w:color w:val="auto"/>
          <w:spacing w:val="-4"/>
          <w:sz w:val="24"/>
          <w:szCs w:val="24"/>
          <w:highlight w:val="none"/>
        </w:rPr>
        <w:t>属于一般防渗区；办公区、厂区道路、停车场、门卫等属于简单防渗区。不同的污染物区，采取不同等级的防渗措施，并确保其可靠性和有效性。</w:t>
      </w:r>
    </w:p>
    <w:p w14:paraId="2D3FD670">
      <w:pPr>
        <w:pStyle w:val="20"/>
        <w:spacing w:line="360" w:lineRule="auto"/>
        <w:ind w:left="-105" w:right="-105" w:firstLine="464" w:firstLineChars="200"/>
        <w:jc w:val="both"/>
        <w:rPr>
          <w:rFonts w:ascii="Times New Roman" w:hAnsi="Times New Roman" w:cs="Times New Roman"/>
          <w:color w:val="auto"/>
          <w:highlight w:val="none"/>
        </w:rPr>
      </w:pPr>
      <w:r>
        <w:rPr>
          <w:rFonts w:ascii="Times New Roman" w:hAnsi="Times New Roman" w:cs="Times New Roman"/>
          <w:color w:val="auto"/>
          <w:spacing w:val="-4"/>
          <w:sz w:val="24"/>
          <w:szCs w:val="24"/>
          <w:highlight w:val="none"/>
        </w:rPr>
        <w:t>本项目防渗分区划分及防渗等级见下表，本项目涉及采取的各项防渗措施具体见下表；土壤、地下水防渗布局示意图见</w:t>
      </w:r>
      <w:r>
        <w:rPr>
          <w:rFonts w:ascii="Times New Roman" w:hAnsi="Times New Roman" w:cs="Times New Roman"/>
          <w:color w:val="auto"/>
          <w:spacing w:val="-4"/>
          <w:sz w:val="24"/>
          <w:szCs w:val="24"/>
          <w:highlight w:val="none"/>
        </w:rPr>
        <w:fldChar w:fldCharType="begin"/>
      </w:r>
      <w:r>
        <w:rPr>
          <w:rFonts w:ascii="Times New Roman" w:hAnsi="Times New Roman" w:cs="Times New Roman"/>
          <w:color w:val="auto"/>
          <w:spacing w:val="-4"/>
          <w:sz w:val="24"/>
          <w:szCs w:val="24"/>
          <w:highlight w:val="none"/>
        </w:rPr>
        <w:instrText xml:space="preserve"> REF _Ref97541506 \h  \* MERGEFORMAT </w:instrText>
      </w:r>
      <w:r>
        <w:rPr>
          <w:rFonts w:ascii="Times New Roman" w:hAnsi="Times New Roman" w:cs="Times New Roman"/>
          <w:color w:val="auto"/>
          <w:spacing w:val="-4"/>
          <w:sz w:val="24"/>
          <w:szCs w:val="24"/>
          <w:highlight w:val="none"/>
        </w:rPr>
        <w:fldChar w:fldCharType="separate"/>
      </w:r>
      <w:r>
        <w:rPr>
          <w:rFonts w:ascii="Times New Roman" w:hAnsi="Times New Roman" w:cs="Times New Roman"/>
          <w:color w:val="auto"/>
          <w:sz w:val="24"/>
          <w:szCs w:val="24"/>
          <w:highlight w:val="none"/>
        </w:rPr>
        <w:t>图</w:t>
      </w:r>
      <w:r>
        <w:rPr>
          <w:rFonts w:ascii="Times New Roman" w:hAnsi="Times New Roman" w:cs="Times New Roman"/>
          <w:color w:val="auto"/>
          <w:sz w:val="24"/>
          <w:szCs w:val="24"/>
          <w:highlight w:val="none"/>
        </w:rPr>
        <w:fldChar w:fldCharType="begin"/>
      </w:r>
      <w:r>
        <w:rPr>
          <w:rFonts w:ascii="Times New Roman" w:hAnsi="Times New Roman" w:cs="Times New Roman"/>
          <w:color w:val="auto"/>
          <w:sz w:val="24"/>
          <w:szCs w:val="24"/>
          <w:highlight w:val="none"/>
        </w:rPr>
        <w:instrText xml:space="preserve"> STYLEREF 2 \s </w:instrText>
      </w:r>
      <w:r>
        <w:rPr>
          <w:rFonts w:ascii="Times New Roman" w:hAnsi="Times New Roman" w:cs="Times New Roman"/>
          <w:color w:val="auto"/>
          <w:sz w:val="24"/>
          <w:szCs w:val="24"/>
          <w:highlight w:val="none"/>
        </w:rPr>
        <w:fldChar w:fldCharType="separate"/>
      </w:r>
      <w:r>
        <w:rPr>
          <w:rFonts w:ascii="Times New Roman" w:hAnsi="Times New Roman" w:cs="Times New Roman"/>
          <w:color w:val="auto"/>
          <w:sz w:val="24"/>
          <w:szCs w:val="24"/>
          <w:highlight w:val="none"/>
        </w:rPr>
        <w:t>7.5</w:t>
      </w:r>
      <w:r>
        <w:rPr>
          <w:rFonts w:ascii="Times New Roman" w:hAnsi="Times New Roman" w:cs="Times New Roman"/>
          <w:color w:val="auto"/>
          <w:sz w:val="24"/>
          <w:szCs w:val="24"/>
          <w:highlight w:val="none"/>
        </w:rPr>
        <w:fldChar w:fldCharType="end"/>
      </w:r>
      <w:r>
        <w:rPr>
          <w:rFonts w:ascii="Times New Roman" w:hAnsi="Times New Roman" w:cs="Times New Roman"/>
          <w:color w:val="auto"/>
          <w:sz w:val="24"/>
          <w:szCs w:val="24"/>
          <w:highlight w:val="none"/>
        </w:rPr>
        <w:noBreakHyphen/>
      </w:r>
      <w:r>
        <w:rPr>
          <w:rFonts w:ascii="Times New Roman" w:hAnsi="Times New Roman" w:cs="Times New Roman"/>
          <w:color w:val="auto"/>
          <w:sz w:val="24"/>
          <w:szCs w:val="24"/>
          <w:highlight w:val="none"/>
        </w:rPr>
        <w:t>1</w:t>
      </w:r>
      <w:r>
        <w:rPr>
          <w:rFonts w:ascii="Times New Roman" w:hAnsi="Times New Roman" w:cs="Times New Roman"/>
          <w:color w:val="auto"/>
          <w:spacing w:val="-4"/>
          <w:sz w:val="24"/>
          <w:szCs w:val="24"/>
          <w:highlight w:val="none"/>
        </w:rPr>
        <w:fldChar w:fldCharType="end"/>
      </w:r>
      <w:r>
        <w:rPr>
          <w:rFonts w:ascii="Times New Roman" w:hAnsi="Times New Roman" w:cs="Times New Roman"/>
          <w:color w:val="auto"/>
          <w:spacing w:val="-4"/>
          <w:sz w:val="24"/>
          <w:szCs w:val="24"/>
          <w:highlight w:val="none"/>
        </w:rPr>
        <w:t>、</w:t>
      </w:r>
      <w:r>
        <w:rPr>
          <w:rFonts w:ascii="Times New Roman" w:hAnsi="Times New Roman" w:cs="Times New Roman"/>
          <w:color w:val="auto"/>
          <w:spacing w:val="-4"/>
          <w:sz w:val="24"/>
          <w:szCs w:val="24"/>
          <w:highlight w:val="none"/>
        </w:rPr>
        <w:fldChar w:fldCharType="begin"/>
      </w:r>
      <w:r>
        <w:rPr>
          <w:rFonts w:ascii="Times New Roman" w:hAnsi="Times New Roman" w:cs="Times New Roman"/>
          <w:color w:val="auto"/>
          <w:spacing w:val="-4"/>
          <w:sz w:val="24"/>
          <w:szCs w:val="24"/>
          <w:highlight w:val="none"/>
        </w:rPr>
        <w:instrText xml:space="preserve"> REF _Ref2843 \h </w:instrText>
      </w:r>
      <w:r>
        <w:rPr>
          <w:rFonts w:ascii="Times New Roman" w:hAnsi="Times New Roman" w:cs="Times New Roman"/>
          <w:color w:val="auto"/>
          <w:spacing w:val="-4"/>
          <w:sz w:val="24"/>
          <w:szCs w:val="24"/>
          <w:highlight w:val="none"/>
        </w:rPr>
        <w:fldChar w:fldCharType="separate"/>
      </w:r>
      <w:r>
        <w:rPr>
          <w:rFonts w:ascii="Times New Roman" w:hAnsi="Times New Roman" w:cs="Times New Roman"/>
          <w:color w:val="auto"/>
          <w:spacing w:val="-4"/>
          <w:sz w:val="24"/>
          <w:szCs w:val="24"/>
          <w:highlight w:val="none"/>
          <w:lang w:val="en-US"/>
        </w:rPr>
        <w:t>图</w:t>
      </w:r>
      <w:r>
        <w:rPr>
          <w:rFonts w:ascii="Times New Roman" w:hAnsi="Times New Roman" w:cs="Times New Roman"/>
          <w:color w:val="auto"/>
          <w:spacing w:val="-4"/>
          <w:sz w:val="24"/>
          <w:szCs w:val="24"/>
          <w:highlight w:val="none"/>
          <w:lang w:val="en-US"/>
        </w:rPr>
        <w:fldChar w:fldCharType="begin"/>
      </w:r>
      <w:r>
        <w:rPr>
          <w:rFonts w:ascii="Times New Roman" w:hAnsi="Times New Roman" w:cs="Times New Roman"/>
          <w:color w:val="auto"/>
          <w:spacing w:val="-4"/>
          <w:sz w:val="24"/>
          <w:szCs w:val="24"/>
          <w:highlight w:val="none"/>
          <w:lang w:val="en-US"/>
        </w:rPr>
        <w:instrText xml:space="preserve"> STYLEREF 2 \s </w:instrText>
      </w:r>
      <w:r>
        <w:rPr>
          <w:rFonts w:ascii="Times New Roman" w:hAnsi="Times New Roman" w:cs="Times New Roman"/>
          <w:color w:val="auto"/>
          <w:spacing w:val="-4"/>
          <w:sz w:val="24"/>
          <w:szCs w:val="24"/>
          <w:highlight w:val="none"/>
          <w:lang w:val="en-US"/>
        </w:rPr>
        <w:fldChar w:fldCharType="separate"/>
      </w:r>
      <w:r>
        <w:rPr>
          <w:rFonts w:ascii="Times New Roman" w:hAnsi="Times New Roman" w:cs="Times New Roman"/>
          <w:color w:val="auto"/>
          <w:spacing w:val="-4"/>
          <w:sz w:val="24"/>
          <w:szCs w:val="24"/>
          <w:highlight w:val="none"/>
          <w:lang w:val="en-US"/>
        </w:rPr>
        <w:t>7.5</w:t>
      </w:r>
      <w:r>
        <w:rPr>
          <w:rFonts w:ascii="Times New Roman" w:hAnsi="Times New Roman" w:cs="Times New Roman"/>
          <w:color w:val="auto"/>
          <w:spacing w:val="-4"/>
          <w:sz w:val="24"/>
          <w:szCs w:val="24"/>
          <w:highlight w:val="none"/>
          <w:lang w:val="en-US"/>
        </w:rPr>
        <w:fldChar w:fldCharType="end"/>
      </w:r>
      <w:r>
        <w:rPr>
          <w:rFonts w:ascii="Times New Roman" w:hAnsi="Times New Roman" w:cs="Times New Roman"/>
          <w:color w:val="auto"/>
          <w:spacing w:val="-4"/>
          <w:sz w:val="24"/>
          <w:szCs w:val="24"/>
          <w:highlight w:val="none"/>
          <w:lang w:val="en-US"/>
        </w:rPr>
        <w:t>-2</w:t>
      </w:r>
      <w:r>
        <w:rPr>
          <w:rFonts w:ascii="Times New Roman" w:hAnsi="Times New Roman" w:cs="Times New Roman"/>
          <w:color w:val="auto"/>
          <w:spacing w:val="-4"/>
          <w:sz w:val="24"/>
          <w:szCs w:val="24"/>
          <w:highlight w:val="none"/>
        </w:rPr>
        <w:fldChar w:fldCharType="end"/>
      </w:r>
      <w:r>
        <w:rPr>
          <w:rFonts w:ascii="Times New Roman" w:hAnsi="Times New Roman" w:cs="Times New Roman"/>
          <w:color w:val="auto"/>
          <w:highlight w:val="none"/>
        </w:rPr>
        <w:t>。</w:t>
      </w:r>
    </w:p>
    <w:p w14:paraId="7ED203B7">
      <w:pPr>
        <w:pStyle w:val="15"/>
        <w:adjustRightInd w:val="0"/>
        <w:snapToGrid w:val="0"/>
        <w:spacing w:line="360" w:lineRule="auto"/>
        <w:ind w:left="-105" w:right="-105" w:firstLine="482" w:firstLineChars="200"/>
        <w:rPr>
          <w:color w:val="auto"/>
          <w:highlight w:val="none"/>
          <w:lang w:bidi="zh-CN"/>
        </w:rPr>
      </w:pPr>
      <w:r>
        <w:rPr>
          <w:rFonts w:eastAsia="宋体"/>
          <w:color w:val="auto"/>
          <w:sz w:val="24"/>
          <w:szCs w:val="24"/>
          <w:highlight w:val="none"/>
        </w:rPr>
        <w:t>表</w:t>
      </w:r>
      <w:r>
        <w:rPr>
          <w:rFonts w:eastAsia="宋体"/>
          <w:color w:val="auto"/>
          <w:sz w:val="24"/>
          <w:szCs w:val="24"/>
          <w:highlight w:val="none"/>
        </w:rPr>
        <w:fldChar w:fldCharType="begin"/>
      </w:r>
      <w:r>
        <w:rPr>
          <w:rFonts w:eastAsia="宋体"/>
          <w:color w:val="auto"/>
          <w:sz w:val="24"/>
          <w:szCs w:val="24"/>
          <w:highlight w:val="none"/>
        </w:rPr>
        <w:instrText xml:space="preserve"> STYLEREF 2 \s </w:instrText>
      </w:r>
      <w:r>
        <w:rPr>
          <w:rFonts w:eastAsia="宋体"/>
          <w:color w:val="auto"/>
          <w:sz w:val="24"/>
          <w:szCs w:val="24"/>
          <w:highlight w:val="none"/>
        </w:rPr>
        <w:fldChar w:fldCharType="separate"/>
      </w:r>
      <w:r>
        <w:rPr>
          <w:rFonts w:eastAsia="宋体"/>
          <w:color w:val="auto"/>
          <w:sz w:val="24"/>
          <w:szCs w:val="24"/>
          <w:highlight w:val="none"/>
        </w:rPr>
        <w:t>7.5</w:t>
      </w:r>
      <w:r>
        <w:rPr>
          <w:rFonts w:eastAsia="宋体"/>
          <w:color w:val="auto"/>
          <w:sz w:val="24"/>
          <w:szCs w:val="24"/>
          <w:highlight w:val="none"/>
        </w:rPr>
        <w:fldChar w:fldCharType="end"/>
      </w:r>
      <w:r>
        <w:rPr>
          <w:rFonts w:eastAsia="宋体"/>
          <w:color w:val="auto"/>
          <w:sz w:val="24"/>
          <w:szCs w:val="24"/>
          <w:highlight w:val="none"/>
        </w:rPr>
        <w:noBreakHyphen/>
      </w:r>
      <w:r>
        <w:rPr>
          <w:rFonts w:eastAsia="宋体"/>
          <w:color w:val="auto"/>
          <w:sz w:val="24"/>
          <w:szCs w:val="24"/>
          <w:highlight w:val="none"/>
        </w:rPr>
        <w:fldChar w:fldCharType="begin"/>
      </w:r>
      <w:r>
        <w:rPr>
          <w:rFonts w:eastAsia="宋体"/>
          <w:color w:val="auto"/>
          <w:sz w:val="24"/>
          <w:szCs w:val="24"/>
          <w:highlight w:val="none"/>
        </w:rPr>
        <w:instrText xml:space="preserve"> SEQ 表 \* ARABIC \s 2 </w:instrText>
      </w:r>
      <w:r>
        <w:rPr>
          <w:rFonts w:eastAsia="宋体"/>
          <w:color w:val="auto"/>
          <w:sz w:val="24"/>
          <w:szCs w:val="24"/>
          <w:highlight w:val="none"/>
        </w:rPr>
        <w:fldChar w:fldCharType="separate"/>
      </w:r>
      <w:r>
        <w:rPr>
          <w:rFonts w:eastAsia="宋体"/>
          <w:color w:val="auto"/>
          <w:sz w:val="24"/>
          <w:szCs w:val="24"/>
          <w:highlight w:val="none"/>
        </w:rPr>
        <w:t>1</w:t>
      </w:r>
      <w:r>
        <w:rPr>
          <w:rFonts w:eastAsia="宋体"/>
          <w:color w:val="auto"/>
          <w:sz w:val="24"/>
          <w:szCs w:val="24"/>
          <w:highlight w:val="none"/>
        </w:rPr>
        <w:fldChar w:fldCharType="end"/>
      </w:r>
      <w:r>
        <w:rPr>
          <w:rFonts w:eastAsia="宋体"/>
          <w:color w:val="auto"/>
          <w:sz w:val="24"/>
          <w:szCs w:val="24"/>
          <w:highlight w:val="none"/>
        </w:rPr>
        <w:t>本项目污染区划分及防渗要求</w:t>
      </w:r>
    </w:p>
    <w:tbl>
      <w:tblPr>
        <w:tblStyle w:val="45"/>
        <w:tblW w:w="907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04"/>
        <w:gridCol w:w="2257"/>
        <w:gridCol w:w="2493"/>
        <w:gridCol w:w="2918"/>
      </w:tblGrid>
      <w:tr w14:paraId="7E39FE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404" w:type="dxa"/>
            <w:tcBorders>
              <w:left w:val="nil"/>
              <w:bottom w:val="single" w:color="000000" w:sz="4" w:space="0"/>
              <w:right w:val="single" w:color="000000" w:sz="4" w:space="0"/>
            </w:tcBorders>
            <w:vAlign w:val="center"/>
          </w:tcPr>
          <w:p w14:paraId="71DB41D9">
            <w:pPr>
              <w:pStyle w:val="98"/>
              <w:adjustRightInd w:val="0"/>
              <w:snapToGrid w:val="0"/>
              <w:ind w:left="-105" w:right="-105"/>
              <w:rPr>
                <w:rFonts w:eastAsia="宋体"/>
                <w:b/>
                <w:color w:val="auto"/>
                <w:sz w:val="21"/>
                <w:highlight w:val="none"/>
              </w:rPr>
            </w:pPr>
            <w:r>
              <w:rPr>
                <w:rFonts w:eastAsia="宋体"/>
                <w:b/>
                <w:color w:val="auto"/>
                <w:sz w:val="21"/>
                <w:highlight w:val="none"/>
              </w:rPr>
              <w:t>防渗分区</w:t>
            </w:r>
          </w:p>
        </w:tc>
        <w:tc>
          <w:tcPr>
            <w:tcW w:w="2257" w:type="dxa"/>
            <w:tcBorders>
              <w:left w:val="single" w:color="000000" w:sz="4" w:space="0"/>
              <w:bottom w:val="single" w:color="000000" w:sz="4" w:space="0"/>
              <w:right w:val="single" w:color="000000" w:sz="4" w:space="0"/>
            </w:tcBorders>
            <w:vAlign w:val="center"/>
          </w:tcPr>
          <w:p w14:paraId="35538A2E">
            <w:pPr>
              <w:pStyle w:val="98"/>
              <w:adjustRightInd w:val="0"/>
              <w:snapToGrid w:val="0"/>
              <w:ind w:left="-105" w:right="-105"/>
              <w:rPr>
                <w:rFonts w:eastAsia="宋体"/>
                <w:b/>
                <w:color w:val="auto"/>
                <w:sz w:val="21"/>
                <w:highlight w:val="none"/>
              </w:rPr>
            </w:pPr>
            <w:r>
              <w:rPr>
                <w:rFonts w:eastAsia="宋体"/>
                <w:b/>
                <w:color w:val="auto"/>
                <w:sz w:val="21"/>
                <w:highlight w:val="none"/>
              </w:rPr>
              <w:t>定义</w:t>
            </w:r>
          </w:p>
        </w:tc>
        <w:tc>
          <w:tcPr>
            <w:tcW w:w="2493" w:type="dxa"/>
            <w:tcBorders>
              <w:left w:val="single" w:color="000000" w:sz="4" w:space="0"/>
              <w:bottom w:val="single" w:color="000000" w:sz="4" w:space="0"/>
              <w:right w:val="single" w:color="000000" w:sz="4" w:space="0"/>
            </w:tcBorders>
            <w:vAlign w:val="center"/>
          </w:tcPr>
          <w:p w14:paraId="021D9764">
            <w:pPr>
              <w:pStyle w:val="98"/>
              <w:adjustRightInd w:val="0"/>
              <w:snapToGrid w:val="0"/>
              <w:ind w:left="-105" w:right="-105"/>
              <w:rPr>
                <w:rFonts w:eastAsia="宋体"/>
                <w:b/>
                <w:color w:val="auto"/>
                <w:sz w:val="21"/>
                <w:highlight w:val="none"/>
              </w:rPr>
            </w:pPr>
            <w:r>
              <w:rPr>
                <w:rFonts w:eastAsia="宋体"/>
                <w:b/>
                <w:color w:val="auto"/>
                <w:sz w:val="21"/>
                <w:highlight w:val="none"/>
              </w:rPr>
              <w:t>厂内分区</w:t>
            </w:r>
          </w:p>
        </w:tc>
        <w:tc>
          <w:tcPr>
            <w:tcW w:w="2918" w:type="dxa"/>
            <w:tcBorders>
              <w:left w:val="single" w:color="000000" w:sz="4" w:space="0"/>
              <w:bottom w:val="single" w:color="000000" w:sz="4" w:space="0"/>
              <w:right w:val="nil"/>
            </w:tcBorders>
            <w:vAlign w:val="center"/>
          </w:tcPr>
          <w:p w14:paraId="1AAD99C9">
            <w:pPr>
              <w:pStyle w:val="98"/>
              <w:adjustRightInd w:val="0"/>
              <w:snapToGrid w:val="0"/>
              <w:ind w:left="-105" w:right="-105"/>
              <w:rPr>
                <w:rFonts w:eastAsia="宋体"/>
                <w:b/>
                <w:color w:val="auto"/>
                <w:sz w:val="21"/>
                <w:highlight w:val="none"/>
              </w:rPr>
            </w:pPr>
            <w:r>
              <w:rPr>
                <w:rFonts w:eastAsia="宋体"/>
                <w:b/>
                <w:color w:val="auto"/>
                <w:sz w:val="21"/>
                <w:highlight w:val="none"/>
              </w:rPr>
              <w:t>防渗等级</w:t>
            </w:r>
          </w:p>
        </w:tc>
      </w:tr>
      <w:tr w14:paraId="2F3067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404" w:type="dxa"/>
            <w:tcBorders>
              <w:top w:val="single" w:color="000000" w:sz="4" w:space="0"/>
              <w:left w:val="nil"/>
              <w:bottom w:val="single" w:color="000000" w:sz="4" w:space="0"/>
              <w:right w:val="single" w:color="000000" w:sz="4" w:space="0"/>
            </w:tcBorders>
            <w:vAlign w:val="center"/>
          </w:tcPr>
          <w:p w14:paraId="07B5DCA1">
            <w:pPr>
              <w:pStyle w:val="98"/>
              <w:adjustRightInd w:val="0"/>
              <w:snapToGrid w:val="0"/>
              <w:ind w:left="-105" w:right="-105"/>
              <w:rPr>
                <w:rFonts w:eastAsia="宋体"/>
                <w:color w:val="auto"/>
                <w:sz w:val="21"/>
                <w:highlight w:val="none"/>
              </w:rPr>
            </w:pPr>
            <w:r>
              <w:rPr>
                <w:rFonts w:eastAsia="宋体"/>
                <w:color w:val="auto"/>
                <w:sz w:val="21"/>
                <w:highlight w:val="none"/>
              </w:rPr>
              <w:t>重点防渗区</w:t>
            </w:r>
          </w:p>
        </w:tc>
        <w:tc>
          <w:tcPr>
            <w:tcW w:w="2257" w:type="dxa"/>
            <w:tcBorders>
              <w:top w:val="single" w:color="000000" w:sz="4" w:space="0"/>
              <w:left w:val="single" w:color="000000" w:sz="4" w:space="0"/>
              <w:bottom w:val="single" w:color="000000" w:sz="4" w:space="0"/>
              <w:right w:val="single" w:color="000000" w:sz="4" w:space="0"/>
            </w:tcBorders>
            <w:vAlign w:val="center"/>
          </w:tcPr>
          <w:p w14:paraId="72864EFD">
            <w:pPr>
              <w:pStyle w:val="98"/>
              <w:adjustRightInd w:val="0"/>
              <w:snapToGrid w:val="0"/>
              <w:ind w:left="-105" w:right="-105"/>
              <w:rPr>
                <w:rFonts w:eastAsia="宋体"/>
                <w:color w:val="auto"/>
                <w:sz w:val="21"/>
                <w:highlight w:val="none"/>
              </w:rPr>
            </w:pPr>
            <w:r>
              <w:rPr>
                <w:rFonts w:eastAsia="宋体"/>
                <w:color w:val="auto"/>
                <w:spacing w:val="-2"/>
                <w:sz w:val="21"/>
                <w:highlight w:val="none"/>
              </w:rPr>
              <w:t>危害性大、毒性较大的生产装置区、物料储罐区、危化品房、</w:t>
            </w:r>
            <w:r>
              <w:rPr>
                <w:rFonts w:eastAsia="宋体"/>
                <w:color w:val="auto"/>
                <w:sz w:val="21"/>
                <w:highlight w:val="none"/>
              </w:rPr>
              <w:t>危险固废暂存区等</w:t>
            </w:r>
          </w:p>
        </w:tc>
        <w:tc>
          <w:tcPr>
            <w:tcW w:w="2493" w:type="dxa"/>
            <w:tcBorders>
              <w:top w:val="single" w:color="000000" w:sz="4" w:space="0"/>
              <w:left w:val="single" w:color="000000" w:sz="4" w:space="0"/>
              <w:bottom w:val="single" w:color="000000" w:sz="4" w:space="0"/>
              <w:right w:val="single" w:color="000000" w:sz="4" w:space="0"/>
            </w:tcBorders>
            <w:vAlign w:val="center"/>
          </w:tcPr>
          <w:p w14:paraId="1639F523">
            <w:pPr>
              <w:pStyle w:val="98"/>
              <w:adjustRightInd w:val="0"/>
              <w:snapToGrid w:val="0"/>
              <w:ind w:left="-105" w:right="-105"/>
              <w:rPr>
                <w:rFonts w:eastAsia="宋体"/>
                <w:color w:val="auto"/>
                <w:sz w:val="21"/>
                <w:highlight w:val="none"/>
              </w:rPr>
            </w:pPr>
            <w:r>
              <w:rPr>
                <w:rFonts w:hint="eastAsia" w:eastAsia="宋体"/>
                <w:color w:val="auto"/>
                <w:spacing w:val="-4"/>
                <w:sz w:val="21"/>
                <w:highlight w:val="none"/>
              </w:rPr>
              <w:t>生产区、</w:t>
            </w:r>
            <w:r>
              <w:rPr>
                <w:rFonts w:hint="eastAsia" w:eastAsia="宋体"/>
                <w:color w:val="auto"/>
                <w:spacing w:val="-4"/>
                <w:sz w:val="21"/>
                <w:highlight w:val="none"/>
                <w:lang w:eastAsia="zh-CN"/>
              </w:rPr>
              <w:t>危险品仓库</w:t>
            </w:r>
            <w:r>
              <w:rPr>
                <w:rFonts w:hint="eastAsia" w:eastAsia="宋体"/>
                <w:color w:val="auto"/>
                <w:spacing w:val="-4"/>
                <w:sz w:val="21"/>
                <w:highlight w:val="none"/>
              </w:rPr>
              <w:t>、</w:t>
            </w:r>
            <w:r>
              <w:rPr>
                <w:rFonts w:hint="eastAsia" w:eastAsia="宋体"/>
                <w:color w:val="auto"/>
                <w:spacing w:val="-4"/>
                <w:sz w:val="21"/>
                <w:highlight w:val="none"/>
                <w:lang w:val="en-US"/>
              </w:rPr>
              <w:t>成品仓库、埋地柴油罐、</w:t>
            </w:r>
            <w:r>
              <w:rPr>
                <w:rFonts w:hint="eastAsia" w:eastAsia="宋体"/>
                <w:color w:val="auto"/>
                <w:spacing w:val="-4"/>
                <w:sz w:val="21"/>
                <w:highlight w:val="none"/>
              </w:rPr>
              <w:t>废液储罐区、危废仓库、事故池、</w:t>
            </w:r>
            <w:r>
              <w:rPr>
                <w:rFonts w:hint="eastAsia" w:eastAsia="宋体"/>
                <w:color w:val="auto"/>
                <w:spacing w:val="-4"/>
                <w:sz w:val="21"/>
                <w:highlight w:val="none"/>
                <w:lang w:val="en-US"/>
              </w:rPr>
              <w:t>初期雨水收集池</w:t>
            </w:r>
            <w:r>
              <w:rPr>
                <w:rFonts w:eastAsia="宋体"/>
                <w:color w:val="auto"/>
                <w:sz w:val="21"/>
                <w:highlight w:val="none"/>
              </w:rPr>
              <w:t>等</w:t>
            </w:r>
          </w:p>
        </w:tc>
        <w:tc>
          <w:tcPr>
            <w:tcW w:w="2918" w:type="dxa"/>
            <w:tcBorders>
              <w:top w:val="single" w:color="000000" w:sz="4" w:space="0"/>
              <w:left w:val="single" w:color="000000" w:sz="4" w:space="0"/>
              <w:bottom w:val="single" w:color="000000" w:sz="4" w:space="0"/>
              <w:right w:val="nil"/>
            </w:tcBorders>
            <w:vAlign w:val="center"/>
          </w:tcPr>
          <w:p w14:paraId="34C2AFC8">
            <w:pPr>
              <w:pStyle w:val="98"/>
              <w:adjustRightInd w:val="0"/>
              <w:snapToGrid w:val="0"/>
              <w:ind w:left="-105" w:right="-105"/>
              <w:rPr>
                <w:rFonts w:eastAsia="宋体"/>
                <w:color w:val="auto"/>
                <w:sz w:val="21"/>
                <w:highlight w:val="none"/>
              </w:rPr>
            </w:pPr>
            <w:r>
              <w:rPr>
                <w:rFonts w:eastAsia="宋体"/>
                <w:color w:val="auto"/>
                <w:sz w:val="21"/>
                <w:highlight w:val="none"/>
              </w:rPr>
              <w:t>渗透系数≤1.0×10</w:t>
            </w:r>
            <w:r>
              <w:rPr>
                <w:rFonts w:eastAsia="宋体"/>
                <w:color w:val="auto"/>
                <w:sz w:val="21"/>
                <w:highlight w:val="none"/>
                <w:vertAlign w:val="superscript"/>
              </w:rPr>
              <w:t>-10</w:t>
            </w:r>
            <w:r>
              <w:rPr>
                <w:rFonts w:eastAsia="宋体"/>
                <w:color w:val="auto"/>
                <w:sz w:val="21"/>
                <w:highlight w:val="none"/>
              </w:rPr>
              <w:t>cm/s</w:t>
            </w:r>
          </w:p>
        </w:tc>
      </w:tr>
      <w:tr w14:paraId="4265CC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404" w:type="dxa"/>
            <w:tcBorders>
              <w:top w:val="single" w:color="000000" w:sz="4" w:space="0"/>
              <w:left w:val="nil"/>
              <w:bottom w:val="single" w:color="000000" w:sz="4" w:space="0"/>
              <w:right w:val="single" w:color="000000" w:sz="4" w:space="0"/>
            </w:tcBorders>
            <w:vAlign w:val="center"/>
          </w:tcPr>
          <w:p w14:paraId="2444AF97">
            <w:pPr>
              <w:pStyle w:val="98"/>
              <w:adjustRightInd w:val="0"/>
              <w:snapToGrid w:val="0"/>
              <w:ind w:left="-105" w:right="-105"/>
              <w:rPr>
                <w:rFonts w:eastAsia="宋体"/>
                <w:color w:val="auto"/>
                <w:sz w:val="21"/>
                <w:highlight w:val="none"/>
              </w:rPr>
            </w:pPr>
            <w:r>
              <w:rPr>
                <w:rFonts w:eastAsia="宋体"/>
                <w:color w:val="auto"/>
                <w:sz w:val="21"/>
                <w:highlight w:val="none"/>
              </w:rPr>
              <w:t>一般防渗区</w:t>
            </w:r>
          </w:p>
        </w:tc>
        <w:tc>
          <w:tcPr>
            <w:tcW w:w="2257" w:type="dxa"/>
            <w:tcBorders>
              <w:top w:val="single" w:color="000000" w:sz="4" w:space="0"/>
              <w:left w:val="single" w:color="000000" w:sz="4" w:space="0"/>
              <w:bottom w:val="single" w:color="000000" w:sz="4" w:space="0"/>
              <w:right w:val="single" w:color="000000" w:sz="4" w:space="0"/>
            </w:tcBorders>
            <w:vAlign w:val="center"/>
          </w:tcPr>
          <w:p w14:paraId="073F4D42">
            <w:pPr>
              <w:pStyle w:val="98"/>
              <w:adjustRightInd w:val="0"/>
              <w:snapToGrid w:val="0"/>
              <w:ind w:left="-105" w:right="-105"/>
              <w:rPr>
                <w:rFonts w:eastAsia="宋体"/>
                <w:color w:val="auto"/>
                <w:sz w:val="21"/>
                <w:highlight w:val="none"/>
              </w:rPr>
            </w:pPr>
            <w:r>
              <w:rPr>
                <w:rFonts w:eastAsia="宋体"/>
                <w:color w:val="auto"/>
                <w:sz w:val="21"/>
                <w:highlight w:val="none"/>
              </w:rPr>
              <w:t>无毒性或毒性小的生产装置区、装置区外管廊区</w:t>
            </w:r>
          </w:p>
        </w:tc>
        <w:tc>
          <w:tcPr>
            <w:tcW w:w="2493" w:type="dxa"/>
            <w:tcBorders>
              <w:top w:val="single" w:color="000000" w:sz="4" w:space="0"/>
              <w:left w:val="single" w:color="000000" w:sz="4" w:space="0"/>
              <w:bottom w:val="single" w:color="000000" w:sz="4" w:space="0"/>
              <w:right w:val="single" w:color="000000" w:sz="4" w:space="0"/>
            </w:tcBorders>
            <w:vAlign w:val="center"/>
          </w:tcPr>
          <w:p w14:paraId="71F07EFB">
            <w:pPr>
              <w:pStyle w:val="98"/>
              <w:adjustRightInd w:val="0"/>
              <w:snapToGrid w:val="0"/>
              <w:ind w:left="-105" w:right="-105"/>
              <w:rPr>
                <w:rFonts w:eastAsia="宋体"/>
                <w:color w:val="auto"/>
                <w:sz w:val="21"/>
                <w:highlight w:val="none"/>
              </w:rPr>
            </w:pPr>
            <w:r>
              <w:rPr>
                <w:rFonts w:hint="eastAsia" w:eastAsia="宋体"/>
                <w:color w:val="auto"/>
                <w:sz w:val="21"/>
                <w:highlight w:val="none"/>
                <w:lang w:val="en-US"/>
              </w:rPr>
              <w:t>实验楼、</w:t>
            </w:r>
            <w:r>
              <w:rPr>
                <w:rFonts w:eastAsia="宋体"/>
                <w:color w:val="auto"/>
                <w:sz w:val="21"/>
                <w:highlight w:val="none"/>
                <w:lang w:val="en-US"/>
              </w:rPr>
              <w:t>一般固废仓库</w:t>
            </w:r>
            <w:r>
              <w:rPr>
                <w:rFonts w:hint="eastAsia" w:eastAsia="宋体"/>
                <w:color w:val="auto"/>
                <w:sz w:val="21"/>
                <w:highlight w:val="none"/>
                <w:lang w:val="en-US"/>
              </w:rPr>
              <w:t>、辅房</w:t>
            </w:r>
            <w:r>
              <w:rPr>
                <w:rFonts w:eastAsia="宋体"/>
                <w:color w:val="auto"/>
                <w:sz w:val="21"/>
                <w:highlight w:val="none"/>
              </w:rPr>
              <w:t>等</w:t>
            </w:r>
          </w:p>
        </w:tc>
        <w:tc>
          <w:tcPr>
            <w:tcW w:w="2918" w:type="dxa"/>
            <w:tcBorders>
              <w:top w:val="single" w:color="000000" w:sz="4" w:space="0"/>
              <w:left w:val="single" w:color="000000" w:sz="4" w:space="0"/>
              <w:bottom w:val="single" w:color="000000" w:sz="4" w:space="0"/>
              <w:right w:val="nil"/>
            </w:tcBorders>
            <w:vAlign w:val="center"/>
          </w:tcPr>
          <w:p w14:paraId="7D97D50A">
            <w:pPr>
              <w:pStyle w:val="98"/>
              <w:adjustRightInd w:val="0"/>
              <w:snapToGrid w:val="0"/>
              <w:ind w:left="-105" w:right="-105"/>
              <w:rPr>
                <w:rFonts w:eastAsia="宋体"/>
                <w:color w:val="auto"/>
                <w:sz w:val="21"/>
                <w:highlight w:val="none"/>
              </w:rPr>
            </w:pPr>
            <w:r>
              <w:rPr>
                <w:rFonts w:eastAsia="宋体"/>
                <w:color w:val="auto"/>
                <w:sz w:val="21"/>
                <w:highlight w:val="none"/>
              </w:rPr>
              <w:t>渗透系数≤1.0×10</w:t>
            </w:r>
            <w:r>
              <w:rPr>
                <w:rFonts w:eastAsia="宋体"/>
                <w:color w:val="auto"/>
                <w:sz w:val="21"/>
                <w:highlight w:val="none"/>
                <w:vertAlign w:val="superscript"/>
              </w:rPr>
              <w:t>-7</w:t>
            </w:r>
            <w:r>
              <w:rPr>
                <w:rFonts w:eastAsia="宋体"/>
                <w:color w:val="auto"/>
                <w:sz w:val="21"/>
                <w:highlight w:val="none"/>
              </w:rPr>
              <w:t>cm/s</w:t>
            </w:r>
          </w:p>
        </w:tc>
      </w:tr>
      <w:tr w14:paraId="4DEF06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404" w:type="dxa"/>
            <w:tcBorders>
              <w:top w:val="single" w:color="000000" w:sz="4" w:space="0"/>
              <w:left w:val="nil"/>
              <w:right w:val="single" w:color="000000" w:sz="4" w:space="0"/>
            </w:tcBorders>
            <w:vAlign w:val="center"/>
          </w:tcPr>
          <w:p w14:paraId="01FBFA75">
            <w:pPr>
              <w:pStyle w:val="98"/>
              <w:adjustRightInd w:val="0"/>
              <w:snapToGrid w:val="0"/>
              <w:ind w:left="-105" w:right="-105"/>
              <w:rPr>
                <w:rFonts w:eastAsia="宋体"/>
                <w:color w:val="auto"/>
                <w:sz w:val="21"/>
                <w:highlight w:val="none"/>
              </w:rPr>
            </w:pPr>
            <w:r>
              <w:rPr>
                <w:rFonts w:eastAsia="宋体"/>
                <w:color w:val="auto"/>
                <w:sz w:val="21"/>
                <w:highlight w:val="none"/>
              </w:rPr>
              <w:t>简单防渗区</w:t>
            </w:r>
          </w:p>
        </w:tc>
        <w:tc>
          <w:tcPr>
            <w:tcW w:w="2257" w:type="dxa"/>
            <w:tcBorders>
              <w:top w:val="single" w:color="000000" w:sz="4" w:space="0"/>
              <w:left w:val="single" w:color="000000" w:sz="4" w:space="0"/>
              <w:right w:val="single" w:color="000000" w:sz="4" w:space="0"/>
            </w:tcBorders>
            <w:vAlign w:val="center"/>
          </w:tcPr>
          <w:p w14:paraId="3C6CD37C">
            <w:pPr>
              <w:pStyle w:val="98"/>
              <w:adjustRightInd w:val="0"/>
              <w:snapToGrid w:val="0"/>
              <w:ind w:left="-105" w:right="-105"/>
              <w:rPr>
                <w:rFonts w:eastAsia="宋体"/>
                <w:color w:val="auto"/>
                <w:sz w:val="21"/>
                <w:highlight w:val="none"/>
              </w:rPr>
            </w:pPr>
            <w:r>
              <w:rPr>
                <w:rFonts w:eastAsia="宋体"/>
                <w:color w:val="auto"/>
                <w:sz w:val="21"/>
                <w:highlight w:val="none"/>
              </w:rPr>
              <w:t>除污染区的其余区域</w:t>
            </w:r>
          </w:p>
        </w:tc>
        <w:tc>
          <w:tcPr>
            <w:tcW w:w="2493" w:type="dxa"/>
            <w:tcBorders>
              <w:top w:val="single" w:color="000000" w:sz="4" w:space="0"/>
              <w:left w:val="single" w:color="000000" w:sz="4" w:space="0"/>
              <w:right w:val="single" w:color="000000" w:sz="4" w:space="0"/>
            </w:tcBorders>
            <w:vAlign w:val="center"/>
          </w:tcPr>
          <w:p w14:paraId="7CF08EBB">
            <w:pPr>
              <w:pStyle w:val="98"/>
              <w:adjustRightInd w:val="0"/>
              <w:snapToGrid w:val="0"/>
              <w:ind w:left="-105" w:right="-105"/>
              <w:rPr>
                <w:rFonts w:eastAsia="宋体"/>
                <w:color w:val="auto"/>
                <w:sz w:val="21"/>
                <w:highlight w:val="none"/>
              </w:rPr>
            </w:pPr>
            <w:r>
              <w:rPr>
                <w:rFonts w:eastAsia="宋体"/>
                <w:color w:val="auto"/>
                <w:sz w:val="21"/>
                <w:highlight w:val="none"/>
              </w:rPr>
              <w:t>办公区、厂区道路、停车场、门卫等</w:t>
            </w:r>
          </w:p>
        </w:tc>
        <w:tc>
          <w:tcPr>
            <w:tcW w:w="2918" w:type="dxa"/>
            <w:tcBorders>
              <w:top w:val="single" w:color="000000" w:sz="4" w:space="0"/>
              <w:left w:val="single" w:color="000000" w:sz="4" w:space="0"/>
              <w:right w:val="nil"/>
            </w:tcBorders>
            <w:vAlign w:val="center"/>
          </w:tcPr>
          <w:p w14:paraId="2120F020">
            <w:pPr>
              <w:pStyle w:val="98"/>
              <w:adjustRightInd w:val="0"/>
              <w:snapToGrid w:val="0"/>
              <w:ind w:left="-105" w:right="-105"/>
              <w:rPr>
                <w:rFonts w:eastAsia="宋体"/>
                <w:color w:val="auto"/>
                <w:sz w:val="21"/>
                <w:highlight w:val="none"/>
              </w:rPr>
            </w:pPr>
            <w:r>
              <w:rPr>
                <w:rFonts w:eastAsia="宋体"/>
                <w:color w:val="auto"/>
                <w:sz w:val="21"/>
                <w:highlight w:val="none"/>
              </w:rPr>
              <w:t>不需设置防渗等级</w:t>
            </w:r>
          </w:p>
        </w:tc>
      </w:tr>
    </w:tbl>
    <w:p w14:paraId="5DDA1645">
      <w:pPr>
        <w:pStyle w:val="20"/>
        <w:spacing w:before="240" w:beforeLines="100"/>
        <w:ind w:left="-105" w:right="-105"/>
        <w:jc w:val="center"/>
        <w:rPr>
          <w:rFonts w:ascii="Times New Roman" w:hAnsi="Times New Roman" w:cs="Times New Roman"/>
          <w:color w:val="auto"/>
          <w:sz w:val="20"/>
          <w:highlight w:val="none"/>
        </w:rPr>
      </w:pPr>
      <w:r>
        <w:rPr>
          <w:color w:val="auto"/>
          <w:highlight w:val="none"/>
          <w:lang w:val="en-US" w:bidi="ar-SA"/>
        </w:rPr>
        <mc:AlternateContent>
          <mc:Choice Requires="wps">
            <w:drawing>
              <wp:anchor distT="0" distB="0" distL="114300" distR="114300" simplePos="0" relativeHeight="251670528" behindDoc="0" locked="0" layoutInCell="1" allowOverlap="1">
                <wp:simplePos x="0" y="0"/>
                <wp:positionH relativeFrom="column">
                  <wp:posOffset>2543175</wp:posOffset>
                </wp:positionH>
                <wp:positionV relativeFrom="paragraph">
                  <wp:posOffset>201295</wp:posOffset>
                </wp:positionV>
                <wp:extent cx="914400" cy="300990"/>
                <wp:effectExtent l="0" t="0" r="0" b="3810"/>
                <wp:wrapNone/>
                <wp:docPr id="483143763"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a:noFill/>
                        </a:ln>
                      </wps:spPr>
                      <wps:txbx>
                        <w:txbxContent>
                          <w:p w14:paraId="5D364D40">
                            <w:pPr>
                              <w:spacing w:before="120" w:beforeLines="50"/>
                              <w:rPr>
                                <w:rFonts w:ascii="微软雅黑" w:hAnsi="微软雅黑" w:eastAsia="微软雅黑"/>
                                <w:sz w:val="21"/>
                                <w:szCs w:val="32"/>
                              </w:rPr>
                            </w:pPr>
                            <w:r>
                              <w:rPr>
                                <w:rFonts w:hint="eastAsia" w:ascii="微软雅黑" w:hAnsi="微软雅黑" w:eastAsia="微软雅黑"/>
                                <w:sz w:val="21"/>
                                <w:szCs w:val="32"/>
                              </w:rPr>
                              <w:t>防腐防渗地坪</w:t>
                            </w:r>
                          </w:p>
                        </w:txbxContent>
                      </wps:txbx>
                      <wps:bodyPr rot="0" vert="horz" wrap="square" lIns="0" tIns="0" rIns="0" bIns="0" anchor="t" anchorCtr="0" upright="1">
                        <a:noAutofit/>
                      </wps:bodyPr>
                    </wps:wsp>
                  </a:graphicData>
                </a:graphic>
              </wp:anchor>
            </w:drawing>
          </mc:Choice>
          <mc:Fallback>
            <w:pict>
              <v:shape id="文本框 202" o:spid="_x0000_s1026" o:spt="202" type="#_x0000_t202" style="position:absolute;left:0pt;margin-left:200.25pt;margin-top:15.85pt;height:23.7pt;width:72pt;z-index:251670528;mso-width-relative:page;mso-height-relative:page;" fillcolor="#FFFFFF" filled="t" stroked="f" coordsize="21600,21600" o:gfxdata="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lhk72QAAAAkBAAAPAAAAAAAAAAEAIAAAACIAAABkcnMvZG93bnJldi54bWxQSwECFAAU&#10;AAAACACHTuJA5hVSMCkCAAA3BAAADgAAAAAAAAABACAAAAAoAQAAZHJzL2Uyb0RvYy54bWxQSwUG&#10;AAAAAAYABgBZAQAAwwUAAAAA&#10;">
                <v:fill on="t" focussize="0,0"/>
                <v:stroke on="f"/>
                <v:imagedata o:title=""/>
                <o:lock v:ext="edit" aspectratio="f"/>
                <v:textbox inset="0mm,0mm,0mm,0mm">
                  <w:txbxContent>
                    <w:p w14:paraId="5D364D40">
                      <w:pPr>
                        <w:spacing w:before="120" w:beforeLines="50"/>
                        <w:rPr>
                          <w:rFonts w:ascii="微软雅黑" w:hAnsi="微软雅黑" w:eastAsia="微软雅黑"/>
                          <w:sz w:val="21"/>
                          <w:szCs w:val="32"/>
                        </w:rPr>
                      </w:pPr>
                      <w:r>
                        <w:rPr>
                          <w:rFonts w:hint="eastAsia" w:ascii="微软雅黑" w:hAnsi="微软雅黑" w:eastAsia="微软雅黑"/>
                          <w:sz w:val="21"/>
                          <w:szCs w:val="32"/>
                        </w:rPr>
                        <w:t>防腐防渗地坪</w:t>
                      </w:r>
                    </w:p>
                  </w:txbxContent>
                </v:textbox>
              </v:shape>
            </w:pict>
          </mc:Fallback>
        </mc:AlternateContent>
      </w:r>
      <w:r>
        <w:rPr>
          <w:rFonts w:ascii="Times New Roman" w:hAnsi="Times New Roman" w:cs="Times New Roman"/>
          <w:color w:val="auto"/>
          <w:sz w:val="20"/>
          <w:highlight w:val="none"/>
          <w:lang w:val="en-US" w:bidi="ar-SA"/>
        </w:rPr>
        <w:drawing>
          <wp:inline distT="0" distB="0" distL="0" distR="0">
            <wp:extent cx="5400040" cy="2028190"/>
            <wp:effectExtent l="0" t="0" r="10160" b="10160"/>
            <wp:docPr id="165685051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50515" name="图片 1" descr="图示&#10;&#10;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400040" cy="2028190"/>
                    </a:xfrm>
                    <a:prstGeom prst="rect">
                      <a:avLst/>
                    </a:prstGeom>
                    <a:noFill/>
                    <a:ln>
                      <a:noFill/>
                    </a:ln>
                  </pic:spPr>
                </pic:pic>
              </a:graphicData>
            </a:graphic>
          </wp:inline>
        </w:drawing>
      </w:r>
    </w:p>
    <w:p w14:paraId="3EE4A56B">
      <w:pPr>
        <w:pStyle w:val="15"/>
        <w:ind w:left="-105" w:right="-105" w:firstLine="482"/>
        <w:rPr>
          <w:rFonts w:eastAsia="宋体"/>
          <w:color w:val="auto"/>
          <w:sz w:val="24"/>
          <w:szCs w:val="18"/>
          <w:highlight w:val="none"/>
        </w:rPr>
      </w:pPr>
      <w:bookmarkStart w:id="489" w:name="_Ref97541506"/>
      <w:r>
        <w:rPr>
          <w:rFonts w:eastAsia="宋体"/>
          <w:color w:val="auto"/>
          <w:sz w:val="24"/>
          <w:szCs w:val="18"/>
          <w:highlight w:val="none"/>
        </w:rPr>
        <w:t>图</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7.5</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图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bookmarkEnd w:id="489"/>
      <w:r>
        <w:rPr>
          <w:rFonts w:eastAsia="宋体"/>
          <w:color w:val="auto"/>
          <w:sz w:val="24"/>
          <w:szCs w:val="18"/>
          <w:highlight w:val="none"/>
        </w:rPr>
        <w:tab/>
      </w:r>
      <w:r>
        <w:rPr>
          <w:rFonts w:eastAsia="宋体"/>
          <w:color w:val="auto"/>
          <w:sz w:val="24"/>
          <w:szCs w:val="18"/>
          <w:highlight w:val="none"/>
        </w:rPr>
        <w:t>分区防渗层示意图</w:t>
      </w:r>
    </w:p>
    <w:p w14:paraId="479B416D">
      <w:pPr>
        <w:pStyle w:val="2"/>
        <w:ind w:left="-105" w:right="-105" w:firstLine="0" w:firstLineChars="0"/>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3543300</wp:posOffset>
                </wp:positionH>
                <wp:positionV relativeFrom="paragraph">
                  <wp:posOffset>4588510</wp:posOffset>
                </wp:positionV>
                <wp:extent cx="1756410" cy="866140"/>
                <wp:effectExtent l="4445" t="4445" r="10795" b="5715"/>
                <wp:wrapNone/>
                <wp:docPr id="12" name="文本框 12"/>
                <wp:cNvGraphicFramePr/>
                <a:graphic xmlns:a="http://schemas.openxmlformats.org/drawingml/2006/main">
                  <a:graphicData uri="http://schemas.microsoft.com/office/word/2010/wordprocessingShape">
                    <wps:wsp>
                      <wps:cNvSpPr txBox="1"/>
                      <wps:spPr>
                        <a:xfrm>
                          <a:off x="5394960" y="5492750"/>
                          <a:ext cx="1756410" cy="866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570549">
                            <w:r>
                              <w:rPr>
                                <w:rFonts w:hint="eastAsia"/>
                              </w:rPr>
                              <w:t>图例：</w:t>
                            </w:r>
                          </w:p>
                          <w:p w14:paraId="3389C405">
                            <w:pPr>
                              <w:pStyle w:val="2"/>
                            </w:pPr>
                            <w:r>
                              <w:rPr>
                                <w:rFonts w:hint="eastAsia"/>
                              </w:rPr>
                              <w:t xml:space="preserve">      重点防渗区</w:t>
                            </w:r>
                          </w:p>
                          <w:p w14:paraId="69E21078">
                            <w:pPr>
                              <w:pStyle w:val="2"/>
                            </w:pPr>
                            <w:r>
                              <w:rPr>
                                <w:rFonts w:hint="eastAsia"/>
                              </w:rPr>
                              <w:t xml:space="preserve">      一般防渗区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pt;margin-top:361.3pt;height:68.2pt;width:138.3pt;z-index:251671552;mso-width-relative:page;mso-height-relative:page;" fillcolor="#FFFFFF [3201]" filled="t" stroked="t" coordsize="21600,21600" o:gfxdata="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3ApIn2AAAAAsBAAAPAAAAAAAAAAEAIAAAACIAAABkcnMvZG93bnJldi54bWxQSwECFAAU&#10;AAAACACHTuJA4j3Y7GMCAADFBAAADgAAAAAAAAABACAAAAAnAQAAZHJzL2Uyb0RvYy54bWxQSwUG&#10;AAAAAAYABgBZAQAA/AUAAAAA&#10;">
                <v:fill on="t" focussize="0,0"/>
                <v:stroke weight="0.5pt" color="#000000 [3204]" joinstyle="round"/>
                <v:imagedata o:title=""/>
                <o:lock v:ext="edit" aspectratio="f"/>
                <v:textbox>
                  <w:txbxContent>
                    <w:p w14:paraId="1B570549">
                      <w:r>
                        <w:rPr>
                          <w:rFonts w:hint="eastAsia"/>
                        </w:rPr>
                        <w:t>图例：</w:t>
                      </w:r>
                    </w:p>
                    <w:p w14:paraId="3389C405">
                      <w:pPr>
                        <w:pStyle w:val="2"/>
                      </w:pPr>
                      <w:r>
                        <w:rPr>
                          <w:rFonts w:hint="eastAsia"/>
                        </w:rPr>
                        <w:t xml:space="preserve">      重点防渗区</w:t>
                      </w:r>
                    </w:p>
                    <w:p w14:paraId="69E21078">
                      <w:pPr>
                        <w:pStyle w:val="2"/>
                      </w:pPr>
                      <w:r>
                        <w:rPr>
                          <w:rFonts w:hint="eastAsia"/>
                        </w:rPr>
                        <w:t xml:space="preserve">      一般防渗区</w:t>
                      </w:r>
                    </w:p>
                  </w:txbxContent>
                </v:textbox>
              </v:shape>
            </w:pict>
          </mc:Fallback>
        </mc:AlternateContent>
      </w: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3666490</wp:posOffset>
                </wp:positionH>
                <wp:positionV relativeFrom="paragraph">
                  <wp:posOffset>5190490</wp:posOffset>
                </wp:positionV>
                <wp:extent cx="384810" cy="187325"/>
                <wp:effectExtent l="6350" t="6350" r="8890" b="15875"/>
                <wp:wrapNone/>
                <wp:docPr id="42" name="矩形 42"/>
                <wp:cNvGraphicFramePr/>
                <a:graphic xmlns:a="http://schemas.openxmlformats.org/drawingml/2006/main">
                  <a:graphicData uri="http://schemas.microsoft.com/office/word/2010/wordprocessingShape">
                    <wps:wsp>
                      <wps:cNvSpPr/>
                      <wps:spPr>
                        <a:xfrm>
                          <a:off x="0" y="0"/>
                          <a:ext cx="384810" cy="187325"/>
                        </a:xfrm>
                        <a:prstGeom prst="rect">
                          <a:avLst/>
                        </a:prstGeom>
                        <a:pattFill prst="ltUpDiag">
                          <a:fgClr>
                            <a:srgbClr val="00B0F0"/>
                          </a:fgClr>
                          <a:bgClr>
                            <a:schemeClr val="bg1"/>
                          </a:bgClr>
                        </a:pattFill>
                        <a:ln>
                          <a:solidFill>
                            <a:schemeClr val="accent1">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7pt;margin-top:408.7pt;height:14.75pt;width:30.3pt;z-index:251691008;v-text-anchor:middle;mso-width-relative:page;mso-height-relative:page;" fillcolor="#00B0F0" filled="t" stroked="t" coordsize="21600,21600" o:gfxdata="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FOoN9gAAAALAQAADwAAAAAAAAABACAAAAAiAAAAZHJzL2Rvd25yZXYu&#10;eG1sUEsBAhQAFAAAAAgAh07iQMrgU1qmAgAAZAUAAA4AAAAAAAAAAQAgAAAAJwEAAGRycy9lMm9E&#10;b2MueG1sUEsFBgAAAAAGAAYAWQEAAD8GAAAAAA==&#10;">
                <v:fill type="pattern" on="t" color2="#FFFFFF [3212]" o:title="浅色上对角线" focussize="0,0" r:id="rId66"/>
                <v:stroke weight="1pt" color="#2F5597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3655695</wp:posOffset>
                </wp:positionH>
                <wp:positionV relativeFrom="paragraph">
                  <wp:posOffset>4900930</wp:posOffset>
                </wp:positionV>
                <wp:extent cx="387350" cy="190500"/>
                <wp:effectExtent l="6350" t="6350" r="6350" b="12700"/>
                <wp:wrapNone/>
                <wp:docPr id="40" name="矩形 40"/>
                <wp:cNvGraphicFramePr/>
                <a:graphic xmlns:a="http://schemas.openxmlformats.org/drawingml/2006/main">
                  <a:graphicData uri="http://schemas.microsoft.com/office/word/2010/wordprocessingShape">
                    <wps:wsp>
                      <wps:cNvSpPr/>
                      <wps:spPr>
                        <a:xfrm>
                          <a:off x="0" y="0"/>
                          <a:ext cx="387350" cy="190500"/>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85pt;margin-top:385.9pt;height:15pt;width:30.5pt;z-index:251688960;v-text-anchor:middle;mso-width-relative:page;mso-height-relative:page;" fillcolor="#FF0000" filled="t" stroked="t" coordsize="21600,21600" o:gfxdata="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h/Q9cAAAAL&#10;AQAADwAAAAAAAAABACAAAAAiAAAAZHJzL2Rvd25yZXYueG1sUEsBAhQAFAAAAAgAh07iQPiqT62P&#10;AgAAQgUAAA4AAAAAAAAAAQAgAAAAJgEAAGRycy9lMm9Eb2MueG1sUEsFBgAAAAAGAAYAWQEAACcG&#10;A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912495</wp:posOffset>
                </wp:positionH>
                <wp:positionV relativeFrom="paragraph">
                  <wp:posOffset>4268470</wp:posOffset>
                </wp:positionV>
                <wp:extent cx="76200" cy="90805"/>
                <wp:effectExtent l="21590" t="18415" r="35560" b="24130"/>
                <wp:wrapNone/>
                <wp:docPr id="45" name="矩形 45"/>
                <wp:cNvGraphicFramePr/>
                <a:graphic xmlns:a="http://schemas.openxmlformats.org/drawingml/2006/main">
                  <a:graphicData uri="http://schemas.microsoft.com/office/word/2010/wordprocessingShape">
                    <wps:wsp>
                      <wps:cNvSpPr/>
                      <wps:spPr>
                        <a:xfrm rot="1200000">
                          <a:off x="0" y="0"/>
                          <a:ext cx="76200" cy="90805"/>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85pt;margin-top:336.1pt;height:7.15pt;width:6pt;rotation:1310720f;z-index:251694080;v-text-anchor:middle;mso-width-relative:page;mso-height-relative:page;" fillcolor="#FF0000" filled="t" stroked="t" coordsize="21600,21600" o:gfxdata="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SLrhl2AAA&#10;AAsBAAAPAAAAAAAAAAEAIAAAACIAAABkcnMvZG93bnJldi54bWxQSwECFAAUAAAACACHTuJAYYxa&#10;NpACAABOBQAADgAAAAAAAAABACAAAAAnAQAAZHJzL2Uyb0RvYy54bWxQSwUGAAAAAAYABgBZAQAA&#10;KQY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756285</wp:posOffset>
                </wp:positionH>
                <wp:positionV relativeFrom="paragraph">
                  <wp:posOffset>3657600</wp:posOffset>
                </wp:positionV>
                <wp:extent cx="603885" cy="226695"/>
                <wp:effectExtent l="0" t="0" r="0" b="0"/>
                <wp:wrapNone/>
                <wp:docPr id="47" name="文本框 47"/>
                <wp:cNvGraphicFramePr/>
                <a:graphic xmlns:a="http://schemas.openxmlformats.org/drawingml/2006/main">
                  <a:graphicData uri="http://schemas.microsoft.com/office/word/2010/wordprocessingShape">
                    <wps:wsp>
                      <wps:cNvSpPr txBox="1"/>
                      <wps:spPr>
                        <a:xfrm rot="120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4A672">
                            <w:pPr>
                              <w:rPr>
                                <w:b/>
                                <w:bCs/>
                                <w:sz w:val="16"/>
                                <w:szCs w:val="16"/>
                              </w:rPr>
                            </w:pPr>
                            <w:r>
                              <w:rPr>
                                <w:rFonts w:hint="eastAsia"/>
                                <w:b/>
                                <w:bCs/>
                                <w:sz w:val="16"/>
                                <w:szCs w:val="16"/>
                              </w:rPr>
                              <w:t>辅房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5pt;margin-top:288pt;height:17.85pt;width:47.55pt;rotation:1310720f;z-index:251696128;mso-width-relative:page;mso-height-relative:page;" filled="f" stroked="f" coordsize="21600,21600" o:gfxdata="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cXPpdsAAAALAQAADwAAAAAAAAABACAA&#10;AAAiAAAAZHJzL2Rvd25yZXYueG1sUEsBAhQAFAAAAAgAh07iQH7BKXZDAgAAdQQAAA4AAAAAAAAA&#10;AQAgAAAAKgEAAGRycy9lMm9Eb2MueG1sUEsFBgAAAAAGAAYAWQEAAN8FAAAAAA==&#10;">
                <v:fill on="f" focussize="0,0"/>
                <v:stroke on="f" weight="0.5pt"/>
                <v:imagedata o:title=""/>
                <o:lock v:ext="edit" aspectratio="f"/>
                <v:textbox>
                  <w:txbxContent>
                    <w:p w14:paraId="1FA4A672">
                      <w:pPr>
                        <w:rPr>
                          <w:b/>
                          <w:bCs/>
                          <w:sz w:val="16"/>
                          <w:szCs w:val="16"/>
                        </w:rPr>
                      </w:pPr>
                      <w:r>
                        <w:rPr>
                          <w:rFonts w:hint="eastAsia"/>
                          <w:b/>
                          <w:bCs/>
                          <w:sz w:val="16"/>
                          <w:szCs w:val="16"/>
                        </w:rPr>
                        <w:t>辅房</w:t>
                      </w:r>
                    </w:p>
                  </w:txbxContent>
                </v:textbox>
              </v:shape>
            </w:pict>
          </mc:Fallback>
        </mc:AlternateContent>
      </w: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879475</wp:posOffset>
                </wp:positionH>
                <wp:positionV relativeFrom="paragraph">
                  <wp:posOffset>3564255</wp:posOffset>
                </wp:positionV>
                <wp:extent cx="183515" cy="388620"/>
                <wp:effectExtent l="27940" t="69215" r="40640" b="71120"/>
                <wp:wrapNone/>
                <wp:docPr id="44" name="矩形 44"/>
                <wp:cNvGraphicFramePr/>
                <a:graphic xmlns:a="http://schemas.openxmlformats.org/drawingml/2006/main">
                  <a:graphicData uri="http://schemas.microsoft.com/office/word/2010/wordprocessingShape">
                    <wps:wsp>
                      <wps:cNvSpPr/>
                      <wps:spPr>
                        <a:xfrm rot="17400000">
                          <a:off x="0" y="0"/>
                          <a:ext cx="183515" cy="388620"/>
                        </a:xfrm>
                        <a:prstGeom prst="rect">
                          <a:avLst/>
                        </a:prstGeom>
                        <a:pattFill prst="ltUpDiag">
                          <a:fgClr>
                            <a:srgbClr val="00B0F0"/>
                          </a:fgClr>
                          <a:bgClr>
                            <a:schemeClr val="bg1"/>
                          </a:bgClr>
                        </a:pattFill>
                        <a:ln>
                          <a:solidFill>
                            <a:schemeClr val="accent1">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25pt;margin-top:280.65pt;height:30.6pt;width:14.45pt;rotation:-4587520f;z-index:251693056;v-text-anchor:middle;mso-width-relative:page;mso-height-relative:page;" fillcolor="#00B0F0" filled="t" stroked="t" coordsize="21600,21600" o:gfxdata="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FPvHjbAAAACwEAAA8AAAAAAAAAAQAgAAAAIgAA&#10;AGRycy9kb3ducmV2LnhtbFBLAQIUABQAAAAIAIdO4kAoQEfUsAIAAHMFAAAOAAAAAAAAAAEAIAAA&#10;ACoBAABkcnMvZTJvRG9jLnhtbFBLBQYAAAAABgAGAFkBAABMBgAAAAA=&#10;">
                <v:fill type="pattern" on="t" color2="#FFFFFF [3212]" o:title="浅色上对角线" focussize="0,0" r:id="rId66"/>
                <v:stroke weight="1pt" color="#2F5597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2659380</wp:posOffset>
                </wp:positionH>
                <wp:positionV relativeFrom="paragraph">
                  <wp:posOffset>4275455</wp:posOffset>
                </wp:positionV>
                <wp:extent cx="529590" cy="342265"/>
                <wp:effectExtent l="0" t="0" r="0" b="0"/>
                <wp:wrapNone/>
                <wp:docPr id="48" name="文本框 48"/>
                <wp:cNvGraphicFramePr/>
                <a:graphic xmlns:a="http://schemas.openxmlformats.org/drawingml/2006/main">
                  <a:graphicData uri="http://schemas.microsoft.com/office/word/2010/wordprocessingShape">
                    <wps:wsp>
                      <wps:cNvSpPr txBox="1"/>
                      <wps:spPr>
                        <a:xfrm rot="1200000">
                          <a:off x="0" y="0"/>
                          <a:ext cx="529590"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C9616">
                            <w:pPr>
                              <w:rPr>
                                <w:b/>
                                <w:bCs/>
                                <w:sz w:val="16"/>
                                <w:szCs w:val="16"/>
                              </w:rPr>
                            </w:pPr>
                            <w:r>
                              <w:rPr>
                                <w:rFonts w:hint="eastAsia"/>
                                <w:b/>
                                <w:bCs/>
                                <w:sz w:val="16"/>
                                <w:szCs w:val="16"/>
                              </w:rPr>
                              <w:t>一般固废仓库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pt;margin-top:336.65pt;height:26.95pt;width:41.7pt;rotation:1310720f;z-index:251697152;mso-width-relative:page;mso-height-relative:page;" filled="f" stroked="f" coordsize="21600,21600" o:gfxdata="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sy20dwAAAALAQAADwAAAAAAAAABACAA&#10;AAAiAAAAZHJzL2Rvd25yZXYueG1sUEsBAhQAFAAAAAgAh07iQPeVTQtCAgAAdQQAAA4AAAAAAAAA&#10;AQAgAAAAKwEAAGRycy9lMm9Eb2MueG1sUEsFBgAAAAAGAAYAWQEAAN8FAAAAAA==&#10;">
                <v:fill on="f" focussize="0,0"/>
                <v:stroke on="f" weight="0.5pt"/>
                <v:imagedata o:title=""/>
                <o:lock v:ext="edit" aspectratio="f"/>
                <v:textbox>
                  <w:txbxContent>
                    <w:p w14:paraId="018C9616">
                      <w:pPr>
                        <w:rPr>
                          <w:b/>
                          <w:bCs/>
                          <w:sz w:val="16"/>
                          <w:szCs w:val="16"/>
                        </w:rPr>
                      </w:pPr>
                      <w:r>
                        <w:rPr>
                          <w:rFonts w:hint="eastAsia"/>
                          <w:b/>
                          <w:bCs/>
                          <w:sz w:val="16"/>
                          <w:szCs w:val="16"/>
                        </w:rPr>
                        <w:t>一般固废仓库</w:t>
                      </w:r>
                    </w:p>
                  </w:txbxContent>
                </v:textbox>
              </v:shape>
            </w:pict>
          </mc:Fallback>
        </mc:AlternateContent>
      </w: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2753360</wp:posOffset>
                </wp:positionH>
                <wp:positionV relativeFrom="paragraph">
                  <wp:posOffset>4385310</wp:posOffset>
                </wp:positionV>
                <wp:extent cx="124460" cy="121920"/>
                <wp:effectExtent l="26035" t="25400" r="42545" b="40640"/>
                <wp:wrapNone/>
                <wp:docPr id="43" name="矩形 43"/>
                <wp:cNvGraphicFramePr/>
                <a:graphic xmlns:a="http://schemas.openxmlformats.org/drawingml/2006/main">
                  <a:graphicData uri="http://schemas.microsoft.com/office/word/2010/wordprocessingShape">
                    <wps:wsp>
                      <wps:cNvSpPr/>
                      <wps:spPr>
                        <a:xfrm rot="17400000">
                          <a:off x="0" y="0"/>
                          <a:ext cx="124460" cy="121920"/>
                        </a:xfrm>
                        <a:prstGeom prst="rect">
                          <a:avLst/>
                        </a:prstGeom>
                        <a:pattFill prst="ltUpDiag">
                          <a:fgClr>
                            <a:srgbClr val="00B0F0"/>
                          </a:fgClr>
                          <a:bgClr>
                            <a:schemeClr val="bg1"/>
                          </a:bgClr>
                        </a:pattFill>
                        <a:ln>
                          <a:solidFill>
                            <a:schemeClr val="accent1">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8pt;margin-top:345.3pt;height:9.6pt;width:9.8pt;rotation:-4587520f;z-index:251692032;v-text-anchor:middle;mso-width-relative:page;mso-height-relative:page;" fillcolor="#00B0F0" filled="t" stroked="t" coordsize="21600,21600" o:gfxdata="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Noz0NbcAAAACwEAAA8AAAAAAAAAAQAgAAAAIgAA&#10;AGRycy9kb3ducmV2LnhtbFBLAQIUABQAAAAIAIdO4kB9sSASrwIAAHMFAAAOAAAAAAAAAAEAIAAA&#10;ACsBAABkcnMvZTJvRG9jLnhtbFBLBQYAAAAABgAGAFkBAABMBgAAAAA=&#10;">
                <v:fill type="pattern" on="t" color2="#FFFFFF [3212]" o:title="浅色上对角线" focussize="0,0" r:id="rId66"/>
                <v:stroke weight="1pt" color="#2F5597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2019300</wp:posOffset>
                </wp:positionH>
                <wp:positionV relativeFrom="paragraph">
                  <wp:posOffset>4249420</wp:posOffset>
                </wp:positionV>
                <wp:extent cx="603885" cy="226695"/>
                <wp:effectExtent l="0" t="0" r="0" b="0"/>
                <wp:wrapNone/>
                <wp:docPr id="46" name="文本框 46"/>
                <wp:cNvGraphicFramePr/>
                <a:graphic xmlns:a="http://schemas.openxmlformats.org/drawingml/2006/main">
                  <a:graphicData uri="http://schemas.microsoft.com/office/word/2010/wordprocessingShape">
                    <wps:wsp>
                      <wps:cNvSpPr txBox="1"/>
                      <wps:spPr>
                        <a:xfrm rot="120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58EBB">
                            <w:pPr>
                              <w:rPr>
                                <w:b/>
                                <w:bCs/>
                                <w:sz w:val="16"/>
                                <w:szCs w:val="16"/>
                              </w:rPr>
                            </w:pPr>
                            <w:r>
                              <w:rPr>
                                <w:rFonts w:hint="eastAsia"/>
                                <w:b/>
                                <w:bCs/>
                                <w:sz w:val="16"/>
                                <w:szCs w:val="16"/>
                              </w:rPr>
                              <w:t>实验楼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334.6pt;height:17.85pt;width:47.55pt;rotation:1310720f;z-index:251695104;mso-width-relative:page;mso-height-relative:page;" filled="f" stroked="f" coordsize="21600,21600" o:gfxdata="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EzojdAAAACwEAAA8AAAAAAAAAAQAg&#10;AAAAIgAAAGRycy9kb3ducmV2LnhtbFBLAQIUABQAAAAIAIdO4kDLMV2kQgIAAHUEAAAOAAAAAAAA&#10;AAEAIAAAACwBAABkcnMvZTJvRG9jLnhtbFBLBQYAAAAABgAGAFkBAADgBQAAAAA=&#10;">
                <v:fill on="f" focussize="0,0"/>
                <v:stroke on="f" weight="0.5pt"/>
                <v:imagedata o:title=""/>
                <o:lock v:ext="edit" aspectratio="f"/>
                <v:textbox>
                  <w:txbxContent>
                    <w:p w14:paraId="7C558EBB">
                      <w:pPr>
                        <w:rPr>
                          <w:b/>
                          <w:bCs/>
                          <w:sz w:val="16"/>
                          <w:szCs w:val="16"/>
                        </w:rPr>
                      </w:pPr>
                      <w:r>
                        <w:rPr>
                          <w:rFonts w:hint="eastAsia"/>
                          <w:b/>
                          <w:bCs/>
                          <w:sz w:val="16"/>
                          <w:szCs w:val="16"/>
                        </w:rPr>
                        <w:t>实验楼</w:t>
                      </w:r>
                    </w:p>
                  </w:txbxContent>
                </v:textbox>
              </v:shape>
            </w:pict>
          </mc:Fallback>
        </mc:AlternateContent>
      </w: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2008505</wp:posOffset>
                </wp:positionH>
                <wp:positionV relativeFrom="paragraph">
                  <wp:posOffset>4227195</wp:posOffset>
                </wp:positionV>
                <wp:extent cx="542925" cy="241935"/>
                <wp:effectExtent l="32385" t="90170" r="34290" b="106045"/>
                <wp:wrapNone/>
                <wp:docPr id="41" name="矩形 41"/>
                <wp:cNvGraphicFramePr/>
                <a:graphic xmlns:a="http://schemas.openxmlformats.org/drawingml/2006/main">
                  <a:graphicData uri="http://schemas.microsoft.com/office/word/2010/wordprocessingShape">
                    <wps:wsp>
                      <wps:cNvSpPr/>
                      <wps:spPr>
                        <a:xfrm rot="1140000">
                          <a:off x="0" y="0"/>
                          <a:ext cx="542925" cy="241935"/>
                        </a:xfrm>
                        <a:prstGeom prst="rect">
                          <a:avLst/>
                        </a:prstGeom>
                        <a:pattFill prst="ltUpDiag">
                          <a:fgClr>
                            <a:srgbClr val="00B0F0"/>
                          </a:fgClr>
                          <a:bgClr>
                            <a:schemeClr val="bg1"/>
                          </a:bgClr>
                        </a:pattFill>
                        <a:ln>
                          <a:solidFill>
                            <a:schemeClr val="accent1">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15pt;margin-top:332.85pt;height:19.05pt;width:42.75pt;rotation:1245184f;z-index:251689984;v-text-anchor:middle;mso-width-relative:page;mso-height-relative:page;" fillcolor="#00B0F0" filled="t" stroked="t" coordsize="21600,21600" o:gfxdata="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qPHhNgAAAALAQAADwAAAAAAAAABACAAAAAiAAAAZHJz&#10;L2Rvd25yZXYueG1sUEsBAhQAFAAAAAgAh07iQPsarOmvAgAAcgUAAA4AAAAAAAAAAQAgAAAAJwEA&#10;AGRycy9lMm9Eb2MueG1sUEsFBgAAAAAGAAYAWQEAAEgGAAAAAA==&#10;">
                <v:fill type="pattern" on="t" color2="#FFFFFF [3212]" o:title="浅色上对角线" focussize="0,0" r:id="rId66"/>
                <v:stroke weight="1pt" color="#2F5597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2336165</wp:posOffset>
                </wp:positionH>
                <wp:positionV relativeFrom="paragraph">
                  <wp:posOffset>3374390</wp:posOffset>
                </wp:positionV>
                <wp:extent cx="603885" cy="226695"/>
                <wp:effectExtent l="0" t="0" r="0" b="0"/>
                <wp:wrapNone/>
                <wp:docPr id="25" name="文本框 25"/>
                <wp:cNvGraphicFramePr/>
                <a:graphic xmlns:a="http://schemas.openxmlformats.org/drawingml/2006/main">
                  <a:graphicData uri="http://schemas.microsoft.com/office/word/2010/wordprocessingShape">
                    <wps:wsp>
                      <wps:cNvSpPr txBox="1"/>
                      <wps:spPr>
                        <a:xfrm rot="114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DB183">
                            <w:pPr>
                              <w:rPr>
                                <w:b/>
                                <w:bCs/>
                                <w:sz w:val="16"/>
                                <w:szCs w:val="16"/>
                              </w:rPr>
                            </w:pPr>
                            <w:r>
                              <w:rPr>
                                <w:rFonts w:hint="eastAsia"/>
                                <w:b/>
                                <w:bCs/>
                                <w:sz w:val="16"/>
                                <w:szCs w:val="16"/>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95pt;margin-top:265.7pt;height:17.85pt;width:47.55pt;rotation:1245184f;z-index:251679744;mso-width-relative:page;mso-height-relative:page;" filled="f" stroked="f" coordsize="21600,21600" o:gfxdata="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fhp9nbAAAACwEAAA8AAAAAAAAAAQAg&#10;AAAAIgAAAGRycy9kb3ducmV2LnhtbFBLAQIUABQAAAAIAIdO4kAAo1VwRAIAAHUEAAAOAAAAAAAA&#10;AAEAIAAAACoBAABkcnMvZTJvRG9jLnhtbFBLBQYAAAAABgAGAFkBAADgBQAAAAA=&#10;">
                <v:fill on="f" focussize="0,0"/>
                <v:stroke on="f" weight="0.5pt"/>
                <v:imagedata o:title=""/>
                <o:lock v:ext="edit" aspectratio="f"/>
                <v:textbox>
                  <w:txbxContent>
                    <w:p w14:paraId="147DB183">
                      <w:pPr>
                        <w:rPr>
                          <w:b/>
                          <w:bCs/>
                          <w:sz w:val="16"/>
                          <w:szCs w:val="16"/>
                        </w:rPr>
                      </w:pPr>
                      <w:r>
                        <w:rPr>
                          <w:rFonts w:hint="eastAsia"/>
                          <w:b/>
                          <w:bCs/>
                          <w:sz w:val="16"/>
                          <w:szCs w:val="16"/>
                        </w:rPr>
                        <w:t>成品仓库</w:t>
                      </w:r>
                    </w:p>
                  </w:txbxContent>
                </v:textbox>
              </v:shape>
            </w:pict>
          </mc:Fallback>
        </mc:AlternateContent>
      </w: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1202055</wp:posOffset>
                </wp:positionH>
                <wp:positionV relativeFrom="paragraph">
                  <wp:posOffset>2956560</wp:posOffset>
                </wp:positionV>
                <wp:extent cx="603885" cy="226695"/>
                <wp:effectExtent l="0" t="0" r="0" b="0"/>
                <wp:wrapNone/>
                <wp:docPr id="31" name="文本框 31"/>
                <wp:cNvGraphicFramePr/>
                <a:graphic xmlns:a="http://schemas.openxmlformats.org/drawingml/2006/main">
                  <a:graphicData uri="http://schemas.microsoft.com/office/word/2010/wordprocessingShape">
                    <wps:wsp>
                      <wps:cNvSpPr txBox="1"/>
                      <wps:spPr>
                        <a:xfrm rot="108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4D111">
                            <w:pPr>
                              <w:rPr>
                                <w:b/>
                                <w:bCs/>
                                <w:sz w:val="16"/>
                                <w:szCs w:val="16"/>
                              </w:rPr>
                            </w:pPr>
                            <w:r>
                              <w:rPr>
                                <w:rFonts w:hint="eastAsia"/>
                                <w:b/>
                                <w:bCs/>
                                <w:sz w:val="16"/>
                                <w:szCs w:val="16"/>
                              </w:rPr>
                              <w:t>第一工场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65pt;margin-top:232.8pt;height:17.85pt;width:47.55pt;rotation:1179648f;z-index:251683840;mso-width-relative:page;mso-height-relative:page;" filled="f" stroked="f" coordsize="21600,21600" o:gfxdata="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4jZE3bAAAACwEAAA8AAAAAAAAAAQAg&#10;AAAAIgAAAGRycy9kb3ducmV2LnhtbFBLAQIUABQAAAAIAIdO4kDR/jxZRAIAAHUEAAAOAAAAAAAA&#10;AAEAIAAAACoBAABkcnMvZTJvRG9jLnhtbFBLBQYAAAAABgAGAFkBAADgBQAAAAA=&#10;">
                <v:fill on="f" focussize="0,0"/>
                <v:stroke on="f" weight="0.5pt"/>
                <v:imagedata o:title=""/>
                <o:lock v:ext="edit" aspectratio="f"/>
                <v:textbox>
                  <w:txbxContent>
                    <w:p w14:paraId="2874D111">
                      <w:pPr>
                        <w:rPr>
                          <w:b/>
                          <w:bCs/>
                          <w:sz w:val="16"/>
                          <w:szCs w:val="16"/>
                        </w:rPr>
                      </w:pPr>
                      <w:r>
                        <w:rPr>
                          <w:rFonts w:hint="eastAsia"/>
                          <w:b/>
                          <w:bCs/>
                          <w:sz w:val="16"/>
                          <w:szCs w:val="16"/>
                        </w:rPr>
                        <w:t>第一工场</w:t>
                      </w:r>
                    </w:p>
                  </w:txbxContent>
                </v:textbox>
              </v:shape>
            </w:pict>
          </mc:Fallback>
        </mc:AlternateContent>
      </w: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1219835</wp:posOffset>
                </wp:positionH>
                <wp:positionV relativeFrom="paragraph">
                  <wp:posOffset>2926715</wp:posOffset>
                </wp:positionV>
                <wp:extent cx="566420" cy="275590"/>
                <wp:effectExtent l="38100" t="96520" r="43180" b="104140"/>
                <wp:wrapNone/>
                <wp:docPr id="29" name="矩形 29"/>
                <wp:cNvGraphicFramePr/>
                <a:graphic xmlns:a="http://schemas.openxmlformats.org/drawingml/2006/main">
                  <a:graphicData uri="http://schemas.microsoft.com/office/word/2010/wordprocessingShape">
                    <wps:wsp>
                      <wps:cNvSpPr/>
                      <wps:spPr>
                        <a:xfrm rot="1200000">
                          <a:off x="0" y="0"/>
                          <a:ext cx="566420" cy="275590"/>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05pt;margin-top:230.45pt;height:21.7pt;width:44.6pt;rotation:1310720f;z-index:251682816;v-text-anchor:middle;mso-width-relative:page;mso-height-relative:page;" fillcolor="#FF0000" filled="t" stroked="t" coordsize="21600,21600" o:gfxdata="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oE&#10;x1vYAAAACwEAAA8AAAAAAAAAAQAgAAAAIgAAAGRycy9kb3ducmV2LnhtbFBLAQIUABQAAAAIAIdO&#10;4kB/GjTPlQIAAFAFAAAOAAAAAAAAAAEAIAAAACcBAABkcnMvZTJvRG9jLnhtbFBLBQYAAAAABgAG&#10;AFkBAAAuBg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1323340</wp:posOffset>
                </wp:positionH>
                <wp:positionV relativeFrom="paragraph">
                  <wp:posOffset>2636520</wp:posOffset>
                </wp:positionV>
                <wp:extent cx="603885" cy="226695"/>
                <wp:effectExtent l="0" t="0" r="0" b="0"/>
                <wp:wrapNone/>
                <wp:docPr id="37" name="文本框 37"/>
                <wp:cNvGraphicFramePr/>
                <a:graphic xmlns:a="http://schemas.openxmlformats.org/drawingml/2006/main">
                  <a:graphicData uri="http://schemas.microsoft.com/office/word/2010/wordprocessingShape">
                    <wps:wsp>
                      <wps:cNvSpPr txBox="1"/>
                      <wps:spPr>
                        <a:xfrm rot="90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8EC2C">
                            <w:pPr>
                              <w:rPr>
                                <w:b/>
                                <w:bCs/>
                                <w:sz w:val="13"/>
                                <w:szCs w:val="13"/>
                              </w:rPr>
                            </w:pPr>
                            <w:r>
                              <w:rPr>
                                <w:rFonts w:hint="eastAsia"/>
                                <w:b/>
                                <w:bCs/>
                                <w:sz w:val="13"/>
                                <w:szCs w:val="13"/>
                              </w:rPr>
                              <w:t>废液储罐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2pt;margin-top:207.6pt;height:17.85pt;width:47.55pt;rotation:983040f;z-index:251685888;mso-width-relative:page;mso-height-relative:page;" filled="f" stroked="f" coordsize="21600,21600" o:gfxdata="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46NEtwAAAALAQAADwAAAAAAAAABACAA&#10;AAAiAAAAZHJzL2Rvd25yZXYueG1sUEsBAhQAFAAAAAgAh07iQKWHDLVCAgAAdAQAAA4AAAAAAAAA&#10;AQAgAAAAKwEAAGRycy9lMm9Eb2MueG1sUEsFBgAAAAAGAAYAWQEAAN8FAAAAAA==&#10;">
                <v:fill on="f" focussize="0,0"/>
                <v:stroke on="f" weight="0.5pt"/>
                <v:imagedata o:title=""/>
                <o:lock v:ext="edit" aspectratio="f"/>
                <v:textbox>
                  <w:txbxContent>
                    <w:p w14:paraId="0BA8EC2C">
                      <w:pPr>
                        <w:rPr>
                          <w:b/>
                          <w:bCs/>
                          <w:sz w:val="13"/>
                          <w:szCs w:val="13"/>
                        </w:rPr>
                      </w:pPr>
                      <w:r>
                        <w:rPr>
                          <w:rFonts w:hint="eastAsia"/>
                          <w:b/>
                          <w:bCs/>
                          <w:sz w:val="13"/>
                          <w:szCs w:val="13"/>
                        </w:rPr>
                        <w:t>废液储罐</w:t>
                      </w:r>
                    </w:p>
                  </w:txbxContent>
                </v:textbox>
              </v:shape>
            </w:pict>
          </mc:Fallback>
        </mc:AlternateContent>
      </w: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1420495</wp:posOffset>
                </wp:positionH>
                <wp:positionV relativeFrom="paragraph">
                  <wp:posOffset>2679700</wp:posOffset>
                </wp:positionV>
                <wp:extent cx="270510" cy="96520"/>
                <wp:effectExtent l="16510" t="51435" r="17780" b="61595"/>
                <wp:wrapNone/>
                <wp:docPr id="36" name="矩形 36"/>
                <wp:cNvGraphicFramePr/>
                <a:graphic xmlns:a="http://schemas.openxmlformats.org/drawingml/2006/main">
                  <a:graphicData uri="http://schemas.microsoft.com/office/word/2010/wordprocessingShape">
                    <wps:wsp>
                      <wps:cNvSpPr/>
                      <wps:spPr>
                        <a:xfrm rot="1200000">
                          <a:off x="0" y="0"/>
                          <a:ext cx="270510" cy="96520"/>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85pt;margin-top:211pt;height:7.6pt;width:21.3pt;rotation:1310720f;z-index:251684864;v-text-anchor:middle;mso-width-relative:page;mso-height-relative:page;" fillcolor="#FF0000" filled="t" stroked="t" coordsize="21600,21600" o:gfxdata="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5a4P5&#10;2AAAAAsBAAAPAAAAAAAAAAEAIAAAACIAAABkcnMvZG93bnJldi54bWxQSwECFAAUAAAACACHTuJA&#10;GRyQoZMCAABPBQAADgAAAAAAAAABACAAAAAnAQAAZHJzL2Uyb0RvYy54bWxQSwUGAAAAAAYABgBZ&#10;AQAALAY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1145540</wp:posOffset>
                </wp:positionH>
                <wp:positionV relativeFrom="paragraph">
                  <wp:posOffset>2486025</wp:posOffset>
                </wp:positionV>
                <wp:extent cx="329565" cy="327660"/>
                <wp:effectExtent l="0" t="0" r="0" b="0"/>
                <wp:wrapNone/>
                <wp:docPr id="39" name="文本框 39"/>
                <wp:cNvGraphicFramePr/>
                <a:graphic xmlns:a="http://schemas.openxmlformats.org/drawingml/2006/main">
                  <a:graphicData uri="http://schemas.microsoft.com/office/word/2010/wordprocessingShape">
                    <wps:wsp>
                      <wps:cNvSpPr txBox="1"/>
                      <wps:spPr>
                        <a:xfrm rot="900000">
                          <a:off x="0" y="0"/>
                          <a:ext cx="329565" cy="327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3EBE9">
                            <w:pPr>
                              <w:rPr>
                                <w:b/>
                                <w:bCs/>
                                <w:sz w:val="10"/>
                                <w:szCs w:val="10"/>
                              </w:rPr>
                            </w:pPr>
                            <w:r>
                              <w:rPr>
                                <w:rFonts w:hint="eastAsia"/>
                                <w:b/>
                                <w:bCs/>
                                <w:sz w:val="10"/>
                                <w:szCs w:val="10"/>
                              </w:rPr>
                              <w:t>事故应急池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pt;margin-top:195.75pt;height:25.8pt;width:25.95pt;rotation:983040f;z-index:251687936;mso-width-relative:page;mso-height-relative:page;" filled="f" stroked="f" coordsize="21600,21600" o:gfxdata="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Y3iwrbAAAACwEAAA8AAAAAAAAAAQAg&#10;AAAAIgAAAGRycy9kb3ducmV2LnhtbFBLAQIUABQAAAAIAIdO4kCzzcX8RAIAAHQEAAAOAAAAAAAA&#10;AAEAIAAAACoBAABkcnMvZTJvRG9jLnhtbFBLBQYAAAAABgAGAFkBAADgBQAAAAA=&#10;">
                <v:fill on="f" focussize="0,0"/>
                <v:stroke on="f" weight="0.5pt"/>
                <v:imagedata o:title=""/>
                <o:lock v:ext="edit" aspectratio="f"/>
                <v:textbox>
                  <w:txbxContent>
                    <w:p w14:paraId="36A3EBE9">
                      <w:pPr>
                        <w:rPr>
                          <w:b/>
                          <w:bCs/>
                          <w:sz w:val="10"/>
                          <w:szCs w:val="10"/>
                        </w:rPr>
                      </w:pPr>
                      <w:r>
                        <w:rPr>
                          <w:rFonts w:hint="eastAsia"/>
                          <w:b/>
                          <w:bCs/>
                          <w:sz w:val="10"/>
                          <w:szCs w:val="10"/>
                        </w:rPr>
                        <w:t>事故应急池</w:t>
                      </w:r>
                    </w:p>
                  </w:txbxContent>
                </v:textbox>
              </v:shape>
            </w:pict>
          </mc:Fallback>
        </mc:AlternateContent>
      </w: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1207135</wp:posOffset>
                </wp:positionH>
                <wp:positionV relativeFrom="paragraph">
                  <wp:posOffset>2491740</wp:posOffset>
                </wp:positionV>
                <wp:extent cx="192405" cy="275590"/>
                <wp:effectExtent l="49530" t="33020" r="62865" b="34290"/>
                <wp:wrapNone/>
                <wp:docPr id="38" name="矩形 38"/>
                <wp:cNvGraphicFramePr/>
                <a:graphic xmlns:a="http://schemas.openxmlformats.org/drawingml/2006/main">
                  <a:graphicData uri="http://schemas.microsoft.com/office/word/2010/wordprocessingShape">
                    <wps:wsp>
                      <wps:cNvSpPr/>
                      <wps:spPr>
                        <a:xfrm rot="1200000">
                          <a:off x="0" y="0"/>
                          <a:ext cx="192405" cy="275590"/>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05pt;margin-top:196.2pt;height:21.7pt;width:15.15pt;rotation:1310720f;z-index:251686912;v-text-anchor:middle;mso-width-relative:page;mso-height-relative:page;" fillcolor="#FF0000" filled="t" stroked="t" coordsize="21600,21600" o:gfxdata="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Yn&#10;Zy7YAAAACwEAAA8AAAAAAAAAAQAgAAAAIgAAAGRycy9kb3ducmV2LnhtbFBLAQIUABQAAAAIAIdO&#10;4kB66PvSlQIAAFAFAAAOAAAAAAAAAAEAIAAAACcBAABkcnMvZTJvRG9jLnhtbFBLBQYAAAAABgAG&#10;AFkBAAAuBg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2345690</wp:posOffset>
                </wp:positionV>
                <wp:extent cx="219075" cy="433070"/>
                <wp:effectExtent l="0" t="0" r="0" b="0"/>
                <wp:wrapNone/>
                <wp:docPr id="21" name="文本框 21"/>
                <wp:cNvGraphicFramePr/>
                <a:graphic xmlns:a="http://schemas.openxmlformats.org/drawingml/2006/main">
                  <a:graphicData uri="http://schemas.microsoft.com/office/word/2010/wordprocessingShape">
                    <wps:wsp>
                      <wps:cNvSpPr txBox="1"/>
                      <wps:spPr>
                        <a:xfrm rot="1140000">
                          <a:off x="0" y="0"/>
                          <a:ext cx="219075" cy="433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79977">
                            <w:pPr>
                              <w:rPr>
                                <w:b/>
                                <w:bCs/>
                                <w:sz w:val="10"/>
                                <w:szCs w:val="10"/>
                              </w:rPr>
                            </w:pPr>
                            <w:r>
                              <w:rPr>
                                <w:rFonts w:hint="eastAsia"/>
                                <w:b/>
                                <w:bCs/>
                                <w:sz w:val="10"/>
                                <w:szCs w:val="10"/>
                              </w:rPr>
                              <w:t>危废仓库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184.7pt;height:34.1pt;width:17.25pt;rotation:1245184f;z-index:251676672;mso-width-relative:page;mso-height-relative:page;" filled="f" stroked="f" coordsize="21600,21600" o:gfxdata="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5oq89sAAAALAQAADwAAAAAAAAAB&#10;ACAAAAAiAAAAZHJzL2Rvd25yZXYueG1sUEsBAhQAFAAAAAgAh07iQGhjV/hGAgAAdQQAAA4AAAAA&#10;AAAAAQAgAAAAKgEAAGRycy9lMm9Eb2MueG1sUEsFBgAAAAAGAAYAWQEAAOIFAAAAAA==&#10;">
                <v:fill on="f" focussize="0,0"/>
                <v:stroke on="f" weight="0.5pt"/>
                <v:imagedata o:title=""/>
                <o:lock v:ext="edit" aspectratio="f"/>
                <v:textbox>
                  <w:txbxContent>
                    <w:p w14:paraId="6BE79977">
                      <w:pPr>
                        <w:rPr>
                          <w:b/>
                          <w:bCs/>
                          <w:sz w:val="10"/>
                          <w:szCs w:val="10"/>
                        </w:rPr>
                      </w:pPr>
                      <w:r>
                        <w:rPr>
                          <w:rFonts w:hint="eastAsia"/>
                          <w:b/>
                          <w:bCs/>
                          <w:sz w:val="10"/>
                          <w:szCs w:val="10"/>
                        </w:rPr>
                        <w:t>危废仓库</w:t>
                      </w:r>
                    </w:p>
                  </w:txbxContent>
                </v:textbox>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2699385</wp:posOffset>
                </wp:positionH>
                <wp:positionV relativeFrom="paragraph">
                  <wp:posOffset>2574925</wp:posOffset>
                </wp:positionV>
                <wp:extent cx="603885" cy="226695"/>
                <wp:effectExtent l="0" t="0" r="0" b="0"/>
                <wp:wrapNone/>
                <wp:docPr id="22" name="文本框 22"/>
                <wp:cNvGraphicFramePr/>
                <a:graphic xmlns:a="http://schemas.openxmlformats.org/drawingml/2006/main">
                  <a:graphicData uri="http://schemas.microsoft.com/office/word/2010/wordprocessingShape">
                    <wps:wsp>
                      <wps:cNvSpPr txBox="1"/>
                      <wps:spPr>
                        <a:xfrm rot="120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20ED3">
                            <w:pPr>
                              <w:rPr>
                                <w:rFonts w:hint="eastAsia" w:eastAsia="宋体"/>
                                <w:b/>
                                <w:bCs/>
                                <w:sz w:val="16"/>
                                <w:szCs w:val="16"/>
                                <w:lang w:eastAsia="zh-CN"/>
                              </w:rPr>
                            </w:pPr>
                            <w:r>
                              <w:rPr>
                                <w:rFonts w:hint="eastAsia"/>
                                <w:b/>
                                <w:bCs/>
                                <w:sz w:val="16"/>
                                <w:szCs w:val="16"/>
                                <w:lang w:eastAsia="zh-CN"/>
                              </w:rPr>
                              <w:t>危险品仓库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5pt;margin-top:202.75pt;height:17.85pt;width:47.55pt;rotation:1310720f;z-index:251677696;mso-width-relative:page;mso-height-relative:page;" filled="f" stroked="f" coordsize="21600,21600" o:gfxdata="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nsSSfaAAAACwEAAA8AAAAAAAAAAQAgAAAA&#10;IgAAAGRycy9kb3ducmV2LnhtbFBLAQIUABQAAAAIAIdO4kA1W1h1QgIAAHUEAAAOAAAAAAAAAAEA&#10;IAAAACkBAABkcnMvZTJvRG9jLnhtbFBLBQYAAAAABgAGAFkBAADdBQAAAAA=&#10;">
                <v:fill on="f" focussize="0,0"/>
                <v:stroke on="f" weight="0.5pt"/>
                <v:imagedata o:title=""/>
                <o:lock v:ext="edit" aspectratio="f"/>
                <v:textbox>
                  <w:txbxContent>
                    <w:p w14:paraId="47F20ED3">
                      <w:pPr>
                        <w:rPr>
                          <w:rFonts w:hint="eastAsia" w:eastAsia="宋体"/>
                          <w:b/>
                          <w:bCs/>
                          <w:sz w:val="16"/>
                          <w:szCs w:val="16"/>
                          <w:lang w:eastAsia="zh-CN"/>
                        </w:rPr>
                      </w:pPr>
                      <w:r>
                        <w:rPr>
                          <w:rFonts w:hint="eastAsia"/>
                          <w:b/>
                          <w:bCs/>
                          <w:sz w:val="16"/>
                          <w:szCs w:val="16"/>
                          <w:lang w:eastAsia="zh-CN"/>
                        </w:rPr>
                        <w:t>危险品仓库</w:t>
                      </w:r>
                    </w:p>
                  </w:txbxContent>
                </v:textbox>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2574925</wp:posOffset>
                </wp:positionH>
                <wp:positionV relativeFrom="paragraph">
                  <wp:posOffset>2397125</wp:posOffset>
                </wp:positionV>
                <wp:extent cx="103505" cy="353695"/>
                <wp:effectExtent l="65405" t="15240" r="78740" b="31115"/>
                <wp:wrapNone/>
                <wp:docPr id="19" name="矩形 19"/>
                <wp:cNvGraphicFramePr/>
                <a:graphic xmlns:a="http://schemas.openxmlformats.org/drawingml/2006/main">
                  <a:graphicData uri="http://schemas.microsoft.com/office/word/2010/wordprocessingShape">
                    <wps:wsp>
                      <wps:cNvSpPr/>
                      <wps:spPr>
                        <a:xfrm rot="1200000">
                          <a:off x="0" y="0"/>
                          <a:ext cx="103505" cy="353695"/>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75pt;margin-top:188.75pt;height:27.85pt;width:8.15pt;rotation:1310720f;z-index:251674624;v-text-anchor:middle;mso-width-relative:page;mso-height-relative:page;" fillcolor="#FF0000" filled="t" stroked="t" coordsize="21600,21600" o:gfxdata="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80&#10;dU3YAAAACwEAAA8AAAAAAAAAAQAgAAAAIgAAAGRycy9kb3ducmV2LnhtbFBLAQIUABQAAAAIAIdO&#10;4kB2Z/22lQIAAFAFAAAOAAAAAAAAAAEAIAAAACcBAABkcnMvZTJvRG9jLnhtbFBLBQYAAAAABgAG&#10;AFkBAAAuBg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2675255</wp:posOffset>
                </wp:positionH>
                <wp:positionV relativeFrom="paragraph">
                  <wp:posOffset>2506345</wp:posOffset>
                </wp:positionV>
                <wp:extent cx="481965" cy="353695"/>
                <wp:effectExtent l="53975" t="80010" r="54610" b="80645"/>
                <wp:wrapNone/>
                <wp:docPr id="18" name="矩形 18"/>
                <wp:cNvGraphicFramePr/>
                <a:graphic xmlns:a="http://schemas.openxmlformats.org/drawingml/2006/main">
                  <a:graphicData uri="http://schemas.microsoft.com/office/word/2010/wordprocessingShape">
                    <wps:wsp>
                      <wps:cNvSpPr/>
                      <wps:spPr>
                        <a:xfrm rot="1200000">
                          <a:off x="0" y="0"/>
                          <a:ext cx="481965" cy="353695"/>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65pt;margin-top:197.35pt;height:27.85pt;width:37.95pt;rotation:1310720f;z-index:251673600;v-text-anchor:middle;mso-width-relative:page;mso-height-relative:page;" fillcolor="#FF0000" filled="t" stroked="t" coordsize="21600,21600" o:gfxdata="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A&#10;Y5hG2QAAAAsBAAAPAAAAAAAAAAEAIAAAACIAAABkcnMvZG93bnJldi54bWxQSwECFAAUAAAACACH&#10;TuJAEZZ9hJUCAABQBQAADgAAAAAAAAABACAAAAAoAQAAZHJzL2Uyb0RvYy54bWxQSwUGAAAAAAYA&#10;BgBZAQAALwY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2357755</wp:posOffset>
                </wp:positionH>
                <wp:positionV relativeFrom="paragraph">
                  <wp:posOffset>3318510</wp:posOffset>
                </wp:positionV>
                <wp:extent cx="495935" cy="328930"/>
                <wp:effectExtent l="49530" t="83185" r="64135" b="83185"/>
                <wp:wrapNone/>
                <wp:docPr id="24" name="矩形 24"/>
                <wp:cNvGraphicFramePr/>
                <a:graphic xmlns:a="http://schemas.openxmlformats.org/drawingml/2006/main">
                  <a:graphicData uri="http://schemas.microsoft.com/office/word/2010/wordprocessingShape">
                    <wps:wsp>
                      <wps:cNvSpPr/>
                      <wps:spPr>
                        <a:xfrm rot="1200000">
                          <a:off x="0" y="0"/>
                          <a:ext cx="495935" cy="328930"/>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65pt;margin-top:261.3pt;height:25.9pt;width:39.05pt;rotation:1310720f;z-index:251678720;v-text-anchor:middle;mso-width-relative:page;mso-height-relative:page;" fillcolor="#FF0000" filled="t" stroked="t" coordsize="21600,21600" o:gfxdata="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iQIYdkAAAALAQAADwAAAAAAAAABACAAAAAiAAAAZHJzL2Rvd25yZXYueG1sUEsBAhQAFAAAAAgA&#10;h07iQGwNDrmWAgAAUAUAAA4AAAAAAAAAAQAgAAAAKAEAAGRycy9lMm9Eb2MueG1sUEsFBgAAAAAG&#10;AAYAWQEAADAGA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2037715</wp:posOffset>
                </wp:positionH>
                <wp:positionV relativeFrom="paragraph">
                  <wp:posOffset>3853815</wp:posOffset>
                </wp:positionV>
                <wp:extent cx="603885" cy="226695"/>
                <wp:effectExtent l="0" t="0" r="0" b="0"/>
                <wp:wrapNone/>
                <wp:docPr id="27" name="文本框 27"/>
                <wp:cNvGraphicFramePr/>
                <a:graphic xmlns:a="http://schemas.openxmlformats.org/drawingml/2006/main">
                  <a:graphicData uri="http://schemas.microsoft.com/office/word/2010/wordprocessingShape">
                    <wps:wsp>
                      <wps:cNvSpPr txBox="1"/>
                      <wps:spPr>
                        <a:xfrm rot="1020000">
                          <a:off x="0" y="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23A3A">
                            <w:pPr>
                              <w:rPr>
                                <w:b/>
                                <w:bCs/>
                                <w:sz w:val="13"/>
                                <w:szCs w:val="13"/>
                              </w:rPr>
                            </w:pPr>
                            <w:r>
                              <w:rPr>
                                <w:rFonts w:hint="eastAsia"/>
                                <w:b/>
                                <w:bCs/>
                                <w:sz w:val="13"/>
                                <w:szCs w:val="13"/>
                              </w:rPr>
                              <w:t>成品仓库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303.45pt;height:17.85pt;width:47.55pt;rotation:1114112f;z-index:251681792;mso-width-relative:page;mso-height-relative:page;" filled="f" stroked="f" coordsize="21600,21600" o:gfxdata="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jfUUtcAAAALAQAADwAAAAAAAAABACAAAAAi&#10;AAAAZHJzL2Rvd25yZXYueG1sUEsBAhQAFAAAAAgAh07iQCt/GdhEAgAAdQQAAA4AAAAAAAAAAQAg&#10;AAAAJgEAAGRycy9lMm9Eb2MueG1sUEsFBgAAAAAGAAYAWQEAANwFAAAAAA==&#10;">
                <v:fill on="f" focussize="0,0"/>
                <v:stroke on="f" weight="0.5pt"/>
                <v:imagedata o:title=""/>
                <o:lock v:ext="edit" aspectratio="f"/>
                <v:textbox>
                  <w:txbxContent>
                    <w:p w14:paraId="5CB23A3A">
                      <w:pPr>
                        <w:rPr>
                          <w:b/>
                          <w:bCs/>
                          <w:sz w:val="13"/>
                          <w:szCs w:val="13"/>
                        </w:rPr>
                      </w:pPr>
                      <w:r>
                        <w:rPr>
                          <w:rFonts w:hint="eastAsia"/>
                          <w:b/>
                          <w:bCs/>
                          <w:sz w:val="13"/>
                          <w:szCs w:val="13"/>
                        </w:rPr>
                        <w:t>成品仓库</w:t>
                      </w:r>
                    </w:p>
                  </w:txbxContent>
                </v:textbox>
              </v:shape>
            </w:pict>
          </mc:Fallback>
        </mc:AlternateContent>
      </w: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2175510</wp:posOffset>
                </wp:positionH>
                <wp:positionV relativeFrom="paragraph">
                  <wp:posOffset>3864610</wp:posOffset>
                </wp:positionV>
                <wp:extent cx="253365" cy="180975"/>
                <wp:effectExtent l="31750" t="45720" r="38735" b="59055"/>
                <wp:wrapNone/>
                <wp:docPr id="26" name="矩形 26"/>
                <wp:cNvGraphicFramePr/>
                <a:graphic xmlns:a="http://schemas.openxmlformats.org/drawingml/2006/main">
                  <a:graphicData uri="http://schemas.microsoft.com/office/word/2010/wordprocessingShape">
                    <wps:wsp>
                      <wps:cNvSpPr/>
                      <wps:spPr>
                        <a:xfrm rot="1200000">
                          <a:off x="0" y="0"/>
                          <a:ext cx="253365" cy="180975"/>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3pt;margin-top:304.3pt;height:14.25pt;width:19.95pt;rotation:1310720f;z-index:251680768;v-text-anchor:middle;mso-width-relative:page;mso-height-relative:page;" fillcolor="#FF0000" filled="t" stroked="t" coordsize="21600,21600" o:gfxdata="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xt&#10;4VbYAAAACwEAAA8AAAAAAAAAAQAgAAAAIgAAAGRycy9kb3ducmV2LnhtbFBLAQIUABQAAAAIAIdO&#10;4kCzJnhLlQIAAFAFAAAOAAAAAAAAAAEAIAAAACcBAABkcnMvZTJvRG9jLnhtbFBLBQYAAAAABgAG&#10;AFkBAAAuBg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1677035</wp:posOffset>
                </wp:positionH>
                <wp:positionV relativeFrom="paragraph">
                  <wp:posOffset>1935480</wp:posOffset>
                </wp:positionV>
                <wp:extent cx="397510" cy="353695"/>
                <wp:effectExtent l="58420" t="67945" r="58420" b="73660"/>
                <wp:wrapNone/>
                <wp:docPr id="17" name="矩形 17"/>
                <wp:cNvGraphicFramePr/>
                <a:graphic xmlns:a="http://schemas.openxmlformats.org/drawingml/2006/main">
                  <a:graphicData uri="http://schemas.microsoft.com/office/word/2010/wordprocessingShape">
                    <wps:wsp>
                      <wps:cNvSpPr/>
                      <wps:spPr>
                        <a:xfrm rot="1260000">
                          <a:off x="2858135" y="2811145"/>
                          <a:ext cx="397510" cy="353695"/>
                        </a:xfrm>
                        <a:prstGeom prst="rect">
                          <a:avLst/>
                        </a:prstGeom>
                        <a:pattFill prst="ltUpDiag">
                          <a:fgClr>
                            <a:srgbClr val="FF0000"/>
                          </a:fgClr>
                          <a:bgClr>
                            <a:schemeClr val="bg1"/>
                          </a:bgClr>
                        </a:patt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05pt;margin-top:152.4pt;height:27.85pt;width:31.3pt;rotation:1376256f;z-index:251672576;v-text-anchor:middle;mso-width-relative:page;mso-height-relative:page;" fillcolor="#FF0000" filled="t" stroked="t" coordsize="21600,21600" o:gfxdata="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HGLndsAAAALAQAADwAAAAAAAAABACAAAAAiAAAAZHJzL2Rvd25yZXYu&#10;eG1sUEsBAhQAFAAAAAgAh07iQGFs9aCjAgAAXAUAAA4AAAAAAAAAAQAgAAAAKgEAAGRycy9lMm9E&#10;b2MueG1sUEsFBgAAAAAGAAYAWQEAAD8GAAAAAA==&#10;">
                <v:fill type="pattern" on="t" color2="#FFFFFF [3212]" o:title="浅色上对角线" focussize="0,0" r:id="rId66"/>
                <v:stroke weight="1pt" color="#FF0000 [2404]" miterlimit="8"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1614170</wp:posOffset>
                </wp:positionH>
                <wp:positionV relativeFrom="paragraph">
                  <wp:posOffset>1988185</wp:posOffset>
                </wp:positionV>
                <wp:extent cx="603885" cy="226695"/>
                <wp:effectExtent l="0" t="0" r="0" b="0"/>
                <wp:wrapNone/>
                <wp:docPr id="20" name="文本框 20"/>
                <wp:cNvGraphicFramePr/>
                <a:graphic xmlns:a="http://schemas.openxmlformats.org/drawingml/2006/main">
                  <a:graphicData uri="http://schemas.microsoft.com/office/word/2010/wordprocessingShape">
                    <wps:wsp>
                      <wps:cNvSpPr txBox="1"/>
                      <wps:spPr>
                        <a:xfrm rot="1140000">
                          <a:off x="2994025" y="1963420"/>
                          <a:ext cx="603885"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A23E3">
                            <w:pPr>
                              <w:rPr>
                                <w:b/>
                                <w:bCs/>
                                <w:sz w:val="16"/>
                                <w:szCs w:val="16"/>
                              </w:rPr>
                            </w:pPr>
                            <w:r>
                              <w:rPr>
                                <w:rFonts w:hint="eastAsia"/>
                                <w:b/>
                                <w:bCs/>
                                <w:sz w:val="16"/>
                                <w:szCs w:val="16"/>
                              </w:rPr>
                              <w:t>第二工场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1pt;margin-top:156.55pt;height:17.85pt;width:47.55pt;rotation:1245184f;z-index:251675648;mso-width-relative:page;mso-height-relative:page;" filled="f" stroked="f" coordsize="21600,21600" o:gfxdata="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8ymiL2wAAAAsBAAAP&#10;AAAAAAAAAAEAIAAAACIAAABkcnMvZG93bnJldi54bWxQSwECFAAUAAAACACHTuJAyczdjU4CAACB&#10;BAAADgAAAAAAAAABACAAAAAqAQAAZHJzL2Uyb0RvYy54bWxQSwUGAAAAAAYABgBZAQAA6gUAAAAA&#10;">
                <v:fill on="f" focussize="0,0"/>
                <v:stroke on="f" weight="0.5pt"/>
                <v:imagedata o:title=""/>
                <o:lock v:ext="edit" aspectratio="f"/>
                <v:textbox>
                  <w:txbxContent>
                    <w:p w14:paraId="3E2A23E3">
                      <w:pPr>
                        <w:rPr>
                          <w:b/>
                          <w:bCs/>
                          <w:sz w:val="16"/>
                          <w:szCs w:val="16"/>
                        </w:rPr>
                      </w:pPr>
                      <w:r>
                        <w:rPr>
                          <w:rFonts w:hint="eastAsia"/>
                          <w:b/>
                          <w:bCs/>
                          <w:sz w:val="16"/>
                          <w:szCs w:val="16"/>
                        </w:rPr>
                        <w:t>第二工场</w:t>
                      </w:r>
                    </w:p>
                  </w:txbxContent>
                </v:textbox>
              </v:shape>
            </w:pict>
          </mc:Fallback>
        </mc:AlternateContent>
      </w:r>
      <w:r>
        <w:rPr>
          <w:color w:val="auto"/>
          <w:highlight w:val="none"/>
        </w:rPr>
        <w:drawing>
          <wp:inline distT="0" distB="0" distL="114300" distR="114300">
            <wp:extent cx="5393055" cy="5475605"/>
            <wp:effectExtent l="0" t="0" r="17145" b="1079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67"/>
                    <a:stretch>
                      <a:fillRect/>
                    </a:stretch>
                  </pic:blipFill>
                  <pic:spPr>
                    <a:xfrm>
                      <a:off x="0" y="0"/>
                      <a:ext cx="5393055" cy="5475605"/>
                    </a:xfrm>
                    <a:prstGeom prst="rect">
                      <a:avLst/>
                    </a:prstGeom>
                    <a:noFill/>
                    <a:ln>
                      <a:noFill/>
                    </a:ln>
                  </pic:spPr>
                </pic:pic>
              </a:graphicData>
            </a:graphic>
          </wp:inline>
        </w:drawing>
      </w:r>
    </w:p>
    <w:p w14:paraId="65E7FB9F">
      <w:pPr>
        <w:pStyle w:val="15"/>
        <w:widowControl/>
        <w:adjustRightInd w:val="0"/>
        <w:snapToGrid w:val="0"/>
        <w:spacing w:line="360" w:lineRule="auto"/>
        <w:ind w:left="-105" w:right="-105" w:firstLine="482"/>
        <w:rPr>
          <w:color w:val="auto"/>
          <w:highlight w:val="none"/>
        </w:rPr>
      </w:pPr>
      <w:bookmarkStart w:id="490" w:name="_Ref2843"/>
      <w:r>
        <w:rPr>
          <w:rFonts w:hint="eastAsia" w:ascii="宋体" w:hAnsi="宋体" w:eastAsia="宋体" w:cs="宋体"/>
          <w:color w:val="auto"/>
          <w:sz w:val="24"/>
          <w:szCs w:val="18"/>
          <w:highlight w:val="none"/>
        </w:rPr>
        <w:t>图</w:t>
      </w:r>
      <w:r>
        <w:rPr>
          <w:rFonts w:hint="eastAsia"/>
          <w:color w:val="auto"/>
          <w:sz w:val="24"/>
          <w:szCs w:val="18"/>
          <w:highlight w:val="none"/>
        </w:rPr>
        <w:fldChar w:fldCharType="begin"/>
      </w:r>
      <w:r>
        <w:rPr>
          <w:rFonts w:hint="eastAsia"/>
          <w:color w:val="auto"/>
          <w:sz w:val="24"/>
          <w:szCs w:val="18"/>
          <w:highlight w:val="none"/>
        </w:rPr>
        <w:instrText xml:space="preserve"> STYLEREF 2 \s </w:instrText>
      </w:r>
      <w:r>
        <w:rPr>
          <w:rFonts w:hint="eastAsia"/>
          <w:color w:val="auto"/>
          <w:sz w:val="24"/>
          <w:szCs w:val="18"/>
          <w:highlight w:val="none"/>
        </w:rPr>
        <w:fldChar w:fldCharType="separate"/>
      </w:r>
      <w:r>
        <w:rPr>
          <w:rFonts w:hint="eastAsia"/>
          <w:color w:val="auto"/>
          <w:sz w:val="24"/>
          <w:szCs w:val="18"/>
          <w:highlight w:val="none"/>
        </w:rPr>
        <w:t>7.5</w:t>
      </w:r>
      <w:r>
        <w:rPr>
          <w:rFonts w:hint="eastAsia"/>
          <w:color w:val="auto"/>
          <w:sz w:val="24"/>
          <w:szCs w:val="18"/>
          <w:highlight w:val="none"/>
        </w:rPr>
        <w:fldChar w:fldCharType="end"/>
      </w:r>
      <w:r>
        <w:rPr>
          <w:rFonts w:hint="eastAsia"/>
          <w:color w:val="auto"/>
          <w:sz w:val="24"/>
          <w:szCs w:val="18"/>
          <w:highlight w:val="none"/>
        </w:rPr>
        <w:t>-</w:t>
      </w:r>
      <w:r>
        <w:rPr>
          <w:rFonts w:hint="eastAsia" w:eastAsia="宋体"/>
          <w:color w:val="auto"/>
          <w:sz w:val="24"/>
          <w:szCs w:val="18"/>
          <w:highlight w:val="none"/>
        </w:rPr>
        <w:fldChar w:fldCharType="begin"/>
      </w:r>
      <w:r>
        <w:rPr>
          <w:rFonts w:hint="eastAsia" w:eastAsia="宋体"/>
          <w:color w:val="auto"/>
          <w:sz w:val="24"/>
          <w:szCs w:val="18"/>
          <w:highlight w:val="none"/>
        </w:rPr>
        <w:instrText xml:space="preserve"> SEQ 图 \* ARABIC \s 2 </w:instrText>
      </w:r>
      <w:r>
        <w:rPr>
          <w:rFonts w:hint="eastAsia" w:eastAsia="宋体"/>
          <w:color w:val="auto"/>
          <w:sz w:val="24"/>
          <w:szCs w:val="18"/>
          <w:highlight w:val="none"/>
        </w:rPr>
        <w:fldChar w:fldCharType="separate"/>
      </w:r>
      <w:r>
        <w:rPr>
          <w:rFonts w:hint="eastAsia" w:eastAsia="宋体"/>
          <w:color w:val="auto"/>
          <w:sz w:val="24"/>
          <w:szCs w:val="18"/>
          <w:highlight w:val="none"/>
        </w:rPr>
        <w:t>2</w:t>
      </w:r>
      <w:r>
        <w:rPr>
          <w:rFonts w:hint="eastAsia" w:eastAsia="宋体"/>
          <w:color w:val="auto"/>
          <w:sz w:val="24"/>
          <w:szCs w:val="18"/>
          <w:highlight w:val="none"/>
        </w:rPr>
        <w:fldChar w:fldCharType="end"/>
      </w:r>
      <w:bookmarkEnd w:id="490"/>
      <w:r>
        <w:rPr>
          <w:rFonts w:hint="eastAsia" w:eastAsia="宋体"/>
          <w:color w:val="auto"/>
          <w:sz w:val="24"/>
          <w:szCs w:val="18"/>
          <w:highlight w:val="none"/>
        </w:rPr>
        <w:t>厂区防渗布局图</w:t>
      </w:r>
    </w:p>
    <w:p w14:paraId="4E2BF64A">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w:t>
      </w:r>
      <w:r>
        <w:rPr>
          <w:rFonts w:ascii="Times New Roman" w:hAnsi="Times New Roman"/>
          <w:color w:val="auto"/>
          <w:sz w:val="24"/>
          <w:szCs w:val="24"/>
          <w:highlight w:val="none"/>
        </w:rPr>
        <w:t>.5.2.2分区防控措施</w:t>
      </w:r>
    </w:p>
    <w:p w14:paraId="3D9EE4ED">
      <w:pPr>
        <w:pStyle w:val="15"/>
        <w:adjustRightInd w:val="0"/>
        <w:snapToGrid w:val="0"/>
        <w:spacing w:line="360" w:lineRule="auto"/>
        <w:ind w:left="-105" w:right="-105" w:firstLine="464" w:firstLineChars="200"/>
        <w:jc w:val="both"/>
        <w:rPr>
          <w:rFonts w:eastAsia="宋体"/>
          <w:b w:val="0"/>
          <w:color w:val="auto"/>
          <w:spacing w:val="-4"/>
          <w:kern w:val="0"/>
          <w:sz w:val="24"/>
          <w:szCs w:val="24"/>
          <w:highlight w:val="none"/>
          <w:lang w:val="zh-CN" w:bidi="zh-CN"/>
        </w:rPr>
      </w:pPr>
      <w:r>
        <w:rPr>
          <w:rFonts w:eastAsia="宋体"/>
          <w:b w:val="0"/>
          <w:color w:val="auto"/>
          <w:spacing w:val="-4"/>
          <w:kern w:val="0"/>
          <w:sz w:val="24"/>
          <w:szCs w:val="24"/>
          <w:highlight w:val="none"/>
          <w:lang w:val="zh-CN" w:bidi="zh-CN"/>
        </w:rPr>
        <w:t>简单防渗区为办公区、厂区道路、停车场、门卫等采用地面水泥硬化处理。</w:t>
      </w:r>
    </w:p>
    <w:p w14:paraId="3564C0E5">
      <w:pPr>
        <w:pStyle w:val="15"/>
        <w:adjustRightInd w:val="0"/>
        <w:snapToGrid w:val="0"/>
        <w:spacing w:line="360" w:lineRule="auto"/>
        <w:ind w:left="-105" w:right="-105" w:firstLine="464" w:firstLineChars="200"/>
        <w:jc w:val="both"/>
        <w:rPr>
          <w:rFonts w:eastAsia="宋体"/>
          <w:b w:val="0"/>
          <w:color w:val="auto"/>
          <w:spacing w:val="-4"/>
          <w:kern w:val="0"/>
          <w:sz w:val="24"/>
          <w:szCs w:val="24"/>
          <w:highlight w:val="none"/>
          <w:lang w:val="zh-CN" w:bidi="zh-CN"/>
        </w:rPr>
      </w:pPr>
      <w:r>
        <w:rPr>
          <w:rFonts w:eastAsia="宋体"/>
          <w:b w:val="0"/>
          <w:color w:val="auto"/>
          <w:spacing w:val="-4"/>
          <w:kern w:val="0"/>
          <w:sz w:val="24"/>
          <w:szCs w:val="24"/>
          <w:highlight w:val="none"/>
          <w:lang w:val="zh-CN" w:bidi="zh-CN"/>
        </w:rPr>
        <w:t>一般防渗区为</w:t>
      </w:r>
      <w:r>
        <w:rPr>
          <w:rFonts w:hint="eastAsia" w:eastAsia="宋体"/>
          <w:b w:val="0"/>
          <w:color w:val="auto"/>
          <w:spacing w:val="-4"/>
          <w:kern w:val="0"/>
          <w:sz w:val="24"/>
          <w:szCs w:val="24"/>
          <w:highlight w:val="none"/>
          <w:lang w:val="zh-CN" w:bidi="zh-CN"/>
        </w:rPr>
        <w:t>实验楼、一般固废仓库、辅房</w:t>
      </w:r>
      <w:r>
        <w:rPr>
          <w:rFonts w:eastAsia="宋体"/>
          <w:b w:val="0"/>
          <w:color w:val="auto"/>
          <w:spacing w:val="-4"/>
          <w:kern w:val="0"/>
          <w:sz w:val="24"/>
          <w:szCs w:val="24"/>
          <w:highlight w:val="none"/>
          <w:lang w:val="zh-CN" w:bidi="zh-CN"/>
        </w:rPr>
        <w:t>等。防渗设计要求参照《一般工业固体废物贮存和填埋污染控制标准》（GB18599-2020）。一般污染区地坪混凝土防渗层抗渗等级不应小于P6，其厚度不宜小于100mm，其防渗层性能与1.5m厚粘土层（渗透系数1.0×10</w:t>
      </w:r>
      <w:r>
        <w:rPr>
          <w:rFonts w:eastAsia="宋体"/>
          <w:b w:val="0"/>
          <w:color w:val="auto"/>
          <w:spacing w:val="-4"/>
          <w:kern w:val="0"/>
          <w:sz w:val="24"/>
          <w:szCs w:val="24"/>
          <w:highlight w:val="none"/>
          <w:vertAlign w:val="superscript"/>
          <w:lang w:val="zh-CN" w:bidi="zh-CN"/>
        </w:rPr>
        <w:t>-7</w:t>
      </w:r>
      <w:r>
        <w:rPr>
          <w:rFonts w:eastAsia="宋体"/>
          <w:b w:val="0"/>
          <w:color w:val="auto"/>
          <w:spacing w:val="-4"/>
          <w:kern w:val="0"/>
          <w:sz w:val="24"/>
          <w:szCs w:val="24"/>
          <w:highlight w:val="none"/>
          <w:lang w:val="zh-CN" w:bidi="zh-CN"/>
        </w:rPr>
        <w:t>cm/s）等效。</w:t>
      </w:r>
    </w:p>
    <w:p w14:paraId="263F2F0B">
      <w:pPr>
        <w:pStyle w:val="15"/>
        <w:adjustRightInd w:val="0"/>
        <w:snapToGrid w:val="0"/>
        <w:spacing w:line="360" w:lineRule="auto"/>
        <w:ind w:left="-105" w:right="-105" w:firstLine="464" w:firstLineChars="200"/>
        <w:jc w:val="both"/>
        <w:rPr>
          <w:rFonts w:eastAsia="宋体"/>
          <w:b w:val="0"/>
          <w:color w:val="auto"/>
          <w:spacing w:val="-4"/>
          <w:kern w:val="0"/>
          <w:sz w:val="24"/>
          <w:szCs w:val="24"/>
          <w:highlight w:val="none"/>
          <w:lang w:val="zh-CN" w:bidi="zh-CN"/>
        </w:rPr>
      </w:pPr>
      <w:r>
        <w:rPr>
          <w:rFonts w:eastAsia="宋体"/>
          <w:b w:val="0"/>
          <w:color w:val="auto"/>
          <w:spacing w:val="-4"/>
          <w:kern w:val="0"/>
          <w:sz w:val="24"/>
          <w:szCs w:val="24"/>
          <w:highlight w:val="none"/>
          <w:lang w:val="zh-CN" w:bidi="zh-CN"/>
        </w:rPr>
        <w:t>重点防渗区为</w:t>
      </w:r>
      <w:r>
        <w:rPr>
          <w:rFonts w:hint="eastAsia" w:eastAsia="宋体"/>
          <w:b w:val="0"/>
          <w:color w:val="auto"/>
          <w:spacing w:val="-4"/>
          <w:kern w:val="0"/>
          <w:sz w:val="24"/>
          <w:szCs w:val="24"/>
          <w:highlight w:val="none"/>
          <w:lang w:val="zh-CN" w:bidi="zh-CN"/>
        </w:rPr>
        <w:t>生产区、危险品仓库、成品仓库、埋地柴油罐、废液储罐区、危废仓库、事故池、初期雨水收集池</w:t>
      </w:r>
      <w:r>
        <w:rPr>
          <w:rFonts w:eastAsia="宋体"/>
          <w:b w:val="0"/>
          <w:color w:val="auto"/>
          <w:spacing w:val="-4"/>
          <w:kern w:val="0"/>
          <w:sz w:val="24"/>
          <w:szCs w:val="24"/>
          <w:highlight w:val="none"/>
          <w:lang w:val="zh-CN" w:bidi="zh-CN"/>
        </w:rPr>
        <w:t>等。地坪混凝土防渗层抗渗等级不应小于P8，其厚度不宜小于150mm，防渗层性能应与6m厚粘土层（渗透系数1.0×10</w:t>
      </w:r>
      <w:r>
        <w:rPr>
          <w:rFonts w:eastAsia="宋体"/>
          <w:b w:val="0"/>
          <w:color w:val="auto"/>
          <w:spacing w:val="-4"/>
          <w:kern w:val="0"/>
          <w:sz w:val="24"/>
          <w:szCs w:val="24"/>
          <w:highlight w:val="none"/>
          <w:vertAlign w:val="superscript"/>
          <w:lang w:val="zh-CN" w:bidi="zh-CN"/>
        </w:rPr>
        <w:t>-7</w:t>
      </w:r>
      <w:r>
        <w:rPr>
          <w:rFonts w:eastAsia="宋体"/>
          <w:b w:val="0"/>
          <w:color w:val="auto"/>
          <w:spacing w:val="-4"/>
          <w:kern w:val="0"/>
          <w:sz w:val="24"/>
          <w:szCs w:val="24"/>
          <w:highlight w:val="none"/>
          <w:lang w:val="zh-CN" w:bidi="zh-CN"/>
        </w:rPr>
        <w:t>cm/s）等效。</w:t>
      </w:r>
    </w:p>
    <w:p w14:paraId="5F015F3B">
      <w:pPr>
        <w:pStyle w:val="15"/>
        <w:adjustRightInd w:val="0"/>
        <w:snapToGrid w:val="0"/>
        <w:spacing w:line="360" w:lineRule="auto"/>
        <w:ind w:left="-105" w:right="-105" w:firstLine="464" w:firstLineChars="200"/>
        <w:jc w:val="both"/>
        <w:rPr>
          <w:rFonts w:eastAsia="宋体"/>
          <w:b w:val="0"/>
          <w:color w:val="auto"/>
          <w:spacing w:val="-4"/>
          <w:kern w:val="0"/>
          <w:sz w:val="24"/>
          <w:szCs w:val="24"/>
          <w:highlight w:val="none"/>
          <w:lang w:val="zh-CN" w:bidi="zh-CN"/>
        </w:rPr>
      </w:pPr>
      <w:r>
        <w:rPr>
          <w:rFonts w:eastAsia="宋体"/>
          <w:b w:val="0"/>
          <w:color w:val="auto"/>
          <w:spacing w:val="-4"/>
          <w:kern w:val="0"/>
          <w:sz w:val="24"/>
          <w:szCs w:val="24"/>
          <w:highlight w:val="none"/>
          <w:lang w:val="zh-CN" w:bidi="zh-CN"/>
        </w:rPr>
        <w:t>另外危废区域参照《危险废物贮存污染控制标准》（GB18597-2023）采取严格的防腐防渗措施，地面采用</w:t>
      </w:r>
      <w:r>
        <w:rPr>
          <w:rFonts w:hint="eastAsia" w:eastAsia="宋体"/>
          <w:b w:val="0"/>
          <w:color w:val="auto"/>
          <w:spacing w:val="-4"/>
          <w:kern w:val="0"/>
          <w:sz w:val="24"/>
          <w:szCs w:val="24"/>
          <w:highlight w:val="none"/>
          <w:lang w:val="zh-CN" w:bidi="zh-CN"/>
        </w:rPr>
        <w:t>抗渗</w:t>
      </w:r>
      <w:r>
        <w:rPr>
          <w:rFonts w:eastAsia="宋体"/>
          <w:b w:val="0"/>
          <w:color w:val="auto"/>
          <w:spacing w:val="-4"/>
          <w:kern w:val="0"/>
          <w:sz w:val="24"/>
          <w:szCs w:val="24"/>
          <w:highlight w:val="none"/>
          <w:lang w:val="zh-CN" w:bidi="zh-CN"/>
        </w:rPr>
        <w:t>混凝土+2mm厚HDPE，等效渗透系数≤1×10</w:t>
      </w:r>
      <w:r>
        <w:rPr>
          <w:rFonts w:eastAsia="宋体"/>
          <w:b w:val="0"/>
          <w:color w:val="auto"/>
          <w:spacing w:val="-4"/>
          <w:kern w:val="0"/>
          <w:sz w:val="24"/>
          <w:szCs w:val="24"/>
          <w:highlight w:val="none"/>
          <w:vertAlign w:val="superscript"/>
          <w:lang w:val="zh-CN" w:bidi="zh-CN"/>
        </w:rPr>
        <w:t>-10</w:t>
      </w:r>
      <w:r>
        <w:rPr>
          <w:rFonts w:eastAsia="宋体"/>
          <w:b w:val="0"/>
          <w:color w:val="auto"/>
          <w:spacing w:val="-4"/>
          <w:kern w:val="0"/>
          <w:sz w:val="24"/>
          <w:szCs w:val="24"/>
          <w:highlight w:val="none"/>
          <w:lang w:val="zh-CN" w:bidi="zh-CN"/>
        </w:rPr>
        <w:t>cm/s。</w:t>
      </w:r>
    </w:p>
    <w:p w14:paraId="3FC1CAA8">
      <w:pPr>
        <w:pStyle w:val="15"/>
        <w:adjustRightInd w:val="0"/>
        <w:snapToGrid w:val="0"/>
        <w:spacing w:line="360" w:lineRule="auto"/>
        <w:ind w:left="-105" w:right="-105" w:firstLine="464" w:firstLineChars="200"/>
        <w:jc w:val="both"/>
        <w:rPr>
          <w:rFonts w:eastAsia="宋体"/>
          <w:b w:val="0"/>
          <w:color w:val="auto"/>
          <w:spacing w:val="-4"/>
          <w:kern w:val="0"/>
          <w:sz w:val="24"/>
          <w:szCs w:val="24"/>
          <w:highlight w:val="none"/>
          <w:lang w:val="zh-CN" w:bidi="zh-CN"/>
        </w:rPr>
      </w:pPr>
      <w:r>
        <w:rPr>
          <w:rFonts w:eastAsia="宋体"/>
          <w:b w:val="0"/>
          <w:color w:val="auto"/>
          <w:spacing w:val="-4"/>
          <w:kern w:val="0"/>
          <w:sz w:val="24"/>
          <w:szCs w:val="24"/>
          <w:highlight w:val="none"/>
          <w:lang w:val="zh-CN" w:bidi="zh-CN"/>
        </w:rPr>
        <w:t>通过以上地下水保护措施，可以确保区域土壤、地下水不因项目建设而受到影响。</w:t>
      </w:r>
    </w:p>
    <w:p w14:paraId="79AFAF87">
      <w:pPr>
        <w:pStyle w:val="6"/>
        <w:keepLines w:val="0"/>
        <w:widowControl/>
        <w:numPr>
          <w:ilvl w:val="0"/>
          <w:numId w:val="0"/>
        </w:numPr>
        <w:tabs>
          <w:tab w:val="left" w:pos="0"/>
          <w:tab w:val="left" w:pos="2550"/>
        </w:tabs>
        <w:spacing w:before="50" w:after="50" w:line="360" w:lineRule="auto"/>
        <w:ind w:right="-105"/>
        <w:rPr>
          <w:rFonts w:ascii="Times New Roman" w:hAnsi="Times New Roman"/>
          <w:color w:val="auto"/>
          <w:sz w:val="24"/>
          <w:szCs w:val="24"/>
          <w:highlight w:val="none"/>
        </w:rPr>
      </w:pPr>
      <w:r>
        <w:rPr>
          <w:rFonts w:hint="eastAsia" w:ascii="Times New Roman" w:hAnsi="Times New Roman"/>
          <w:color w:val="auto"/>
          <w:sz w:val="24"/>
          <w:szCs w:val="24"/>
          <w:highlight w:val="none"/>
        </w:rPr>
        <w:t>7</w:t>
      </w:r>
      <w:r>
        <w:rPr>
          <w:rFonts w:ascii="Times New Roman" w:hAnsi="Times New Roman"/>
          <w:color w:val="auto"/>
          <w:sz w:val="24"/>
          <w:szCs w:val="24"/>
          <w:highlight w:val="none"/>
        </w:rPr>
        <w:t>.5.2.3其他土壤防控措施</w:t>
      </w:r>
    </w:p>
    <w:p w14:paraId="1D228453">
      <w:pPr>
        <w:adjustRightInd w:val="0"/>
        <w:snapToGrid w:val="0"/>
        <w:spacing w:line="360" w:lineRule="auto"/>
        <w:ind w:left="-105" w:right="-105" w:firstLine="464" w:firstLineChars="200"/>
        <w:jc w:val="both"/>
        <w:rPr>
          <w:rFonts w:ascii="Times New Roman" w:hAnsi="Times New Roman" w:cs="Times New Roman"/>
          <w:color w:val="auto"/>
          <w:spacing w:val="-4"/>
          <w:highlight w:val="none"/>
          <w:lang w:val="zh-CN" w:bidi="zh-CN"/>
        </w:rPr>
      </w:pPr>
      <w:r>
        <w:rPr>
          <w:rFonts w:ascii="Times New Roman" w:hAnsi="Times New Roman" w:cs="Times New Roman"/>
          <w:color w:val="auto"/>
          <w:spacing w:val="-4"/>
          <w:highlight w:val="none"/>
          <w:lang w:val="zh-CN" w:bidi="zh-CN"/>
        </w:rPr>
        <w:t>本项目为土壤污染型项目，根据《环境影响评价技术导则土壤环境（试行）》（HJ964-2018）过程控制措施，结合本项目污染特征。</w:t>
      </w:r>
      <w:r>
        <w:rPr>
          <w:rFonts w:ascii="Times New Roman" w:hAnsi="Times New Roman" w:cs="Times New Roman"/>
          <w:color w:val="auto"/>
          <w:spacing w:val="-4"/>
          <w:highlight w:val="none"/>
          <w:lang w:bidi="zh-CN"/>
        </w:rPr>
        <w:t>在做好分区防渗的前提下，</w:t>
      </w:r>
      <w:r>
        <w:rPr>
          <w:rFonts w:ascii="Times New Roman" w:hAnsi="Times New Roman" w:cs="Times New Roman"/>
          <w:color w:val="auto"/>
          <w:spacing w:val="-4"/>
          <w:highlight w:val="none"/>
          <w:lang w:val="zh-CN" w:bidi="zh-CN"/>
        </w:rPr>
        <w:t>本项目</w:t>
      </w:r>
      <w:r>
        <w:rPr>
          <w:rFonts w:ascii="Times New Roman" w:hAnsi="Times New Roman" w:cs="Times New Roman"/>
          <w:color w:val="auto"/>
          <w:spacing w:val="-4"/>
          <w:highlight w:val="none"/>
          <w:lang w:bidi="zh-CN"/>
        </w:rPr>
        <w:t>还应</w:t>
      </w:r>
      <w:r>
        <w:rPr>
          <w:rFonts w:ascii="Times New Roman" w:hAnsi="Times New Roman" w:cs="Times New Roman"/>
          <w:color w:val="auto"/>
          <w:spacing w:val="-4"/>
          <w:highlight w:val="none"/>
          <w:lang w:val="zh-CN" w:bidi="zh-CN"/>
        </w:rPr>
        <w:t>采取如下过程控制措施。</w:t>
      </w:r>
    </w:p>
    <w:p w14:paraId="5DD76DE4">
      <w:pPr>
        <w:adjustRightInd w:val="0"/>
        <w:snapToGrid w:val="0"/>
        <w:spacing w:line="360" w:lineRule="auto"/>
        <w:ind w:left="-105" w:right="-105" w:firstLine="464" w:firstLineChars="200"/>
        <w:jc w:val="both"/>
        <w:rPr>
          <w:rFonts w:ascii="Times New Roman" w:hAnsi="Times New Roman" w:cs="Times New Roman"/>
          <w:color w:val="auto"/>
          <w:spacing w:val="-4"/>
          <w:highlight w:val="none"/>
          <w:lang w:val="zh-CN" w:bidi="zh-CN"/>
        </w:rPr>
      </w:pPr>
      <w:r>
        <w:rPr>
          <w:rFonts w:ascii="Times New Roman" w:hAnsi="Times New Roman" w:cs="Times New Roman"/>
          <w:color w:val="auto"/>
          <w:spacing w:val="-4"/>
          <w:highlight w:val="none"/>
          <w:lang w:val="zh-CN" w:bidi="zh-CN"/>
        </w:rPr>
        <w:t>1、占地范围内应采取绿化措施，以种植具有较强吸附能力的植物为主，根据本项目所处区域自然地理特征，种植易于在该地区生长且富集能力较强、生物量较大的植物种植。</w:t>
      </w:r>
    </w:p>
    <w:p w14:paraId="64904E5A">
      <w:pPr>
        <w:adjustRightInd w:val="0"/>
        <w:snapToGrid w:val="0"/>
        <w:spacing w:line="360" w:lineRule="auto"/>
        <w:ind w:left="-105" w:right="-105" w:firstLine="464" w:firstLineChars="200"/>
        <w:jc w:val="both"/>
        <w:rPr>
          <w:rFonts w:ascii="Times New Roman" w:hAnsi="Times New Roman" w:cs="Times New Roman"/>
          <w:color w:val="auto"/>
          <w:spacing w:val="-4"/>
          <w:highlight w:val="none"/>
          <w:lang w:val="zh-CN" w:bidi="zh-CN"/>
        </w:rPr>
      </w:pPr>
      <w:r>
        <w:rPr>
          <w:rFonts w:ascii="Times New Roman" w:hAnsi="Times New Roman" w:cs="Times New Roman"/>
          <w:color w:val="auto"/>
          <w:spacing w:val="-4"/>
          <w:highlight w:val="none"/>
          <w:lang w:val="zh-CN" w:bidi="zh-CN"/>
        </w:rPr>
        <w:t>2、应根据建设项目所在地的地形特点优化地面布局，涉及地面漫流途径影响的必要时设置地面硬化、围堰或围墙，以防止土壤环境污染。</w:t>
      </w:r>
    </w:p>
    <w:p w14:paraId="12E62064">
      <w:pPr>
        <w:adjustRightInd w:val="0"/>
        <w:snapToGrid w:val="0"/>
        <w:spacing w:line="360" w:lineRule="auto"/>
        <w:ind w:left="-105" w:right="-105" w:firstLine="464" w:firstLineChars="200"/>
        <w:jc w:val="both"/>
        <w:rPr>
          <w:rFonts w:ascii="Times New Roman" w:hAnsi="Times New Roman" w:cs="Times New Roman"/>
          <w:color w:val="auto"/>
          <w:spacing w:val="-4"/>
          <w:highlight w:val="none"/>
          <w:lang w:val="zh-CN" w:bidi="zh-CN"/>
        </w:rPr>
      </w:pPr>
      <w:r>
        <w:rPr>
          <w:rFonts w:ascii="Times New Roman" w:hAnsi="Times New Roman" w:cs="Times New Roman"/>
          <w:color w:val="auto"/>
          <w:spacing w:val="-4"/>
          <w:highlight w:val="none"/>
          <w:lang w:val="zh-CN" w:bidi="zh-CN"/>
        </w:rPr>
        <w:t>3、涉及垂直入渗途径影响的，应根据相关标准规范要求，对设备设施采取相应的防</w:t>
      </w:r>
      <w:r>
        <w:rPr>
          <w:rFonts w:hint="eastAsia" w:ascii="Times New Roman" w:hAnsi="Times New Roman" w:cs="Times New Roman"/>
          <w:color w:val="auto"/>
          <w:spacing w:val="-4"/>
          <w:highlight w:val="none"/>
          <w:lang w:val="zh-CN" w:bidi="zh-CN"/>
        </w:rPr>
        <w:t>渗</w:t>
      </w:r>
      <w:r>
        <w:rPr>
          <w:rFonts w:ascii="Times New Roman" w:hAnsi="Times New Roman" w:cs="Times New Roman"/>
          <w:color w:val="auto"/>
          <w:spacing w:val="-4"/>
          <w:highlight w:val="none"/>
          <w:lang w:val="zh-CN" w:bidi="zh-CN"/>
        </w:rPr>
        <w:t>措施，以防止土壤环境污染。</w:t>
      </w:r>
    </w:p>
    <w:p w14:paraId="48FDBFFF">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地下水、土壤污染监测与管理</w:t>
      </w:r>
    </w:p>
    <w:p w14:paraId="3695A3D7">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cs="Times New Roman"/>
          <w:color w:val="auto"/>
          <w:spacing w:val="-1"/>
          <w:kern w:val="2"/>
          <w:sz w:val="24"/>
          <w:szCs w:val="24"/>
          <w:highlight w:val="none"/>
          <w:lang w:val="en-US" w:bidi="ar-SA"/>
        </w:rPr>
      </w:pPr>
      <w:r>
        <w:rPr>
          <w:rFonts w:ascii="Times New Roman" w:hAnsi="Times New Roman" w:cs="Times New Roman"/>
          <w:color w:val="auto"/>
          <w:spacing w:val="-1"/>
          <w:kern w:val="2"/>
          <w:sz w:val="24"/>
          <w:szCs w:val="24"/>
          <w:highlight w:val="none"/>
          <w:lang w:val="en-US" w:bidi="ar-SA"/>
        </w:rPr>
        <w:t>建立厂区地下水、土壤环境监控体系，包括建立地下水、土壤监控制度和环境管理体系、制定监测计划、配备必要的检测仪器和设备，以便及时发现问题，及时采取措施。若发现地下水、土壤中污染物超标，则应加大监测频率，并及时排查污染源并采取应对措施。公司制定相应的地下水、土壤跟踪监测计划，跟踪监测布设情况见</w:t>
      </w:r>
      <w:r>
        <w:rPr>
          <w:rFonts w:hint="eastAsia" w:ascii="Times New Roman" w:hAnsi="Times New Roman" w:cs="Times New Roman"/>
          <w:color w:val="auto"/>
          <w:spacing w:val="-1"/>
          <w:kern w:val="2"/>
          <w:sz w:val="24"/>
          <w:szCs w:val="24"/>
          <w:highlight w:val="none"/>
          <w:lang w:val="en-US" w:bidi="ar-SA"/>
        </w:rPr>
        <w:t>表</w:t>
      </w:r>
      <w:r>
        <w:rPr>
          <w:rFonts w:ascii="Times New Roman" w:hAnsi="Times New Roman" w:cs="Times New Roman"/>
          <w:color w:val="auto"/>
          <w:spacing w:val="-1"/>
          <w:kern w:val="2"/>
          <w:sz w:val="24"/>
          <w:szCs w:val="24"/>
          <w:highlight w:val="none"/>
          <w:lang w:val="en-US" w:bidi="ar-SA"/>
        </w:rPr>
        <w:t>9.3-1。</w:t>
      </w:r>
    </w:p>
    <w:p w14:paraId="51937D93">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eastAsia="宋体" w:cs="Times New Roman"/>
          <w:color w:val="auto"/>
          <w:spacing w:val="-1"/>
          <w:kern w:val="2"/>
          <w:sz w:val="24"/>
          <w:szCs w:val="24"/>
          <w:highlight w:val="none"/>
          <w:lang w:val="en-US" w:bidi="ar-SA"/>
        </w:rPr>
      </w:pPr>
      <w:r>
        <w:rPr>
          <w:rFonts w:ascii="Times New Roman" w:hAnsi="Times New Roman" w:eastAsia="宋体" w:cs="Times New Roman"/>
          <w:color w:val="auto"/>
          <w:spacing w:val="-1"/>
          <w:kern w:val="2"/>
          <w:sz w:val="24"/>
          <w:szCs w:val="24"/>
          <w:highlight w:val="none"/>
          <w:lang w:val="en-US" w:bidi="ar-SA"/>
        </w:rPr>
        <w:t>本项目</w:t>
      </w:r>
      <w:r>
        <w:rPr>
          <w:rFonts w:hint="eastAsia" w:ascii="Times New Roman" w:hAnsi="Times New Roman" w:eastAsia="宋体" w:cs="Times New Roman"/>
          <w:color w:val="auto"/>
          <w:spacing w:val="-1"/>
          <w:kern w:val="2"/>
          <w:sz w:val="24"/>
          <w:szCs w:val="24"/>
          <w:highlight w:val="none"/>
          <w:lang w:val="en-US" w:bidi="ar-SA"/>
        </w:rPr>
        <w:t>不开展地下水环境影响评价</w:t>
      </w:r>
      <w:r>
        <w:rPr>
          <w:rFonts w:ascii="Times New Roman" w:hAnsi="Times New Roman" w:eastAsia="宋体" w:cs="Times New Roman"/>
          <w:color w:val="auto"/>
          <w:spacing w:val="-1"/>
          <w:kern w:val="2"/>
          <w:sz w:val="24"/>
          <w:szCs w:val="24"/>
          <w:highlight w:val="none"/>
          <w:lang w:val="en-US" w:bidi="ar-SA"/>
        </w:rPr>
        <w:t>，土壤环境评价等级为</w:t>
      </w:r>
      <w:r>
        <w:rPr>
          <w:rFonts w:hint="eastAsia" w:ascii="Times New Roman" w:hAnsi="Times New Roman" w:eastAsia="宋体" w:cs="Times New Roman"/>
          <w:color w:val="auto"/>
          <w:spacing w:val="-1"/>
          <w:kern w:val="2"/>
          <w:sz w:val="24"/>
          <w:szCs w:val="24"/>
          <w:highlight w:val="none"/>
          <w:lang w:val="en-US" w:bidi="ar-SA"/>
        </w:rPr>
        <w:t>二</w:t>
      </w:r>
      <w:r>
        <w:rPr>
          <w:rFonts w:ascii="Times New Roman" w:hAnsi="Times New Roman" w:eastAsia="宋体" w:cs="Times New Roman"/>
          <w:color w:val="auto"/>
          <w:spacing w:val="-1"/>
          <w:kern w:val="2"/>
          <w:sz w:val="24"/>
          <w:szCs w:val="24"/>
          <w:highlight w:val="none"/>
          <w:lang w:val="en-US" w:bidi="ar-SA"/>
        </w:rPr>
        <w:t>级，土壤环境跟踪监测要求如下：</w:t>
      </w:r>
    </w:p>
    <w:p w14:paraId="45AB4E31">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eastAsia="宋体" w:cs="Times New Roman"/>
          <w:color w:val="auto"/>
          <w:spacing w:val="-1"/>
          <w:kern w:val="2"/>
          <w:sz w:val="24"/>
          <w:szCs w:val="24"/>
          <w:highlight w:val="none"/>
          <w:lang w:val="en-US" w:bidi="ar-SA"/>
        </w:rPr>
      </w:pPr>
      <w:r>
        <w:rPr>
          <w:rFonts w:ascii="Times New Roman" w:hAnsi="Times New Roman" w:eastAsia="宋体" w:cs="Times New Roman"/>
          <w:color w:val="auto"/>
          <w:spacing w:val="-1"/>
          <w:kern w:val="2"/>
          <w:sz w:val="24"/>
          <w:szCs w:val="24"/>
          <w:highlight w:val="none"/>
          <w:lang w:val="en-US" w:bidi="ar-SA"/>
        </w:rPr>
        <w:t>a）监测点位应布设在重点影响区和土壤环境敏感目标附近；</w:t>
      </w:r>
    </w:p>
    <w:p w14:paraId="5CC12CCC">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eastAsia="宋体" w:cs="Times New Roman"/>
          <w:color w:val="auto"/>
          <w:spacing w:val="-1"/>
          <w:kern w:val="2"/>
          <w:sz w:val="24"/>
          <w:szCs w:val="24"/>
          <w:highlight w:val="none"/>
          <w:lang w:val="en-US" w:bidi="ar-SA"/>
        </w:rPr>
      </w:pPr>
      <w:r>
        <w:rPr>
          <w:rFonts w:ascii="Times New Roman" w:hAnsi="Times New Roman" w:eastAsia="宋体" w:cs="Times New Roman"/>
          <w:color w:val="auto"/>
          <w:spacing w:val="-1"/>
          <w:kern w:val="2"/>
          <w:sz w:val="24"/>
          <w:szCs w:val="24"/>
          <w:highlight w:val="none"/>
          <w:lang w:val="en-US" w:bidi="ar-SA"/>
        </w:rPr>
        <w:t>b）</w:t>
      </w:r>
      <w:r>
        <w:rPr>
          <w:rFonts w:hint="eastAsia" w:ascii="Times New Roman" w:hAnsi="Times New Roman" w:eastAsia="宋体" w:cs="Times New Roman"/>
          <w:color w:val="auto"/>
          <w:spacing w:val="-1"/>
          <w:kern w:val="2"/>
          <w:sz w:val="24"/>
          <w:szCs w:val="24"/>
          <w:highlight w:val="none"/>
          <w:lang w:val="en-US" w:eastAsia="zh-CN" w:bidi="ar-SA"/>
        </w:rPr>
        <w:t>监测</w:t>
      </w:r>
      <w:r>
        <w:rPr>
          <w:rFonts w:ascii="Times New Roman" w:hAnsi="Times New Roman" w:eastAsia="宋体" w:cs="Times New Roman"/>
          <w:color w:val="auto"/>
          <w:spacing w:val="-1"/>
          <w:kern w:val="2"/>
          <w:sz w:val="24"/>
          <w:szCs w:val="24"/>
          <w:highlight w:val="none"/>
          <w:lang w:val="en-US" w:bidi="ar-SA"/>
        </w:rPr>
        <w:t>指标应选择建设项目特征因子；</w:t>
      </w:r>
    </w:p>
    <w:p w14:paraId="6C7BD504">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eastAsia="宋体" w:cs="Times New Roman"/>
          <w:color w:val="auto"/>
          <w:spacing w:val="-1"/>
          <w:kern w:val="2"/>
          <w:sz w:val="24"/>
          <w:szCs w:val="24"/>
          <w:highlight w:val="none"/>
          <w:lang w:val="en-US" w:bidi="ar-SA"/>
        </w:rPr>
      </w:pPr>
      <w:r>
        <w:rPr>
          <w:rFonts w:ascii="Times New Roman" w:hAnsi="Times New Roman" w:eastAsia="宋体" w:cs="Times New Roman"/>
          <w:color w:val="auto"/>
          <w:spacing w:val="-1"/>
          <w:kern w:val="2"/>
          <w:sz w:val="24"/>
          <w:szCs w:val="24"/>
          <w:highlight w:val="none"/>
          <w:lang w:val="en-US" w:bidi="ar-SA"/>
        </w:rPr>
        <w:t>c）一般每</w:t>
      </w:r>
      <w:r>
        <w:rPr>
          <w:rFonts w:hint="eastAsia" w:ascii="Times New Roman" w:hAnsi="Times New Roman" w:eastAsia="宋体" w:cs="Times New Roman"/>
          <w:color w:val="auto"/>
          <w:spacing w:val="-1"/>
          <w:kern w:val="2"/>
          <w:sz w:val="24"/>
          <w:szCs w:val="24"/>
          <w:highlight w:val="none"/>
          <w:lang w:val="en-US" w:eastAsia="zh-CN" w:bidi="ar-SA"/>
        </w:rPr>
        <w:t>5</w:t>
      </w:r>
      <w:r>
        <w:rPr>
          <w:rFonts w:ascii="Times New Roman" w:hAnsi="Times New Roman" w:eastAsia="宋体" w:cs="Times New Roman"/>
          <w:color w:val="auto"/>
          <w:spacing w:val="-1"/>
          <w:kern w:val="2"/>
          <w:sz w:val="24"/>
          <w:szCs w:val="24"/>
          <w:highlight w:val="none"/>
          <w:lang w:val="en-US" w:bidi="ar-SA"/>
        </w:rPr>
        <w:t>年内开展1次监测工作。</w:t>
      </w:r>
    </w:p>
    <w:p w14:paraId="33D414D1">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hint="eastAsia" w:ascii="Times New Roman" w:hAnsi="Times New Roman" w:eastAsia="宋体" w:cs="Times New Roman"/>
          <w:color w:val="auto"/>
          <w:spacing w:val="-1"/>
          <w:kern w:val="2"/>
          <w:sz w:val="24"/>
          <w:szCs w:val="24"/>
          <w:highlight w:val="none"/>
          <w:lang w:val="en-US" w:bidi="ar-SA"/>
        </w:rPr>
      </w:pPr>
      <w:r>
        <w:rPr>
          <w:rFonts w:hint="eastAsia" w:ascii="Times New Roman" w:hAnsi="Times New Roman" w:eastAsia="宋体" w:cs="Times New Roman"/>
          <w:color w:val="auto"/>
          <w:spacing w:val="-1"/>
          <w:kern w:val="2"/>
          <w:sz w:val="24"/>
          <w:szCs w:val="24"/>
          <w:highlight w:val="none"/>
          <w:lang w:val="en-US" w:bidi="ar-SA"/>
        </w:rPr>
        <w:t>企业应将土壤监测开展情况及监测结果向社会公开，公开内容应包括：</w:t>
      </w:r>
    </w:p>
    <w:p w14:paraId="6FF52DDB">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hint="eastAsia" w:ascii="Times New Roman" w:hAnsi="Times New Roman" w:eastAsia="宋体" w:cs="Times New Roman"/>
          <w:color w:val="auto"/>
          <w:spacing w:val="-1"/>
          <w:kern w:val="2"/>
          <w:sz w:val="24"/>
          <w:szCs w:val="24"/>
          <w:highlight w:val="none"/>
          <w:lang w:val="en-US" w:bidi="ar-SA"/>
        </w:rPr>
      </w:pPr>
      <w:r>
        <w:rPr>
          <w:rFonts w:hint="eastAsia" w:ascii="Times New Roman" w:hAnsi="Times New Roman" w:eastAsia="宋体" w:cs="Times New Roman"/>
          <w:color w:val="auto"/>
          <w:spacing w:val="-1"/>
          <w:kern w:val="2"/>
          <w:sz w:val="24"/>
          <w:szCs w:val="24"/>
          <w:highlight w:val="none"/>
          <w:lang w:val="en-US" w:bidi="ar-SA"/>
        </w:rPr>
        <w:t>基础信息：企业名称、法人代表、所属行业、地理位置、生产周期、联系方式等；</w:t>
      </w:r>
    </w:p>
    <w:p w14:paraId="68A5A221">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6" w:firstLineChars="200"/>
        <w:jc w:val="both"/>
        <w:textAlignment w:val="auto"/>
        <w:rPr>
          <w:rFonts w:ascii="Times New Roman" w:hAnsi="Times New Roman" w:eastAsia="宋体" w:cs="Times New Roman"/>
          <w:color w:val="auto"/>
          <w:spacing w:val="-1"/>
          <w:kern w:val="2"/>
          <w:sz w:val="24"/>
          <w:szCs w:val="24"/>
          <w:highlight w:val="none"/>
          <w:lang w:val="en-US" w:bidi="ar-SA"/>
        </w:rPr>
      </w:pPr>
      <w:r>
        <w:rPr>
          <w:rFonts w:hint="eastAsia" w:ascii="Times New Roman" w:hAnsi="Times New Roman" w:eastAsia="宋体" w:cs="Times New Roman"/>
          <w:color w:val="auto"/>
          <w:spacing w:val="-1"/>
          <w:kern w:val="2"/>
          <w:sz w:val="24"/>
          <w:szCs w:val="24"/>
          <w:highlight w:val="none"/>
          <w:lang w:val="en-US" w:bidi="ar-SA"/>
        </w:rPr>
        <w:t>土壤跟踪监测结果：监测点位、监测时间、监测因子及监测值、标准限值、达标情况、超标倍数等。</w:t>
      </w:r>
    </w:p>
    <w:p w14:paraId="6C1DC35D">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应急处置措施及应急预案</w:t>
      </w:r>
    </w:p>
    <w:p w14:paraId="402E2572">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（1）应急处置</w:t>
      </w:r>
    </w:p>
    <w:p w14:paraId="402FB665">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①</w:t>
      </w:r>
      <w:r>
        <w:rPr>
          <w:rFonts w:eastAsia="宋体"/>
          <w:color w:val="auto"/>
          <w:sz w:val="24"/>
          <w:highlight w:val="none"/>
        </w:rPr>
        <w:t>当发生异常情况时，按照装置制定的环境事故应急预案，启动应急预案。在第一时间内尽快上报主管领导，启动周围社会预案，密切关注地下水水质变化情况。</w:t>
      </w:r>
    </w:p>
    <w:p w14:paraId="07CB2632">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②</w:t>
      </w:r>
      <w:r>
        <w:rPr>
          <w:rFonts w:eastAsia="宋体"/>
          <w:color w:val="auto"/>
          <w:sz w:val="24"/>
          <w:highlight w:val="none"/>
        </w:rPr>
        <w:t>组织专业队伍负责查找环境事故发生地点，分析事故原因，尽量将紧急时间局部化，如可能应予以消除，尽量缩小环境事故对人和财产的影响。减低事故后果的手段，包括切断生产装置或设施。</w:t>
      </w:r>
    </w:p>
    <w:p w14:paraId="267A5E2E">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③</w:t>
      </w:r>
      <w:r>
        <w:rPr>
          <w:rFonts w:eastAsia="宋体"/>
          <w:color w:val="auto"/>
          <w:sz w:val="24"/>
          <w:highlight w:val="none"/>
        </w:rPr>
        <w:t>对事故现场进行调查，监测，处理。对事故后果进行评估，采取紧急措施制止事故的扩散，扩大，并制定防止类似事件发生的措施。</w:t>
      </w:r>
    </w:p>
    <w:p w14:paraId="629C3BF8">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④</w:t>
      </w:r>
      <w:r>
        <w:rPr>
          <w:rFonts w:eastAsia="宋体"/>
          <w:color w:val="auto"/>
          <w:sz w:val="24"/>
          <w:highlight w:val="none"/>
        </w:rPr>
        <w:t>如果本公司力量不足，需要请求社会应急力量协助。</w:t>
      </w:r>
    </w:p>
    <w:p w14:paraId="4F993D99">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（2）应急预案</w:t>
      </w:r>
    </w:p>
    <w:p w14:paraId="59C83F01">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①</w:t>
      </w:r>
      <w:r>
        <w:rPr>
          <w:rFonts w:eastAsia="宋体"/>
          <w:color w:val="auto"/>
          <w:sz w:val="24"/>
          <w:highlight w:val="none"/>
        </w:rPr>
        <w:t>地下水、土壤污染事故的应急措施应在制定的安全管理体制的基础上，与其它应急预案相协调。制定企业、锡山区和无锡市三级应急预案。</w:t>
      </w:r>
    </w:p>
    <w:p w14:paraId="7DE2CB65">
      <w:pPr>
        <w:pStyle w:val="20"/>
        <w:spacing w:line="360" w:lineRule="auto"/>
        <w:ind w:left="-105" w:right="-105" w:firstLine="480" w:firstLineChars="200"/>
        <w:jc w:val="both"/>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4"/>
          <w:szCs w:val="24"/>
          <w:highlight w:val="none"/>
          <w:lang w:val="en-US" w:bidi="ar-SA"/>
        </w:rPr>
        <w:t>在厂区建设和运行期间应制定地下水、土壤污染应急预案，并在发现厂区区域地下水、土壤监测井受到污染时立刻启动应急预案，采取应急措施防止污染扩散，防止周边生态环境受到影响。地下水、土壤污染应急预案应包括：</w:t>
      </w:r>
    </w:p>
    <w:p w14:paraId="6BCB71A5">
      <w:pPr>
        <w:pStyle w:val="20"/>
        <w:spacing w:line="360" w:lineRule="auto"/>
        <w:ind w:left="-105" w:right="-105" w:firstLine="480" w:firstLineChars="200"/>
        <w:jc w:val="both"/>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4"/>
          <w:szCs w:val="24"/>
          <w:highlight w:val="none"/>
          <w:lang w:val="en-US" w:bidi="ar-SA"/>
        </w:rPr>
        <w:t>1、如发现地下水、土壤污染事故，应立即向厂区环保部门及行政管理部门报告，调查并确认污染源位置。</w:t>
      </w:r>
    </w:p>
    <w:p w14:paraId="5ACFBEB4">
      <w:pPr>
        <w:pStyle w:val="20"/>
        <w:spacing w:line="360" w:lineRule="auto"/>
        <w:ind w:left="-105" w:right="-105" w:firstLine="480" w:firstLineChars="200"/>
        <w:jc w:val="both"/>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4"/>
          <w:szCs w:val="24"/>
          <w:highlight w:val="none"/>
          <w:lang w:val="en-US" w:bidi="ar-SA"/>
        </w:rPr>
        <w:t>2、若存在污染物泄漏情况，查明泄漏污染源位置后，应首先堵住泄漏源，利用围堰或事故池收容。如果已渗入地下水，应将污染区的地下水抽出并送到事故池中，防止污染物在地下继续扩散。</w:t>
      </w:r>
    </w:p>
    <w:p w14:paraId="6F62BB93">
      <w:pPr>
        <w:pStyle w:val="20"/>
        <w:spacing w:line="360" w:lineRule="auto"/>
        <w:ind w:left="-105" w:right="-105" w:firstLine="480" w:firstLineChars="200"/>
        <w:jc w:val="both"/>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4"/>
          <w:szCs w:val="24"/>
          <w:highlight w:val="none"/>
          <w:lang w:val="en-US" w:bidi="ar-SA"/>
        </w:rPr>
        <w:t>3、立即对重污染区采取有效的修复措施，包括开挖并移走重污染土壤做危险废物处置，回填新鲜土壤；对重污染区的地下水通过检测井抽出并送至</w:t>
      </w:r>
      <w:r>
        <w:rPr>
          <w:rFonts w:hint="eastAsia" w:ascii="Times New Roman" w:hAnsi="Times New Roman" w:cs="Times New Roman"/>
          <w:color w:val="auto"/>
          <w:kern w:val="2"/>
          <w:sz w:val="24"/>
          <w:szCs w:val="24"/>
          <w:highlight w:val="none"/>
          <w:lang w:val="en-US" w:eastAsia="zh-CN" w:bidi="ar-SA"/>
        </w:rPr>
        <w:t>事故应急</w:t>
      </w:r>
      <w:r>
        <w:rPr>
          <w:rFonts w:ascii="Times New Roman" w:hAnsi="Times New Roman" w:cs="Times New Roman"/>
          <w:color w:val="auto"/>
          <w:kern w:val="2"/>
          <w:sz w:val="24"/>
          <w:szCs w:val="24"/>
          <w:highlight w:val="none"/>
          <w:lang w:val="en-US" w:bidi="ar-SA"/>
        </w:rPr>
        <w:t>池</w:t>
      </w:r>
      <w:r>
        <w:rPr>
          <w:rFonts w:ascii="Times New Roman" w:hAnsi="Times New Roman" w:cs="Times New Roman"/>
          <w:color w:val="auto"/>
          <w:kern w:val="2"/>
          <w:sz w:val="24"/>
          <w:szCs w:val="24"/>
          <w:highlight w:val="none"/>
          <w:lang w:val="en-US" w:bidi="ar-SA"/>
        </w:rPr>
        <w:t>中，防止污染物在地下继续扩散。</w:t>
      </w:r>
    </w:p>
    <w:p w14:paraId="72F9578C">
      <w:pPr>
        <w:pStyle w:val="20"/>
        <w:spacing w:line="360" w:lineRule="auto"/>
        <w:ind w:left="-105" w:right="-105" w:firstLine="480" w:firstLineChars="200"/>
        <w:jc w:val="both"/>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4"/>
          <w:szCs w:val="24"/>
          <w:highlight w:val="none"/>
          <w:lang w:val="en-US" w:bidi="ar-SA"/>
        </w:rPr>
        <w:t>4、地下水、土壤污染应急监测。若发现监测水质异常，应加密监测频次，改为每周监测一次，并立即启动应急响应，上报环境保护部门，同时检测相应的地下水风险源的防渗措施是否失效或遭受破坏，及时处理被污染的地下水，确保影响程度降到最低。</w:t>
      </w:r>
    </w:p>
    <w:p w14:paraId="5EE67EB3">
      <w:pPr>
        <w:pStyle w:val="44"/>
        <w:spacing w:after="0" w:line="360" w:lineRule="auto"/>
        <w:ind w:left="0" w:leftChars="0" w:right="-105" w:firstLine="480"/>
        <w:rPr>
          <w:rFonts w:eastAsia="宋体"/>
          <w:color w:val="auto"/>
          <w:sz w:val="24"/>
          <w:highlight w:val="none"/>
        </w:rPr>
      </w:pPr>
      <w:r>
        <w:rPr>
          <w:rFonts w:hint="eastAsia" w:ascii="宋体" w:hAnsi="宋体" w:eastAsia="宋体" w:cs="宋体"/>
          <w:color w:val="auto"/>
          <w:sz w:val="24"/>
          <w:highlight w:val="none"/>
        </w:rPr>
        <w:t>②</w:t>
      </w:r>
      <w:r>
        <w:rPr>
          <w:rFonts w:eastAsia="宋体"/>
          <w:color w:val="auto"/>
          <w:sz w:val="24"/>
          <w:highlight w:val="none"/>
        </w:rPr>
        <w:t>应急预案制定应包括以下内容：</w:t>
      </w:r>
    </w:p>
    <w:p w14:paraId="5DB94DBA">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应急预案的制定机构：应急预案的日常协调和指挥机构；相关部门在应急预案中的职责和分工；地下水、土壤环境保护目标的确定和潜在污染可能性评估；应急救援组织状况和人员，装备情况。应急救援组织的训练和演习；特大环境事故的紧急处置措施，人员疏散措施，工程抢险措施，现场医疗急救措施。特大环境事故的社会支持和援助；特大环境事故应急救援的经费保障。</w:t>
      </w:r>
    </w:p>
    <w:p w14:paraId="44FFDB2E">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小结</w:t>
      </w:r>
    </w:p>
    <w:p w14:paraId="7BC7C760">
      <w:pPr>
        <w:pStyle w:val="43"/>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由污染途径及对应措施分析可知，项目对可能产生地下水、土壤影响的各项途径均进行有效预防，在确保各项防渗措施得以落实，并加强维护和厂区环境管理的前提下，可有效控制厂区内的废水污染物下渗现象，避免污染地下水，因此项目不会对区域地下水、土壤环境产生明显影响。</w:t>
      </w:r>
    </w:p>
    <w:p w14:paraId="20969A86">
      <w:pPr>
        <w:pStyle w:val="4"/>
        <w:numPr>
          <w:ilvl w:val="1"/>
          <w:numId w:val="6"/>
        </w:numPr>
        <w:tabs>
          <w:tab w:val="left" w:pos="426"/>
        </w:tabs>
        <w:spacing w:before="120" w:beforeLines="50" w:after="120" w:afterLines="50" w:line="360" w:lineRule="auto"/>
        <w:ind w:left="-105" w:right="-105"/>
        <w:rPr>
          <w:rFonts w:ascii="Times New Roman" w:eastAsia="宋体"/>
          <w:color w:val="auto"/>
          <w:sz w:val="28"/>
          <w:szCs w:val="28"/>
          <w:highlight w:val="none"/>
        </w:rPr>
      </w:pPr>
      <w:bookmarkStart w:id="491" w:name="_Toc29050"/>
      <w:r>
        <w:rPr>
          <w:rFonts w:ascii="Times New Roman" w:eastAsia="宋体"/>
          <w:color w:val="auto"/>
          <w:sz w:val="28"/>
          <w:szCs w:val="28"/>
          <w:highlight w:val="none"/>
        </w:rPr>
        <w:t>环境风险防范措施</w:t>
      </w:r>
      <w:bookmarkEnd w:id="485"/>
      <w:bookmarkEnd w:id="491"/>
    </w:p>
    <w:p w14:paraId="7657C5B3">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环境风险管理目标</w:t>
      </w:r>
    </w:p>
    <w:p w14:paraId="61BA6435">
      <w:pPr>
        <w:spacing w:line="360" w:lineRule="auto"/>
        <w:ind w:left="-105" w:right="-105" w:firstLine="480" w:firstLineChars="200"/>
        <w:rPr>
          <w:rFonts w:ascii="Times New Roman" w:hAnsi="Times New Roman" w:cs="Times New Roman"/>
          <w:iCs/>
          <w:snapToGrid w:val="0"/>
          <w:color w:val="auto"/>
          <w:highlight w:val="none"/>
        </w:rPr>
      </w:pPr>
      <w:r>
        <w:rPr>
          <w:rFonts w:ascii="Times New Roman" w:hAnsi="Times New Roman" w:cs="Times New Roman"/>
          <w:iCs/>
          <w:snapToGrid w:val="0"/>
          <w:color w:val="auto"/>
          <w:highlight w:val="none"/>
        </w:rPr>
        <w:t>环境风险管理目标是采用最低合理可行原则管控环境风险。采取的环境风险防范措施应与社会经济技术发展水平相适应，运用科学的技术手段和管理方法，对环境风险进行有效的预防、监控、响应。</w:t>
      </w:r>
    </w:p>
    <w:p w14:paraId="7F6A3BD1">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hint="eastAsia" w:eastAsia="宋体"/>
          <w:color w:val="auto"/>
          <w:sz w:val="28"/>
          <w:szCs w:val="28"/>
          <w:highlight w:val="none"/>
          <w:lang w:val="en-US" w:eastAsia="zh-CN"/>
        </w:rPr>
        <w:t>依托现有风险防范措施可行性</w:t>
      </w:r>
    </w:p>
    <w:p w14:paraId="174B7565">
      <w:pPr>
        <w:pStyle w:val="44"/>
        <w:spacing w:after="0" w:line="360" w:lineRule="auto"/>
        <w:ind w:left="0" w:leftChars="0" w:right="-105" w:firstLine="480"/>
        <w:rPr>
          <w:rFonts w:eastAsia="宋体"/>
          <w:color w:val="auto"/>
          <w:sz w:val="24"/>
          <w:highlight w:val="none"/>
        </w:rPr>
      </w:pPr>
      <w:r>
        <w:rPr>
          <w:rFonts w:hint="eastAsia" w:eastAsia="宋体"/>
          <w:color w:val="auto"/>
          <w:sz w:val="24"/>
          <w:highlight w:val="none"/>
        </w:rPr>
        <w:t>本次不新增风险防范措施，全部依托现有风险防范措施，主要分析依托现有风险防范措施的可行性。具体依托可行性分析如下：</w:t>
      </w:r>
    </w:p>
    <w:p w14:paraId="317C906E">
      <w:pPr>
        <w:pStyle w:val="44"/>
        <w:spacing w:after="0" w:line="360" w:lineRule="auto"/>
        <w:ind w:left="0" w:leftChars="0" w:right="-105" w:firstLine="480"/>
        <w:rPr>
          <w:rFonts w:eastAsia="宋体"/>
          <w:color w:val="auto"/>
          <w:sz w:val="24"/>
          <w:highlight w:val="none"/>
        </w:rPr>
      </w:pPr>
      <w:r>
        <w:rPr>
          <w:rFonts w:hint="eastAsia" w:eastAsia="宋体"/>
          <w:color w:val="auto"/>
          <w:sz w:val="24"/>
          <w:highlight w:val="none"/>
        </w:rPr>
        <w:t>①事故应急池依托现有可行性：根据前述事故应急池容积计算，扩建后全厂的事故应急池计算容积小于现有已建事故应急池容积，且现有事故应急池位置已采取防腐防渗处理，</w:t>
      </w:r>
      <w:r>
        <w:rPr>
          <w:rFonts w:hint="eastAsia" w:eastAsia="宋体"/>
          <w:color w:val="auto"/>
          <w:sz w:val="24"/>
          <w:highlight w:val="none"/>
          <w:lang w:val="en-US" w:eastAsia="zh-CN"/>
        </w:rPr>
        <w:t>并设置管道和临时泵连通各危险单元，</w:t>
      </w:r>
      <w:r>
        <w:rPr>
          <w:rFonts w:hint="eastAsia" w:eastAsia="宋体"/>
          <w:color w:val="auto"/>
          <w:sz w:val="24"/>
          <w:highlight w:val="none"/>
        </w:rPr>
        <w:t>事故状态下，事故废水能</w:t>
      </w:r>
      <w:r>
        <w:rPr>
          <w:rFonts w:hint="eastAsia" w:eastAsia="宋体"/>
          <w:color w:val="auto"/>
          <w:sz w:val="24"/>
          <w:highlight w:val="none"/>
          <w:lang w:val="en-US" w:eastAsia="zh-CN"/>
        </w:rPr>
        <w:t>通过管网</w:t>
      </w:r>
      <w:r>
        <w:rPr>
          <w:rFonts w:hint="eastAsia" w:eastAsia="宋体"/>
          <w:color w:val="auto"/>
          <w:sz w:val="24"/>
          <w:highlight w:val="none"/>
        </w:rPr>
        <w:t>进入事故应急池，能够满足全厂事故应急废水的储存需求，依托现有可行。</w:t>
      </w:r>
    </w:p>
    <w:p w14:paraId="0124F8F9">
      <w:pPr>
        <w:pStyle w:val="44"/>
        <w:spacing w:after="0" w:line="360" w:lineRule="auto"/>
        <w:ind w:left="0" w:leftChars="0" w:right="-105" w:firstLine="480"/>
        <w:rPr>
          <w:rFonts w:eastAsia="宋体"/>
          <w:color w:val="auto"/>
          <w:sz w:val="24"/>
          <w:highlight w:val="none"/>
        </w:rPr>
      </w:pPr>
      <w:r>
        <w:rPr>
          <w:rFonts w:hint="eastAsia" w:eastAsia="宋体"/>
          <w:color w:val="auto"/>
          <w:sz w:val="24"/>
          <w:highlight w:val="none"/>
        </w:rPr>
        <w:t>②危废库风险防范措施依托现有可行性：本次新增危险废物主要为废滤芯、</w:t>
      </w:r>
      <w:r>
        <w:rPr>
          <w:rFonts w:hint="eastAsia" w:eastAsia="宋体"/>
          <w:color w:val="auto"/>
          <w:sz w:val="24"/>
          <w:highlight w:val="none"/>
          <w:lang w:val="en-US" w:eastAsia="zh-CN"/>
        </w:rPr>
        <w:t>实验废液、</w:t>
      </w:r>
      <w:r>
        <w:rPr>
          <w:rFonts w:hint="eastAsia" w:eastAsia="宋体"/>
          <w:color w:val="auto"/>
          <w:sz w:val="24"/>
          <w:highlight w:val="none"/>
        </w:rPr>
        <w:t>废实验耗材、废包装桶</w:t>
      </w:r>
      <w:r>
        <w:rPr>
          <w:rFonts w:hint="eastAsia" w:eastAsia="宋体"/>
          <w:color w:val="auto"/>
          <w:sz w:val="24"/>
          <w:highlight w:val="none"/>
          <w:lang w:eastAsia="zh-CN"/>
        </w:rPr>
        <w:t>（</w:t>
      </w:r>
      <w:r>
        <w:rPr>
          <w:rFonts w:hint="eastAsia" w:eastAsia="宋体"/>
          <w:color w:val="auto"/>
          <w:sz w:val="24"/>
          <w:highlight w:val="none"/>
          <w:lang w:val="en-US" w:eastAsia="zh-CN"/>
        </w:rPr>
        <w:t>瓶</w:t>
      </w:r>
      <w:r>
        <w:rPr>
          <w:rFonts w:hint="eastAsia" w:eastAsia="宋体"/>
          <w:color w:val="auto"/>
          <w:sz w:val="24"/>
          <w:highlight w:val="none"/>
          <w:lang w:eastAsia="zh-CN"/>
        </w:rPr>
        <w:t>）</w:t>
      </w:r>
      <w:r>
        <w:rPr>
          <w:rFonts w:hint="eastAsia" w:eastAsia="宋体"/>
          <w:color w:val="auto"/>
          <w:sz w:val="24"/>
          <w:highlight w:val="none"/>
        </w:rPr>
        <w:t>、废包装袋、废活性炭</w:t>
      </w:r>
      <w:r>
        <w:rPr>
          <w:rFonts w:hint="eastAsia" w:eastAsia="宋体"/>
          <w:color w:val="auto"/>
          <w:sz w:val="24"/>
          <w:highlight w:val="none"/>
          <w:lang w:val="en-US" w:eastAsia="zh-CN"/>
        </w:rPr>
        <w:t>和实验室清洗废水</w:t>
      </w:r>
      <w:r>
        <w:rPr>
          <w:rFonts w:hint="eastAsia" w:eastAsia="宋体"/>
          <w:color w:val="auto"/>
          <w:sz w:val="24"/>
          <w:highlight w:val="none"/>
        </w:rPr>
        <w:t>，现有危废库内地面已采取防腐防渗处理，目前防渗系统完好</w:t>
      </w:r>
      <w:r>
        <w:rPr>
          <w:rFonts w:hint="eastAsia" w:eastAsia="宋体"/>
          <w:color w:val="auto"/>
          <w:sz w:val="24"/>
          <w:highlight w:val="none"/>
          <w:lang w:eastAsia="zh-CN"/>
        </w:rPr>
        <w:t>，</w:t>
      </w:r>
      <w:r>
        <w:rPr>
          <w:rFonts w:hint="eastAsia" w:eastAsia="宋体"/>
          <w:color w:val="auto"/>
          <w:sz w:val="24"/>
          <w:highlight w:val="none"/>
          <w:lang w:val="en-US" w:eastAsia="zh-CN"/>
        </w:rPr>
        <w:t>库内已设置防渗漏托盘、截流沟和收集池，可完全收集泄露物料</w:t>
      </w:r>
      <w:r>
        <w:rPr>
          <w:rFonts w:hint="eastAsia" w:eastAsia="宋体"/>
          <w:color w:val="auto"/>
          <w:sz w:val="24"/>
          <w:highlight w:val="none"/>
        </w:rPr>
        <w:t>；</w:t>
      </w:r>
      <w:r>
        <w:rPr>
          <w:rFonts w:hint="eastAsia" w:eastAsia="宋体"/>
          <w:color w:val="auto"/>
          <w:sz w:val="24"/>
          <w:highlight w:val="none"/>
          <w:lang w:val="en-US" w:eastAsia="zh-CN"/>
        </w:rPr>
        <w:t>实验室清洗废水</w:t>
      </w:r>
      <w:r>
        <w:rPr>
          <w:rFonts w:hint="eastAsia" w:eastAsia="宋体"/>
          <w:color w:val="auto"/>
          <w:sz w:val="24"/>
          <w:highlight w:val="none"/>
        </w:rPr>
        <w:t>进入废液储罐贮存，现有储罐区已设置围堰、管网连接至事故应急池，可满足全厂危废风险防范要求，依托现有可行。</w:t>
      </w:r>
    </w:p>
    <w:p w14:paraId="2EBCCC9E">
      <w:pPr>
        <w:tabs>
          <w:tab w:val="left" w:pos="0"/>
          <w:tab w:val="left" w:pos="1123"/>
        </w:tabs>
        <w:spacing w:line="360" w:lineRule="auto"/>
        <w:ind w:left="-105" w:right="-105"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废气处理系统风险防范措施依托现有可行性：本次产生废气主要为非甲烷总烃，依托现有废气处理系统，即3级碱液喷淋塔+两级活性炭吸附装置，当发生事故排放时，立即关停生产线和废气处理装置，可满足事故状态废气处理要求。</w:t>
      </w:r>
    </w:p>
    <w:p w14:paraId="315ADE14">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hint="eastAsia" w:eastAsia="宋体"/>
          <w:color w:val="auto"/>
          <w:sz w:val="24"/>
          <w:highlight w:val="none"/>
          <w:lang w:val="en-US" w:eastAsia="zh-CN"/>
        </w:rPr>
        <w:t>④</w:t>
      </w:r>
      <w:r>
        <w:rPr>
          <w:rFonts w:hint="eastAsia" w:eastAsia="宋体"/>
          <w:color w:val="auto"/>
          <w:sz w:val="24"/>
          <w:highlight w:val="none"/>
          <w:lang w:eastAsia="zh-CN"/>
        </w:rPr>
        <w:t>危险品仓库、</w:t>
      </w:r>
      <w:r>
        <w:rPr>
          <w:rFonts w:hint="eastAsia" w:eastAsia="宋体"/>
          <w:color w:val="auto"/>
          <w:sz w:val="24"/>
          <w:highlight w:val="none"/>
          <w:lang w:val="en-US" w:eastAsia="zh-CN"/>
        </w:rPr>
        <w:t>成品库</w:t>
      </w:r>
      <w:r>
        <w:rPr>
          <w:rFonts w:hint="eastAsia" w:ascii="宋体" w:hAnsi="宋体" w:eastAsia="宋体" w:cs="宋体"/>
          <w:color w:val="auto"/>
          <w:sz w:val="24"/>
          <w:highlight w:val="none"/>
          <w:lang w:val="en-US" w:eastAsia="zh-CN"/>
        </w:rPr>
        <w:t>风险防范措施</w:t>
      </w:r>
      <w:r>
        <w:rPr>
          <w:rFonts w:hint="eastAsia" w:eastAsia="宋体"/>
          <w:color w:val="auto"/>
          <w:sz w:val="24"/>
          <w:highlight w:val="none"/>
        </w:rPr>
        <w:t>依托</w:t>
      </w:r>
      <w:r>
        <w:rPr>
          <w:rFonts w:hint="eastAsia" w:eastAsia="宋体"/>
          <w:color w:val="auto"/>
          <w:sz w:val="24"/>
          <w:highlight w:val="none"/>
          <w:lang w:val="en-US" w:eastAsia="zh-CN"/>
        </w:rPr>
        <w:t>现有</w:t>
      </w:r>
      <w:r>
        <w:rPr>
          <w:rFonts w:hint="eastAsia" w:eastAsia="宋体"/>
          <w:color w:val="auto"/>
          <w:sz w:val="24"/>
          <w:highlight w:val="none"/>
        </w:rPr>
        <w:t>可行：本次新增原料在</w:t>
      </w:r>
      <w:r>
        <w:rPr>
          <w:rFonts w:hint="eastAsia" w:eastAsia="宋体"/>
          <w:color w:val="auto"/>
          <w:sz w:val="24"/>
          <w:highlight w:val="none"/>
          <w:lang w:eastAsia="zh-CN"/>
        </w:rPr>
        <w:t>危险品仓库</w:t>
      </w:r>
      <w:r>
        <w:rPr>
          <w:rFonts w:hint="eastAsia" w:eastAsia="宋体"/>
          <w:color w:val="auto"/>
          <w:sz w:val="24"/>
          <w:highlight w:val="none"/>
        </w:rPr>
        <w:t>内，</w:t>
      </w:r>
      <w:r>
        <w:rPr>
          <w:rFonts w:hint="eastAsia" w:eastAsia="宋体"/>
          <w:color w:val="auto"/>
          <w:sz w:val="24"/>
          <w:highlight w:val="none"/>
          <w:lang w:val="en-US" w:eastAsia="zh-CN"/>
        </w:rPr>
        <w:t>现有危险品库内设置了防泄漏托盘、截流沟和收集池，</w:t>
      </w:r>
      <w:r>
        <w:rPr>
          <w:rFonts w:hint="eastAsia" w:eastAsia="宋体"/>
          <w:color w:val="auto"/>
          <w:sz w:val="24"/>
          <w:highlight w:val="none"/>
        </w:rPr>
        <w:t>且已采取防腐防渗措施，可满足风险事故状态下事故收容要求，依托现有可行。</w:t>
      </w:r>
    </w:p>
    <w:p w14:paraId="4529AF0D">
      <w:pPr>
        <w:tabs>
          <w:tab w:val="left" w:pos="0"/>
          <w:tab w:val="left" w:pos="1123"/>
        </w:tabs>
        <w:spacing w:line="360" w:lineRule="auto"/>
        <w:ind w:left="-105" w:right="-105"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⑤依托机构设置：项目建成后，依托公司现有安全环保组织机构，配备若干名工作人员，负责公司的日常安全和环保管理，对公司安全、环保设施、应急措施进行管理，负责组织应急预案编制、演练等工作。技改项目完成后，依托厂区现有机构设置可行。</w:t>
      </w:r>
    </w:p>
    <w:p w14:paraId="1C8CBF1F">
      <w:pPr>
        <w:tabs>
          <w:tab w:val="left" w:pos="0"/>
          <w:tab w:val="left" w:pos="1123"/>
        </w:tabs>
        <w:spacing w:line="360" w:lineRule="auto"/>
        <w:ind w:left="-105" w:right="-105"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综上，依托现有风险防范措施可行。</w:t>
      </w:r>
    </w:p>
    <w:p w14:paraId="50B46A4F">
      <w:pPr>
        <w:pStyle w:val="5"/>
        <w:keepLines w:val="0"/>
        <w:numPr>
          <w:ilvl w:val="2"/>
          <w:numId w:val="6"/>
        </w:numPr>
        <w:tabs>
          <w:tab w:val="left" w:pos="141"/>
          <w:tab w:val="left" w:pos="567"/>
          <w:tab w:val="left" w:pos="709"/>
        </w:tabs>
        <w:spacing w:before="120" w:beforeLines="50" w:after="120" w:afterLines="50" w:line="360" w:lineRule="auto"/>
        <w:ind w:left="-105" w:right="-105"/>
        <w:rPr>
          <w:rFonts w:eastAsia="宋体"/>
          <w:color w:val="auto"/>
          <w:sz w:val="28"/>
          <w:szCs w:val="28"/>
          <w:highlight w:val="none"/>
        </w:rPr>
      </w:pPr>
      <w:r>
        <w:rPr>
          <w:rFonts w:eastAsia="宋体"/>
          <w:color w:val="auto"/>
          <w:sz w:val="28"/>
          <w:szCs w:val="28"/>
          <w:highlight w:val="none"/>
        </w:rPr>
        <w:t>选址、总图布置和建筑设计环境风险防范措施</w:t>
      </w:r>
    </w:p>
    <w:p w14:paraId="7ABBF52D">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szCs w:val="21"/>
          <w:highlight w:val="none"/>
        </w:rPr>
        <w:t>本项目</w:t>
      </w:r>
      <w:r>
        <w:rPr>
          <w:rFonts w:ascii="Times New Roman" w:hAnsi="Times New Roman" w:cs="Times New Roman"/>
          <w:color w:val="auto"/>
          <w:szCs w:val="18"/>
          <w:highlight w:val="none"/>
        </w:rPr>
        <w:t>位于</w:t>
      </w:r>
      <w:r>
        <w:rPr>
          <w:rFonts w:hint="eastAsia" w:ascii="Times New Roman" w:hAnsi="Times New Roman"/>
          <w:color w:val="auto"/>
          <w:szCs w:val="18"/>
          <w:highlight w:val="none"/>
        </w:rPr>
        <w:t>江苏省</w:t>
      </w:r>
      <w:r>
        <w:rPr>
          <w:rFonts w:ascii="Times New Roman" w:hAnsi="Times New Roman"/>
          <w:color w:val="auto"/>
          <w:szCs w:val="18"/>
          <w:highlight w:val="none"/>
        </w:rPr>
        <w:t>无锡市锡山区</w:t>
      </w:r>
      <w:r>
        <w:rPr>
          <w:rFonts w:hint="eastAsia" w:ascii="Times New Roman" w:hAnsi="Times New Roman"/>
          <w:color w:val="auto"/>
          <w:szCs w:val="18"/>
          <w:highlight w:val="none"/>
        </w:rPr>
        <w:t>锡北</w:t>
      </w:r>
      <w:r>
        <w:rPr>
          <w:rFonts w:ascii="Times New Roman" w:hAnsi="Times New Roman"/>
          <w:color w:val="auto"/>
          <w:szCs w:val="18"/>
          <w:highlight w:val="none"/>
        </w:rPr>
        <w:t>镇</w:t>
      </w:r>
      <w:r>
        <w:rPr>
          <w:rFonts w:hint="eastAsia" w:ascii="Times New Roman" w:hAnsi="Times New Roman"/>
          <w:color w:val="auto"/>
          <w:szCs w:val="18"/>
          <w:highlight w:val="none"/>
        </w:rPr>
        <w:t>新坝村新达路6号</w:t>
      </w:r>
      <w:r>
        <w:rPr>
          <w:rFonts w:ascii="Times New Roman" w:hAnsi="Times New Roman" w:cs="Times New Roman"/>
          <w:color w:val="auto"/>
          <w:szCs w:val="18"/>
          <w:highlight w:val="none"/>
        </w:rPr>
        <w:t>，</w:t>
      </w:r>
      <w:r>
        <w:rPr>
          <w:rFonts w:ascii="Times New Roman" w:hAnsi="Times New Roman"/>
          <w:color w:val="auto"/>
          <w:szCs w:val="18"/>
          <w:highlight w:val="none"/>
        </w:rPr>
        <w:t>本项目东侧隔</w:t>
      </w:r>
      <w:r>
        <w:rPr>
          <w:rFonts w:hint="eastAsia" w:ascii="Times New Roman" w:hAnsi="Times New Roman"/>
          <w:color w:val="auto"/>
          <w:szCs w:val="18"/>
          <w:highlight w:val="none"/>
        </w:rPr>
        <w:t>八达大道</w:t>
      </w:r>
      <w:r>
        <w:rPr>
          <w:rFonts w:ascii="Times New Roman" w:hAnsi="Times New Roman"/>
          <w:color w:val="auto"/>
          <w:szCs w:val="18"/>
          <w:highlight w:val="none"/>
        </w:rPr>
        <w:t>为无锡</w:t>
      </w:r>
      <w:r>
        <w:rPr>
          <w:rFonts w:hint="eastAsia" w:ascii="Times New Roman" w:hAnsi="Times New Roman"/>
          <w:color w:val="auto"/>
          <w:szCs w:val="18"/>
          <w:highlight w:val="none"/>
        </w:rPr>
        <w:t>佳腾磁性粉</w:t>
      </w:r>
      <w:r>
        <w:rPr>
          <w:rFonts w:ascii="Times New Roman" w:hAnsi="Times New Roman"/>
          <w:color w:val="auto"/>
          <w:szCs w:val="18"/>
          <w:highlight w:val="none"/>
        </w:rPr>
        <w:t>有限公司，南侧隔</w:t>
      </w:r>
      <w:r>
        <w:rPr>
          <w:rFonts w:hint="eastAsia" w:ascii="Times New Roman" w:hAnsi="Times New Roman"/>
          <w:color w:val="auto"/>
          <w:szCs w:val="18"/>
          <w:highlight w:val="none"/>
        </w:rPr>
        <w:t>新达</w:t>
      </w:r>
      <w:r>
        <w:rPr>
          <w:rFonts w:ascii="Times New Roman" w:hAnsi="Times New Roman"/>
          <w:color w:val="auto"/>
          <w:szCs w:val="18"/>
          <w:highlight w:val="none"/>
        </w:rPr>
        <w:t>路为</w:t>
      </w:r>
      <w:r>
        <w:rPr>
          <w:rFonts w:hint="eastAsia" w:ascii="Times New Roman" w:hAnsi="Times New Roman"/>
          <w:color w:val="auto"/>
          <w:szCs w:val="18"/>
          <w:highlight w:val="none"/>
        </w:rPr>
        <w:t>无锡先进化药化工有限公司</w:t>
      </w:r>
      <w:r>
        <w:rPr>
          <w:rFonts w:ascii="Times New Roman" w:hAnsi="Times New Roman"/>
          <w:color w:val="auto"/>
          <w:szCs w:val="18"/>
          <w:highlight w:val="none"/>
        </w:rPr>
        <w:t>，西侧</w:t>
      </w:r>
      <w:r>
        <w:rPr>
          <w:rFonts w:hint="eastAsia" w:ascii="Times New Roman" w:hAnsi="Times New Roman"/>
          <w:color w:val="auto"/>
          <w:szCs w:val="18"/>
          <w:highlight w:val="none"/>
        </w:rPr>
        <w:t>为无锡市中汇线缆有限公司，</w:t>
      </w:r>
      <w:r>
        <w:rPr>
          <w:rFonts w:ascii="Times New Roman" w:hAnsi="Times New Roman"/>
          <w:color w:val="auto"/>
          <w:szCs w:val="18"/>
          <w:highlight w:val="none"/>
        </w:rPr>
        <w:t>北侧为</w:t>
      </w:r>
      <w:r>
        <w:rPr>
          <w:rFonts w:hint="eastAsia" w:ascii="Times New Roman" w:hAnsi="Times New Roman"/>
          <w:color w:val="auto"/>
          <w:szCs w:val="18"/>
          <w:highlight w:val="none"/>
        </w:rPr>
        <w:t>无锡宝来光学科技有限公司</w:t>
      </w:r>
      <w:r>
        <w:rPr>
          <w:rFonts w:ascii="Times New Roman" w:hAnsi="Times New Roman" w:cs="Times New Roman"/>
          <w:color w:val="auto"/>
          <w:szCs w:val="18"/>
          <w:highlight w:val="none"/>
        </w:rPr>
        <w:t>，</w:t>
      </w:r>
      <w:r>
        <w:rPr>
          <w:rFonts w:ascii="Times New Roman" w:hAnsi="Times New Roman" w:cs="Times New Roman"/>
          <w:color w:val="auto"/>
          <w:highlight w:val="none"/>
        </w:rPr>
        <w:t>本项目厂区总平面布置严格执行《工业企业总平面设计规范》等国家有关法规及技术标准要求进行，所有建、构筑物之间或与其它场所之间留有足够的防火间距，防止在火灾时相互影响。</w:t>
      </w:r>
    </w:p>
    <w:p w14:paraId="1EFDEC3F">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（1）本项目储存区为泄漏、火灾危险区，各专业设计除满足库区储运作业功能外，设计中严格按照有关标准规范的要求，充分注意到防火、防爆、防污的要求，设置完善的消防系统、检测系统及报警系统。</w:t>
      </w:r>
    </w:p>
    <w:p w14:paraId="4A9E92E6">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（2）采用先进成熟可靠的生产、储运工艺流程，力求达到当今国内比较先进的生产、储运模式。</w:t>
      </w:r>
    </w:p>
    <w:p w14:paraId="35D91007">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（3）严格遵循防火、防爆、安全、卫生等现行规范标准，结合各设备的操作特点，按功能分区，紧凑布置，节省占地和工程投资。</w:t>
      </w:r>
    </w:p>
    <w:p w14:paraId="09883718">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（4）提高自动化操作水平、减轻工人的劳动强度，将跑、冒、滴、漏、进错罐、发错料的事故发生的可能性降低到最小。</w:t>
      </w:r>
    </w:p>
    <w:p w14:paraId="28A5F732">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（5）选择优质多功能节能设备，优化流程，减少设备台数，减少管道、阀门及管件的投资，少花钱、多办事、办好事，尽可能地降低运行成本。</w:t>
      </w:r>
    </w:p>
    <w:p w14:paraId="2CC05CEC">
      <w:pPr>
        <w:spacing w:line="360" w:lineRule="auto"/>
        <w:ind w:left="-105" w:right="-105" w:firstLine="480" w:firstLineChars="200"/>
        <w:jc w:val="both"/>
        <w:rPr>
          <w:rFonts w:ascii="Times New Roman" w:hAnsi="Times New Roman"/>
          <w:color w:val="auto"/>
          <w:szCs w:val="21"/>
          <w:highlight w:val="none"/>
        </w:rPr>
      </w:pPr>
      <w:r>
        <w:rPr>
          <w:rFonts w:ascii="Times New Roman" w:hAnsi="Times New Roman" w:cs="Times New Roman"/>
          <w:color w:val="auto"/>
          <w:highlight w:val="none"/>
        </w:rPr>
        <w:t>（6）厂区平面布置设计力求布局合理，功能齐全。</w:t>
      </w:r>
    </w:p>
    <w:p w14:paraId="29895AA7">
      <w:pPr>
        <w:pStyle w:val="5"/>
        <w:keepLines w:val="0"/>
        <w:numPr>
          <w:ilvl w:val="2"/>
          <w:numId w:val="0"/>
        </w:numPr>
        <w:tabs>
          <w:tab w:val="left" w:pos="567"/>
          <w:tab w:val="left" w:pos="709"/>
        </w:tabs>
        <w:spacing w:before="120" w:beforeLines="50" w:after="120" w:afterLines="50" w:line="360" w:lineRule="auto"/>
        <w:ind w:right="-105"/>
        <w:rPr>
          <w:rFonts w:eastAsia="宋体"/>
          <w:color w:val="auto"/>
          <w:sz w:val="28"/>
          <w:szCs w:val="28"/>
          <w:highlight w:val="none"/>
        </w:rPr>
      </w:pPr>
      <w:bookmarkStart w:id="492" w:name="_Toc60653599"/>
      <w:r>
        <w:rPr>
          <w:rFonts w:hint="eastAsia" w:eastAsia="宋体"/>
          <w:color w:val="auto"/>
          <w:sz w:val="28"/>
          <w:szCs w:val="28"/>
          <w:highlight w:val="none"/>
        </w:rPr>
        <w:t>7.6.3</w:t>
      </w:r>
      <w:r>
        <w:rPr>
          <w:rFonts w:eastAsia="宋体"/>
          <w:color w:val="auto"/>
          <w:sz w:val="28"/>
          <w:szCs w:val="28"/>
          <w:highlight w:val="none"/>
        </w:rPr>
        <w:t>储运设施风险防范措施</w:t>
      </w:r>
      <w:bookmarkEnd w:id="492"/>
    </w:p>
    <w:p w14:paraId="6AD1C3E6">
      <w:pPr>
        <w:spacing w:line="360" w:lineRule="auto"/>
        <w:ind w:left="-105" w:right="-105" w:firstLine="480" w:firstLineChars="200"/>
        <w:rPr>
          <w:rFonts w:ascii="Times New Roman" w:hAnsi="Times New Roman"/>
          <w:color w:val="auto"/>
          <w:szCs w:val="21"/>
          <w:highlight w:val="none"/>
        </w:rPr>
      </w:pPr>
      <w:r>
        <w:rPr>
          <w:rFonts w:hint="eastAsia" w:ascii="Times New Roman" w:hAnsi="Times New Roman"/>
          <w:color w:val="auto"/>
          <w:szCs w:val="21"/>
          <w:highlight w:val="none"/>
        </w:rPr>
        <w:t>本项目使用二甲基亚砜、N-甲基吡咯烷酮、四甲基氢氧化铵、2-甲氨基乙醇、邻苯二酚、乙醇胺、甲醇、硝酸（55%）、卡尔费休试剂、异丙醇等化学物质。对于项目使用的危险化学品，按照《危险化学品安全管理条例》及相关部门要求，设立专门的储存区，须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14:paraId="24739077">
      <w:pPr>
        <w:spacing w:line="360" w:lineRule="auto"/>
        <w:ind w:left="-105" w:right="-105" w:firstLine="480" w:firstLineChars="200"/>
        <w:rPr>
          <w:rFonts w:ascii="Times New Roman" w:hAnsi="Times New Roman"/>
          <w:color w:val="auto"/>
          <w:szCs w:val="21"/>
          <w:highlight w:val="none"/>
        </w:rPr>
      </w:pPr>
      <w:r>
        <w:rPr>
          <w:rFonts w:hint="eastAsia" w:ascii="Times New Roman" w:hAnsi="Times New Roman"/>
          <w:color w:val="auto"/>
          <w:szCs w:val="21"/>
          <w:highlight w:val="none"/>
        </w:rPr>
        <w:t>危险化学品的运输应委托具备危险化学品运输资质的单位负责承运，驾驶员、押运员等从业人员应进行危险化学品执业资格培训，并经考核合格后取得上岗资格。运输车辆严禁烟火，配备干粉灭火器。装运危险货物应采取相应的防晒遮阳、控温、防爆、防火、防水、防冻、防粉尘飞扬、防撒漏等措施。</w:t>
      </w:r>
    </w:p>
    <w:p w14:paraId="18630060">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bookmarkStart w:id="493" w:name="_Toc325032417"/>
      <w:bookmarkStart w:id="494" w:name="_Toc60653605"/>
      <w:bookmarkStart w:id="495" w:name="_Toc459041322"/>
      <w:bookmarkStart w:id="496" w:name="_Toc215303529"/>
      <w:bookmarkStart w:id="497" w:name="_Toc215302619"/>
      <w:bookmarkStart w:id="498" w:name="_Toc216059578"/>
      <w:r>
        <w:rPr>
          <w:rFonts w:hint="eastAsia" w:eastAsia="宋体"/>
          <w:color w:val="auto"/>
          <w:sz w:val="28"/>
          <w:szCs w:val="28"/>
          <w:highlight w:val="none"/>
        </w:rPr>
        <w:t>7.6.4</w:t>
      </w:r>
      <w:r>
        <w:rPr>
          <w:rFonts w:eastAsia="宋体"/>
          <w:color w:val="auto"/>
          <w:sz w:val="28"/>
          <w:szCs w:val="28"/>
          <w:highlight w:val="none"/>
        </w:rPr>
        <w:t>大气环境风险防范措施</w:t>
      </w:r>
    </w:p>
    <w:p w14:paraId="77A9CD8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_Ref1601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4.8</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5</w:t>
      </w:r>
      <w:r>
        <w:rPr>
          <w:rFonts w:ascii="Times New Roman" w:hAnsi="Times New Roman" w:cs="Times New Roman"/>
          <w:color w:val="auto"/>
          <w:highlight w:val="none"/>
        </w:rPr>
        <w:fldChar w:fldCharType="end"/>
      </w:r>
      <w:r>
        <w:rPr>
          <w:rFonts w:ascii="Times New Roman" w:hAnsi="Times New Roman" w:cs="Times New Roman"/>
          <w:color w:val="auto"/>
          <w:highlight w:val="none"/>
        </w:rPr>
        <w:t>，本项目涉及大气环境风险的风险源和风险单元主要为</w:t>
      </w:r>
      <w:r>
        <w:rPr>
          <w:rFonts w:hint="eastAsia" w:ascii="Times New Roman" w:hAnsi="Times New Roman" w:cs="Times New Roman"/>
          <w:color w:val="auto"/>
          <w:highlight w:val="none"/>
          <w:lang w:eastAsia="zh-CN"/>
        </w:rPr>
        <w:t>危险品仓库</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防爆间</w:t>
      </w:r>
      <w:r>
        <w:rPr>
          <w:rFonts w:hint="eastAsia" w:ascii="Times New Roman" w:hAnsi="Times New Roman" w:cs="Times New Roman"/>
          <w:color w:val="auto"/>
          <w:highlight w:val="none"/>
        </w:rPr>
        <w:t>、化学试剂柜、成品</w:t>
      </w:r>
      <w:r>
        <w:rPr>
          <w:rFonts w:ascii="Times New Roman" w:hAnsi="Times New Roman" w:cs="Times New Roman"/>
          <w:color w:val="auto"/>
          <w:highlight w:val="none"/>
        </w:rPr>
        <w:t>仓库贮存的危险物质原料、</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贮存的危废、生产车间各生产设备内的危险物质物料、废气收集处理系统内的废气等。主要影响途径为泄漏物料、危废挥发产生废气进入大气环境，泄漏的可燃易燃物料遇明火引发火灾爆炸，产生有毒有害气体进入大气环境，有毒有害废气的事故排放等。</w:t>
      </w:r>
    </w:p>
    <w:p w14:paraId="5A36DA60">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根据前文最大可信事故分析预测表明，当</w:t>
      </w:r>
      <w:r>
        <w:rPr>
          <w:rFonts w:hint="eastAsia" w:ascii="Times New Roman" w:hAnsi="Times New Roman" w:cs="Times New Roman"/>
          <w:color w:val="auto"/>
          <w:highlight w:val="none"/>
        </w:rPr>
        <w:t>N-甲基吡咯烷酮包装桶泄漏遇明火高热发生火灾</w:t>
      </w:r>
      <w:r>
        <w:rPr>
          <w:rFonts w:ascii="Times New Roman" w:hAnsi="Times New Roman" w:cs="Times New Roman"/>
          <w:color w:val="auto"/>
          <w:highlight w:val="none"/>
        </w:rPr>
        <w:t>时，在</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半径240m范围内</w:t>
      </w:r>
      <w:r>
        <w:rPr>
          <w:rFonts w:ascii="Times New Roman" w:hAnsi="Times New Roman" w:cs="Times New Roman"/>
          <w:color w:val="auto"/>
          <w:szCs w:val="32"/>
          <w:highlight w:val="none"/>
        </w:rPr>
        <w:t>受到损伤</w:t>
      </w:r>
      <w:r>
        <w:rPr>
          <w:rFonts w:ascii="Times New Roman" w:hAnsi="Times New Roman" w:cs="Times New Roman"/>
          <w:color w:val="auto"/>
          <w:highlight w:val="none"/>
        </w:rPr>
        <w:t>的风险，</w:t>
      </w:r>
      <w:r>
        <w:rPr>
          <w:rFonts w:hint="eastAsia" w:ascii="Times New Roman" w:hAnsi="Times New Roman" w:cs="Times New Roman"/>
          <w:color w:val="auto"/>
          <w:szCs w:val="32"/>
          <w:highlight w:val="none"/>
        </w:rPr>
        <w:t>N-甲基吡咯烷酮包装桶</w:t>
      </w:r>
      <w:r>
        <w:rPr>
          <w:rFonts w:ascii="Times New Roman" w:hAnsi="Times New Roman" w:cs="Times New Roman"/>
          <w:color w:val="auto"/>
          <w:highlight w:val="none"/>
        </w:rPr>
        <w:t>半径100m范围内</w:t>
      </w:r>
      <w:r>
        <w:rPr>
          <w:rFonts w:ascii="Times New Roman" w:hAnsi="Times New Roman" w:cs="Times New Roman"/>
          <w:color w:val="auto"/>
          <w:szCs w:val="32"/>
          <w:highlight w:val="none"/>
        </w:rPr>
        <w:t>有致死</w:t>
      </w:r>
      <w:r>
        <w:rPr>
          <w:rFonts w:ascii="Times New Roman" w:hAnsi="Times New Roman" w:cs="Times New Roman"/>
          <w:color w:val="auto"/>
          <w:highlight w:val="none"/>
        </w:rPr>
        <w:t>风险。本项目浸渗液储罐240m范围内</w:t>
      </w:r>
      <w:r>
        <w:rPr>
          <w:rFonts w:hint="eastAsia" w:ascii="Times New Roman" w:hAnsi="Times New Roman" w:cs="Times New Roman"/>
          <w:color w:val="auto"/>
          <w:highlight w:val="none"/>
        </w:rPr>
        <w:t>有</w:t>
      </w:r>
      <w:r>
        <w:rPr>
          <w:rFonts w:ascii="Times New Roman" w:hAnsi="Times New Roman" w:cs="Times New Roman"/>
          <w:color w:val="auto"/>
          <w:highlight w:val="none"/>
        </w:rPr>
        <w:t>环境敏感目标，</w:t>
      </w:r>
      <w:r>
        <w:rPr>
          <w:rFonts w:hint="eastAsia" w:ascii="Times New Roman" w:hAnsi="Times New Roman" w:cs="Times New Roman"/>
          <w:color w:val="auto"/>
          <w:highlight w:val="none"/>
        </w:rPr>
        <w:t>在及时提醒疏散群众的情况下</w:t>
      </w:r>
      <w:r>
        <w:rPr>
          <w:rFonts w:ascii="Times New Roman" w:hAnsi="Times New Roman" w:cs="Times New Roman"/>
          <w:color w:val="auto"/>
          <w:highlight w:val="none"/>
        </w:rPr>
        <w:t>发生环境风险事故对周围环境和人群影响较小。</w:t>
      </w:r>
    </w:p>
    <w:p w14:paraId="193FAFF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_Ref38808574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22"/>
          <w:highlight w:val="none"/>
        </w:rPr>
        <w:t>表</w:t>
      </w:r>
      <w:r>
        <w:rPr>
          <w:rFonts w:ascii="Times New Roman" w:hAnsi="Times New Roman" w:cs="Times New Roman"/>
          <w:color w:val="auto"/>
          <w:szCs w:val="22"/>
          <w:highlight w:val="none"/>
        </w:rPr>
        <w:fldChar w:fldCharType="begin"/>
      </w:r>
      <w:r>
        <w:rPr>
          <w:rFonts w:ascii="Times New Roman" w:hAnsi="Times New Roman" w:cs="Times New Roman"/>
          <w:color w:val="auto"/>
          <w:szCs w:val="22"/>
          <w:highlight w:val="none"/>
        </w:rPr>
        <w:instrText xml:space="preserve"> STYLEREF</w:instrText>
      </w:r>
      <w:r>
        <w:rPr>
          <w:rFonts w:ascii="Times New Roman" w:hAnsi="Times New Roman" w:cs="Times New Roman"/>
          <w:color w:val="auto"/>
          <w:highlight w:val="none"/>
        </w:rPr>
        <w:instrText xml:space="preserve"> 2 \s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noBreakHyphen/>
      </w:r>
      <w:r>
        <w:rPr>
          <w:rFonts w:ascii="Times New Roman" w:hAnsi="Times New Roman" w:cs="Times New Roman"/>
          <w:color w:val="auto"/>
          <w:highlight w:val="none"/>
        </w:rPr>
        <w:t>12</w:t>
      </w:r>
      <w:r>
        <w:rPr>
          <w:rFonts w:ascii="Times New Roman" w:hAnsi="Times New Roman" w:cs="Times New Roman"/>
          <w:color w:val="auto"/>
          <w:highlight w:val="none"/>
        </w:rPr>
        <w:fldChar w:fldCharType="end"/>
      </w:r>
      <w:r>
        <w:rPr>
          <w:rFonts w:ascii="Times New Roman" w:hAnsi="Times New Roman" w:cs="Times New Roman"/>
          <w:color w:val="auto"/>
          <w:highlight w:val="none"/>
        </w:rPr>
        <w:t>所</w:t>
      </w:r>
      <w:r>
        <w:rPr>
          <w:rFonts w:ascii="Times New Roman" w:hAnsi="Times New Roman"/>
          <w:color w:val="auto"/>
          <w:highlight w:val="none"/>
        </w:rPr>
        <w:t>示</w:t>
      </w:r>
      <w:r>
        <w:rPr>
          <w:rFonts w:ascii="Times New Roman" w:hAnsi="Times New Roman" w:cs="Times New Roman"/>
          <w:color w:val="auto"/>
          <w:highlight w:val="none"/>
        </w:rPr>
        <w:t>，废气事故排放预测结果表明，</w:t>
      </w:r>
      <w:r>
        <w:rPr>
          <w:rFonts w:hint="eastAsia" w:ascii="Times New Roman" w:hAnsi="Times New Roman" w:cs="Times New Roman"/>
          <w:color w:val="auto"/>
          <w:highlight w:val="none"/>
        </w:rPr>
        <w:t>当废气处理设施故障导致废气事故排放时，排气筒中废气浓度超标，但在采取相应的应急处置措施的情况下，环境风险事故对周围环境影响较小</w:t>
      </w:r>
      <w:r>
        <w:rPr>
          <w:rFonts w:ascii="Times New Roman" w:hAnsi="Times New Roman" w:cs="Times New Roman"/>
          <w:color w:val="auto"/>
          <w:highlight w:val="none"/>
        </w:rPr>
        <w:t>。</w:t>
      </w:r>
    </w:p>
    <w:p w14:paraId="4711C47C">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因此，企业应加强废气污染防防治措施管理，建立环境管理台账，定期进行污染防治措施维护、保养，发现废气污染防治设施故障应及时停产或启用备用电源，及时检修。针对泄漏、火灾事故，企业应加强管理，建立人员巡检制度，在重点区域安装可燃气体报警和烟雾探测报警装置等监控预警装置，在厂区设置消防及火灾报警系统，发生泄漏、火灾事故可及时发现并预警。企业应落实泄漏收集和应急处置措施，合理配备应急物资，发现泄漏应及时处理。合理设置消防设施、疏散通道和安置场所，发现火灾应及时扑灭，发现火情不可控，应安排应急小组进行人员疏散和安置。区域应急疏散通道、安置场所位置图详见</w:t>
      </w:r>
      <w:r>
        <w:rPr>
          <w:rFonts w:hint="eastAsia" w:ascii="Times New Roman" w:hAnsi="Times New Roman" w:cs="Times New Roman"/>
          <w:color w:val="auto"/>
          <w:highlight w:val="none"/>
        </w:rPr>
        <w:t>附图</w:t>
      </w:r>
      <w:r>
        <w:rPr>
          <w:rFonts w:ascii="Times New Roman" w:hAnsi="Times New Roman" w:cs="Times New Roman"/>
          <w:color w:val="auto"/>
          <w:highlight w:val="none"/>
        </w:rPr>
        <w:t>。</w:t>
      </w:r>
    </w:p>
    <w:p w14:paraId="7E5D3FC9">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事件现场人员清点、撤离方式、方法</w:t>
      </w:r>
    </w:p>
    <w:p w14:paraId="69A1D0C6">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当员工接到紧急撤离命令后，应对生产装置进行停车，并对物料进行安全处置无危险后，方可撤离岗位到指定地点进行集合。</w:t>
      </w:r>
    </w:p>
    <w:p w14:paraId="560CBDA7">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员工在撤离过程中，不能剧烈跑步，应憋住呼吸，用湿毛巾唔住口、鼻部位，缓缓地朝逆风方向，或指定的集中地点走去。</w:t>
      </w:r>
    </w:p>
    <w:p w14:paraId="08D43F8A">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疏散集中点由应急指挥组总指挥根据当时气象条件确定，疏散的原则是撤离安全点处于当时的上风向。</w:t>
      </w:r>
    </w:p>
    <w:p w14:paraId="62D71FA6">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应急人员进入、撤离事件现场</w:t>
      </w:r>
    </w:p>
    <w:p w14:paraId="7390F1BB">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一般情况下，应急工作人员佩带防护用品等方可进入事件现场作业。应急工作人员应学会自救互救。进入限制性空间或其它高浓度区作业，须有人监护。</w:t>
      </w:r>
    </w:p>
    <w:p w14:paraId="6EAC9AC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应急工作人员在完成应急处理工作，应急结束后方可离开现场。事件较难控制，可能发生火灾爆炸事故并危及生命安全时，应急工作人员应撤离。</w:t>
      </w:r>
    </w:p>
    <w:p w14:paraId="7A806F22">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非事故现场人员紧急疏散的方式、方法</w:t>
      </w:r>
    </w:p>
    <w:p w14:paraId="0A3EEA50">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事故警戒区域外为非事故现场。当发生重大事故时，应急指挥组应根据当时气象条件，以气相扩散后可能污染的区域、场所内的人员，实施有序疏散。疏散人员应到指定的地点集中，疏散之前做好各生产装置的停车工作。</w:t>
      </w:r>
    </w:p>
    <w:p w14:paraId="11FC76B0">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周边区域的单位、社区人员紧急疏散的方式、方法</w:t>
      </w:r>
    </w:p>
    <w:p w14:paraId="69B872C8">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发生重大事故时，可能危及周边区域的单位、社区安全时，应急救援小组组长应与政府有关部门联系，配合政府工作人员引导相关人员迅速疏散至安全地方。</w:t>
      </w:r>
    </w:p>
    <w:p w14:paraId="70A4CD15">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人员在撤离、疏散后的报告</w:t>
      </w:r>
    </w:p>
    <w:p w14:paraId="2BB02B4A">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事故现场、非事故现场和周边区域的人员按指挥组命令撤离、疏散至安全地点集中后，由相关负责人清点、统计人数后，及时向指挥组报告。</w:t>
      </w:r>
    </w:p>
    <w:p w14:paraId="2B4079BC">
      <w:pPr>
        <w:tabs>
          <w:tab w:val="left" w:pos="0"/>
          <w:tab w:val="left" w:pos="1123"/>
        </w:tabs>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道路隔离或交通疏导办法</w:t>
      </w:r>
    </w:p>
    <w:p w14:paraId="1FF72B22">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一旦发生较大或严重污染事故，对事故现场周边区域的道路实施交通管制，除救护车、消防车、抢险物资运输车、指挥车辆可进入事故隔离区内，其它车辆不得进入事故隔离区内；对原停留在隔离区内的车辆实施疏导、管制。</w:t>
      </w:r>
    </w:p>
    <w:p w14:paraId="102AC1BA">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7.6.5</w:t>
      </w:r>
      <w:r>
        <w:rPr>
          <w:rFonts w:eastAsia="宋体"/>
          <w:color w:val="auto"/>
          <w:sz w:val="28"/>
          <w:szCs w:val="28"/>
          <w:highlight w:val="none"/>
        </w:rPr>
        <w:t>地表水环境风险防范措施</w:t>
      </w:r>
    </w:p>
    <w:p w14:paraId="049FCBED">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_Ref1601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4.8</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5</w:t>
      </w:r>
      <w:r>
        <w:rPr>
          <w:rFonts w:ascii="Times New Roman" w:hAnsi="Times New Roman" w:cs="Times New Roman"/>
          <w:color w:val="auto"/>
          <w:highlight w:val="none"/>
        </w:rPr>
        <w:fldChar w:fldCharType="end"/>
      </w:r>
      <w:r>
        <w:rPr>
          <w:rFonts w:ascii="Times New Roman" w:hAnsi="Times New Roman" w:cs="Times New Roman"/>
          <w:color w:val="auto"/>
          <w:highlight w:val="none"/>
        </w:rPr>
        <w:t>，本项目涉及地表水环境风险的风险源和风险单元主要为</w:t>
      </w:r>
      <w:r>
        <w:rPr>
          <w:rFonts w:hint="eastAsia" w:ascii="Times New Roman" w:hAnsi="Times New Roman" w:cs="Times New Roman"/>
          <w:color w:val="auto"/>
          <w:highlight w:val="none"/>
          <w:lang w:eastAsia="zh-CN"/>
        </w:rPr>
        <w:t>危险品仓库</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防爆间</w:t>
      </w:r>
      <w:r>
        <w:rPr>
          <w:rFonts w:hint="eastAsia" w:ascii="Times New Roman" w:hAnsi="Times New Roman" w:cs="Times New Roman"/>
          <w:color w:val="auto"/>
          <w:highlight w:val="none"/>
        </w:rPr>
        <w:t>、化学试剂柜、成品仓库</w:t>
      </w:r>
      <w:r>
        <w:rPr>
          <w:rFonts w:ascii="Times New Roman" w:hAnsi="Times New Roman" w:cs="Times New Roman"/>
          <w:color w:val="auto"/>
          <w:highlight w:val="none"/>
        </w:rPr>
        <w:t>的贮存的危险物质原料、危废仓库</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贮存的危废、生产车间各生产设备内的危险物质物料、废气处理设施等。主要影响途径为泄漏物料、消防废水等事故废水进入雨水，污染附近水体。企业应设置事故废水收集措施，确保泄漏物料、事故废水、消防废水、受污染的雨水等在厂内收集，不会泄漏出厂界。</w:t>
      </w:r>
    </w:p>
    <w:p w14:paraId="606C57B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（1）水环境风险控制措施体系</w:t>
      </w:r>
    </w:p>
    <w:p w14:paraId="3E510341">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本项目应通过建立</w:t>
      </w:r>
      <w:r>
        <w:rPr>
          <w:rFonts w:hint="eastAsia" w:ascii="Times New Roman" w:hAnsi="Times New Roman" w:cs="Times New Roman"/>
          <w:color w:val="auto"/>
          <w:highlight w:val="none"/>
        </w:rPr>
        <w:t>“</w:t>
      </w:r>
      <w:r>
        <w:rPr>
          <w:rFonts w:ascii="Times New Roman" w:hAnsi="Times New Roman" w:cs="Times New Roman"/>
          <w:color w:val="auto"/>
          <w:highlight w:val="none"/>
        </w:rPr>
        <w:t>单元-厂区-园区/区域</w:t>
      </w:r>
      <w:r>
        <w:rPr>
          <w:rFonts w:hint="eastAsia" w:ascii="Times New Roman" w:hAnsi="Times New Roman" w:cs="Times New Roman"/>
          <w:color w:val="auto"/>
          <w:highlight w:val="none"/>
        </w:rPr>
        <w:t>”</w:t>
      </w:r>
      <w:r>
        <w:rPr>
          <w:rFonts w:ascii="Times New Roman" w:hAnsi="Times New Roman" w:cs="Times New Roman"/>
          <w:color w:val="auto"/>
          <w:highlight w:val="none"/>
        </w:rPr>
        <w:t>三级防控体系，关口前移，降低末端风险控制压力，系统提升水环境风险的保障水平，从根本上保障环境安全，实现事故状态下对环境风险的有效控制，防止生产过程和突发性事故产生的污染物对周围环境污染事故。</w:t>
      </w:r>
    </w:p>
    <w:p w14:paraId="0EABEC38">
      <w:pPr>
        <w:adjustRightInd w:val="0"/>
        <w:snapToGrid w:val="0"/>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三级防控主要指源头、过程、末端三个环节的环境风险控制措施体系</w:t>
      </w:r>
      <w:r>
        <w:rPr>
          <w:rFonts w:hint="eastAsia" w:ascii="Times New Roman" w:hAnsi="Times New Roman" w:eastAsia="宋体"/>
          <w:color w:val="auto"/>
          <w:sz w:val="24"/>
          <w:highlight w:val="none"/>
          <w:lang w:eastAsia="zh-CN"/>
        </w:rPr>
        <w:t>，防止事故水进入外环境的控制、封堵系统见</w:t>
      </w:r>
      <w:r>
        <w:rPr>
          <w:rFonts w:hint="eastAsia" w:ascii="Times New Roman" w:hAnsi="Times New Roman" w:eastAsia="宋体"/>
          <w:color w:val="auto"/>
          <w:sz w:val="24"/>
          <w:highlight w:val="none"/>
          <w:lang w:val="en-US" w:eastAsia="zh-CN"/>
        </w:rPr>
        <w:t>下</w:t>
      </w:r>
      <w:r>
        <w:rPr>
          <w:rFonts w:hint="eastAsia" w:ascii="Times New Roman" w:hAnsi="Times New Roman" w:eastAsia="宋体"/>
          <w:color w:val="auto"/>
          <w:sz w:val="24"/>
          <w:highlight w:val="none"/>
          <w:lang w:eastAsia="zh-CN"/>
        </w:rPr>
        <w:t>图</w:t>
      </w:r>
      <w:r>
        <w:rPr>
          <w:rFonts w:ascii="Times New Roman" w:hAnsi="Times New Roman" w:eastAsia="宋体"/>
          <w:color w:val="auto"/>
          <w:sz w:val="24"/>
          <w:highlight w:val="none"/>
        </w:rPr>
        <w:t>：</w:t>
      </w:r>
    </w:p>
    <w:p w14:paraId="04E85247">
      <w:pPr>
        <w:rPr>
          <w:color w:val="auto"/>
          <w:highlight w:val="none"/>
        </w:rPr>
      </w:pPr>
      <w:r>
        <w:rPr>
          <w:color w:val="auto"/>
          <w:highlight w:val="none"/>
        </w:rPr>
        <w:object>
          <v:shape id="_x0000_i1040" o:spt="75" type="#_x0000_t75" style="height:239.45pt;width:414.6pt;" o:ole="t" filled="f" o:preferrelative="t" stroked="f" coordsize="21600,21600">
            <v:path/>
            <v:fill on="f" focussize="0,0"/>
            <v:stroke on="f"/>
            <v:imagedata r:id="rId69" o:title=""/>
            <o:lock v:ext="edit" aspectratio="f"/>
            <w10:wrap type="none"/>
            <w10:anchorlock/>
          </v:shape>
          <o:OLEObject Type="Embed" ProgID="Visio.Drawing.15" ShapeID="_x0000_i1040" DrawAspect="Content" ObjectID="_1468075731" r:id="rId68">
            <o:LockedField>false</o:LockedField>
          </o:OLEObject>
        </w:object>
      </w:r>
    </w:p>
    <w:p w14:paraId="6F00B964">
      <w:pPr>
        <w:pStyle w:val="15"/>
        <w:adjustRightInd w:val="0"/>
        <w:snapToGrid w:val="0"/>
        <w:spacing w:line="360" w:lineRule="auto"/>
        <w:ind w:left="-105" w:right="-105" w:firstLine="482" w:firstLineChars="200"/>
        <w:jc w:val="center"/>
        <w:rPr>
          <w:rFonts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STYLEREF 2 \s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7.6</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SEQ 图 \* ARABIC \s 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rPr>
        <w:fldChar w:fldCharType="end"/>
      </w:r>
      <w:r>
        <w:rPr>
          <w:rFonts w:hint="default" w:ascii="Times New Roman" w:hAnsi="Times New Roman" w:eastAsia="宋体" w:cs="Times New Roman"/>
          <w:b/>
          <w:bCs/>
          <w:color w:val="auto"/>
          <w:sz w:val="24"/>
          <w:szCs w:val="24"/>
          <w:highlight w:val="none"/>
        </w:rPr>
        <w:t xml:space="preserve"> 防止事故水进入外环境的控制、封堵系统示意图</w:t>
      </w:r>
    </w:p>
    <w:p w14:paraId="4B18D153">
      <w:pPr>
        <w:adjustRightInd w:val="0"/>
        <w:snapToGrid w:val="0"/>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①公司一级防控体系由各单元配套的防腐防渗措施、截流设施构成。公司各环境风险单元，如第一工场、第二工场、危险品仓库、柴油储罐区、实验室、成品仓库、危废仓库、废水储罐区均已按照要求设置了防腐蚀、防渗漏、防流失措施；除罐区以外其余风险单元均位于室内，设有防淋溶措施。各环境风险单元及其防控设施均有专人负责管理。</w:t>
      </w:r>
    </w:p>
    <w:p w14:paraId="2C5ABB30">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②公司二级防控体系主要由雨水排放口切断阀、事故应急池（540m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）、应急吨桶（166m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构成。公司设有1个雨水排放口，雨水排放口已设置切断阀门，并设有专人负责其启闭工作，正常情况下阀门关闭，下雨天专人将其打开。企业设置的切断阀为手动的闸阀，不能远程操控，关闭闸阀需借助工具，工具位于雨水口旁侧约1m处，闸阀从开到关约需1min。企业定期对闸阀及闸阀启闭工具进行维护，确保切断阀门的截流效果。企业已设置雨水切换阀日常管理及操作细则和雨水切换阀点检表。公司设有1个污水排放口，用于排放生活污水和初期雨水。公司设置的污水排放口为强排口，需通过提升泵将生活污水和初期雨水输送至无锡先进化药化工有限公司污水站处理后，接管锡山区云林污水处理有限公司。无锡先进化药化工有限公司污水站废水处理能力为1500t/d，采用的废水处理工艺主要为化学氧化、混凝沉淀、调节、水解酸化、好氧曝气等，目前污水站运行稳定。公司设有容积为540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的事故应急池，应急池内设置液位计并设有专门负责人刘家财。公司事故应急池露天无盖，为保证事故应急池处于常空状态，已配置固定提升泵（泵的流量为24m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/h）及时将应急池内的雨水抽空。当应急池内液位计读数大于12m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时，即启动提升泵抽送应急池内的雨水，30min后可将应急池内的雨水抽空。公司厂内设有应急吨桶，数量为166个，则可贮存事故废水166m</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，已设有专门负责人。当事故应急池容量不足时，可通过移动水泵及管线将事故废水抽送至应急吨桶内暂存。</w:t>
      </w:r>
    </w:p>
    <w:p w14:paraId="1563B4A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③公司三级防控体系主要依托无锡先进化药化工有限公司已建的防控设施、区域安全缓冲区域等。公司雨水管网与无锡先进化药化工有限公司的雨水管网连通，两个公司雨水管网出口均设有切断阀，无锡先进化药化工有限公司雨水排放口最终去向为锡北运河；公司生活污水和初期雨水通过污水管网泵提升至无锡先进化药化工有限公司污水处理站处理，最终排入锡山区云林污水处理有限公司集中处理，尾水排入北兴塘河。因此，公司三级防控首先与无锡先进化药化工有限公司已建的防控设施进行衔接配套。同时，考虑到公司雨水排放口进入无锡先进化药化工有限公司雨水管网后，最终去向为锡北运河。《无锡市锡北运河（锡山段）突发水污染事件应急处置方案》已经编制完成，因此，公司三级防控同时与锡北运河的应急防范体系进行衔接。</w:t>
      </w:r>
    </w:p>
    <w:p w14:paraId="7C232C12">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（2）事故废水收集和应急贮存设施</w:t>
      </w:r>
    </w:p>
    <w:p w14:paraId="716EE6F9">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项目如发生火灾或爆炸事故，将导致大量物料和大量含有物料的消防水外泄。如该废水不经处理直接排入水体，将导致水体严重污染。为防止此类事故发生，项目采取如下方案：</w:t>
      </w:r>
    </w:p>
    <w:p w14:paraId="29F6F6C6">
      <w:pPr>
        <w:tabs>
          <w:tab w:val="left" w:pos="0"/>
          <w:tab w:val="left" w:pos="1123"/>
        </w:tabs>
        <w:spacing w:line="360" w:lineRule="auto"/>
        <w:ind w:left="480" w:leftChars="200" w:right="-105"/>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厂区雨水、消防废水收集系统</w:t>
      </w:r>
    </w:p>
    <w:p w14:paraId="6027EF43">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厂区雨水管网设置雨水切断阀，雨天情况下雨水通过雨水管网进入水体，事故状态下，</w:t>
      </w:r>
      <w:r>
        <w:rPr>
          <w:rFonts w:hint="eastAsia" w:ascii="Times New Roman" w:hAnsi="Times New Roman" w:cs="Times New Roman"/>
          <w:color w:val="auto"/>
          <w:highlight w:val="none"/>
        </w:rPr>
        <w:t>第一时间确认</w:t>
      </w:r>
      <w:r>
        <w:rPr>
          <w:rFonts w:ascii="Times New Roman" w:hAnsi="Times New Roman" w:cs="Times New Roman"/>
          <w:color w:val="auto"/>
          <w:highlight w:val="none"/>
        </w:rPr>
        <w:t>雨水切断阀</w:t>
      </w:r>
      <w:r>
        <w:rPr>
          <w:rFonts w:hint="eastAsia" w:ascii="Times New Roman" w:hAnsi="Times New Roman" w:cs="Times New Roman"/>
          <w:color w:val="auto"/>
          <w:highlight w:val="none"/>
        </w:rPr>
        <w:t>是否关闭</w:t>
      </w:r>
      <w:r>
        <w:rPr>
          <w:rFonts w:ascii="Times New Roman" w:hAnsi="Times New Roman" w:cs="Times New Roman"/>
          <w:color w:val="auto"/>
          <w:highlight w:val="none"/>
        </w:rPr>
        <w:t>，以便能及时、有效地收集厂区污染雨水。</w:t>
      </w:r>
    </w:p>
    <w:p w14:paraId="755BE73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当发生火灾、爆炸事故和物料泄漏事故，进行消防和地面冲洗时，消防过程产生的消防液和泄漏冲洗废液可通过地表径流，进入雨水管网，最终排入外环境。因此，项目雨水排放口必须设置雨水切断阀，并设置自动化联动系统，如发生火灾、爆炸事故，</w:t>
      </w:r>
      <w:r>
        <w:rPr>
          <w:rFonts w:hint="eastAsia" w:ascii="Times New Roman" w:hAnsi="Times New Roman" w:cs="Times New Roman"/>
          <w:color w:val="auto"/>
          <w:highlight w:val="none"/>
        </w:rPr>
        <w:t>第一时间确认</w:t>
      </w:r>
      <w:r>
        <w:rPr>
          <w:rFonts w:ascii="Times New Roman" w:hAnsi="Times New Roman" w:cs="Times New Roman"/>
          <w:color w:val="auto"/>
          <w:highlight w:val="none"/>
        </w:rPr>
        <w:t>雨水切断阀</w:t>
      </w:r>
      <w:r>
        <w:rPr>
          <w:rFonts w:hint="eastAsia" w:ascii="Times New Roman" w:hAnsi="Times New Roman" w:cs="Times New Roman"/>
          <w:color w:val="auto"/>
          <w:highlight w:val="none"/>
        </w:rPr>
        <w:t>是否关闭</w:t>
      </w:r>
      <w:r>
        <w:rPr>
          <w:rFonts w:ascii="Times New Roman" w:hAnsi="Times New Roman" w:cs="Times New Roman"/>
          <w:color w:val="auto"/>
          <w:highlight w:val="none"/>
        </w:rPr>
        <w:t>，并将雨水排放管网内的废水导入事故池内，这样不但可以保证消防尾水不会排入外环境，而且也能利用雨水管网收集消防尾水，以免对附近水体造成重大影响。</w:t>
      </w:r>
    </w:p>
    <w:p w14:paraId="3752C826">
      <w:pPr>
        <w:tabs>
          <w:tab w:val="left" w:pos="0"/>
          <w:tab w:val="left" w:pos="1123"/>
        </w:tabs>
        <w:spacing w:line="360" w:lineRule="auto"/>
        <w:ind w:left="480" w:leftChars="200" w:right="-105"/>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事故收集池设置</w:t>
      </w:r>
    </w:p>
    <w:p w14:paraId="12442CCA">
      <w:pPr>
        <w:pStyle w:val="20"/>
        <w:spacing w:line="360" w:lineRule="auto"/>
        <w:ind w:left="-105" w:right="-105" w:firstLine="480" w:firstLineChars="200"/>
        <w:jc w:val="both"/>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根据《化工建设项目环境保护设计标准》（GB/T50483-2019）和中石化集团印发的《水体污染防控紧急措施设计导则》（中国石化建标[2006]43号）要求，明确事故存储设施总有效容积的计算公式如下：</w:t>
      </w:r>
    </w:p>
    <w:p w14:paraId="2A4D868E">
      <w:pPr>
        <w:pStyle w:val="20"/>
        <w:keepNext w:val="0"/>
        <w:keepLines w:val="0"/>
        <w:pageBreakBefore w:val="0"/>
        <w:widowControl w:val="0"/>
        <w:kinsoku/>
        <w:wordWrap/>
        <w:overflowPunct/>
        <w:topLinePunct w:val="0"/>
        <w:bidi w:val="0"/>
        <w:adjustRightInd/>
        <w:snapToGrid/>
        <w:spacing w:line="360" w:lineRule="auto"/>
        <w:ind w:left="0" w:right="0" w:firstLine="480" w:firstLineChars="200"/>
        <w:jc w:val="center"/>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V</w:t>
      </w:r>
      <w:r>
        <w:rPr>
          <w:rFonts w:ascii="Times New Roman" w:hAnsi="Times New Roman" w:cs="Times New Roman"/>
          <w:color w:val="auto"/>
          <w:position w:val="-1"/>
          <w:sz w:val="24"/>
          <w:szCs w:val="24"/>
          <w:highlight w:val="none"/>
          <w:vertAlign w:val="subscript"/>
        </w:rPr>
        <w:t>总</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1</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一V</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)max+V</w:t>
      </w:r>
      <w:r>
        <w:rPr>
          <w:rFonts w:ascii="Times New Roman" w:hAnsi="Times New Roman" w:cs="Times New Roman"/>
          <w:color w:val="auto"/>
          <w:sz w:val="24"/>
          <w:szCs w:val="24"/>
          <w:highlight w:val="none"/>
          <w:vertAlign w:val="subscript"/>
        </w:rPr>
        <w:t>4</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5</w:t>
      </w:r>
    </w:p>
    <w:p w14:paraId="6D4DBBF3">
      <w:pPr>
        <w:pStyle w:val="20"/>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式中，</w:t>
      </w:r>
    </w:p>
    <w:p w14:paraId="58052654">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1</w:t>
      </w:r>
      <w:r>
        <w:rPr>
          <w:rFonts w:eastAsia="宋体"/>
          <w:color w:val="auto"/>
          <w:sz w:val="24"/>
          <w:highlight w:val="none"/>
        </w:rPr>
        <w:t>＋V</w:t>
      </w:r>
      <w:r>
        <w:rPr>
          <w:rFonts w:eastAsia="宋体"/>
          <w:color w:val="auto"/>
          <w:sz w:val="24"/>
          <w:highlight w:val="none"/>
          <w:vertAlign w:val="subscript"/>
        </w:rPr>
        <w:t>2</w:t>
      </w:r>
      <w:r>
        <w:rPr>
          <w:rFonts w:eastAsia="宋体"/>
          <w:color w:val="auto"/>
          <w:sz w:val="24"/>
          <w:highlight w:val="none"/>
        </w:rPr>
        <w:t>-V</w:t>
      </w:r>
      <w:r>
        <w:rPr>
          <w:rFonts w:eastAsia="宋体"/>
          <w:color w:val="auto"/>
          <w:sz w:val="24"/>
          <w:highlight w:val="none"/>
          <w:vertAlign w:val="subscript"/>
        </w:rPr>
        <w:t>3</w:t>
      </w:r>
      <w:r>
        <w:rPr>
          <w:rFonts w:eastAsia="宋体"/>
          <w:color w:val="auto"/>
          <w:sz w:val="24"/>
          <w:highlight w:val="none"/>
        </w:rPr>
        <w:t>）max是指对收集系统范围内不同罐组或装置分别计算V</w:t>
      </w:r>
      <w:r>
        <w:rPr>
          <w:rFonts w:eastAsia="宋体"/>
          <w:color w:val="auto"/>
          <w:sz w:val="24"/>
          <w:highlight w:val="none"/>
          <w:vertAlign w:val="subscript"/>
        </w:rPr>
        <w:t>1</w:t>
      </w:r>
      <w:r>
        <w:rPr>
          <w:rFonts w:eastAsia="宋体"/>
          <w:color w:val="auto"/>
          <w:sz w:val="24"/>
          <w:highlight w:val="none"/>
        </w:rPr>
        <w:t>+V</w:t>
      </w:r>
      <w:r>
        <w:rPr>
          <w:rFonts w:eastAsia="宋体"/>
          <w:color w:val="auto"/>
          <w:sz w:val="24"/>
          <w:highlight w:val="none"/>
          <w:vertAlign w:val="subscript"/>
        </w:rPr>
        <w:t>2</w:t>
      </w:r>
      <w:r>
        <w:rPr>
          <w:rFonts w:eastAsia="宋体"/>
          <w:color w:val="auto"/>
          <w:sz w:val="24"/>
          <w:highlight w:val="none"/>
        </w:rPr>
        <w:t>-V</w:t>
      </w:r>
      <w:r>
        <w:rPr>
          <w:rFonts w:eastAsia="宋体"/>
          <w:color w:val="auto"/>
          <w:sz w:val="24"/>
          <w:highlight w:val="none"/>
          <w:vertAlign w:val="subscript"/>
        </w:rPr>
        <w:t>3</w:t>
      </w:r>
      <w:r>
        <w:rPr>
          <w:rFonts w:eastAsia="宋体"/>
          <w:color w:val="auto"/>
          <w:sz w:val="24"/>
          <w:highlight w:val="none"/>
        </w:rPr>
        <w:t>，取其中最大值。</w:t>
      </w:r>
    </w:p>
    <w:p w14:paraId="716EA03D">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1</w:t>
      </w:r>
      <w:r>
        <w:rPr>
          <w:rFonts w:eastAsia="宋体"/>
          <w:color w:val="auto"/>
          <w:sz w:val="24"/>
          <w:highlight w:val="none"/>
        </w:rPr>
        <w:t>——收集系统范围内发生事故的一个罐组或一套装置的物料量。注：储存相同物料的罐组按一个最大储罐计，装置物料量按存留最大物料量的一台反应器或中间储罐计；</w:t>
      </w:r>
    </w:p>
    <w:p w14:paraId="52A3D8DD">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2</w:t>
      </w:r>
      <w:r>
        <w:rPr>
          <w:rFonts w:eastAsia="宋体"/>
          <w:color w:val="auto"/>
          <w:sz w:val="24"/>
          <w:highlight w:val="none"/>
        </w:rPr>
        <w:t>——发生事故的储罐或装置的消防水量，m</w:t>
      </w:r>
      <w:r>
        <w:rPr>
          <w:rFonts w:eastAsia="宋体"/>
          <w:color w:val="auto"/>
          <w:sz w:val="24"/>
          <w:highlight w:val="none"/>
          <w:vertAlign w:val="superscript"/>
        </w:rPr>
        <w:t>3</w:t>
      </w:r>
      <w:r>
        <w:rPr>
          <w:rFonts w:eastAsia="宋体"/>
          <w:color w:val="auto"/>
          <w:sz w:val="24"/>
          <w:highlight w:val="none"/>
        </w:rPr>
        <w:t>；</w:t>
      </w:r>
    </w:p>
    <w:p w14:paraId="07DD72E3">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jc w:val="center"/>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2</w:t>
      </w:r>
      <w:r>
        <w:rPr>
          <w:rFonts w:eastAsia="宋体"/>
          <w:color w:val="auto"/>
          <w:sz w:val="24"/>
          <w:highlight w:val="none"/>
        </w:rPr>
        <w:t>=ΣQ</w:t>
      </w:r>
      <w:r>
        <w:rPr>
          <w:rFonts w:eastAsia="宋体"/>
          <w:color w:val="auto"/>
          <w:sz w:val="24"/>
          <w:highlight w:val="none"/>
          <w:vertAlign w:val="subscript"/>
        </w:rPr>
        <w:t>消</w:t>
      </w:r>
      <w:r>
        <w:rPr>
          <w:rFonts w:eastAsia="宋体"/>
          <w:color w:val="auto"/>
          <w:sz w:val="24"/>
          <w:highlight w:val="none"/>
        </w:rPr>
        <w:t>×t</w:t>
      </w:r>
      <w:r>
        <w:rPr>
          <w:rFonts w:eastAsia="宋体"/>
          <w:color w:val="auto"/>
          <w:sz w:val="24"/>
          <w:highlight w:val="none"/>
          <w:vertAlign w:val="subscript"/>
        </w:rPr>
        <w:t>消</w:t>
      </w:r>
    </w:p>
    <w:p w14:paraId="04E876FE">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Q</w:t>
      </w:r>
      <w:r>
        <w:rPr>
          <w:rFonts w:eastAsia="宋体"/>
          <w:color w:val="auto"/>
          <w:sz w:val="24"/>
          <w:highlight w:val="none"/>
          <w:vertAlign w:val="subscript"/>
        </w:rPr>
        <w:t>消</w:t>
      </w:r>
      <w:r>
        <w:rPr>
          <w:rFonts w:eastAsia="宋体"/>
          <w:color w:val="auto"/>
          <w:sz w:val="24"/>
          <w:highlight w:val="none"/>
        </w:rPr>
        <w:t>——发生事故的储罐或装置的同时使用的消防设施给水流量，m</w:t>
      </w:r>
      <w:r>
        <w:rPr>
          <w:rFonts w:eastAsia="宋体"/>
          <w:color w:val="auto"/>
          <w:sz w:val="24"/>
          <w:highlight w:val="none"/>
          <w:vertAlign w:val="superscript"/>
        </w:rPr>
        <w:t>3</w:t>
      </w:r>
      <w:r>
        <w:rPr>
          <w:rFonts w:eastAsia="宋体"/>
          <w:color w:val="auto"/>
          <w:sz w:val="24"/>
          <w:highlight w:val="none"/>
        </w:rPr>
        <w:t>/h；</w:t>
      </w:r>
    </w:p>
    <w:p w14:paraId="3A9608C0">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t</w:t>
      </w:r>
      <w:r>
        <w:rPr>
          <w:rFonts w:eastAsia="宋体"/>
          <w:color w:val="auto"/>
          <w:sz w:val="24"/>
          <w:highlight w:val="none"/>
          <w:vertAlign w:val="subscript"/>
        </w:rPr>
        <w:t>消</w:t>
      </w:r>
      <w:r>
        <w:rPr>
          <w:rFonts w:eastAsia="宋体"/>
          <w:color w:val="auto"/>
          <w:sz w:val="24"/>
          <w:highlight w:val="none"/>
        </w:rPr>
        <w:t>——消防设施对应的设计消防历时，h；</w:t>
      </w:r>
    </w:p>
    <w:p w14:paraId="56A7E502">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3</w:t>
      </w:r>
      <w:r>
        <w:rPr>
          <w:rFonts w:eastAsia="宋体"/>
          <w:color w:val="auto"/>
          <w:sz w:val="24"/>
          <w:highlight w:val="none"/>
        </w:rPr>
        <w:t>——发生事故时可以转输到其他储存或处理设施的物料量，m</w:t>
      </w:r>
      <w:r>
        <w:rPr>
          <w:rFonts w:eastAsia="宋体"/>
          <w:color w:val="auto"/>
          <w:sz w:val="24"/>
          <w:highlight w:val="none"/>
          <w:vertAlign w:val="superscript"/>
        </w:rPr>
        <w:t>3</w:t>
      </w:r>
      <w:r>
        <w:rPr>
          <w:rFonts w:eastAsia="宋体"/>
          <w:color w:val="auto"/>
          <w:sz w:val="24"/>
          <w:highlight w:val="none"/>
        </w:rPr>
        <w:t>；</w:t>
      </w:r>
    </w:p>
    <w:p w14:paraId="292050B6">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4</w:t>
      </w:r>
      <w:r>
        <w:rPr>
          <w:rFonts w:eastAsia="宋体"/>
          <w:color w:val="auto"/>
          <w:sz w:val="24"/>
          <w:highlight w:val="none"/>
        </w:rPr>
        <w:t>——发生事故时仍必须进入该收集系统的生产废水量，m</w:t>
      </w:r>
      <w:r>
        <w:rPr>
          <w:rFonts w:eastAsia="宋体"/>
          <w:color w:val="auto"/>
          <w:sz w:val="24"/>
          <w:highlight w:val="none"/>
          <w:vertAlign w:val="superscript"/>
        </w:rPr>
        <w:t>3</w:t>
      </w:r>
      <w:r>
        <w:rPr>
          <w:rFonts w:eastAsia="宋体"/>
          <w:color w:val="auto"/>
          <w:sz w:val="24"/>
          <w:highlight w:val="none"/>
        </w:rPr>
        <w:t>；</w:t>
      </w:r>
    </w:p>
    <w:p w14:paraId="0F679984">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5</w:t>
      </w:r>
      <w:r>
        <w:rPr>
          <w:rFonts w:eastAsia="宋体"/>
          <w:color w:val="auto"/>
          <w:sz w:val="24"/>
          <w:highlight w:val="none"/>
        </w:rPr>
        <w:t>——发生事故时可能进入该收集系统的降雨量，m</w:t>
      </w:r>
      <w:r>
        <w:rPr>
          <w:rFonts w:eastAsia="宋体"/>
          <w:color w:val="auto"/>
          <w:sz w:val="24"/>
          <w:highlight w:val="none"/>
          <w:vertAlign w:val="superscript"/>
        </w:rPr>
        <w:t>3</w:t>
      </w:r>
      <w:r>
        <w:rPr>
          <w:rFonts w:eastAsia="宋体"/>
          <w:color w:val="auto"/>
          <w:sz w:val="24"/>
          <w:highlight w:val="none"/>
        </w:rPr>
        <w:t>。</w:t>
      </w:r>
    </w:p>
    <w:p w14:paraId="1B63C47F">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①V</w:t>
      </w:r>
      <w:r>
        <w:rPr>
          <w:rFonts w:eastAsia="宋体"/>
          <w:color w:val="auto"/>
          <w:sz w:val="24"/>
          <w:highlight w:val="none"/>
          <w:vertAlign w:val="subscript"/>
        </w:rPr>
        <w:t>1</w:t>
      </w:r>
      <w:r>
        <w:rPr>
          <w:rFonts w:eastAsia="宋体"/>
          <w:color w:val="auto"/>
          <w:sz w:val="24"/>
          <w:highlight w:val="none"/>
        </w:rPr>
        <w:t>：公司一工</w:t>
      </w:r>
      <w:r>
        <w:rPr>
          <w:rFonts w:hint="eastAsia" w:eastAsia="宋体"/>
          <w:color w:val="auto"/>
          <w:sz w:val="24"/>
          <w:highlight w:val="none"/>
          <w:lang w:val="en-US" w:eastAsia="zh-CN"/>
        </w:rPr>
        <w:t>场</w:t>
      </w:r>
      <w:r>
        <w:rPr>
          <w:rFonts w:eastAsia="宋体"/>
          <w:color w:val="auto"/>
          <w:sz w:val="24"/>
          <w:highlight w:val="none"/>
        </w:rPr>
        <w:t>、二工</w:t>
      </w:r>
      <w:r>
        <w:rPr>
          <w:rFonts w:hint="eastAsia" w:eastAsia="宋体"/>
          <w:color w:val="auto"/>
          <w:sz w:val="24"/>
          <w:highlight w:val="none"/>
          <w:lang w:val="en-US" w:eastAsia="zh-CN"/>
        </w:rPr>
        <w:t>场</w:t>
      </w:r>
      <w:r>
        <w:rPr>
          <w:rFonts w:eastAsia="宋体"/>
          <w:color w:val="auto"/>
          <w:sz w:val="24"/>
          <w:highlight w:val="none"/>
        </w:rPr>
        <w:t>的</w:t>
      </w:r>
      <w:r>
        <w:rPr>
          <w:rFonts w:hint="eastAsia" w:eastAsia="宋体"/>
          <w:color w:val="auto"/>
          <w:sz w:val="24"/>
          <w:highlight w:val="none"/>
          <w:lang w:val="en-US" w:eastAsia="zh-CN"/>
        </w:rPr>
        <w:t>混合</w:t>
      </w:r>
      <w:r>
        <w:rPr>
          <w:rFonts w:eastAsia="宋体"/>
          <w:color w:val="auto"/>
          <w:sz w:val="24"/>
          <w:highlight w:val="none"/>
        </w:rPr>
        <w:t>釜最大规格为8000L，V</w:t>
      </w:r>
      <w:r>
        <w:rPr>
          <w:rFonts w:eastAsia="宋体"/>
          <w:color w:val="auto"/>
          <w:sz w:val="24"/>
          <w:highlight w:val="none"/>
          <w:vertAlign w:val="subscript"/>
        </w:rPr>
        <w:t>1</w:t>
      </w:r>
      <w:r>
        <w:rPr>
          <w:rFonts w:eastAsia="宋体"/>
          <w:color w:val="auto"/>
          <w:sz w:val="24"/>
          <w:highlight w:val="none"/>
        </w:rPr>
        <w:t>以8m</w:t>
      </w:r>
      <w:r>
        <w:rPr>
          <w:rFonts w:eastAsia="宋体"/>
          <w:color w:val="auto"/>
          <w:sz w:val="24"/>
          <w:highlight w:val="none"/>
          <w:vertAlign w:val="superscript"/>
        </w:rPr>
        <w:t>3</w:t>
      </w:r>
      <w:r>
        <w:rPr>
          <w:rFonts w:eastAsia="宋体"/>
          <w:color w:val="auto"/>
          <w:sz w:val="24"/>
          <w:highlight w:val="none"/>
        </w:rPr>
        <w:t>计；</w:t>
      </w:r>
      <w:r>
        <w:rPr>
          <w:rFonts w:hint="eastAsia" w:eastAsia="宋体"/>
          <w:color w:val="auto"/>
          <w:sz w:val="24"/>
          <w:highlight w:val="none"/>
          <w:lang w:eastAsia="zh-CN"/>
        </w:rPr>
        <w:t>危险品仓库</w:t>
      </w:r>
      <w:r>
        <w:rPr>
          <w:rFonts w:eastAsia="宋体"/>
          <w:color w:val="auto"/>
          <w:sz w:val="24"/>
          <w:highlight w:val="none"/>
        </w:rPr>
        <w:t>及成品库包装桶最大规格为200L/桶，V</w:t>
      </w:r>
      <w:r>
        <w:rPr>
          <w:rFonts w:eastAsia="宋体"/>
          <w:color w:val="auto"/>
          <w:sz w:val="24"/>
          <w:highlight w:val="none"/>
          <w:vertAlign w:val="subscript"/>
        </w:rPr>
        <w:t>1</w:t>
      </w:r>
      <w:r>
        <w:rPr>
          <w:rFonts w:eastAsia="宋体"/>
          <w:color w:val="auto"/>
          <w:sz w:val="24"/>
          <w:highlight w:val="none"/>
        </w:rPr>
        <w:t>以0.2m</w:t>
      </w:r>
      <w:r>
        <w:rPr>
          <w:rFonts w:eastAsia="宋体"/>
          <w:color w:val="auto"/>
          <w:sz w:val="24"/>
          <w:highlight w:val="none"/>
          <w:vertAlign w:val="superscript"/>
        </w:rPr>
        <w:t>3</w:t>
      </w:r>
      <w:r>
        <w:rPr>
          <w:rFonts w:eastAsia="宋体"/>
          <w:color w:val="auto"/>
          <w:sz w:val="24"/>
          <w:highlight w:val="none"/>
        </w:rPr>
        <w:t>计；柴油最大存储量为0.65t，柴油密度以0.83g/mL计，V</w:t>
      </w:r>
      <w:r>
        <w:rPr>
          <w:rFonts w:eastAsia="宋体"/>
          <w:color w:val="auto"/>
          <w:sz w:val="24"/>
          <w:highlight w:val="none"/>
          <w:vertAlign w:val="subscript"/>
        </w:rPr>
        <w:t>1</w:t>
      </w:r>
      <w:r>
        <w:rPr>
          <w:rFonts w:eastAsia="宋体"/>
          <w:color w:val="auto"/>
          <w:sz w:val="24"/>
          <w:highlight w:val="none"/>
        </w:rPr>
        <w:t>取0.78m</w:t>
      </w:r>
      <w:r>
        <w:rPr>
          <w:rFonts w:eastAsia="宋体"/>
          <w:color w:val="auto"/>
          <w:sz w:val="24"/>
          <w:highlight w:val="none"/>
          <w:vertAlign w:val="superscript"/>
        </w:rPr>
        <w:t>3</w:t>
      </w:r>
      <w:r>
        <w:rPr>
          <w:rFonts w:eastAsia="宋体"/>
          <w:color w:val="auto"/>
          <w:sz w:val="24"/>
          <w:highlight w:val="none"/>
        </w:rPr>
        <w:t>；危废仓库包装桶最大规格为200L/桶，V</w:t>
      </w:r>
      <w:r>
        <w:rPr>
          <w:rFonts w:eastAsia="宋体"/>
          <w:color w:val="auto"/>
          <w:sz w:val="24"/>
          <w:highlight w:val="none"/>
          <w:vertAlign w:val="subscript"/>
        </w:rPr>
        <w:t>1</w:t>
      </w:r>
      <w:r>
        <w:rPr>
          <w:rFonts w:eastAsia="宋体"/>
          <w:color w:val="auto"/>
          <w:sz w:val="24"/>
          <w:highlight w:val="none"/>
        </w:rPr>
        <w:t>以0.2m</w:t>
      </w:r>
      <w:r>
        <w:rPr>
          <w:rFonts w:eastAsia="宋体"/>
          <w:color w:val="auto"/>
          <w:sz w:val="24"/>
          <w:highlight w:val="none"/>
          <w:vertAlign w:val="superscript"/>
        </w:rPr>
        <w:t>3</w:t>
      </w:r>
      <w:r>
        <w:rPr>
          <w:rFonts w:eastAsia="宋体"/>
          <w:color w:val="auto"/>
          <w:sz w:val="24"/>
          <w:highlight w:val="none"/>
        </w:rPr>
        <w:t>计；柴油储罐区柴油最大存储量为10t，柴油密度以0.83g/mL计，V</w:t>
      </w:r>
      <w:r>
        <w:rPr>
          <w:rFonts w:eastAsia="宋体"/>
          <w:color w:val="auto"/>
          <w:sz w:val="24"/>
          <w:highlight w:val="none"/>
          <w:vertAlign w:val="subscript"/>
        </w:rPr>
        <w:t>1</w:t>
      </w:r>
      <w:r>
        <w:rPr>
          <w:rFonts w:eastAsia="宋体"/>
          <w:color w:val="auto"/>
          <w:sz w:val="24"/>
          <w:highlight w:val="none"/>
        </w:rPr>
        <w:t>取12m</w:t>
      </w:r>
      <w:r>
        <w:rPr>
          <w:rFonts w:eastAsia="宋体"/>
          <w:color w:val="auto"/>
          <w:sz w:val="24"/>
          <w:highlight w:val="none"/>
          <w:vertAlign w:val="superscript"/>
        </w:rPr>
        <w:t>3</w:t>
      </w:r>
      <w:r>
        <w:rPr>
          <w:rFonts w:eastAsia="宋体"/>
          <w:color w:val="auto"/>
          <w:sz w:val="24"/>
          <w:highlight w:val="none"/>
        </w:rPr>
        <w:t>；喷淋废液储罐区最大存储量为</w:t>
      </w:r>
      <w:r>
        <w:rPr>
          <w:rFonts w:hint="eastAsia" w:eastAsia="宋体"/>
          <w:color w:val="auto"/>
          <w:sz w:val="24"/>
          <w:highlight w:val="none"/>
        </w:rPr>
        <w:t>2</w:t>
      </w:r>
      <w:r>
        <w:rPr>
          <w:rFonts w:eastAsia="宋体"/>
          <w:color w:val="auto"/>
          <w:sz w:val="24"/>
          <w:highlight w:val="none"/>
        </w:rPr>
        <w:t>0m</w:t>
      </w:r>
      <w:r>
        <w:rPr>
          <w:rFonts w:eastAsia="宋体"/>
          <w:color w:val="auto"/>
          <w:sz w:val="24"/>
          <w:highlight w:val="none"/>
          <w:vertAlign w:val="superscript"/>
        </w:rPr>
        <w:t>3</w:t>
      </w:r>
      <w:r>
        <w:rPr>
          <w:rFonts w:eastAsia="宋体"/>
          <w:color w:val="auto"/>
          <w:sz w:val="24"/>
          <w:highlight w:val="none"/>
        </w:rPr>
        <w:t>，V</w:t>
      </w:r>
      <w:r>
        <w:rPr>
          <w:rFonts w:eastAsia="宋体"/>
          <w:color w:val="auto"/>
          <w:sz w:val="24"/>
          <w:highlight w:val="none"/>
          <w:vertAlign w:val="subscript"/>
        </w:rPr>
        <w:t>1</w:t>
      </w:r>
      <w:r>
        <w:rPr>
          <w:rFonts w:eastAsia="宋体"/>
          <w:color w:val="auto"/>
          <w:sz w:val="24"/>
          <w:highlight w:val="none"/>
        </w:rPr>
        <w:t>取</w:t>
      </w:r>
      <w:r>
        <w:rPr>
          <w:rFonts w:hint="eastAsia" w:eastAsia="宋体"/>
          <w:color w:val="auto"/>
          <w:sz w:val="24"/>
          <w:highlight w:val="none"/>
        </w:rPr>
        <w:t>2</w:t>
      </w:r>
      <w:r>
        <w:rPr>
          <w:rFonts w:eastAsia="宋体"/>
          <w:color w:val="auto"/>
          <w:sz w:val="24"/>
          <w:highlight w:val="none"/>
        </w:rPr>
        <w:t>0m</w:t>
      </w:r>
      <w:r>
        <w:rPr>
          <w:rFonts w:eastAsia="宋体"/>
          <w:color w:val="auto"/>
          <w:sz w:val="24"/>
          <w:highlight w:val="none"/>
          <w:vertAlign w:val="superscript"/>
        </w:rPr>
        <w:t>3</w:t>
      </w:r>
      <w:r>
        <w:rPr>
          <w:rFonts w:eastAsia="宋体"/>
          <w:color w:val="auto"/>
          <w:sz w:val="24"/>
          <w:highlight w:val="none"/>
        </w:rPr>
        <w:t>。因此V1最大为</w:t>
      </w:r>
      <w:r>
        <w:rPr>
          <w:rFonts w:hint="eastAsia" w:eastAsia="宋体"/>
          <w:color w:val="auto"/>
          <w:sz w:val="24"/>
          <w:highlight w:val="none"/>
        </w:rPr>
        <w:t>2</w:t>
      </w:r>
      <w:r>
        <w:rPr>
          <w:rFonts w:eastAsia="宋体"/>
          <w:color w:val="auto"/>
          <w:sz w:val="24"/>
          <w:highlight w:val="none"/>
        </w:rPr>
        <w:t>0m</w:t>
      </w:r>
      <w:r>
        <w:rPr>
          <w:rFonts w:eastAsia="宋体"/>
          <w:color w:val="auto"/>
          <w:sz w:val="24"/>
          <w:highlight w:val="none"/>
          <w:vertAlign w:val="superscript"/>
        </w:rPr>
        <w:t>3</w:t>
      </w:r>
      <w:r>
        <w:rPr>
          <w:rFonts w:eastAsia="宋体"/>
          <w:color w:val="auto"/>
          <w:sz w:val="24"/>
          <w:highlight w:val="none"/>
        </w:rPr>
        <w:t>。</w:t>
      </w:r>
    </w:p>
    <w:p w14:paraId="2F6A2DD6">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②根据《消防给水及消火栓系统技术规范》（GB50974-2014），消防废水</w:t>
      </w:r>
    </w:p>
    <w:p w14:paraId="3F235627">
      <w:pPr>
        <w:pStyle w:val="97"/>
        <w:keepNext w:val="0"/>
        <w:keepLines w:val="0"/>
        <w:pageBreakBefore w:val="0"/>
        <w:widowControl w:val="0"/>
        <w:tabs>
          <w:tab w:val="left" w:pos="1069"/>
        </w:tabs>
        <w:kinsoku/>
        <w:wordWrap/>
        <w:overflowPunct/>
        <w:topLinePunct w:val="0"/>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按下列公式计算：</w:t>
      </w:r>
    </w:p>
    <w:p w14:paraId="52E16890">
      <w:pPr>
        <w:pStyle w:val="97"/>
        <w:tabs>
          <w:tab w:val="left" w:pos="1069"/>
        </w:tabs>
        <w:spacing w:line="360" w:lineRule="auto"/>
        <w:ind w:left="-105" w:right="-105" w:firstLine="480"/>
        <w:jc w:val="center"/>
        <w:rPr>
          <w:rFonts w:eastAsia="宋体"/>
          <w:color w:val="auto"/>
          <w:sz w:val="24"/>
          <w:highlight w:val="none"/>
        </w:rPr>
      </w:pPr>
      <w:r>
        <w:rPr>
          <w:rFonts w:eastAsia="宋体"/>
          <w:color w:val="auto"/>
          <w:sz w:val="24"/>
          <w:highlight w:val="none"/>
        </w:rPr>
        <w:drawing>
          <wp:inline distT="0" distB="0" distL="0" distR="0">
            <wp:extent cx="1648460" cy="1197610"/>
            <wp:effectExtent l="0" t="0" r="8890" b="2540"/>
            <wp:docPr id="49" name="IM 176"/>
            <wp:cNvGraphicFramePr/>
            <a:graphic xmlns:a="http://schemas.openxmlformats.org/drawingml/2006/main">
              <a:graphicData uri="http://schemas.openxmlformats.org/drawingml/2006/picture">
                <pic:pic xmlns:pic="http://schemas.openxmlformats.org/drawingml/2006/picture">
                  <pic:nvPicPr>
                    <pic:cNvPr id="49" name="IM 176"/>
                    <pic:cNvPicPr/>
                  </pic:nvPicPr>
                  <pic:blipFill>
                    <a:blip r:embed="rId70"/>
                    <a:stretch>
                      <a:fillRect/>
                    </a:stretch>
                  </pic:blipFill>
                  <pic:spPr>
                    <a:xfrm>
                      <a:off x="0" y="0"/>
                      <a:ext cx="1648460" cy="1197610"/>
                    </a:xfrm>
                    <a:prstGeom prst="rect">
                      <a:avLst/>
                    </a:prstGeom>
                  </pic:spPr>
                </pic:pic>
              </a:graphicData>
            </a:graphic>
          </wp:inline>
        </w:drawing>
      </w:r>
    </w:p>
    <w:p w14:paraId="2AB911E6">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式中：V—建筑消防给水一起火灾灭火用水总量（m</w:t>
      </w:r>
      <w:r>
        <w:rPr>
          <w:rFonts w:eastAsia="宋体"/>
          <w:color w:val="auto"/>
          <w:sz w:val="24"/>
          <w:highlight w:val="none"/>
          <w:vertAlign w:val="superscript"/>
        </w:rPr>
        <w:t>3</w:t>
      </w:r>
      <w:r>
        <w:rPr>
          <w:rFonts w:eastAsia="宋体"/>
          <w:color w:val="auto"/>
          <w:sz w:val="24"/>
          <w:highlight w:val="none"/>
        </w:rPr>
        <w:t>）；</w:t>
      </w:r>
    </w:p>
    <w:p w14:paraId="4F907E84">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1</w:t>
      </w:r>
      <w:r>
        <w:rPr>
          <w:rFonts w:eastAsia="宋体"/>
          <w:color w:val="auto"/>
          <w:sz w:val="24"/>
          <w:highlight w:val="none"/>
        </w:rPr>
        <w:t>—室外消防给水一起火灾灭火用水量（m</w:t>
      </w:r>
      <w:r>
        <w:rPr>
          <w:rFonts w:eastAsia="宋体"/>
          <w:color w:val="auto"/>
          <w:sz w:val="24"/>
          <w:highlight w:val="none"/>
          <w:vertAlign w:val="superscript"/>
        </w:rPr>
        <w:t>3</w:t>
      </w:r>
      <w:r>
        <w:rPr>
          <w:rFonts w:eastAsia="宋体"/>
          <w:color w:val="auto"/>
          <w:sz w:val="24"/>
          <w:highlight w:val="none"/>
        </w:rPr>
        <w:t>）；</w:t>
      </w:r>
    </w:p>
    <w:p w14:paraId="555BA83F">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2</w:t>
      </w:r>
      <w:r>
        <w:rPr>
          <w:rFonts w:eastAsia="宋体"/>
          <w:color w:val="auto"/>
          <w:sz w:val="24"/>
          <w:highlight w:val="none"/>
        </w:rPr>
        <w:t>—室内消防给水一起火灾灭火用水量（m</w:t>
      </w:r>
      <w:r>
        <w:rPr>
          <w:rFonts w:eastAsia="宋体"/>
          <w:color w:val="auto"/>
          <w:sz w:val="24"/>
          <w:highlight w:val="none"/>
          <w:vertAlign w:val="superscript"/>
        </w:rPr>
        <w:t>3</w:t>
      </w:r>
      <w:r>
        <w:rPr>
          <w:rFonts w:eastAsia="宋体"/>
          <w:color w:val="auto"/>
          <w:sz w:val="24"/>
          <w:highlight w:val="none"/>
        </w:rPr>
        <w:t>）；</w:t>
      </w:r>
    </w:p>
    <w:p w14:paraId="429DE718">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q</w:t>
      </w:r>
      <w:r>
        <w:rPr>
          <w:rFonts w:eastAsia="宋体"/>
          <w:color w:val="auto"/>
          <w:sz w:val="24"/>
          <w:highlight w:val="none"/>
          <w:vertAlign w:val="subscript"/>
        </w:rPr>
        <w:t>1</w:t>
      </w:r>
      <w:r>
        <w:rPr>
          <w:rFonts w:eastAsia="宋体"/>
          <w:color w:val="auto"/>
          <w:sz w:val="24"/>
          <w:highlight w:val="none"/>
        </w:rPr>
        <w:t>—室外第i种水灭火系统的设计流量（L/s）；</w:t>
      </w:r>
    </w:p>
    <w:p w14:paraId="49D43F25">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t</w:t>
      </w:r>
      <w:r>
        <w:rPr>
          <w:rFonts w:eastAsia="宋体"/>
          <w:color w:val="auto"/>
          <w:sz w:val="24"/>
          <w:highlight w:val="none"/>
          <w:vertAlign w:val="subscript"/>
        </w:rPr>
        <w:t>1</w:t>
      </w:r>
      <w:r>
        <w:rPr>
          <w:rFonts w:eastAsia="宋体"/>
          <w:color w:val="auto"/>
          <w:sz w:val="24"/>
          <w:highlight w:val="none"/>
        </w:rPr>
        <w:t>—室外第i种水灭火系统的火灾延续时间（h）；</w:t>
      </w:r>
    </w:p>
    <w:p w14:paraId="0F792A99">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n—建筑需要同时作用的室外水灭火系统数量；</w:t>
      </w:r>
    </w:p>
    <w:p w14:paraId="3AD34178">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Q</w:t>
      </w:r>
      <w:r>
        <w:rPr>
          <w:rFonts w:hint="eastAsia" w:eastAsia="宋体"/>
          <w:color w:val="auto"/>
          <w:sz w:val="24"/>
          <w:highlight w:val="none"/>
          <w:vertAlign w:val="subscript"/>
        </w:rPr>
        <w:t>2</w:t>
      </w:r>
      <w:r>
        <w:rPr>
          <w:rFonts w:eastAsia="宋体"/>
          <w:color w:val="auto"/>
          <w:sz w:val="24"/>
          <w:highlight w:val="none"/>
        </w:rPr>
        <w:t>—室内第i种水灭火系统的设计流量（L/s）；</w:t>
      </w:r>
    </w:p>
    <w:p w14:paraId="5BDFE178">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hint="eastAsia" w:eastAsia="宋体"/>
          <w:color w:val="auto"/>
          <w:sz w:val="24"/>
          <w:highlight w:val="none"/>
        </w:rPr>
        <w:t>t</w:t>
      </w:r>
      <w:r>
        <w:rPr>
          <w:rFonts w:hint="eastAsia" w:eastAsia="宋体"/>
          <w:color w:val="auto"/>
          <w:sz w:val="24"/>
          <w:highlight w:val="none"/>
          <w:vertAlign w:val="subscript"/>
        </w:rPr>
        <w:t>2</w:t>
      </w:r>
      <w:r>
        <w:rPr>
          <w:rFonts w:eastAsia="宋体"/>
          <w:color w:val="auto"/>
          <w:sz w:val="24"/>
          <w:highlight w:val="none"/>
        </w:rPr>
        <w:t>—室内第i种水灭火系统的火灾延续时间（h）；</w:t>
      </w:r>
    </w:p>
    <w:p w14:paraId="315AA6CF">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m—建筑需要同时作用的室内水灭火系统数量。</w:t>
      </w:r>
    </w:p>
    <w:p w14:paraId="27FA6064">
      <w:pPr>
        <w:pStyle w:val="97"/>
        <w:keepNext w:val="0"/>
        <w:keepLines w:val="0"/>
        <w:pageBreakBefore w:val="0"/>
        <w:widowControl w:val="0"/>
        <w:tabs>
          <w:tab w:val="left" w:pos="1069"/>
        </w:tabs>
        <w:kinsoku/>
        <w:wordWrap/>
        <w:overflowPunct/>
        <w:topLinePunct w:val="0"/>
        <w:autoSpaceDE/>
        <w:autoSpaceDN/>
        <w:bidi w:val="0"/>
        <w:adjustRightInd/>
        <w:snapToGrid/>
        <w:spacing w:line="360" w:lineRule="auto"/>
        <w:ind w:left="0" w:right="0" w:firstLine="480"/>
        <w:textAlignment w:val="auto"/>
        <w:rPr>
          <w:rFonts w:eastAsia="宋体"/>
          <w:color w:val="auto"/>
          <w:sz w:val="24"/>
          <w:highlight w:val="none"/>
        </w:rPr>
      </w:pPr>
      <w:r>
        <w:rPr>
          <w:rFonts w:eastAsia="宋体"/>
          <w:color w:val="auto"/>
          <w:sz w:val="24"/>
          <w:highlight w:val="none"/>
        </w:rPr>
        <w:t>企业同一时间内的火灾起数按1起计，公司内设有甲类厂房、</w:t>
      </w:r>
      <w:r>
        <w:rPr>
          <w:rFonts w:hint="eastAsia" w:eastAsia="宋体"/>
          <w:color w:val="auto"/>
          <w:sz w:val="24"/>
          <w:highlight w:val="none"/>
          <w:lang w:eastAsia="zh-CN"/>
        </w:rPr>
        <w:t>危险品仓库</w:t>
      </w:r>
      <w:r>
        <w:rPr>
          <w:rFonts w:eastAsia="宋体"/>
          <w:color w:val="auto"/>
          <w:sz w:val="24"/>
          <w:highlight w:val="none"/>
        </w:rPr>
        <w:t>、丙类仓库等，根据《消防给水及消火栓系统技术规范》（GB50974-2014），各个建筑物消防用水情况如下表所示：</w:t>
      </w:r>
    </w:p>
    <w:p w14:paraId="28C5D1AB">
      <w:pPr>
        <w:pStyle w:val="15"/>
        <w:spacing w:line="360" w:lineRule="auto"/>
        <w:ind w:left="-105" w:right="-105" w:firstLine="482"/>
        <w:rPr>
          <w:rFonts w:eastAsia="宋体" w:cs="Times New Roman"/>
          <w:color w:val="auto"/>
          <w:sz w:val="24"/>
          <w:szCs w:val="18"/>
          <w:highlight w:val="none"/>
        </w:rPr>
      </w:pPr>
      <w:r>
        <w:rPr>
          <w:rFonts w:hint="eastAsia" w:eastAsia="宋体" w:cs="Times New Roman"/>
          <w:color w:val="auto"/>
          <w:sz w:val="24"/>
          <w:szCs w:val="18"/>
          <w:highlight w:val="none"/>
        </w:rPr>
        <w:t>表</w:t>
      </w:r>
      <w:r>
        <w:rPr>
          <w:rFonts w:hint="eastAsia" w:eastAsia="宋体" w:cs="Times New Roman"/>
          <w:color w:val="auto"/>
          <w:sz w:val="24"/>
          <w:szCs w:val="18"/>
          <w:highlight w:val="none"/>
        </w:rPr>
        <w:fldChar w:fldCharType="begin"/>
      </w:r>
      <w:r>
        <w:rPr>
          <w:rFonts w:hint="eastAsia" w:eastAsia="宋体" w:cs="Times New Roman"/>
          <w:color w:val="auto"/>
          <w:sz w:val="24"/>
          <w:szCs w:val="18"/>
          <w:highlight w:val="none"/>
        </w:rPr>
        <w:instrText xml:space="preserve"> STYLEREF 2 \s </w:instrText>
      </w:r>
      <w:r>
        <w:rPr>
          <w:rFonts w:hint="eastAsia" w:eastAsia="宋体" w:cs="Times New Roman"/>
          <w:color w:val="auto"/>
          <w:sz w:val="24"/>
          <w:szCs w:val="18"/>
          <w:highlight w:val="none"/>
        </w:rPr>
        <w:fldChar w:fldCharType="separate"/>
      </w:r>
      <w:r>
        <w:rPr>
          <w:rFonts w:hint="eastAsia" w:eastAsia="宋体" w:cs="Times New Roman"/>
          <w:color w:val="auto"/>
          <w:sz w:val="24"/>
          <w:szCs w:val="18"/>
          <w:highlight w:val="none"/>
        </w:rPr>
        <w:t>7.6</w:t>
      </w:r>
      <w:r>
        <w:rPr>
          <w:rFonts w:hint="eastAsia" w:eastAsia="宋体" w:cs="Times New Roman"/>
          <w:color w:val="auto"/>
          <w:sz w:val="24"/>
          <w:szCs w:val="18"/>
          <w:highlight w:val="none"/>
        </w:rPr>
        <w:fldChar w:fldCharType="end"/>
      </w:r>
      <w:r>
        <w:rPr>
          <w:rFonts w:hint="eastAsia" w:eastAsia="宋体" w:cs="Times New Roman"/>
          <w:color w:val="auto"/>
          <w:sz w:val="24"/>
          <w:szCs w:val="18"/>
          <w:highlight w:val="none"/>
        </w:rPr>
        <w:t>-</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eastAsia="宋体" w:cs="Times New Roman"/>
          <w:color w:val="auto"/>
          <w:sz w:val="24"/>
          <w:szCs w:val="18"/>
          <w:highlight w:val="none"/>
        </w:rPr>
        <w:t>公司内各个建筑消防用水计算一览表</w:t>
      </w:r>
    </w:p>
    <w:tbl>
      <w:tblPr>
        <w:tblStyle w:val="9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718"/>
        <w:gridCol w:w="717"/>
        <w:gridCol w:w="708"/>
        <w:gridCol w:w="769"/>
        <w:gridCol w:w="795"/>
        <w:gridCol w:w="778"/>
        <w:gridCol w:w="717"/>
        <w:gridCol w:w="769"/>
        <w:gridCol w:w="698"/>
        <w:gridCol w:w="815"/>
      </w:tblGrid>
      <w:tr w14:paraId="7A5B4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05501440">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6"/>
                <w:sz w:val="21"/>
                <w:szCs w:val="21"/>
                <w:highlight w:val="none"/>
              </w:rPr>
              <w:t>车间名称</w:t>
            </w:r>
          </w:p>
        </w:tc>
        <w:tc>
          <w:tcPr>
            <w:tcW w:w="718" w:type="dxa"/>
            <w:tcBorders>
              <w:tl2br w:val="nil"/>
              <w:tr2bl w:val="nil"/>
            </w:tcBorders>
            <w:vAlign w:val="center"/>
          </w:tcPr>
          <w:p w14:paraId="5FB141D8">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vertAlign w:val="superscript"/>
                <w:lang w:eastAsia="zh-CN"/>
              </w:rPr>
            </w:pPr>
            <w:r>
              <w:rPr>
                <w:rFonts w:ascii="Times New Roman" w:hAnsi="Times New Roman" w:eastAsia="宋体" w:cs="Times New Roman"/>
                <w:b/>
                <w:bCs/>
                <w:color w:val="auto"/>
                <w:spacing w:val="5"/>
                <w:sz w:val="21"/>
                <w:szCs w:val="21"/>
                <w:highlight w:val="none"/>
              </w:rPr>
              <w:t>建筑面积</w:t>
            </w:r>
            <w:r>
              <w:rPr>
                <w:rFonts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eastAsia="zh-CN"/>
              </w:rPr>
              <w:t>m</w:t>
            </w:r>
            <w:r>
              <w:rPr>
                <w:rFonts w:hint="eastAsia" w:ascii="Times New Roman" w:hAnsi="Times New Roman" w:eastAsia="宋体" w:cs="Times New Roman"/>
                <w:b/>
                <w:bCs/>
                <w:color w:val="auto"/>
                <w:sz w:val="21"/>
                <w:szCs w:val="21"/>
                <w:highlight w:val="none"/>
                <w:vertAlign w:val="superscript"/>
                <w:lang w:eastAsia="zh-CN"/>
              </w:rPr>
              <w:t>2</w:t>
            </w:r>
            <w:r>
              <w:rPr>
                <w:rFonts w:hint="eastAsia" w:ascii="Times New Roman" w:hAnsi="Times New Roman" w:eastAsia="宋体" w:cs="Times New Roman"/>
                <w:b/>
                <w:bCs/>
                <w:color w:val="auto"/>
                <w:sz w:val="21"/>
                <w:szCs w:val="21"/>
                <w:highlight w:val="none"/>
                <w:lang w:eastAsia="zh-CN"/>
              </w:rPr>
              <w:t>）</w:t>
            </w:r>
          </w:p>
        </w:tc>
        <w:tc>
          <w:tcPr>
            <w:tcW w:w="717" w:type="dxa"/>
            <w:tcBorders>
              <w:tl2br w:val="nil"/>
              <w:tr2bl w:val="nil"/>
            </w:tcBorders>
            <w:vAlign w:val="center"/>
          </w:tcPr>
          <w:p w14:paraId="79FFDEEC">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建筑高度</w:t>
            </w:r>
            <w:r>
              <w:rPr>
                <w:rFonts w:ascii="Times New Roman" w:hAnsi="Times New Roman" w:eastAsia="宋体" w:cs="Times New Roman"/>
                <w:b/>
                <w:bCs/>
                <w:color w:val="auto"/>
                <w:spacing w:val="-3"/>
                <w:sz w:val="21"/>
                <w:szCs w:val="21"/>
                <w:highlight w:val="none"/>
              </w:rPr>
              <w:t>（m）</w:t>
            </w:r>
          </w:p>
        </w:tc>
        <w:tc>
          <w:tcPr>
            <w:tcW w:w="708" w:type="dxa"/>
            <w:tcBorders>
              <w:tl2br w:val="nil"/>
              <w:tr2bl w:val="nil"/>
            </w:tcBorders>
            <w:vAlign w:val="center"/>
          </w:tcPr>
          <w:p w14:paraId="5834468A">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建筑体积</w:t>
            </w:r>
            <w:r>
              <w:rPr>
                <w:rFonts w:ascii="Times New Roman" w:hAnsi="Times New Roman" w:eastAsia="宋体" w:cs="Times New Roman"/>
                <w:b/>
                <w:bCs/>
                <w:color w:val="auto"/>
                <w:spacing w:val="-1"/>
                <w:sz w:val="21"/>
                <w:szCs w:val="21"/>
                <w:highlight w:val="none"/>
              </w:rPr>
              <w:t>（m</w:t>
            </w:r>
            <w:r>
              <w:rPr>
                <w:rFonts w:hint="eastAsia" w:ascii="Times New Roman" w:hAnsi="Times New Roman" w:eastAsia="宋体" w:cs="Times New Roman"/>
                <w:b/>
                <w:bCs/>
                <w:color w:val="auto"/>
                <w:spacing w:val="-1"/>
                <w:sz w:val="21"/>
                <w:szCs w:val="21"/>
                <w:highlight w:val="none"/>
                <w:vertAlign w:val="superscript"/>
                <w:lang w:eastAsia="zh-CN"/>
              </w:rPr>
              <w:t>3</w:t>
            </w:r>
            <w:r>
              <w:rPr>
                <w:rFonts w:ascii="Times New Roman" w:hAnsi="Times New Roman" w:eastAsia="宋体" w:cs="Times New Roman"/>
                <w:b/>
                <w:bCs/>
                <w:color w:val="auto"/>
                <w:spacing w:val="-1"/>
                <w:sz w:val="21"/>
                <w:szCs w:val="21"/>
                <w:highlight w:val="none"/>
              </w:rPr>
              <w:t>）</w:t>
            </w:r>
          </w:p>
        </w:tc>
        <w:tc>
          <w:tcPr>
            <w:tcW w:w="769" w:type="dxa"/>
            <w:tcBorders>
              <w:tl2br w:val="nil"/>
              <w:tr2bl w:val="nil"/>
            </w:tcBorders>
            <w:vAlign w:val="center"/>
          </w:tcPr>
          <w:p w14:paraId="74658449">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火灾类别/耐火等级</w:t>
            </w:r>
          </w:p>
        </w:tc>
        <w:tc>
          <w:tcPr>
            <w:tcW w:w="795" w:type="dxa"/>
            <w:tcBorders>
              <w:tl2br w:val="nil"/>
              <w:tr2bl w:val="nil"/>
            </w:tcBorders>
            <w:vAlign w:val="center"/>
          </w:tcPr>
          <w:p w14:paraId="45AB81E2">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室外消火</w:t>
            </w:r>
            <w:r>
              <w:rPr>
                <w:rFonts w:ascii="Times New Roman" w:hAnsi="Times New Roman" w:eastAsia="宋体" w:cs="Times New Roman"/>
                <w:b/>
                <w:bCs/>
                <w:color w:val="auto"/>
                <w:spacing w:val="6"/>
                <w:sz w:val="21"/>
                <w:szCs w:val="21"/>
                <w:highlight w:val="none"/>
              </w:rPr>
              <w:t>栓设计流</w:t>
            </w:r>
            <w:r>
              <w:rPr>
                <w:rFonts w:ascii="Times New Roman" w:hAnsi="Times New Roman" w:eastAsia="宋体" w:cs="Times New Roman"/>
                <w:b/>
                <w:bCs/>
                <w:color w:val="auto"/>
                <w:spacing w:val="17"/>
                <w:sz w:val="21"/>
                <w:szCs w:val="21"/>
                <w:highlight w:val="none"/>
              </w:rPr>
              <w:t>量(L/S)</w:t>
            </w:r>
          </w:p>
        </w:tc>
        <w:tc>
          <w:tcPr>
            <w:tcW w:w="778" w:type="dxa"/>
            <w:tcBorders>
              <w:tl2br w:val="nil"/>
              <w:tr2bl w:val="nil"/>
            </w:tcBorders>
            <w:vAlign w:val="center"/>
          </w:tcPr>
          <w:p w14:paraId="5B625B5E">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室内消火</w:t>
            </w:r>
            <w:r>
              <w:rPr>
                <w:rFonts w:ascii="Times New Roman" w:hAnsi="Times New Roman" w:eastAsia="宋体" w:cs="Times New Roman"/>
                <w:b/>
                <w:bCs/>
                <w:color w:val="auto"/>
                <w:spacing w:val="6"/>
                <w:sz w:val="21"/>
                <w:szCs w:val="21"/>
                <w:highlight w:val="none"/>
              </w:rPr>
              <w:t>栓设计流</w:t>
            </w:r>
            <w:r>
              <w:rPr>
                <w:rFonts w:ascii="Times New Roman" w:hAnsi="Times New Roman" w:eastAsia="宋体" w:cs="Times New Roman"/>
                <w:b/>
                <w:bCs/>
                <w:color w:val="auto"/>
                <w:spacing w:val="18"/>
                <w:sz w:val="21"/>
                <w:szCs w:val="21"/>
                <w:highlight w:val="none"/>
              </w:rPr>
              <w:t>量(L/S)</w:t>
            </w:r>
          </w:p>
        </w:tc>
        <w:tc>
          <w:tcPr>
            <w:tcW w:w="717" w:type="dxa"/>
            <w:tcBorders>
              <w:tl2br w:val="nil"/>
              <w:tr2bl w:val="nil"/>
            </w:tcBorders>
            <w:vAlign w:val="center"/>
          </w:tcPr>
          <w:p w14:paraId="519826DD">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6"/>
                <w:sz w:val="21"/>
                <w:szCs w:val="21"/>
                <w:highlight w:val="none"/>
              </w:rPr>
              <w:t>火灾延续</w:t>
            </w:r>
            <w:r>
              <w:rPr>
                <w:rFonts w:ascii="Times New Roman" w:hAnsi="Times New Roman" w:eastAsia="宋体" w:cs="Times New Roman"/>
                <w:b/>
                <w:bCs/>
                <w:color w:val="auto"/>
                <w:sz w:val="21"/>
                <w:szCs w:val="21"/>
                <w:highlight w:val="none"/>
              </w:rPr>
              <w:t>时间（h）</w:t>
            </w:r>
          </w:p>
        </w:tc>
        <w:tc>
          <w:tcPr>
            <w:tcW w:w="769" w:type="dxa"/>
            <w:tcBorders>
              <w:tl2br w:val="nil"/>
              <w:tr2bl w:val="nil"/>
            </w:tcBorders>
            <w:vAlign w:val="center"/>
          </w:tcPr>
          <w:p w14:paraId="0773904F">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室外用水</w:t>
            </w:r>
            <w:r>
              <w:rPr>
                <w:rFonts w:ascii="Times New Roman" w:hAnsi="Times New Roman" w:eastAsia="宋体" w:cs="Times New Roman"/>
                <w:b/>
                <w:bCs/>
                <w:color w:val="auto"/>
                <w:spacing w:val="2"/>
                <w:sz w:val="21"/>
                <w:szCs w:val="21"/>
                <w:highlight w:val="none"/>
              </w:rPr>
              <w:t>(</w:t>
            </w:r>
            <w:r>
              <w:rPr>
                <w:rFonts w:ascii="Times New Roman" w:hAnsi="Times New Roman" w:eastAsia="宋体" w:cs="Times New Roman"/>
                <w:b/>
                <w:bCs/>
                <w:color w:val="auto"/>
                <w:spacing w:val="-1"/>
                <w:sz w:val="21"/>
                <w:szCs w:val="21"/>
                <w:highlight w:val="none"/>
              </w:rPr>
              <w:t>m</w:t>
            </w:r>
            <w:r>
              <w:rPr>
                <w:rFonts w:hint="eastAsia" w:ascii="Times New Roman" w:hAnsi="Times New Roman" w:eastAsia="宋体" w:cs="Times New Roman"/>
                <w:b/>
                <w:bCs/>
                <w:color w:val="auto"/>
                <w:spacing w:val="-1"/>
                <w:sz w:val="21"/>
                <w:szCs w:val="21"/>
                <w:highlight w:val="none"/>
                <w:vertAlign w:val="superscript"/>
                <w:lang w:eastAsia="zh-CN"/>
              </w:rPr>
              <w:t>3</w:t>
            </w:r>
            <w:r>
              <w:rPr>
                <w:rFonts w:ascii="Times New Roman" w:hAnsi="Times New Roman" w:eastAsia="宋体" w:cs="Times New Roman"/>
                <w:b/>
                <w:bCs/>
                <w:color w:val="auto"/>
                <w:spacing w:val="2"/>
                <w:sz w:val="21"/>
                <w:szCs w:val="21"/>
                <w:highlight w:val="none"/>
              </w:rPr>
              <w:t>)</w:t>
            </w:r>
          </w:p>
        </w:tc>
        <w:tc>
          <w:tcPr>
            <w:tcW w:w="698" w:type="dxa"/>
            <w:tcBorders>
              <w:tl2br w:val="nil"/>
              <w:tr2bl w:val="nil"/>
            </w:tcBorders>
            <w:vAlign w:val="center"/>
          </w:tcPr>
          <w:p w14:paraId="79CD756A">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室内用水</w:t>
            </w:r>
            <w:r>
              <w:rPr>
                <w:rFonts w:ascii="Times New Roman" w:hAnsi="Times New Roman" w:eastAsia="宋体" w:cs="Times New Roman"/>
                <w:b/>
                <w:bCs/>
                <w:color w:val="auto"/>
                <w:spacing w:val="2"/>
                <w:sz w:val="21"/>
                <w:szCs w:val="21"/>
                <w:highlight w:val="none"/>
              </w:rPr>
              <w:t>(</w:t>
            </w:r>
            <w:r>
              <w:rPr>
                <w:rFonts w:ascii="Times New Roman" w:hAnsi="Times New Roman" w:eastAsia="宋体" w:cs="Times New Roman"/>
                <w:b/>
                <w:bCs/>
                <w:color w:val="auto"/>
                <w:spacing w:val="-1"/>
                <w:sz w:val="21"/>
                <w:szCs w:val="21"/>
                <w:highlight w:val="none"/>
              </w:rPr>
              <w:t>m</w:t>
            </w:r>
            <w:r>
              <w:rPr>
                <w:rFonts w:hint="eastAsia" w:ascii="Times New Roman" w:hAnsi="Times New Roman" w:eastAsia="宋体" w:cs="Times New Roman"/>
                <w:b/>
                <w:bCs/>
                <w:color w:val="auto"/>
                <w:spacing w:val="-1"/>
                <w:sz w:val="21"/>
                <w:szCs w:val="21"/>
                <w:highlight w:val="none"/>
                <w:vertAlign w:val="superscript"/>
                <w:lang w:eastAsia="zh-CN"/>
              </w:rPr>
              <w:t>3</w:t>
            </w:r>
            <w:r>
              <w:rPr>
                <w:rFonts w:ascii="Times New Roman" w:hAnsi="Times New Roman" w:eastAsia="宋体" w:cs="Times New Roman"/>
                <w:b/>
                <w:bCs/>
                <w:color w:val="auto"/>
                <w:spacing w:val="2"/>
                <w:sz w:val="21"/>
                <w:szCs w:val="21"/>
                <w:highlight w:val="none"/>
              </w:rPr>
              <w:t>)</w:t>
            </w:r>
          </w:p>
        </w:tc>
        <w:tc>
          <w:tcPr>
            <w:tcW w:w="815" w:type="dxa"/>
            <w:tcBorders>
              <w:tl2br w:val="nil"/>
              <w:tr2bl w:val="nil"/>
            </w:tcBorders>
            <w:vAlign w:val="center"/>
          </w:tcPr>
          <w:p w14:paraId="660988AB">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5"/>
                <w:sz w:val="21"/>
                <w:szCs w:val="21"/>
                <w:highlight w:val="none"/>
              </w:rPr>
              <w:t>消防用水</w:t>
            </w:r>
            <w:r>
              <w:rPr>
                <w:rFonts w:ascii="Times New Roman" w:hAnsi="Times New Roman" w:eastAsia="宋体" w:cs="Times New Roman"/>
                <w:b/>
                <w:bCs/>
                <w:color w:val="auto"/>
                <w:spacing w:val="4"/>
                <w:sz w:val="21"/>
                <w:szCs w:val="21"/>
                <w:highlight w:val="none"/>
              </w:rPr>
              <w:t>共计(</w:t>
            </w:r>
            <w:r>
              <w:rPr>
                <w:rFonts w:ascii="Times New Roman" w:hAnsi="Times New Roman" w:eastAsia="宋体" w:cs="Times New Roman"/>
                <w:b/>
                <w:bCs/>
                <w:color w:val="auto"/>
                <w:spacing w:val="-1"/>
                <w:sz w:val="21"/>
                <w:szCs w:val="21"/>
                <w:highlight w:val="none"/>
              </w:rPr>
              <w:t>m</w:t>
            </w:r>
            <w:r>
              <w:rPr>
                <w:rFonts w:hint="eastAsia" w:ascii="Times New Roman" w:hAnsi="Times New Roman" w:eastAsia="宋体" w:cs="Times New Roman"/>
                <w:b/>
                <w:bCs/>
                <w:color w:val="auto"/>
                <w:spacing w:val="-1"/>
                <w:sz w:val="21"/>
                <w:szCs w:val="21"/>
                <w:highlight w:val="none"/>
                <w:vertAlign w:val="superscript"/>
                <w:lang w:eastAsia="zh-CN"/>
              </w:rPr>
              <w:t>3</w:t>
            </w:r>
            <w:r>
              <w:rPr>
                <w:rFonts w:ascii="Times New Roman" w:hAnsi="Times New Roman" w:eastAsia="宋体" w:cs="Times New Roman"/>
                <w:b/>
                <w:bCs/>
                <w:color w:val="auto"/>
                <w:spacing w:val="4"/>
                <w:sz w:val="21"/>
                <w:szCs w:val="21"/>
                <w:highlight w:val="none"/>
              </w:rPr>
              <w:t>)</w:t>
            </w:r>
          </w:p>
        </w:tc>
      </w:tr>
      <w:tr w14:paraId="5E541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2F53112F">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第一工场</w:t>
            </w:r>
          </w:p>
        </w:tc>
        <w:tc>
          <w:tcPr>
            <w:tcW w:w="718" w:type="dxa"/>
            <w:tcBorders>
              <w:tl2br w:val="nil"/>
              <w:tr2bl w:val="nil"/>
            </w:tcBorders>
            <w:vAlign w:val="center"/>
          </w:tcPr>
          <w:p w14:paraId="10198D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836</w:t>
            </w:r>
          </w:p>
        </w:tc>
        <w:tc>
          <w:tcPr>
            <w:tcW w:w="717" w:type="dxa"/>
            <w:tcBorders>
              <w:tl2br w:val="nil"/>
              <w:tr2bl w:val="nil"/>
            </w:tcBorders>
            <w:vAlign w:val="center"/>
          </w:tcPr>
          <w:p w14:paraId="63C8910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1"/>
                <w:sz w:val="21"/>
                <w:szCs w:val="21"/>
                <w:highlight w:val="none"/>
                <w:lang w:eastAsia="en-US"/>
              </w:rPr>
              <w:t>13.43</w:t>
            </w:r>
          </w:p>
        </w:tc>
        <w:tc>
          <w:tcPr>
            <w:tcW w:w="708" w:type="dxa"/>
            <w:tcBorders>
              <w:tl2br w:val="nil"/>
              <w:tr2bl w:val="nil"/>
            </w:tcBorders>
            <w:vAlign w:val="center"/>
          </w:tcPr>
          <w:p w14:paraId="2AE7403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11228</w:t>
            </w:r>
          </w:p>
        </w:tc>
        <w:tc>
          <w:tcPr>
            <w:tcW w:w="769" w:type="dxa"/>
            <w:tcBorders>
              <w:tl2br w:val="nil"/>
              <w:tr2bl w:val="nil"/>
            </w:tcBorders>
            <w:vAlign w:val="center"/>
          </w:tcPr>
          <w:p w14:paraId="138F6F79">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9"/>
                <w:sz w:val="21"/>
                <w:szCs w:val="21"/>
                <w:highlight w:val="none"/>
              </w:rPr>
              <w:t>甲类</w:t>
            </w:r>
          </w:p>
        </w:tc>
        <w:tc>
          <w:tcPr>
            <w:tcW w:w="795" w:type="dxa"/>
            <w:tcBorders>
              <w:tl2br w:val="nil"/>
              <w:tr2bl w:val="nil"/>
            </w:tcBorders>
            <w:vAlign w:val="center"/>
          </w:tcPr>
          <w:p w14:paraId="067AD96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25</w:t>
            </w:r>
          </w:p>
        </w:tc>
        <w:tc>
          <w:tcPr>
            <w:tcW w:w="778" w:type="dxa"/>
            <w:tcBorders>
              <w:tl2br w:val="nil"/>
              <w:tr2bl w:val="nil"/>
            </w:tcBorders>
            <w:vAlign w:val="center"/>
          </w:tcPr>
          <w:p w14:paraId="2D7A6F5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10</w:t>
            </w:r>
          </w:p>
        </w:tc>
        <w:tc>
          <w:tcPr>
            <w:tcW w:w="717" w:type="dxa"/>
            <w:tcBorders>
              <w:tl2br w:val="nil"/>
              <w:tr2bl w:val="nil"/>
            </w:tcBorders>
            <w:vAlign w:val="center"/>
          </w:tcPr>
          <w:p w14:paraId="2A25F61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6B5DAD8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270</w:t>
            </w:r>
          </w:p>
        </w:tc>
        <w:tc>
          <w:tcPr>
            <w:tcW w:w="698" w:type="dxa"/>
            <w:tcBorders>
              <w:tl2br w:val="nil"/>
              <w:tr2bl w:val="nil"/>
            </w:tcBorders>
            <w:vAlign w:val="center"/>
          </w:tcPr>
          <w:p w14:paraId="3456186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108</w:t>
            </w:r>
          </w:p>
        </w:tc>
        <w:tc>
          <w:tcPr>
            <w:tcW w:w="815" w:type="dxa"/>
            <w:tcBorders>
              <w:tl2br w:val="nil"/>
              <w:tr2bl w:val="nil"/>
            </w:tcBorders>
            <w:vAlign w:val="center"/>
          </w:tcPr>
          <w:p w14:paraId="38929E7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006219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12658F76">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第二工场</w:t>
            </w:r>
          </w:p>
        </w:tc>
        <w:tc>
          <w:tcPr>
            <w:tcW w:w="718" w:type="dxa"/>
            <w:tcBorders>
              <w:tl2br w:val="nil"/>
              <w:tr2bl w:val="nil"/>
            </w:tcBorders>
            <w:vAlign w:val="center"/>
          </w:tcPr>
          <w:p w14:paraId="3D35F1D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1"/>
                <w:sz w:val="21"/>
                <w:szCs w:val="21"/>
                <w:highlight w:val="none"/>
                <w:lang w:eastAsia="en-US"/>
              </w:rPr>
              <w:t>1357</w:t>
            </w:r>
          </w:p>
        </w:tc>
        <w:tc>
          <w:tcPr>
            <w:tcW w:w="717" w:type="dxa"/>
            <w:tcBorders>
              <w:tl2br w:val="nil"/>
              <w:tr2bl w:val="nil"/>
            </w:tcBorders>
            <w:vAlign w:val="center"/>
          </w:tcPr>
          <w:p w14:paraId="0ADEA2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1"/>
                <w:sz w:val="21"/>
                <w:szCs w:val="21"/>
                <w:highlight w:val="none"/>
                <w:lang w:eastAsia="en-US"/>
              </w:rPr>
              <w:t>14.17</w:t>
            </w:r>
          </w:p>
        </w:tc>
        <w:tc>
          <w:tcPr>
            <w:tcW w:w="708" w:type="dxa"/>
            <w:tcBorders>
              <w:tl2br w:val="nil"/>
              <w:tr2bl w:val="nil"/>
            </w:tcBorders>
            <w:vAlign w:val="center"/>
          </w:tcPr>
          <w:p w14:paraId="0AAFE99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19229</w:t>
            </w:r>
          </w:p>
        </w:tc>
        <w:tc>
          <w:tcPr>
            <w:tcW w:w="769" w:type="dxa"/>
            <w:tcBorders>
              <w:tl2br w:val="nil"/>
              <w:tr2bl w:val="nil"/>
            </w:tcBorders>
            <w:vAlign w:val="center"/>
          </w:tcPr>
          <w:p w14:paraId="199275D1">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9"/>
                <w:sz w:val="21"/>
                <w:szCs w:val="21"/>
                <w:highlight w:val="none"/>
              </w:rPr>
              <w:t>甲类</w:t>
            </w:r>
          </w:p>
        </w:tc>
        <w:tc>
          <w:tcPr>
            <w:tcW w:w="795" w:type="dxa"/>
            <w:tcBorders>
              <w:tl2br w:val="nil"/>
              <w:tr2bl w:val="nil"/>
            </w:tcBorders>
            <w:vAlign w:val="center"/>
          </w:tcPr>
          <w:p w14:paraId="1294410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25</w:t>
            </w:r>
          </w:p>
        </w:tc>
        <w:tc>
          <w:tcPr>
            <w:tcW w:w="778" w:type="dxa"/>
            <w:tcBorders>
              <w:tl2br w:val="nil"/>
              <w:tr2bl w:val="nil"/>
            </w:tcBorders>
            <w:vAlign w:val="center"/>
          </w:tcPr>
          <w:p w14:paraId="735398D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10</w:t>
            </w:r>
          </w:p>
        </w:tc>
        <w:tc>
          <w:tcPr>
            <w:tcW w:w="717" w:type="dxa"/>
            <w:tcBorders>
              <w:tl2br w:val="nil"/>
              <w:tr2bl w:val="nil"/>
            </w:tcBorders>
            <w:vAlign w:val="center"/>
          </w:tcPr>
          <w:p w14:paraId="2AE80FF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0331CC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270</w:t>
            </w:r>
          </w:p>
        </w:tc>
        <w:tc>
          <w:tcPr>
            <w:tcW w:w="698" w:type="dxa"/>
            <w:tcBorders>
              <w:tl2br w:val="nil"/>
              <w:tr2bl w:val="nil"/>
            </w:tcBorders>
            <w:vAlign w:val="center"/>
          </w:tcPr>
          <w:p w14:paraId="339A1A3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108</w:t>
            </w:r>
          </w:p>
        </w:tc>
        <w:tc>
          <w:tcPr>
            <w:tcW w:w="815" w:type="dxa"/>
            <w:tcBorders>
              <w:tl2br w:val="nil"/>
              <w:tr2bl w:val="nil"/>
            </w:tcBorders>
            <w:vAlign w:val="center"/>
          </w:tcPr>
          <w:p w14:paraId="60FA776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61904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0C138A53">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危险品仓库</w:t>
            </w:r>
          </w:p>
        </w:tc>
        <w:tc>
          <w:tcPr>
            <w:tcW w:w="718" w:type="dxa"/>
            <w:tcBorders>
              <w:tl2br w:val="nil"/>
              <w:tr2bl w:val="nil"/>
            </w:tcBorders>
            <w:vAlign w:val="center"/>
          </w:tcPr>
          <w:p w14:paraId="4DC523C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498.96</w:t>
            </w:r>
          </w:p>
        </w:tc>
        <w:tc>
          <w:tcPr>
            <w:tcW w:w="717" w:type="dxa"/>
            <w:tcBorders>
              <w:tl2br w:val="nil"/>
              <w:tr2bl w:val="nil"/>
            </w:tcBorders>
            <w:vAlign w:val="center"/>
          </w:tcPr>
          <w:p w14:paraId="09E8864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1"/>
                <w:sz w:val="21"/>
                <w:szCs w:val="21"/>
                <w:highlight w:val="none"/>
                <w:lang w:eastAsia="en-US"/>
              </w:rPr>
              <w:t>8.15</w:t>
            </w:r>
          </w:p>
        </w:tc>
        <w:tc>
          <w:tcPr>
            <w:tcW w:w="708" w:type="dxa"/>
            <w:tcBorders>
              <w:tl2br w:val="nil"/>
              <w:tr2bl w:val="nil"/>
            </w:tcBorders>
            <w:vAlign w:val="center"/>
          </w:tcPr>
          <w:p w14:paraId="7A81CD8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4067</w:t>
            </w:r>
          </w:p>
        </w:tc>
        <w:tc>
          <w:tcPr>
            <w:tcW w:w="769" w:type="dxa"/>
            <w:tcBorders>
              <w:tl2br w:val="nil"/>
              <w:tr2bl w:val="nil"/>
            </w:tcBorders>
            <w:vAlign w:val="center"/>
          </w:tcPr>
          <w:p w14:paraId="36640871">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9"/>
                <w:sz w:val="21"/>
                <w:szCs w:val="21"/>
                <w:highlight w:val="none"/>
              </w:rPr>
              <w:t>甲类</w:t>
            </w:r>
          </w:p>
        </w:tc>
        <w:tc>
          <w:tcPr>
            <w:tcW w:w="795" w:type="dxa"/>
            <w:tcBorders>
              <w:tl2br w:val="nil"/>
              <w:tr2bl w:val="nil"/>
            </w:tcBorders>
            <w:vAlign w:val="center"/>
          </w:tcPr>
          <w:p w14:paraId="262A95C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25</w:t>
            </w:r>
          </w:p>
        </w:tc>
        <w:tc>
          <w:tcPr>
            <w:tcW w:w="778" w:type="dxa"/>
            <w:tcBorders>
              <w:tl2br w:val="nil"/>
              <w:tr2bl w:val="nil"/>
            </w:tcBorders>
            <w:vAlign w:val="center"/>
          </w:tcPr>
          <w:p w14:paraId="3EB5B50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10</w:t>
            </w:r>
          </w:p>
        </w:tc>
        <w:tc>
          <w:tcPr>
            <w:tcW w:w="717" w:type="dxa"/>
            <w:tcBorders>
              <w:tl2br w:val="nil"/>
              <w:tr2bl w:val="nil"/>
            </w:tcBorders>
            <w:vAlign w:val="center"/>
          </w:tcPr>
          <w:p w14:paraId="3C60F25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7051879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270</w:t>
            </w:r>
          </w:p>
        </w:tc>
        <w:tc>
          <w:tcPr>
            <w:tcW w:w="698" w:type="dxa"/>
            <w:tcBorders>
              <w:tl2br w:val="nil"/>
              <w:tr2bl w:val="nil"/>
            </w:tcBorders>
            <w:vAlign w:val="center"/>
          </w:tcPr>
          <w:p w14:paraId="18C8032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108</w:t>
            </w:r>
          </w:p>
        </w:tc>
        <w:tc>
          <w:tcPr>
            <w:tcW w:w="815" w:type="dxa"/>
            <w:tcBorders>
              <w:tl2br w:val="nil"/>
              <w:tr2bl w:val="nil"/>
            </w:tcBorders>
            <w:vAlign w:val="center"/>
          </w:tcPr>
          <w:p w14:paraId="5B5C3EC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5623E6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2C4D88A8">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成品仓库1</w:t>
            </w:r>
          </w:p>
        </w:tc>
        <w:tc>
          <w:tcPr>
            <w:tcW w:w="718" w:type="dxa"/>
            <w:tcBorders>
              <w:tl2br w:val="nil"/>
              <w:tr2bl w:val="nil"/>
            </w:tcBorders>
            <w:vAlign w:val="center"/>
          </w:tcPr>
          <w:p w14:paraId="5957F55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245</w:t>
            </w:r>
          </w:p>
        </w:tc>
        <w:tc>
          <w:tcPr>
            <w:tcW w:w="717" w:type="dxa"/>
            <w:tcBorders>
              <w:tl2br w:val="nil"/>
              <w:tr2bl w:val="nil"/>
            </w:tcBorders>
            <w:vAlign w:val="center"/>
          </w:tcPr>
          <w:p w14:paraId="7CAECBD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6.98</w:t>
            </w:r>
          </w:p>
        </w:tc>
        <w:tc>
          <w:tcPr>
            <w:tcW w:w="708" w:type="dxa"/>
            <w:tcBorders>
              <w:tl2br w:val="nil"/>
              <w:tr2bl w:val="nil"/>
            </w:tcBorders>
            <w:vAlign w:val="center"/>
          </w:tcPr>
          <w:p w14:paraId="27A4A70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1710</w:t>
            </w:r>
          </w:p>
        </w:tc>
        <w:tc>
          <w:tcPr>
            <w:tcW w:w="769" w:type="dxa"/>
            <w:tcBorders>
              <w:tl2br w:val="nil"/>
              <w:tr2bl w:val="nil"/>
            </w:tcBorders>
            <w:vAlign w:val="center"/>
          </w:tcPr>
          <w:p w14:paraId="4FE5356D">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丙类</w:t>
            </w:r>
          </w:p>
        </w:tc>
        <w:tc>
          <w:tcPr>
            <w:tcW w:w="795" w:type="dxa"/>
            <w:tcBorders>
              <w:tl2br w:val="nil"/>
              <w:tr2bl w:val="nil"/>
            </w:tcBorders>
            <w:vAlign w:val="center"/>
          </w:tcPr>
          <w:p w14:paraId="7F86BAF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15</w:t>
            </w:r>
          </w:p>
        </w:tc>
        <w:tc>
          <w:tcPr>
            <w:tcW w:w="778" w:type="dxa"/>
            <w:tcBorders>
              <w:tl2br w:val="nil"/>
              <w:tr2bl w:val="nil"/>
            </w:tcBorders>
            <w:vAlign w:val="center"/>
          </w:tcPr>
          <w:p w14:paraId="73C21FD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20</w:t>
            </w:r>
          </w:p>
        </w:tc>
        <w:tc>
          <w:tcPr>
            <w:tcW w:w="717" w:type="dxa"/>
            <w:tcBorders>
              <w:tl2br w:val="nil"/>
              <w:tr2bl w:val="nil"/>
            </w:tcBorders>
            <w:vAlign w:val="center"/>
          </w:tcPr>
          <w:p w14:paraId="28B35D2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4E4A58D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162</w:t>
            </w:r>
          </w:p>
        </w:tc>
        <w:tc>
          <w:tcPr>
            <w:tcW w:w="698" w:type="dxa"/>
            <w:tcBorders>
              <w:tl2br w:val="nil"/>
              <w:tr2bl w:val="nil"/>
            </w:tcBorders>
            <w:vAlign w:val="center"/>
          </w:tcPr>
          <w:p w14:paraId="01C697C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216</w:t>
            </w:r>
          </w:p>
        </w:tc>
        <w:tc>
          <w:tcPr>
            <w:tcW w:w="815" w:type="dxa"/>
            <w:tcBorders>
              <w:tl2br w:val="nil"/>
              <w:tr2bl w:val="nil"/>
            </w:tcBorders>
            <w:vAlign w:val="center"/>
          </w:tcPr>
          <w:p w14:paraId="73AFB00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6444B3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7EDABEA1">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5"/>
                <w:sz w:val="21"/>
                <w:szCs w:val="21"/>
                <w:highlight w:val="none"/>
              </w:rPr>
              <w:t>成品仓库2</w:t>
            </w:r>
          </w:p>
        </w:tc>
        <w:tc>
          <w:tcPr>
            <w:tcW w:w="718" w:type="dxa"/>
            <w:tcBorders>
              <w:tl2br w:val="nil"/>
              <w:tr2bl w:val="nil"/>
            </w:tcBorders>
            <w:vAlign w:val="center"/>
          </w:tcPr>
          <w:p w14:paraId="3A6685F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245</w:t>
            </w:r>
          </w:p>
        </w:tc>
        <w:tc>
          <w:tcPr>
            <w:tcW w:w="717" w:type="dxa"/>
            <w:tcBorders>
              <w:tl2br w:val="nil"/>
              <w:tr2bl w:val="nil"/>
            </w:tcBorders>
            <w:vAlign w:val="center"/>
          </w:tcPr>
          <w:p w14:paraId="6A0478D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6.98</w:t>
            </w:r>
          </w:p>
        </w:tc>
        <w:tc>
          <w:tcPr>
            <w:tcW w:w="708" w:type="dxa"/>
            <w:tcBorders>
              <w:tl2br w:val="nil"/>
              <w:tr2bl w:val="nil"/>
            </w:tcBorders>
            <w:vAlign w:val="center"/>
          </w:tcPr>
          <w:p w14:paraId="6C60D52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1710</w:t>
            </w:r>
          </w:p>
        </w:tc>
        <w:tc>
          <w:tcPr>
            <w:tcW w:w="769" w:type="dxa"/>
            <w:tcBorders>
              <w:tl2br w:val="nil"/>
              <w:tr2bl w:val="nil"/>
            </w:tcBorders>
            <w:vAlign w:val="center"/>
          </w:tcPr>
          <w:p w14:paraId="4EF9155D">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丙类</w:t>
            </w:r>
          </w:p>
        </w:tc>
        <w:tc>
          <w:tcPr>
            <w:tcW w:w="795" w:type="dxa"/>
            <w:tcBorders>
              <w:tl2br w:val="nil"/>
              <w:tr2bl w:val="nil"/>
            </w:tcBorders>
            <w:vAlign w:val="center"/>
          </w:tcPr>
          <w:p w14:paraId="352B0D2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15</w:t>
            </w:r>
          </w:p>
        </w:tc>
        <w:tc>
          <w:tcPr>
            <w:tcW w:w="778" w:type="dxa"/>
            <w:tcBorders>
              <w:tl2br w:val="nil"/>
              <w:tr2bl w:val="nil"/>
            </w:tcBorders>
            <w:vAlign w:val="center"/>
          </w:tcPr>
          <w:p w14:paraId="488EE02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20</w:t>
            </w:r>
          </w:p>
        </w:tc>
        <w:tc>
          <w:tcPr>
            <w:tcW w:w="717" w:type="dxa"/>
            <w:tcBorders>
              <w:tl2br w:val="nil"/>
              <w:tr2bl w:val="nil"/>
            </w:tcBorders>
            <w:vAlign w:val="center"/>
          </w:tcPr>
          <w:p w14:paraId="6C0B998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31DBD0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162</w:t>
            </w:r>
          </w:p>
        </w:tc>
        <w:tc>
          <w:tcPr>
            <w:tcW w:w="698" w:type="dxa"/>
            <w:tcBorders>
              <w:tl2br w:val="nil"/>
              <w:tr2bl w:val="nil"/>
            </w:tcBorders>
            <w:vAlign w:val="center"/>
          </w:tcPr>
          <w:p w14:paraId="316448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216</w:t>
            </w:r>
          </w:p>
        </w:tc>
        <w:tc>
          <w:tcPr>
            <w:tcW w:w="815" w:type="dxa"/>
            <w:tcBorders>
              <w:tl2br w:val="nil"/>
              <w:tr2bl w:val="nil"/>
            </w:tcBorders>
            <w:vAlign w:val="center"/>
          </w:tcPr>
          <w:p w14:paraId="03DC35F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085705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759376C0">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锅炉房</w:t>
            </w:r>
          </w:p>
        </w:tc>
        <w:tc>
          <w:tcPr>
            <w:tcW w:w="718" w:type="dxa"/>
            <w:tcBorders>
              <w:tl2br w:val="nil"/>
              <w:tr2bl w:val="nil"/>
            </w:tcBorders>
            <w:vAlign w:val="center"/>
          </w:tcPr>
          <w:p w14:paraId="6F2D2CA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1"/>
                <w:sz w:val="21"/>
                <w:szCs w:val="21"/>
                <w:highlight w:val="none"/>
                <w:lang w:eastAsia="en-US"/>
              </w:rPr>
              <w:t>153.5</w:t>
            </w:r>
          </w:p>
        </w:tc>
        <w:tc>
          <w:tcPr>
            <w:tcW w:w="717" w:type="dxa"/>
            <w:tcBorders>
              <w:tl2br w:val="nil"/>
              <w:tr2bl w:val="nil"/>
            </w:tcBorders>
            <w:vAlign w:val="center"/>
          </w:tcPr>
          <w:p w14:paraId="121E69E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6.67</w:t>
            </w:r>
          </w:p>
        </w:tc>
        <w:tc>
          <w:tcPr>
            <w:tcW w:w="708" w:type="dxa"/>
            <w:tcBorders>
              <w:tl2br w:val="nil"/>
              <w:tr2bl w:val="nil"/>
            </w:tcBorders>
            <w:vAlign w:val="center"/>
          </w:tcPr>
          <w:p w14:paraId="2E96097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1024</w:t>
            </w:r>
          </w:p>
        </w:tc>
        <w:tc>
          <w:tcPr>
            <w:tcW w:w="769" w:type="dxa"/>
            <w:tcBorders>
              <w:tl2br w:val="nil"/>
              <w:tr2bl w:val="nil"/>
            </w:tcBorders>
            <w:vAlign w:val="center"/>
          </w:tcPr>
          <w:p w14:paraId="3ACEBABD">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丙类</w:t>
            </w:r>
          </w:p>
        </w:tc>
        <w:tc>
          <w:tcPr>
            <w:tcW w:w="795" w:type="dxa"/>
            <w:tcBorders>
              <w:tl2br w:val="nil"/>
              <w:tr2bl w:val="nil"/>
            </w:tcBorders>
            <w:vAlign w:val="center"/>
          </w:tcPr>
          <w:p w14:paraId="4610986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15</w:t>
            </w:r>
          </w:p>
        </w:tc>
        <w:tc>
          <w:tcPr>
            <w:tcW w:w="778" w:type="dxa"/>
            <w:tcBorders>
              <w:tl2br w:val="nil"/>
              <w:tr2bl w:val="nil"/>
            </w:tcBorders>
            <w:vAlign w:val="center"/>
          </w:tcPr>
          <w:p w14:paraId="3B77F6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20</w:t>
            </w:r>
          </w:p>
        </w:tc>
        <w:tc>
          <w:tcPr>
            <w:tcW w:w="717" w:type="dxa"/>
            <w:tcBorders>
              <w:tl2br w:val="nil"/>
              <w:tr2bl w:val="nil"/>
            </w:tcBorders>
            <w:vAlign w:val="center"/>
          </w:tcPr>
          <w:p w14:paraId="4AD828A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1CAA385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162</w:t>
            </w:r>
          </w:p>
        </w:tc>
        <w:tc>
          <w:tcPr>
            <w:tcW w:w="698" w:type="dxa"/>
            <w:tcBorders>
              <w:tl2br w:val="nil"/>
              <w:tr2bl w:val="nil"/>
            </w:tcBorders>
            <w:vAlign w:val="center"/>
          </w:tcPr>
          <w:p w14:paraId="2598084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216</w:t>
            </w:r>
          </w:p>
        </w:tc>
        <w:tc>
          <w:tcPr>
            <w:tcW w:w="815" w:type="dxa"/>
            <w:tcBorders>
              <w:tl2br w:val="nil"/>
              <w:tr2bl w:val="nil"/>
            </w:tcBorders>
            <w:vAlign w:val="center"/>
          </w:tcPr>
          <w:p w14:paraId="1446237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r w14:paraId="4C3A8A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0" w:type="dxa"/>
            <w:tcBorders>
              <w:tl2br w:val="nil"/>
              <w:tr2bl w:val="nil"/>
            </w:tcBorders>
            <w:vAlign w:val="center"/>
          </w:tcPr>
          <w:p w14:paraId="7EFFCDEB">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危废仓库</w:t>
            </w:r>
          </w:p>
        </w:tc>
        <w:tc>
          <w:tcPr>
            <w:tcW w:w="718" w:type="dxa"/>
            <w:tcBorders>
              <w:tl2br w:val="nil"/>
              <w:tr2bl w:val="nil"/>
            </w:tcBorders>
            <w:vAlign w:val="center"/>
          </w:tcPr>
          <w:p w14:paraId="5148E71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50</w:t>
            </w:r>
          </w:p>
        </w:tc>
        <w:tc>
          <w:tcPr>
            <w:tcW w:w="717" w:type="dxa"/>
            <w:tcBorders>
              <w:tl2br w:val="nil"/>
              <w:tr2bl w:val="nil"/>
            </w:tcBorders>
            <w:vAlign w:val="center"/>
          </w:tcPr>
          <w:p w14:paraId="531E2DD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8</w:t>
            </w:r>
          </w:p>
        </w:tc>
        <w:tc>
          <w:tcPr>
            <w:tcW w:w="708" w:type="dxa"/>
            <w:tcBorders>
              <w:tl2br w:val="nil"/>
              <w:tr2bl w:val="nil"/>
            </w:tcBorders>
            <w:vAlign w:val="center"/>
          </w:tcPr>
          <w:p w14:paraId="4F61394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4"/>
                <w:sz w:val="21"/>
                <w:szCs w:val="21"/>
                <w:highlight w:val="none"/>
                <w:lang w:eastAsia="en-US"/>
              </w:rPr>
              <w:t>400</w:t>
            </w:r>
          </w:p>
        </w:tc>
        <w:tc>
          <w:tcPr>
            <w:tcW w:w="769" w:type="dxa"/>
            <w:tcBorders>
              <w:tl2br w:val="nil"/>
              <w:tr2bl w:val="nil"/>
            </w:tcBorders>
            <w:vAlign w:val="center"/>
          </w:tcPr>
          <w:p w14:paraId="40212817">
            <w:pPr>
              <w:pStyle w:val="236"/>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2"/>
                <w:sz w:val="21"/>
                <w:szCs w:val="21"/>
                <w:highlight w:val="none"/>
              </w:rPr>
              <w:t>丙类</w:t>
            </w:r>
          </w:p>
        </w:tc>
        <w:tc>
          <w:tcPr>
            <w:tcW w:w="795" w:type="dxa"/>
            <w:tcBorders>
              <w:tl2br w:val="nil"/>
              <w:tr2bl w:val="nil"/>
            </w:tcBorders>
            <w:vAlign w:val="center"/>
          </w:tcPr>
          <w:p w14:paraId="31E15B1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8"/>
                <w:sz w:val="21"/>
                <w:szCs w:val="21"/>
                <w:highlight w:val="none"/>
                <w:lang w:eastAsia="en-US"/>
              </w:rPr>
              <w:t>15</w:t>
            </w:r>
          </w:p>
        </w:tc>
        <w:tc>
          <w:tcPr>
            <w:tcW w:w="778" w:type="dxa"/>
            <w:tcBorders>
              <w:tl2br w:val="nil"/>
              <w:tr2bl w:val="nil"/>
            </w:tcBorders>
            <w:vAlign w:val="center"/>
          </w:tcPr>
          <w:p w14:paraId="01C814B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20</w:t>
            </w:r>
          </w:p>
        </w:tc>
        <w:tc>
          <w:tcPr>
            <w:tcW w:w="717" w:type="dxa"/>
            <w:tcBorders>
              <w:tl2br w:val="nil"/>
              <w:tr2bl w:val="nil"/>
            </w:tcBorders>
            <w:vAlign w:val="center"/>
          </w:tcPr>
          <w:p w14:paraId="2F4E60C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z w:val="21"/>
                <w:szCs w:val="21"/>
                <w:highlight w:val="none"/>
                <w:lang w:eastAsia="en-US"/>
              </w:rPr>
              <w:t>3</w:t>
            </w:r>
          </w:p>
        </w:tc>
        <w:tc>
          <w:tcPr>
            <w:tcW w:w="769" w:type="dxa"/>
            <w:tcBorders>
              <w:tl2br w:val="nil"/>
              <w:tr2bl w:val="nil"/>
            </w:tcBorders>
            <w:vAlign w:val="center"/>
          </w:tcPr>
          <w:p w14:paraId="263B4A3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162</w:t>
            </w:r>
          </w:p>
        </w:tc>
        <w:tc>
          <w:tcPr>
            <w:tcW w:w="698" w:type="dxa"/>
            <w:tcBorders>
              <w:tl2br w:val="nil"/>
              <w:tr2bl w:val="nil"/>
            </w:tcBorders>
            <w:vAlign w:val="center"/>
          </w:tcPr>
          <w:p w14:paraId="49E87B4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3"/>
                <w:sz w:val="21"/>
                <w:szCs w:val="21"/>
                <w:highlight w:val="none"/>
                <w:lang w:eastAsia="en-US"/>
              </w:rPr>
              <w:t>216</w:t>
            </w:r>
          </w:p>
        </w:tc>
        <w:tc>
          <w:tcPr>
            <w:tcW w:w="815" w:type="dxa"/>
            <w:tcBorders>
              <w:tl2br w:val="nil"/>
              <w:tr2bl w:val="nil"/>
            </w:tcBorders>
            <w:vAlign w:val="center"/>
          </w:tcPr>
          <w:p w14:paraId="58F2195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lang w:eastAsia="en-US"/>
              </w:rPr>
            </w:pPr>
            <w:r>
              <w:rPr>
                <w:rFonts w:ascii="Times New Roman" w:hAnsi="Times New Roman" w:cs="Times New Roman"/>
                <w:color w:val="auto"/>
                <w:spacing w:val="2"/>
                <w:sz w:val="21"/>
                <w:szCs w:val="21"/>
                <w:highlight w:val="none"/>
                <w:lang w:eastAsia="en-US"/>
              </w:rPr>
              <w:t>378</w:t>
            </w:r>
          </w:p>
        </w:tc>
      </w:tr>
    </w:tbl>
    <w:p w14:paraId="1D881710">
      <w:pPr>
        <w:pStyle w:val="97"/>
        <w:keepNext w:val="0"/>
        <w:keepLines w:val="0"/>
        <w:pageBreakBefore w:val="0"/>
        <w:widowControl w:val="0"/>
        <w:tabs>
          <w:tab w:val="left" w:pos="1069"/>
        </w:tabs>
        <w:kinsoku/>
        <w:wordWrap/>
        <w:overflowPunct/>
        <w:topLinePunct w:val="0"/>
        <w:bidi w:val="0"/>
        <w:spacing w:line="360" w:lineRule="auto"/>
        <w:ind w:left="0" w:right="0" w:firstLine="480"/>
        <w:textAlignment w:val="auto"/>
        <w:rPr>
          <w:rFonts w:eastAsia="宋体"/>
          <w:color w:val="auto"/>
          <w:sz w:val="24"/>
          <w:highlight w:val="none"/>
        </w:rPr>
      </w:pPr>
      <w:r>
        <w:rPr>
          <w:rFonts w:eastAsia="宋体"/>
          <w:color w:val="auto"/>
          <w:sz w:val="24"/>
          <w:highlight w:val="none"/>
        </w:rPr>
        <w:t>由上表可知，公司内厂房及仓库最大消防用水量均为378m</w:t>
      </w:r>
      <w:r>
        <w:rPr>
          <w:rFonts w:eastAsia="宋体"/>
          <w:color w:val="auto"/>
          <w:sz w:val="24"/>
          <w:highlight w:val="none"/>
          <w:vertAlign w:val="superscript"/>
        </w:rPr>
        <w:t>3</w:t>
      </w:r>
      <w:r>
        <w:rPr>
          <w:rFonts w:eastAsia="宋体"/>
          <w:color w:val="auto"/>
          <w:sz w:val="24"/>
          <w:highlight w:val="none"/>
        </w:rPr>
        <w:t>；则V</w:t>
      </w:r>
      <w:r>
        <w:rPr>
          <w:rFonts w:eastAsia="宋体"/>
          <w:color w:val="auto"/>
          <w:sz w:val="24"/>
          <w:highlight w:val="none"/>
          <w:vertAlign w:val="subscript"/>
        </w:rPr>
        <w:t>2</w:t>
      </w:r>
      <w:r>
        <w:rPr>
          <w:rFonts w:eastAsia="宋体"/>
          <w:color w:val="auto"/>
          <w:sz w:val="24"/>
          <w:highlight w:val="none"/>
        </w:rPr>
        <w:t>取值为378m</w:t>
      </w:r>
      <w:r>
        <w:rPr>
          <w:rFonts w:eastAsia="宋体"/>
          <w:color w:val="auto"/>
          <w:sz w:val="24"/>
          <w:highlight w:val="none"/>
          <w:vertAlign w:val="superscript"/>
        </w:rPr>
        <w:t>3</w:t>
      </w:r>
      <w:r>
        <w:rPr>
          <w:rFonts w:eastAsia="宋体"/>
          <w:color w:val="auto"/>
          <w:sz w:val="24"/>
          <w:highlight w:val="none"/>
        </w:rPr>
        <w:t>。</w:t>
      </w:r>
    </w:p>
    <w:p w14:paraId="6ABB753C">
      <w:pPr>
        <w:pStyle w:val="97"/>
        <w:keepNext w:val="0"/>
        <w:keepLines w:val="0"/>
        <w:pageBreakBefore w:val="0"/>
        <w:widowControl w:val="0"/>
        <w:tabs>
          <w:tab w:val="left" w:pos="1069"/>
        </w:tabs>
        <w:kinsoku/>
        <w:wordWrap/>
        <w:overflowPunct/>
        <w:topLinePunct w:val="0"/>
        <w:bidi w:val="0"/>
        <w:spacing w:line="360" w:lineRule="auto"/>
        <w:ind w:left="0" w:right="0" w:firstLine="480"/>
        <w:textAlignment w:val="auto"/>
        <w:rPr>
          <w:rFonts w:eastAsia="宋体"/>
          <w:color w:val="auto"/>
          <w:sz w:val="24"/>
          <w:highlight w:val="none"/>
        </w:rPr>
      </w:pPr>
      <w:r>
        <w:rPr>
          <w:rFonts w:eastAsia="宋体"/>
          <w:color w:val="auto"/>
          <w:sz w:val="24"/>
          <w:highlight w:val="none"/>
        </w:rPr>
        <w:t>③公司厂区内设有围堰，尺寸为15.4×6.4×0.93=91m</w:t>
      </w:r>
      <w:r>
        <w:rPr>
          <w:rFonts w:eastAsia="宋体"/>
          <w:color w:val="auto"/>
          <w:sz w:val="24"/>
          <w:highlight w:val="none"/>
          <w:vertAlign w:val="superscript"/>
        </w:rPr>
        <w:t>3</w:t>
      </w:r>
      <w:r>
        <w:rPr>
          <w:rFonts w:eastAsia="宋体"/>
          <w:color w:val="auto"/>
          <w:sz w:val="24"/>
          <w:highlight w:val="none"/>
        </w:rPr>
        <w:t>，其中空储罐及基座约占10m</w:t>
      </w:r>
      <w:r>
        <w:rPr>
          <w:rFonts w:eastAsia="宋体"/>
          <w:color w:val="auto"/>
          <w:sz w:val="24"/>
          <w:highlight w:val="none"/>
          <w:vertAlign w:val="superscript"/>
        </w:rPr>
        <w:t>3</w:t>
      </w:r>
      <w:r>
        <w:rPr>
          <w:rFonts w:eastAsia="宋体"/>
          <w:color w:val="auto"/>
          <w:sz w:val="24"/>
          <w:highlight w:val="none"/>
        </w:rPr>
        <w:t>，剩余容量为81m</w:t>
      </w:r>
      <w:r>
        <w:rPr>
          <w:rFonts w:eastAsia="宋体"/>
          <w:color w:val="auto"/>
          <w:sz w:val="24"/>
          <w:highlight w:val="none"/>
          <w:vertAlign w:val="superscript"/>
        </w:rPr>
        <w:t>3</w:t>
      </w:r>
      <w:r>
        <w:rPr>
          <w:rFonts w:eastAsia="宋体"/>
          <w:color w:val="auto"/>
          <w:sz w:val="24"/>
          <w:highlight w:val="none"/>
        </w:rPr>
        <w:t>，V</w:t>
      </w:r>
      <w:r>
        <w:rPr>
          <w:rFonts w:eastAsia="宋体"/>
          <w:color w:val="auto"/>
          <w:sz w:val="24"/>
          <w:highlight w:val="none"/>
          <w:vertAlign w:val="subscript"/>
        </w:rPr>
        <w:t>3</w:t>
      </w:r>
      <w:r>
        <w:rPr>
          <w:rFonts w:eastAsia="宋体"/>
          <w:color w:val="auto"/>
          <w:sz w:val="24"/>
          <w:highlight w:val="none"/>
        </w:rPr>
        <w:t>取81m</w:t>
      </w:r>
      <w:r>
        <w:rPr>
          <w:rFonts w:eastAsia="宋体"/>
          <w:color w:val="auto"/>
          <w:sz w:val="24"/>
          <w:highlight w:val="none"/>
          <w:vertAlign w:val="superscript"/>
        </w:rPr>
        <w:t>3</w:t>
      </w:r>
      <w:r>
        <w:rPr>
          <w:rFonts w:eastAsia="宋体"/>
          <w:color w:val="auto"/>
          <w:sz w:val="24"/>
          <w:highlight w:val="none"/>
        </w:rPr>
        <w:t>。</w:t>
      </w:r>
    </w:p>
    <w:p w14:paraId="742E6DAE">
      <w:pPr>
        <w:pStyle w:val="97"/>
        <w:keepNext w:val="0"/>
        <w:keepLines w:val="0"/>
        <w:pageBreakBefore w:val="0"/>
        <w:widowControl w:val="0"/>
        <w:tabs>
          <w:tab w:val="left" w:pos="1069"/>
        </w:tabs>
        <w:kinsoku/>
        <w:wordWrap/>
        <w:overflowPunct/>
        <w:topLinePunct w:val="0"/>
        <w:bidi w:val="0"/>
        <w:adjustRightInd w:val="0"/>
        <w:snapToGrid w:val="0"/>
        <w:spacing w:line="360" w:lineRule="auto"/>
        <w:ind w:left="0" w:right="0" w:firstLine="480"/>
        <w:textAlignment w:val="auto"/>
        <w:rPr>
          <w:rFonts w:eastAsia="宋体"/>
          <w:color w:val="auto"/>
          <w:sz w:val="24"/>
          <w:highlight w:val="none"/>
        </w:rPr>
      </w:pPr>
      <w:r>
        <w:rPr>
          <w:rFonts w:eastAsia="宋体"/>
          <w:color w:val="auto"/>
          <w:sz w:val="24"/>
          <w:highlight w:val="none"/>
        </w:rPr>
        <w:t>④发生事故时，立即停止生产；厂区生产废水不进入该系统，故V</w:t>
      </w:r>
      <w:r>
        <w:rPr>
          <w:rFonts w:eastAsia="宋体"/>
          <w:color w:val="auto"/>
          <w:sz w:val="24"/>
          <w:highlight w:val="none"/>
          <w:vertAlign w:val="subscript"/>
        </w:rPr>
        <w:t>4</w:t>
      </w:r>
      <w:r>
        <w:rPr>
          <w:rFonts w:eastAsia="宋体"/>
          <w:color w:val="auto"/>
          <w:sz w:val="24"/>
          <w:highlight w:val="none"/>
        </w:rPr>
        <w:t>取0。</w:t>
      </w:r>
    </w:p>
    <w:p w14:paraId="3BEFEB92">
      <w:pPr>
        <w:pStyle w:val="97"/>
        <w:keepNext w:val="0"/>
        <w:keepLines w:val="0"/>
        <w:pageBreakBefore w:val="0"/>
        <w:widowControl w:val="0"/>
        <w:tabs>
          <w:tab w:val="left" w:pos="1069"/>
        </w:tabs>
        <w:kinsoku/>
        <w:wordWrap/>
        <w:overflowPunct/>
        <w:topLinePunct w:val="0"/>
        <w:bidi w:val="0"/>
        <w:adjustRightInd w:val="0"/>
        <w:snapToGrid w:val="0"/>
        <w:spacing w:line="360" w:lineRule="auto"/>
        <w:ind w:left="0" w:right="0" w:firstLine="480"/>
        <w:jc w:val="both"/>
        <w:textAlignment w:val="auto"/>
        <w:rPr>
          <w:rFonts w:eastAsia="宋体"/>
          <w:color w:val="auto"/>
          <w:sz w:val="24"/>
          <w:highlight w:val="none"/>
        </w:rPr>
      </w:pPr>
      <w:r>
        <w:rPr>
          <w:rFonts w:eastAsia="宋体"/>
          <w:color w:val="auto"/>
          <w:sz w:val="24"/>
          <w:highlight w:val="none"/>
        </w:rPr>
        <w:t>⑤发生事故时可能进入该收集系统的降雨量V</w:t>
      </w:r>
      <w:r>
        <w:rPr>
          <w:rFonts w:eastAsia="宋体"/>
          <w:color w:val="auto"/>
          <w:sz w:val="24"/>
          <w:highlight w:val="none"/>
          <w:vertAlign w:val="subscript"/>
        </w:rPr>
        <w:t>5</w:t>
      </w:r>
      <w:r>
        <w:rPr>
          <w:rFonts w:eastAsia="宋体"/>
          <w:color w:val="auto"/>
          <w:sz w:val="24"/>
          <w:highlight w:val="none"/>
        </w:rPr>
        <w:t>，降雨量V</w:t>
      </w:r>
      <w:r>
        <w:rPr>
          <w:rFonts w:eastAsia="宋体"/>
          <w:color w:val="auto"/>
          <w:sz w:val="24"/>
          <w:highlight w:val="none"/>
          <w:vertAlign w:val="subscript"/>
        </w:rPr>
        <w:t>5</w:t>
      </w:r>
      <w:r>
        <w:rPr>
          <w:rFonts w:eastAsia="宋体"/>
          <w:color w:val="auto"/>
          <w:sz w:val="24"/>
          <w:highlight w:val="none"/>
        </w:rPr>
        <w:t>按照下式确定：</w:t>
      </w:r>
    </w:p>
    <w:p w14:paraId="073835CF">
      <w:pPr>
        <w:pStyle w:val="97"/>
        <w:keepNext w:val="0"/>
        <w:keepLines w:val="0"/>
        <w:pageBreakBefore w:val="0"/>
        <w:widowControl w:val="0"/>
        <w:tabs>
          <w:tab w:val="left" w:pos="1069"/>
        </w:tabs>
        <w:kinsoku/>
        <w:wordWrap/>
        <w:overflowPunct/>
        <w:topLinePunct w:val="0"/>
        <w:bidi w:val="0"/>
        <w:adjustRightInd w:val="0"/>
        <w:snapToGrid w:val="0"/>
        <w:spacing w:line="360" w:lineRule="auto"/>
        <w:ind w:left="0" w:right="0" w:firstLine="480"/>
        <w:jc w:val="center"/>
        <w:textAlignment w:val="auto"/>
        <w:rPr>
          <w:rFonts w:eastAsia="宋体"/>
          <w:color w:val="auto"/>
          <w:sz w:val="24"/>
          <w:highlight w:val="none"/>
        </w:rPr>
      </w:pPr>
      <w:r>
        <w:rPr>
          <w:rFonts w:eastAsia="宋体"/>
          <w:color w:val="auto"/>
          <w:sz w:val="24"/>
          <w:highlight w:val="none"/>
        </w:rPr>
        <w:t>V</w:t>
      </w:r>
      <w:r>
        <w:rPr>
          <w:rFonts w:eastAsia="宋体"/>
          <w:color w:val="auto"/>
          <w:sz w:val="24"/>
          <w:highlight w:val="none"/>
          <w:vertAlign w:val="subscript"/>
        </w:rPr>
        <w:t>5</w:t>
      </w:r>
      <w:r>
        <w:rPr>
          <w:rFonts w:eastAsia="宋体"/>
          <w:color w:val="auto"/>
          <w:sz w:val="24"/>
          <w:highlight w:val="none"/>
        </w:rPr>
        <w:t>=10q×f</w:t>
      </w:r>
    </w:p>
    <w:p w14:paraId="1AC96F06">
      <w:pPr>
        <w:pStyle w:val="97"/>
        <w:keepNext w:val="0"/>
        <w:keepLines w:val="0"/>
        <w:pageBreakBefore w:val="0"/>
        <w:widowControl w:val="0"/>
        <w:tabs>
          <w:tab w:val="left" w:pos="1069"/>
        </w:tabs>
        <w:kinsoku/>
        <w:wordWrap/>
        <w:overflowPunct/>
        <w:topLinePunct w:val="0"/>
        <w:bidi w:val="0"/>
        <w:spacing w:line="360" w:lineRule="auto"/>
        <w:ind w:left="0" w:right="0" w:firstLine="480"/>
        <w:jc w:val="center"/>
        <w:textAlignment w:val="auto"/>
        <w:rPr>
          <w:rFonts w:eastAsia="宋体"/>
          <w:color w:val="auto"/>
          <w:sz w:val="24"/>
          <w:highlight w:val="none"/>
        </w:rPr>
      </w:pPr>
      <w:r>
        <w:rPr>
          <w:rFonts w:eastAsia="宋体"/>
          <w:color w:val="auto"/>
          <w:sz w:val="24"/>
          <w:highlight w:val="none"/>
        </w:rPr>
        <w:drawing>
          <wp:inline distT="0" distB="0" distL="0" distR="0">
            <wp:extent cx="464820" cy="309245"/>
            <wp:effectExtent l="0" t="0" r="11430" b="14605"/>
            <wp:docPr id="50" name="IM 178"/>
            <wp:cNvGraphicFramePr/>
            <a:graphic xmlns:a="http://schemas.openxmlformats.org/drawingml/2006/main">
              <a:graphicData uri="http://schemas.openxmlformats.org/drawingml/2006/picture">
                <pic:pic xmlns:pic="http://schemas.openxmlformats.org/drawingml/2006/picture">
                  <pic:nvPicPr>
                    <pic:cNvPr id="50" name="IM 178"/>
                    <pic:cNvPicPr/>
                  </pic:nvPicPr>
                  <pic:blipFill>
                    <a:blip r:embed="rId71"/>
                    <a:stretch>
                      <a:fillRect/>
                    </a:stretch>
                  </pic:blipFill>
                  <pic:spPr>
                    <a:xfrm>
                      <a:off x="0" y="0"/>
                      <a:ext cx="464820" cy="309372"/>
                    </a:xfrm>
                    <a:prstGeom prst="rect">
                      <a:avLst/>
                    </a:prstGeom>
                  </pic:spPr>
                </pic:pic>
              </a:graphicData>
            </a:graphic>
          </wp:inline>
        </w:drawing>
      </w:r>
    </w:p>
    <w:p w14:paraId="25D32656">
      <w:pPr>
        <w:pStyle w:val="97"/>
        <w:keepNext w:val="0"/>
        <w:keepLines w:val="0"/>
        <w:pageBreakBefore w:val="0"/>
        <w:widowControl w:val="0"/>
        <w:tabs>
          <w:tab w:val="left" w:pos="1069"/>
        </w:tabs>
        <w:kinsoku/>
        <w:wordWrap/>
        <w:overflowPunct/>
        <w:topLinePunct w:val="0"/>
        <w:bidi w:val="0"/>
        <w:spacing w:line="360" w:lineRule="auto"/>
        <w:ind w:left="0" w:right="0" w:firstLine="480"/>
        <w:textAlignment w:val="auto"/>
        <w:rPr>
          <w:rFonts w:eastAsia="宋体"/>
          <w:color w:val="auto"/>
          <w:sz w:val="24"/>
          <w:highlight w:val="none"/>
        </w:rPr>
      </w:pPr>
      <w:r>
        <w:rPr>
          <w:rFonts w:eastAsia="宋体"/>
          <w:color w:val="auto"/>
          <w:sz w:val="24"/>
          <w:highlight w:val="none"/>
        </w:rPr>
        <w:t>式中：q—降雨强度，按平均日降雨量，mm；</w:t>
      </w:r>
    </w:p>
    <w:p w14:paraId="13D5796E">
      <w:pPr>
        <w:pStyle w:val="97"/>
        <w:keepNext w:val="0"/>
        <w:keepLines w:val="0"/>
        <w:pageBreakBefore w:val="0"/>
        <w:widowControl w:val="0"/>
        <w:tabs>
          <w:tab w:val="left" w:pos="1069"/>
        </w:tabs>
        <w:kinsoku/>
        <w:wordWrap/>
        <w:overflowPunct/>
        <w:topLinePunct w:val="0"/>
        <w:bidi w:val="0"/>
        <w:spacing w:line="360" w:lineRule="auto"/>
        <w:ind w:left="0" w:right="0" w:firstLine="480"/>
        <w:textAlignment w:val="auto"/>
        <w:rPr>
          <w:rFonts w:eastAsia="宋体"/>
          <w:color w:val="auto"/>
          <w:sz w:val="24"/>
          <w:highlight w:val="none"/>
        </w:rPr>
      </w:pPr>
      <w:r>
        <w:rPr>
          <w:rFonts w:eastAsia="宋体"/>
          <w:color w:val="auto"/>
          <w:sz w:val="24"/>
          <w:highlight w:val="none"/>
        </w:rPr>
        <w:t>f—必须进入事故废水收集系统的雨水汇水面积，ha；</w:t>
      </w:r>
    </w:p>
    <w:p w14:paraId="4FB8EC02">
      <w:pPr>
        <w:pStyle w:val="20"/>
        <w:keepNext w:val="0"/>
        <w:keepLines w:val="0"/>
        <w:pageBreakBefore w:val="0"/>
        <w:widowControl w:val="0"/>
        <w:kinsoku/>
        <w:wordWrap/>
        <w:overflowPunct/>
        <w:topLinePunct w:val="0"/>
        <w:bidi w:val="0"/>
        <w:spacing w:line="360" w:lineRule="auto"/>
        <w:ind w:left="0" w:right="0"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qn—年平均降雨量，mm；n—年平均降雨日数，d；</w:t>
      </w:r>
    </w:p>
    <w:p w14:paraId="14BA1016">
      <w:pPr>
        <w:pStyle w:val="20"/>
        <w:keepNext w:val="0"/>
        <w:keepLines w:val="0"/>
        <w:pageBreakBefore w:val="0"/>
        <w:widowControl w:val="0"/>
        <w:kinsoku/>
        <w:wordWrap/>
        <w:overflowPunct/>
        <w:topLinePunct w:val="0"/>
        <w:bidi w:val="0"/>
        <w:spacing w:line="360" w:lineRule="auto"/>
        <w:ind w:left="0" w:right="0"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根据无锡市近20年（2002年-2021年）的统计数据，无锡市年平均降雨量为1218.5mm，年平均降雨天数为127d，平均降雨强度为9.59mm。</w:t>
      </w:r>
    </w:p>
    <w:p w14:paraId="13579172">
      <w:pPr>
        <w:pStyle w:val="20"/>
        <w:keepNext w:val="0"/>
        <w:keepLines w:val="0"/>
        <w:pageBreakBefore w:val="0"/>
        <w:widowControl w:val="0"/>
        <w:kinsoku/>
        <w:wordWrap/>
        <w:overflowPunct/>
        <w:topLinePunct w:val="0"/>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ascii="Times New Roman" w:hAnsi="Times New Roman" w:cs="Times New Roman"/>
          <w:color w:val="auto"/>
          <w:sz w:val="24"/>
          <w:szCs w:val="24"/>
          <w:highlight w:val="none"/>
        </w:rPr>
        <w:t>公司雨水汇流面积约2公顷，则V</w:t>
      </w:r>
      <w:r>
        <w:rPr>
          <w:rFonts w:ascii="Times New Roman" w:hAnsi="Times New Roman" w:cs="Times New Roman"/>
          <w:color w:val="auto"/>
          <w:sz w:val="24"/>
          <w:szCs w:val="24"/>
          <w:highlight w:val="none"/>
          <w:vertAlign w:val="subscript"/>
        </w:rPr>
        <w:t>5</w:t>
      </w:r>
      <w:r>
        <w:rPr>
          <w:rFonts w:ascii="Times New Roman" w:hAnsi="Times New Roman" w:cs="Times New Roman"/>
          <w:color w:val="auto"/>
          <w:sz w:val="24"/>
          <w:szCs w:val="24"/>
          <w:highlight w:val="none"/>
        </w:rPr>
        <w:t>=10×9.59×2=192m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企业拟改造380m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初期雨水收集池。</w:t>
      </w:r>
    </w:p>
    <w:p w14:paraId="73E9179E">
      <w:pPr>
        <w:pStyle w:val="20"/>
        <w:keepNext w:val="0"/>
        <w:keepLines w:val="0"/>
        <w:pageBreakBefore w:val="0"/>
        <w:widowControl w:val="0"/>
        <w:kinsoku/>
        <w:wordWrap/>
        <w:overflowPunct/>
        <w:topLinePunct w:val="0"/>
        <w:bidi w:val="0"/>
        <w:spacing w:line="360" w:lineRule="auto"/>
        <w:ind w:left="0" w:right="0"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通过以上基础数据可计算，如发生事故，则事故应急池容积约为：</w:t>
      </w:r>
    </w:p>
    <w:p w14:paraId="6531E903">
      <w:pPr>
        <w:pStyle w:val="20"/>
        <w:keepNext w:val="0"/>
        <w:keepLines w:val="0"/>
        <w:pageBreakBefore w:val="0"/>
        <w:widowControl w:val="0"/>
        <w:kinsoku/>
        <w:wordWrap/>
        <w:overflowPunct/>
        <w:topLinePunct w:val="0"/>
        <w:bidi w:val="0"/>
        <w:spacing w:line="360" w:lineRule="auto"/>
        <w:ind w:left="0" w:right="0" w:firstLine="480" w:firstLineChars="200"/>
        <w:jc w:val="both"/>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总</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1</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）max+V</w:t>
      </w:r>
      <w:r>
        <w:rPr>
          <w:rFonts w:ascii="Times New Roman" w:hAnsi="Times New Roman" w:cs="Times New Roman"/>
          <w:color w:val="auto"/>
          <w:sz w:val="24"/>
          <w:szCs w:val="24"/>
          <w:highlight w:val="none"/>
          <w:vertAlign w:val="subscript"/>
        </w:rPr>
        <w:t>4</w:t>
      </w:r>
      <w:r>
        <w:rPr>
          <w:rFonts w:ascii="Times New Roman" w:hAnsi="Times New Roman" w:cs="Times New Roman"/>
          <w:color w:val="auto"/>
          <w:sz w:val="24"/>
          <w:szCs w:val="24"/>
          <w:highlight w:val="none"/>
        </w:rPr>
        <w:t>+V</w:t>
      </w:r>
      <w:r>
        <w:rPr>
          <w:rFonts w:ascii="Times New Roman" w:hAnsi="Times New Roman" w:cs="Times New Roman"/>
          <w:color w:val="auto"/>
          <w:sz w:val="24"/>
          <w:szCs w:val="24"/>
          <w:highlight w:val="none"/>
          <w:vertAlign w:val="subscript"/>
        </w:rPr>
        <w:t>5</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2</w:t>
      </w:r>
      <w:r>
        <w:rPr>
          <w:rFonts w:ascii="Times New Roman" w:hAnsi="Times New Roman" w:cs="Times New Roman"/>
          <w:color w:val="auto"/>
          <w:sz w:val="24"/>
          <w:szCs w:val="24"/>
          <w:highlight w:val="none"/>
        </w:rPr>
        <w:t>0+378-81+0+192</w:t>
      </w:r>
      <w:r>
        <w:rPr>
          <w:rFonts w:hint="eastAsia" w:ascii="Times New Roman" w:hAnsi="Times New Roman" w:cs="Times New Roman"/>
          <w:color w:val="auto"/>
          <w:sz w:val="24"/>
          <w:szCs w:val="24"/>
          <w:highlight w:val="none"/>
          <w:lang w:val="en-US" w:eastAsia="zh-CN"/>
        </w:rPr>
        <w:t>-380</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129</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p>
    <w:p w14:paraId="796D9EE1">
      <w:pPr>
        <w:pStyle w:val="20"/>
        <w:keepNext w:val="0"/>
        <w:keepLines w:val="0"/>
        <w:pageBreakBefore w:val="0"/>
        <w:widowControl w:val="0"/>
        <w:kinsoku/>
        <w:wordWrap/>
        <w:overflowPunct/>
        <w:topLinePunct w:val="0"/>
        <w:bidi w:val="0"/>
        <w:spacing w:line="360" w:lineRule="auto"/>
        <w:ind w:left="0" w:right="0" w:firstLine="456" w:firstLineChars="200"/>
        <w:jc w:val="both"/>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pacing w:val="-6"/>
          <w:sz w:val="24"/>
          <w:szCs w:val="24"/>
          <w:highlight w:val="none"/>
        </w:rPr>
        <w:t>通过以上计算可知，企业需设置容积不小于</w:t>
      </w:r>
      <w:r>
        <w:rPr>
          <w:rFonts w:hint="eastAsia" w:ascii="Times New Roman" w:hAnsi="Times New Roman" w:cs="Times New Roman"/>
          <w:color w:val="auto"/>
          <w:spacing w:val="-6"/>
          <w:sz w:val="24"/>
          <w:szCs w:val="24"/>
          <w:highlight w:val="none"/>
          <w:lang w:val="en-US" w:eastAsia="zh-CN"/>
        </w:rPr>
        <w:t>129</w:t>
      </w:r>
      <w:r>
        <w:rPr>
          <w:rFonts w:hint="eastAsia" w:ascii="Times New Roman" w:hAnsi="Times New Roman" w:cs="Times New Roman"/>
          <w:color w:val="auto"/>
          <w:spacing w:val="-6"/>
          <w:sz w:val="24"/>
          <w:szCs w:val="24"/>
          <w:highlight w:val="none"/>
        </w:rPr>
        <w:t>m</w:t>
      </w:r>
      <w:r>
        <w:rPr>
          <w:rFonts w:hint="eastAsia" w:ascii="Times New Roman" w:hAnsi="Times New Roman" w:cs="Times New Roman"/>
          <w:color w:val="auto"/>
          <w:spacing w:val="-6"/>
          <w:sz w:val="24"/>
          <w:szCs w:val="24"/>
          <w:highlight w:val="none"/>
          <w:vertAlign w:val="superscript"/>
        </w:rPr>
        <w:t>3</w:t>
      </w:r>
      <w:r>
        <w:rPr>
          <w:rFonts w:hint="eastAsia" w:ascii="Times New Roman" w:hAnsi="Times New Roman" w:cs="Times New Roman"/>
          <w:color w:val="auto"/>
          <w:spacing w:val="-6"/>
          <w:sz w:val="24"/>
          <w:szCs w:val="24"/>
          <w:highlight w:val="none"/>
        </w:rPr>
        <w:t>的应急事故池，才可满足收集消防事故废水的要求。目前，企业设置应急事故池540m</w:t>
      </w:r>
      <w:r>
        <w:rPr>
          <w:rFonts w:hint="eastAsia" w:ascii="Times New Roman" w:hAnsi="Times New Roman" w:cs="Times New Roman"/>
          <w:color w:val="auto"/>
          <w:spacing w:val="-6"/>
          <w:sz w:val="24"/>
          <w:szCs w:val="24"/>
          <w:highlight w:val="none"/>
          <w:vertAlign w:val="superscript"/>
        </w:rPr>
        <w:t>3</w:t>
      </w:r>
      <w:r>
        <w:rPr>
          <w:rFonts w:hint="eastAsia" w:ascii="Times New Roman" w:hAnsi="Times New Roman" w:cs="Times New Roman"/>
          <w:color w:val="auto"/>
          <w:spacing w:val="-6"/>
          <w:sz w:val="24"/>
          <w:szCs w:val="24"/>
          <w:highlight w:val="none"/>
        </w:rPr>
        <w:t>，可满足事故废水的收集要求。</w:t>
      </w:r>
    </w:p>
    <w:p w14:paraId="3812155B">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7.6.6</w:t>
      </w:r>
      <w:r>
        <w:rPr>
          <w:rFonts w:eastAsia="宋体"/>
          <w:color w:val="auto"/>
          <w:sz w:val="28"/>
          <w:szCs w:val="28"/>
          <w:highlight w:val="none"/>
        </w:rPr>
        <w:t>地下水</w:t>
      </w:r>
      <w:r>
        <w:rPr>
          <w:rFonts w:hint="eastAsia" w:eastAsia="宋体"/>
          <w:color w:val="auto"/>
          <w:sz w:val="28"/>
          <w:szCs w:val="28"/>
          <w:highlight w:val="none"/>
        </w:rPr>
        <w:t>、土壤</w:t>
      </w:r>
      <w:r>
        <w:rPr>
          <w:rFonts w:eastAsia="宋体"/>
          <w:color w:val="auto"/>
          <w:sz w:val="28"/>
          <w:szCs w:val="28"/>
          <w:highlight w:val="none"/>
        </w:rPr>
        <w:t>环境风险防范措施</w:t>
      </w:r>
    </w:p>
    <w:p w14:paraId="4AD42A2E">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_Ref1601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4.8</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5</w:t>
      </w:r>
      <w:r>
        <w:rPr>
          <w:rFonts w:ascii="Times New Roman" w:hAnsi="Times New Roman" w:cs="Times New Roman"/>
          <w:color w:val="auto"/>
          <w:highlight w:val="none"/>
        </w:rPr>
        <w:fldChar w:fldCharType="end"/>
      </w:r>
      <w:r>
        <w:rPr>
          <w:rFonts w:ascii="Times New Roman" w:hAnsi="Times New Roman" w:cs="Times New Roman"/>
          <w:color w:val="auto"/>
          <w:highlight w:val="none"/>
        </w:rPr>
        <w:t>，本项目涉及地表水环境风险的风险源和风险单元主要为</w:t>
      </w:r>
      <w:r>
        <w:rPr>
          <w:rFonts w:hint="eastAsia" w:ascii="Times New Roman" w:hAnsi="Times New Roman" w:cs="Times New Roman"/>
          <w:color w:val="auto"/>
          <w:highlight w:val="none"/>
          <w:lang w:eastAsia="zh-CN"/>
        </w:rPr>
        <w:t>危险品仓库</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防爆间</w:t>
      </w:r>
      <w:r>
        <w:rPr>
          <w:rFonts w:hint="eastAsia" w:ascii="Times New Roman" w:hAnsi="Times New Roman" w:cs="Times New Roman"/>
          <w:color w:val="auto"/>
          <w:highlight w:val="none"/>
        </w:rPr>
        <w:t>、化学试剂柜、成品仓库</w:t>
      </w:r>
      <w:r>
        <w:rPr>
          <w:rFonts w:ascii="Times New Roman" w:hAnsi="Times New Roman" w:cs="Times New Roman"/>
          <w:color w:val="auto"/>
          <w:highlight w:val="none"/>
        </w:rPr>
        <w:t>的贮存的危险物质原料、危废仓库</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贮存的危废、生产车间各生产设备内的危险物质物料、废气处理设施等。主要影响途径为泄漏物料、消防沙土和废水渗漏进入土壤和地下水。企业应重点采取源头控制和分区防渗措施，加强地下水环境的监控、预警，发现污染事故及时采取措施控制和消除污染。</w:t>
      </w:r>
    </w:p>
    <w:p w14:paraId="37DDD807">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（1）源头控制</w:t>
      </w:r>
    </w:p>
    <w:p w14:paraId="3979EB6A">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1）严格按照国家相关规范要求，对本项目构筑物等采取相应措施，以防止和降低污染物的跑、冒、滴、漏，将污染物泄漏的环境风险事故降到最低程度。</w:t>
      </w:r>
    </w:p>
    <w:p w14:paraId="39311650">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2）设备和管线尽量采用</w:t>
      </w:r>
      <w:r>
        <w:rPr>
          <w:rFonts w:hint="eastAsia" w:ascii="Times New Roman" w:hAnsi="Times New Roman" w:cs="Times New Roman"/>
          <w:color w:val="auto"/>
          <w:highlight w:val="none"/>
        </w:rPr>
        <w:t>“</w:t>
      </w:r>
      <w:r>
        <w:rPr>
          <w:rFonts w:ascii="Times New Roman" w:hAnsi="Times New Roman" w:cs="Times New Roman"/>
          <w:color w:val="auto"/>
          <w:highlight w:val="none"/>
        </w:rPr>
        <w:t>可视化</w:t>
      </w:r>
      <w:r>
        <w:rPr>
          <w:rFonts w:hint="eastAsia" w:ascii="Times New Roman" w:hAnsi="Times New Roman" w:cs="Times New Roman"/>
          <w:color w:val="auto"/>
          <w:highlight w:val="none"/>
        </w:rPr>
        <w:t>”</w:t>
      </w:r>
      <w:r>
        <w:rPr>
          <w:rFonts w:ascii="Times New Roman" w:hAnsi="Times New Roman" w:cs="Times New Roman"/>
          <w:color w:val="auto"/>
          <w:highlight w:val="none"/>
        </w:rPr>
        <w:t>原则，即尽可能地上敷设和放置，做到污染物</w:t>
      </w:r>
      <w:r>
        <w:rPr>
          <w:rFonts w:hint="eastAsia" w:ascii="Times New Roman" w:hAnsi="Times New Roman" w:cs="Times New Roman"/>
          <w:color w:val="auto"/>
          <w:highlight w:val="none"/>
        </w:rPr>
        <w:t>“</w:t>
      </w:r>
      <w:r>
        <w:rPr>
          <w:rFonts w:ascii="Times New Roman" w:hAnsi="Times New Roman" w:cs="Times New Roman"/>
          <w:color w:val="auto"/>
          <w:highlight w:val="none"/>
        </w:rPr>
        <w:t>早发现、早处理</w:t>
      </w:r>
      <w:r>
        <w:rPr>
          <w:rFonts w:hint="eastAsia" w:ascii="Times New Roman" w:hAnsi="Times New Roman" w:cs="Times New Roman"/>
          <w:color w:val="auto"/>
          <w:highlight w:val="none"/>
        </w:rPr>
        <w:t>”</w:t>
      </w:r>
      <w:r>
        <w:rPr>
          <w:rFonts w:ascii="Times New Roman" w:hAnsi="Times New Roman" w:cs="Times New Roman"/>
          <w:color w:val="auto"/>
          <w:highlight w:val="none"/>
        </w:rPr>
        <w:t>，以减少由于埋地泄漏而可能造成的地下水污染。对地下管道，管道内外均采用防腐处理，另建设控制站、截污阀、排污阀、流量、压力在线监测仪，购买超声及磁力检漏设备，定期对管道进行检漏，对出现泄漏处的土壤进行换土。</w:t>
      </w:r>
    </w:p>
    <w:p w14:paraId="41BF6DCE">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3）堆放固体废物的场地按照国家相关规范要求，采取防泄漏措施。</w:t>
      </w:r>
    </w:p>
    <w:p w14:paraId="2E1E6138">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4）严格固体废物管理，不接触外界降水，使其不产生淋滤液，严防污染物泄漏到地下水、土壤中。</w:t>
      </w:r>
    </w:p>
    <w:p w14:paraId="61E011AD">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（2）分区防渗</w:t>
      </w:r>
    </w:p>
    <w:p w14:paraId="1FDEF331">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应根据建设项目所在地的地形特点优化地面布局，必要时设置地面硬化、围堰或围墙，以防止土壤环境污染。本项目将全厂按物料或者污染物泄漏、抛洒的途径和生产功能单元所处的位置进行分区防渗。</w:t>
      </w:r>
    </w:p>
    <w:p w14:paraId="1C857BA8">
      <w:pPr>
        <w:spacing w:line="360" w:lineRule="auto"/>
        <w:ind w:left="-105" w:right="-105" w:firstLine="480"/>
        <w:rPr>
          <w:rFonts w:ascii="Times New Roman" w:hAnsi="Times New Roman" w:cs="Times New Roman"/>
          <w:color w:val="auto"/>
          <w:highlight w:val="none"/>
          <w:lang w:bidi="ar"/>
        </w:rPr>
      </w:pPr>
      <w:r>
        <w:rPr>
          <w:rFonts w:ascii="Times New Roman" w:hAnsi="Times New Roman" w:cs="Times New Roman"/>
          <w:color w:val="auto"/>
          <w:highlight w:val="none"/>
          <w:lang w:bidi="ar"/>
        </w:rPr>
        <w:t>重点防渗区（包气带防护性能为弱，污染控制难易程度为易）主要为：</w:t>
      </w:r>
      <w:r>
        <w:rPr>
          <w:rFonts w:hint="eastAsia" w:ascii="Times New Roman" w:hAnsi="Times New Roman" w:cs="Times New Roman"/>
          <w:color w:val="auto"/>
          <w:highlight w:val="none"/>
          <w:lang w:bidi="ar"/>
        </w:rPr>
        <w:t>生产区、</w:t>
      </w:r>
      <w:r>
        <w:rPr>
          <w:rFonts w:hint="eastAsia" w:ascii="Times New Roman" w:hAnsi="Times New Roman" w:cs="Times New Roman"/>
          <w:color w:val="auto"/>
          <w:highlight w:val="none"/>
          <w:lang w:eastAsia="zh-CN" w:bidi="ar"/>
        </w:rPr>
        <w:t>危险品仓库</w:t>
      </w:r>
      <w:r>
        <w:rPr>
          <w:rFonts w:hint="eastAsia" w:ascii="Times New Roman" w:hAnsi="Times New Roman" w:cs="Times New Roman"/>
          <w:color w:val="auto"/>
          <w:highlight w:val="none"/>
          <w:lang w:bidi="ar"/>
        </w:rPr>
        <w:t>、成品仓库、埋地柴油罐、废液储罐区、危废仓库、事故池、初期雨水收集池</w:t>
      </w:r>
      <w:r>
        <w:rPr>
          <w:rFonts w:ascii="Times New Roman" w:hAnsi="Times New Roman" w:cs="Times New Roman"/>
          <w:color w:val="auto"/>
          <w:highlight w:val="none"/>
          <w:lang w:bidi="ar"/>
        </w:rPr>
        <w:t>。本项目重点防渗区的设计渗透系数≤1.0×10</w:t>
      </w:r>
      <w:r>
        <w:rPr>
          <w:rFonts w:ascii="Times New Roman" w:hAnsi="Times New Roman" w:cs="Times New Roman"/>
          <w:color w:val="auto"/>
          <w:highlight w:val="none"/>
          <w:vertAlign w:val="superscript"/>
          <w:lang w:bidi="ar"/>
        </w:rPr>
        <w:t>-10</w:t>
      </w:r>
      <w:r>
        <w:rPr>
          <w:rFonts w:ascii="Times New Roman" w:hAnsi="Times New Roman" w:cs="Times New Roman"/>
          <w:color w:val="auto"/>
          <w:highlight w:val="none"/>
          <w:lang w:bidi="ar"/>
        </w:rPr>
        <w:t>cm/s。</w:t>
      </w:r>
    </w:p>
    <w:p w14:paraId="0132D318">
      <w:pPr>
        <w:spacing w:line="360" w:lineRule="auto"/>
        <w:ind w:left="-105" w:right="-105" w:firstLine="480"/>
        <w:rPr>
          <w:rFonts w:ascii="Times New Roman" w:hAnsi="Times New Roman" w:cs="Times New Roman"/>
          <w:color w:val="auto"/>
          <w:highlight w:val="none"/>
          <w:lang w:bidi="ar"/>
        </w:rPr>
      </w:pPr>
      <w:r>
        <w:rPr>
          <w:rFonts w:ascii="Times New Roman" w:hAnsi="Times New Roman" w:cs="Times New Roman"/>
          <w:color w:val="auto"/>
          <w:highlight w:val="none"/>
          <w:lang w:bidi="ar"/>
        </w:rPr>
        <w:t>一般防渗区（包气带防护性能为弱，污染控制难易程度为易）主要为：</w:t>
      </w:r>
      <w:r>
        <w:rPr>
          <w:rFonts w:hint="eastAsia" w:ascii="Times New Roman" w:hAnsi="Times New Roman" w:cs="Times New Roman"/>
          <w:color w:val="auto"/>
          <w:highlight w:val="none"/>
          <w:lang w:bidi="ar"/>
        </w:rPr>
        <w:t>实验楼、一般固废仓库、辅房</w:t>
      </w:r>
      <w:r>
        <w:rPr>
          <w:rFonts w:ascii="Times New Roman" w:hAnsi="Times New Roman" w:cs="Times New Roman"/>
          <w:color w:val="auto"/>
          <w:highlight w:val="none"/>
          <w:lang w:bidi="ar"/>
        </w:rPr>
        <w:t>等地。本项目一般防渗区的设计渗透系数≤1.0×10</w:t>
      </w:r>
      <w:r>
        <w:rPr>
          <w:rFonts w:ascii="Times New Roman" w:hAnsi="Times New Roman" w:cs="Times New Roman"/>
          <w:color w:val="auto"/>
          <w:highlight w:val="none"/>
          <w:vertAlign w:val="superscript"/>
          <w:lang w:bidi="ar"/>
        </w:rPr>
        <w:t>-7</w:t>
      </w:r>
      <w:r>
        <w:rPr>
          <w:rFonts w:ascii="Times New Roman" w:hAnsi="Times New Roman" w:cs="Times New Roman"/>
          <w:color w:val="auto"/>
          <w:highlight w:val="none"/>
          <w:lang w:bidi="ar"/>
        </w:rPr>
        <w:t>cm/s。本项目一般防渗区的设计为铺装普通水泥地面。</w:t>
      </w:r>
    </w:p>
    <w:p w14:paraId="018AC9A7">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lang w:bidi="ar"/>
        </w:rPr>
        <w:t>简单防渗区（包气带防护性能为弱，污染控制难易程度为易）主要为：</w:t>
      </w:r>
      <w:r>
        <w:rPr>
          <w:rFonts w:hint="eastAsia" w:ascii="Times New Roman" w:hAnsi="Times New Roman" w:cs="Times New Roman"/>
          <w:color w:val="auto"/>
          <w:highlight w:val="none"/>
          <w:lang w:bidi="ar"/>
        </w:rPr>
        <w:t>办公区、厂区道路、停车场、门卫</w:t>
      </w:r>
      <w:r>
        <w:rPr>
          <w:rFonts w:ascii="Times New Roman" w:hAnsi="Times New Roman" w:cs="Times New Roman"/>
          <w:color w:val="auto"/>
          <w:highlight w:val="none"/>
        </w:rPr>
        <w:t>。</w:t>
      </w:r>
    </w:p>
    <w:p w14:paraId="5B81D43B">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（3）监控、预警</w:t>
      </w:r>
    </w:p>
    <w:p w14:paraId="2779FCC9">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企业应建立污染监控和预警体系，实施覆盖生产区的地下水污染监控体系，包括建立完善的监测制度、配备检测仪器和设备、科学、合理设置地下水污染监控井，及时发现污染、及时控制。一旦发现地下水污染事故，立即启动应急预案，采取应急措施控制地下水污染，并使污染得到治理。</w:t>
      </w:r>
    </w:p>
    <w:p w14:paraId="2FBCD727">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7.6.7</w:t>
      </w:r>
      <w:r>
        <w:rPr>
          <w:rFonts w:eastAsia="宋体"/>
          <w:color w:val="auto"/>
          <w:sz w:val="28"/>
          <w:szCs w:val="28"/>
          <w:highlight w:val="none"/>
        </w:rPr>
        <w:t>风险监控、应急监测和事故应急处理措施</w:t>
      </w:r>
    </w:p>
    <w:p w14:paraId="3625AF39">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（1）风险监控和应急监测</w:t>
      </w:r>
    </w:p>
    <w:p w14:paraId="17D9DEB1">
      <w:pPr>
        <w:tabs>
          <w:tab w:val="left" w:pos="0"/>
          <w:tab w:val="left" w:pos="1123"/>
        </w:tabs>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_Ref1601 \h  \* MERGEFORMAT </w:instrText>
      </w:r>
      <w:r>
        <w:rPr>
          <w:rFonts w:ascii="Times New Roman" w:hAnsi="Times New Roman" w:cs="Times New Roman"/>
          <w:color w:val="auto"/>
          <w:highlight w:val="none"/>
        </w:rPr>
        <w:fldChar w:fldCharType="separate"/>
      </w:r>
      <w:r>
        <w:rPr>
          <w:rFonts w:ascii="Times New Roman" w:hAnsi="Times New Roman" w:cs="Times New Roman"/>
          <w:color w:val="auto"/>
          <w:szCs w:val="18"/>
          <w:highlight w:val="none"/>
        </w:rPr>
        <w:t>表</w:t>
      </w:r>
      <w:r>
        <w:rPr>
          <w:rFonts w:ascii="Times New Roman" w:hAnsi="Times New Roman" w:cs="Times New Roman"/>
          <w:color w:val="auto"/>
          <w:szCs w:val="18"/>
          <w:highlight w:val="none"/>
        </w:rPr>
        <w:fldChar w:fldCharType="begin"/>
      </w:r>
      <w:r>
        <w:rPr>
          <w:rFonts w:ascii="Times New Roman" w:hAnsi="Times New Roman" w:cs="Times New Roman"/>
          <w:color w:val="auto"/>
          <w:szCs w:val="18"/>
          <w:highlight w:val="none"/>
        </w:rPr>
        <w:instrText xml:space="preserve"> STYLEREF 2 \s </w:instrText>
      </w:r>
      <w:r>
        <w:rPr>
          <w:rFonts w:ascii="Times New Roman" w:hAnsi="Times New Roman" w:cs="Times New Roman"/>
          <w:color w:val="auto"/>
          <w:szCs w:val="18"/>
          <w:highlight w:val="none"/>
        </w:rPr>
        <w:fldChar w:fldCharType="separate"/>
      </w:r>
      <w:r>
        <w:rPr>
          <w:rFonts w:ascii="Times New Roman" w:hAnsi="Times New Roman" w:cs="Times New Roman"/>
          <w:color w:val="auto"/>
          <w:szCs w:val="18"/>
          <w:highlight w:val="none"/>
        </w:rPr>
        <w:t>4.8</w:t>
      </w:r>
      <w:r>
        <w:rPr>
          <w:rFonts w:ascii="Times New Roman" w:hAnsi="Times New Roman" w:cs="Times New Roman"/>
          <w:color w:val="auto"/>
          <w:szCs w:val="18"/>
          <w:highlight w:val="none"/>
        </w:rPr>
        <w:fldChar w:fldCharType="end"/>
      </w:r>
      <w:r>
        <w:rPr>
          <w:rFonts w:ascii="Times New Roman" w:hAnsi="Times New Roman" w:cs="Times New Roman"/>
          <w:color w:val="auto"/>
          <w:szCs w:val="18"/>
          <w:highlight w:val="none"/>
        </w:rPr>
        <w:noBreakHyphen/>
      </w:r>
      <w:r>
        <w:rPr>
          <w:rFonts w:ascii="Times New Roman" w:hAnsi="Times New Roman" w:cs="Times New Roman"/>
          <w:color w:val="auto"/>
          <w:szCs w:val="18"/>
          <w:highlight w:val="none"/>
        </w:rPr>
        <w:t>5</w:t>
      </w:r>
      <w:r>
        <w:rPr>
          <w:rFonts w:ascii="Times New Roman" w:hAnsi="Times New Roman" w:cs="Times New Roman"/>
          <w:color w:val="auto"/>
          <w:highlight w:val="none"/>
        </w:rPr>
        <w:fldChar w:fldCharType="end"/>
      </w:r>
      <w:r>
        <w:rPr>
          <w:rFonts w:ascii="Times New Roman" w:hAnsi="Times New Roman" w:cs="Times New Roman"/>
          <w:color w:val="auto"/>
          <w:highlight w:val="none"/>
        </w:rPr>
        <w:t>，本项目涉及环境风险的风险源和风险单元主要为</w:t>
      </w:r>
      <w:r>
        <w:rPr>
          <w:rFonts w:hint="eastAsia" w:ascii="Times New Roman" w:hAnsi="Times New Roman" w:cs="Times New Roman"/>
          <w:color w:val="auto"/>
          <w:highlight w:val="none"/>
          <w:lang w:eastAsia="zh-CN"/>
        </w:rPr>
        <w:t>危险品仓库</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防爆间</w:t>
      </w:r>
      <w:r>
        <w:rPr>
          <w:rFonts w:hint="eastAsia" w:ascii="Times New Roman" w:hAnsi="Times New Roman" w:cs="Times New Roman"/>
          <w:color w:val="auto"/>
          <w:highlight w:val="none"/>
        </w:rPr>
        <w:t>、化学试剂柜、成品仓库</w:t>
      </w:r>
      <w:r>
        <w:rPr>
          <w:rFonts w:ascii="Times New Roman" w:hAnsi="Times New Roman" w:cs="Times New Roman"/>
          <w:color w:val="auto"/>
          <w:highlight w:val="none"/>
        </w:rPr>
        <w:t>的贮存的危险物质原料、危废仓库</w:t>
      </w:r>
      <w:r>
        <w:rPr>
          <w:rFonts w:hint="eastAsia" w:ascii="Times New Roman" w:hAnsi="Times New Roman" w:cs="Times New Roman"/>
          <w:color w:val="auto"/>
          <w:highlight w:val="none"/>
        </w:rPr>
        <w:t>、废液储罐</w:t>
      </w:r>
      <w:r>
        <w:rPr>
          <w:rFonts w:ascii="Times New Roman" w:hAnsi="Times New Roman" w:cs="Times New Roman"/>
          <w:color w:val="auto"/>
          <w:highlight w:val="none"/>
        </w:rPr>
        <w:t>贮存的危废、生产车间各生产设备内的危险物质物料、废气处理设施等，企业应对环境风险单元设置风险源监控，并建立应急监测系统，实现事故预警和快速应急监测、跟踪。具体环境风险防范措施和事故应急处理措施主要如下：</w:t>
      </w:r>
    </w:p>
    <w:p w14:paraId="39296566">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1）加强管理，建立人员巡检和排查制度，发现环境风险隐患和事故及时报告。</w:t>
      </w:r>
    </w:p>
    <w:p w14:paraId="6CFC3BD4">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2）在重点区域安装可燃气体报警和烟雾探测报警装置等监控预警装置，在厂区设置</w:t>
      </w:r>
      <w:r>
        <w:rPr>
          <w:rFonts w:ascii="Times New Roman" w:hAnsi="Times New Roman" w:cs="Times New Roman"/>
          <w:color w:val="auto"/>
          <w:highlight w:val="none"/>
        </w:rPr>
        <w:t>消防及火灾报警系统</w:t>
      </w:r>
      <w:r>
        <w:rPr>
          <w:rFonts w:ascii="Times New Roman" w:hAnsi="Times New Roman" w:cs="Times New Roman"/>
          <w:color w:val="auto"/>
          <w:szCs w:val="32"/>
          <w:highlight w:val="none"/>
        </w:rPr>
        <w:t>，可对泄漏和火灾事故进行监控和预警。</w:t>
      </w:r>
    </w:p>
    <w:p w14:paraId="7CCA823D">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3）根据环保要求，安装废气处理设施工况监控装置或废气在线监测装置，发现废气处理设施不正常运行或废气超标排放及时报警。</w:t>
      </w:r>
    </w:p>
    <w:p w14:paraId="1A1F7985">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4）设置地下水监控井地下水污染监控体系，包括建立完善的监测制度、配备检测仪器和设备、科学、合理设置地下水污染监控井，及时发现污染、及时控制。一旦发现地下水污染事故，立即启动应急预案。</w:t>
      </w:r>
    </w:p>
    <w:p w14:paraId="35253429">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5）根据应急监测要求，企业与有资质的监测单位签订了应急监测协议，发生事故后立即通知监测单位人员进行相关应急监测工作。</w:t>
      </w:r>
    </w:p>
    <w:p w14:paraId="65C615B2">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szCs w:val="32"/>
          <w:highlight w:val="none"/>
        </w:rPr>
      </w:pPr>
      <w:r>
        <w:rPr>
          <w:rFonts w:ascii="Times New Roman" w:hAnsi="Times New Roman" w:cs="Times New Roman"/>
          <w:color w:val="auto"/>
          <w:szCs w:val="32"/>
          <w:highlight w:val="none"/>
        </w:rPr>
        <w:t>（2）主要应急处置措施</w:t>
      </w:r>
    </w:p>
    <w:p w14:paraId="3BF87A46">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1）化学品发生泄漏：</w:t>
      </w:r>
    </w:p>
    <w:p w14:paraId="6B53B3C9">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少量泄漏时，建议应急处理人员戴防毒面具、耐酸碱手套，将泄漏包装桶内的物料转至干净可封闭的空桶内暂存，优先投入生产使用，用沙土或其它惰性材料对泄漏物进行覆盖，并收集至密闭容器内，收集的泄漏物料及破损废包装桶作危废处置。</w:t>
      </w:r>
    </w:p>
    <w:p w14:paraId="393B27AA">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大量泄漏时，如包装桶侧翻等情况，第一发现人立即疏散泄漏污染区人员至安全区，禁止无关人员进入污染区，切断火源，并上报副总指挥，副总指挥负责现场救援指挥。利用沙袋构筑围挡控制流散范围，设立警戒线，严禁烟火，应急处理人员戴防毒面具，穿化学防护服(完全隔离)，不要直接接触泄漏物，在确保安全情况下处置。</w:t>
      </w:r>
    </w:p>
    <w:p w14:paraId="2E0A3B89">
      <w:pPr>
        <w:widowControl w:val="0"/>
        <w:adjustRightInd w:val="0"/>
        <w:snapToGrid w:val="0"/>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废液</w:t>
      </w:r>
      <w:r>
        <w:rPr>
          <w:rFonts w:ascii="Times New Roman" w:hAnsi="Times New Roman" w:cs="Times New Roman"/>
          <w:color w:val="auto"/>
          <w:highlight w:val="none"/>
        </w:rPr>
        <w:t>储罐发生泄漏：</w:t>
      </w:r>
    </w:p>
    <w:p w14:paraId="026C5109">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如</w:t>
      </w:r>
      <w:r>
        <w:rPr>
          <w:rFonts w:hint="eastAsia" w:ascii="Times New Roman" w:hAnsi="Times New Roman" w:cs="Times New Roman"/>
          <w:color w:val="auto"/>
          <w:highlight w:val="none"/>
        </w:rPr>
        <w:t>废液</w:t>
      </w:r>
      <w:r>
        <w:rPr>
          <w:rFonts w:ascii="Times New Roman" w:hAnsi="Times New Roman" w:cs="Times New Roman"/>
          <w:color w:val="auto"/>
          <w:highlight w:val="none"/>
        </w:rPr>
        <w:t>储罐出现裂缝、进料管线泵跑冒滴漏等，可利用储罐周边截流沟收集，发现泄漏时，并清理收集沟内泄漏物料，作为危废委外处置；如发生收集沟外溢，第一发现人立即疏散泄漏污染区人员至安全区，并上报副总指挥，副总指挥负责现场救援指挥。利用沙袋构筑围挡控制流散范围，设立警戒线，严禁烟火，应急处理人员戴防护装备，不要直接接触泄漏物，在确保安全情况下处置。</w:t>
      </w:r>
    </w:p>
    <w:p w14:paraId="51B4E639">
      <w:pPr>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）事故废水（主要为消防废水）进入雨水管网</w:t>
      </w:r>
    </w:p>
    <w:p w14:paraId="1B160860">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突发情况下，事故废水进入雨水管网，</w:t>
      </w:r>
      <w:r>
        <w:rPr>
          <w:rFonts w:hint="eastAsia" w:ascii="Times New Roman" w:hAnsi="Times New Roman" w:cs="Times New Roman"/>
          <w:color w:val="auto"/>
          <w:highlight w:val="none"/>
        </w:rPr>
        <w:t>第一时间确认</w:t>
      </w:r>
      <w:r>
        <w:rPr>
          <w:rFonts w:ascii="Times New Roman" w:hAnsi="Times New Roman" w:cs="Times New Roman"/>
          <w:color w:val="auto"/>
          <w:highlight w:val="none"/>
        </w:rPr>
        <w:t>雨水阀门</w:t>
      </w:r>
      <w:r>
        <w:rPr>
          <w:rFonts w:hint="eastAsia" w:ascii="Times New Roman" w:hAnsi="Times New Roman" w:cs="Times New Roman"/>
          <w:color w:val="auto"/>
          <w:highlight w:val="none"/>
        </w:rPr>
        <w:t>是否关闭</w:t>
      </w:r>
      <w:r>
        <w:rPr>
          <w:rFonts w:ascii="Times New Roman" w:hAnsi="Times New Roman" w:cs="Times New Roman"/>
          <w:color w:val="auto"/>
          <w:highlight w:val="none"/>
        </w:rPr>
        <w:t>，将事故废水拦截至厂区范围内；同时应检查是否有事故废水进入河道，当发现有事故废水进入外环境时，估算进入外环境的污水总量，启动Ⅰ级响应程序，并向上级应急指挥中心请求援助。</w:t>
      </w:r>
    </w:p>
    <w:p w14:paraId="0FCF14A7">
      <w:pPr>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待事故处置结束后，将事故废水收集管网等处的废水进行收集，对雨水管网进行洗消，洗消废水一并委外处理。</w:t>
      </w:r>
    </w:p>
    <w:p w14:paraId="04EA935C">
      <w:pPr>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）治污设施故障（含停电情况）应急措施</w:t>
      </w:r>
    </w:p>
    <w:p w14:paraId="54EBE772">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废气治理设施故障</w:t>
      </w:r>
    </w:p>
    <w:p w14:paraId="0FC73852">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立即停止对应生产装置的生产，同时操作人员及时采取防治措施，减少废气排放。通知相关人员检查事故原因并对故障设备进行维修。废气治理设施运行正常后继续生产。</w:t>
      </w:r>
    </w:p>
    <w:p w14:paraId="1326F6F2">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平时加强废气处理设施的维护保养，及时发现处理设备的隐患，并及时进行维修，确保废气处理系统正常运行；建立健全的环保机构，配置必要的监测仪器，对管理人员和技术人员进行岗位培训，对废气处理实行全过程跟踪控制；根据环境风险预测分析结果，事故状态下立即启动厂区应急预案，及时通知厂内人员和周边企业、居民等的疏散。</w:t>
      </w:r>
    </w:p>
    <w:p w14:paraId="6F403FE7">
      <w:pPr>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）固（危）废抛洒/泄漏现场处置措施</w:t>
      </w:r>
    </w:p>
    <w:p w14:paraId="37B5AB5C">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①</w:t>
      </w:r>
      <w:r>
        <w:rPr>
          <w:rFonts w:ascii="Times New Roman" w:hAnsi="Times New Roman" w:cs="Times New Roman"/>
          <w:color w:val="auto"/>
          <w:highlight w:val="none"/>
        </w:rPr>
        <w:t>装车过程发现有固体废弃物抛洒现象，由现场员工负责处置；</w:t>
      </w:r>
    </w:p>
    <w:p w14:paraId="0E971694">
      <w:pPr>
        <w:autoSpaceDE w:val="0"/>
        <w:autoSpaceDN w:val="0"/>
        <w:adjustRightInd w:val="0"/>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②</w:t>
      </w:r>
      <w:r>
        <w:rPr>
          <w:rFonts w:ascii="Times New Roman" w:hAnsi="Times New Roman" w:cs="Times New Roman"/>
          <w:color w:val="auto"/>
          <w:highlight w:val="none"/>
        </w:rPr>
        <w:t>用铲子将抛洒的物料装入车内；</w:t>
      </w:r>
    </w:p>
    <w:p w14:paraId="0C7E2C4B">
      <w:pPr>
        <w:autoSpaceDE w:val="0"/>
        <w:autoSpaceDN w:val="0"/>
        <w:adjustRightInd w:val="0"/>
        <w:spacing w:line="360" w:lineRule="auto"/>
        <w:ind w:left="-105" w:right="-105" w:firstLine="480" w:firstLineChars="200"/>
        <w:rPr>
          <w:rFonts w:ascii="Times New Roman" w:hAnsi="Times New Roman" w:cs="Times New Roman"/>
          <w:b/>
          <w:bCs/>
          <w:color w:val="auto"/>
          <w:highlight w:val="none"/>
        </w:rPr>
      </w:pPr>
      <w:r>
        <w:rPr>
          <w:rFonts w:hint="eastAsia" w:ascii="Times New Roman" w:hAnsi="Times New Roman" w:cs="Times New Roman"/>
          <w:color w:val="auto"/>
          <w:highlight w:val="none"/>
        </w:rPr>
        <w:t>③</w:t>
      </w:r>
      <w:r>
        <w:rPr>
          <w:rFonts w:ascii="Times New Roman" w:hAnsi="Times New Roman" w:cs="Times New Roman"/>
          <w:color w:val="auto"/>
          <w:highlight w:val="none"/>
        </w:rPr>
        <w:t>处置结束后，对沾染污染物的铲子等进行清洗，清洗液可倒入抛洒的固废中委外处置。</w:t>
      </w:r>
    </w:p>
    <w:p w14:paraId="4F888143">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加强日常管理，加强对各种危废的管理工作，按照危险废物管理办法的有关规定，严格执行。加强危险固废临时贮存、运输、处置等各个环节的管理工作，坚决做到环环有记录，环环有量的概念，杜绝其量的减少和流失。危废仓库配备一定数量空桶，用于应对可能的泄漏事故。</w:t>
      </w:r>
    </w:p>
    <w:p w14:paraId="5A5A9C55">
      <w:pPr>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）火灾事故应急措施</w:t>
      </w:r>
    </w:p>
    <w:p w14:paraId="4BBDD67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在作业过程中一旦发生火灾，做到立即报警，停止生产并且充分发挥整体组织功能，在确保人身安全的前提下，用身边的消防器材将灾害减到最低程度，避免火势扩大殃及周围危险场所。</w:t>
      </w:r>
    </w:p>
    <w:p w14:paraId="757C2A5E">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如果是电气设备燃烧，应先切断电源，用二氧化碳、干粉灭火器灭火，禁止用水灭火。</w:t>
      </w:r>
    </w:p>
    <w:p w14:paraId="0621EC5F">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应急指挥组迅速电话通知所有的应急救援队伍人员到着火区域上风口集合了解分析情况，疏散无关人员至安全区，并分析和确定火灾原因，采取相应措施进行扑救。</w:t>
      </w:r>
    </w:p>
    <w:p w14:paraId="1037DB10">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扑救时人站在上风位置，顺序前进。当火势趋盛、无法靠自身力量扑救和控制时，职工应立即疏散撤离，并对人员进行清点，留下主控人员对系统进行手动控制，停止系统运行。</w:t>
      </w:r>
    </w:p>
    <w:p w14:paraId="4005D295">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其他生产工序人员密切注意本岗情况，加强岗位监督控制，确保其它目标安全生产。</w:t>
      </w:r>
    </w:p>
    <w:p w14:paraId="6B9A78F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若使用消防水灭火，消防废水会排入企业厂区内雨水排放管网，因此需确保雨水接管口处于关闭状态，防止流入雨水管网的地面消防废水进入外环境。待事故结束后，通过检测确定事故废水是委托有资质单位处置，还是拖运至污水厂处理。</w:t>
      </w:r>
    </w:p>
    <w:p w14:paraId="49362D7A">
      <w:pPr>
        <w:adjustRightInd w:val="0"/>
        <w:snapToGrid w:val="0"/>
        <w:spacing w:line="360" w:lineRule="auto"/>
        <w:ind w:left="-105" w:right="-105" w:firstLine="480" w:firstLineChars="200"/>
        <w:rPr>
          <w:rFonts w:ascii="Times New Roman" w:hAnsi="Times New Roman" w:cs="Times New Roman"/>
          <w:b/>
          <w:bCs/>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）爆炸事故应急措施</w:t>
      </w:r>
    </w:p>
    <w:p w14:paraId="65FCC27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当爆炸事故发生后，现场发现人应立即报告给值班领导，对事故现场进行警戒。值班领导立即报告应急指挥部，应急救援小组立即赶赴现场并拨打报警电话。</w:t>
      </w:r>
    </w:p>
    <w:p w14:paraId="40864EB6">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对可燃气体或易燃原辅材料应用沙石或二氧化碳、干粉等灭火器进行灭火，同时设置隔离带以防火灾事故蔓延。对受伤人员立即实行现场救护，伤势严重的立即送往附近医院。根据事故现场情况，判断是否可能发生再次爆炸，撤离所有人员至安全地带。</w:t>
      </w:r>
    </w:p>
    <w:p w14:paraId="1FFFB1CC">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当爆炸引起建筑物发生坍塌，造成人员被埋、被压的情况，应在确认不会再次发生同类事故的前提下，立即组织人员进行抢救受伤人员。</w:t>
      </w:r>
    </w:p>
    <w:p w14:paraId="425E3B35">
      <w:pPr>
        <w:adjustRightInd w:val="0"/>
        <w:snapToGrid w:val="0"/>
        <w:spacing w:line="360" w:lineRule="auto"/>
        <w:ind w:left="-105" w:right="-105" w:firstLine="480" w:firstLineChars="200"/>
        <w:rPr>
          <w:rFonts w:ascii="Times New Roman" w:hAnsi="Times New Roman" w:cs="Times New Roman"/>
          <w:b/>
          <w:bCs/>
          <w:color w:val="auto"/>
          <w:highlight w:val="none"/>
        </w:rPr>
      </w:pPr>
      <w:r>
        <w:rPr>
          <w:rFonts w:ascii="Times New Roman" w:hAnsi="Times New Roman" w:cs="Times New Roman"/>
          <w:color w:val="auto"/>
          <w:highlight w:val="none"/>
        </w:rPr>
        <w:t>当发现有人员受伤时，拨打</w:t>
      </w:r>
      <w:r>
        <w:rPr>
          <w:rFonts w:hint="eastAsia" w:ascii="Times New Roman" w:hAnsi="Times New Roman" w:cs="Times New Roman"/>
          <w:color w:val="auto"/>
          <w:highlight w:val="none"/>
        </w:rPr>
        <w:t>“</w:t>
      </w:r>
      <w:r>
        <w:rPr>
          <w:rFonts w:ascii="Times New Roman" w:hAnsi="Times New Roman" w:cs="Times New Roman"/>
          <w:color w:val="auto"/>
          <w:highlight w:val="none"/>
        </w:rPr>
        <w:t>120</w:t>
      </w:r>
      <w:r>
        <w:rPr>
          <w:rFonts w:hint="eastAsia" w:ascii="Times New Roman" w:hAnsi="Times New Roman" w:cs="Times New Roman"/>
          <w:color w:val="auto"/>
          <w:highlight w:val="none"/>
        </w:rPr>
        <w:t>”</w:t>
      </w:r>
      <w:r>
        <w:rPr>
          <w:rFonts w:ascii="Times New Roman" w:hAnsi="Times New Roman" w:cs="Times New Roman"/>
          <w:color w:val="auto"/>
          <w:highlight w:val="none"/>
        </w:rPr>
        <w:t>向当地急救中心取得联系，详细说明事故地点、严重程度、联系电话，并派人到路口接应。</w:t>
      </w:r>
    </w:p>
    <w:p w14:paraId="29634B0E">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7.6.8</w:t>
      </w:r>
      <w:r>
        <w:rPr>
          <w:rFonts w:eastAsia="宋体"/>
          <w:color w:val="auto"/>
          <w:sz w:val="28"/>
          <w:szCs w:val="28"/>
          <w:highlight w:val="none"/>
        </w:rPr>
        <w:t>周边敏感目标风险防范措施</w:t>
      </w:r>
    </w:p>
    <w:p w14:paraId="549CE160">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1 \* GB3 </w:instrText>
      </w:r>
      <w:r>
        <w:rPr>
          <w:rFonts w:ascii="Times New Roman" w:hAnsi="Times New Roman" w:cs="Times New Roman"/>
          <w:color w:val="auto"/>
          <w:highlight w:val="none"/>
        </w:rPr>
        <w:fldChar w:fldCharType="separate"/>
      </w:r>
      <w:r>
        <w:rPr>
          <w:rFonts w:hint="eastAsia"/>
          <w:color w:val="auto"/>
          <w:highlight w:val="none"/>
        </w:rPr>
        <w:t>①</w:t>
      </w:r>
      <w:r>
        <w:rPr>
          <w:rFonts w:ascii="Times New Roman" w:hAnsi="Times New Roman" w:cs="Times New Roman"/>
          <w:color w:val="auto"/>
          <w:highlight w:val="none"/>
        </w:rPr>
        <w:fldChar w:fldCharType="end"/>
      </w:r>
      <w:r>
        <w:rPr>
          <w:rFonts w:ascii="Times New Roman" w:hAnsi="Times New Roman" w:cs="Times New Roman"/>
          <w:color w:val="auto"/>
          <w:highlight w:val="none"/>
        </w:rPr>
        <w:t>建立健全的监控预警措施，落实各项提醒周边公众紧急疏散的措施和手段等。</w:t>
      </w:r>
    </w:p>
    <w:p w14:paraId="30D8F4B4">
      <w:pPr>
        <w:tabs>
          <w:tab w:val="left" w:pos="0"/>
          <w:tab w:val="left" w:pos="1123"/>
        </w:tabs>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 2 \* GB3 </w:instrText>
      </w:r>
      <w:r>
        <w:rPr>
          <w:rFonts w:ascii="Times New Roman" w:hAnsi="Times New Roman" w:cs="Times New Roman"/>
          <w:color w:val="auto"/>
          <w:highlight w:val="none"/>
        </w:rPr>
        <w:fldChar w:fldCharType="separate"/>
      </w:r>
      <w:r>
        <w:rPr>
          <w:rFonts w:hint="eastAsia"/>
          <w:color w:val="auto"/>
          <w:highlight w:val="none"/>
        </w:rPr>
        <w:t>②</w:t>
      </w:r>
      <w:r>
        <w:rPr>
          <w:rFonts w:ascii="Times New Roman" w:hAnsi="Times New Roman" w:cs="Times New Roman"/>
          <w:color w:val="auto"/>
          <w:highlight w:val="none"/>
        </w:rPr>
        <w:fldChar w:fldCharType="end"/>
      </w:r>
      <w:r>
        <w:rPr>
          <w:rFonts w:ascii="Times New Roman" w:hAnsi="Times New Roman" w:cs="Times New Roman"/>
          <w:color w:val="auto"/>
          <w:highlight w:val="none"/>
        </w:rPr>
        <w:t>落实环评及批复文件的各项环境风险防控和应急措施要求，确保其有效性。</w:t>
      </w:r>
    </w:p>
    <w:p w14:paraId="0555388B">
      <w:pPr>
        <w:tabs>
          <w:tab w:val="left" w:pos="0"/>
          <w:tab w:val="left" w:pos="1123"/>
        </w:tabs>
        <w:spacing w:line="360" w:lineRule="auto"/>
        <w:ind w:left="-105" w:right="-105" w:firstLine="480" w:firstLineChars="200"/>
        <w:rPr>
          <w:rFonts w:ascii="Times New Roman" w:hAnsi="Times New Roman" w:cs="Times New Roman"/>
          <w:b/>
          <w:bCs/>
          <w:color w:val="auto"/>
          <w:highlight w:val="none"/>
        </w:rPr>
      </w:pPr>
      <w:r>
        <w:rPr>
          <w:rFonts w:hint="eastAsia"/>
          <w:color w:val="auto"/>
          <w:highlight w:val="none"/>
        </w:rPr>
        <w:t>③</w:t>
      </w:r>
      <w:r>
        <w:rPr>
          <w:rFonts w:ascii="Times New Roman" w:hAnsi="Times New Roman" w:cs="Times New Roman"/>
          <w:color w:val="auto"/>
          <w:highlight w:val="none"/>
        </w:rPr>
        <w:t>落实公众教育和信息发布工作，对企业邻近地区开展公众教育、培训和发布有关信息。</w:t>
      </w:r>
    </w:p>
    <w:p w14:paraId="27D53F7D">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bookmarkStart w:id="499" w:name="_Toc13693"/>
      <w:bookmarkStart w:id="500" w:name="_Toc1717"/>
      <w:r>
        <w:rPr>
          <w:rFonts w:hint="eastAsia" w:eastAsia="宋体"/>
          <w:color w:val="auto"/>
          <w:sz w:val="28"/>
          <w:szCs w:val="28"/>
          <w:highlight w:val="none"/>
        </w:rPr>
        <w:t>7.6.9</w:t>
      </w:r>
      <w:r>
        <w:rPr>
          <w:rFonts w:eastAsia="宋体"/>
          <w:color w:val="auto"/>
          <w:sz w:val="28"/>
          <w:szCs w:val="28"/>
          <w:highlight w:val="none"/>
        </w:rPr>
        <w:t>突发环境事件应急预案</w:t>
      </w:r>
      <w:bookmarkEnd w:id="499"/>
      <w:bookmarkEnd w:id="500"/>
    </w:p>
    <w:p w14:paraId="55A158AC">
      <w:pPr>
        <w:tabs>
          <w:tab w:val="left" w:pos="96"/>
          <w:tab w:val="left" w:pos="340"/>
          <w:tab w:val="left" w:pos="890"/>
          <w:tab w:val="left" w:pos="5142"/>
        </w:tabs>
        <w:spacing w:line="360" w:lineRule="auto"/>
        <w:ind w:left="-105" w:right="-105" w:firstLine="480" w:firstLineChars="200"/>
        <w:jc w:val="both"/>
        <w:rPr>
          <w:rFonts w:ascii="Times New Roman" w:hAnsi="Times New Roman" w:cs="Times New Roman"/>
          <w:bCs/>
          <w:color w:val="auto"/>
          <w:highlight w:val="none"/>
        </w:rPr>
      </w:pPr>
      <w:bookmarkStart w:id="501" w:name="_Toc32628"/>
      <w:r>
        <w:rPr>
          <w:rFonts w:ascii="Times New Roman" w:hAnsi="Times New Roman" w:cs="Times New Roman"/>
          <w:bCs/>
          <w:color w:val="auto"/>
          <w:highlight w:val="none"/>
        </w:rPr>
        <w:t>建设单位应根据《突发环境事件应急管理办法》（环境保护部令第34号）、《企业事业单位突发环境事件应急预案备案管理办法（试行）》（环发[2015]4号）、《江苏省突发环境事件应急预案管理办法》（苏环规[2014]2号）、企业突发环境事件风险评估指南（试行）、《企业突发环境事件风险分级方法》（HJ941-2018）、《企事业单位和工业园区突发环境事件应急预案编制导则》（DB32/T3795-2020）等要求编制、完善突发环境事件应急预案并送锡山区生态环境局备案。</w:t>
      </w:r>
      <w:r>
        <w:rPr>
          <w:rFonts w:ascii="Times New Roman" w:hAnsi="Times New Roman" w:cs="Times New Roman"/>
          <w:color w:val="auto"/>
          <w:highlight w:val="none"/>
        </w:rPr>
        <w:t>应急预案应包含以下内容：</w:t>
      </w:r>
    </w:p>
    <w:p w14:paraId="3C6F6B23">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1、预案适用范围</w:t>
      </w:r>
    </w:p>
    <w:p w14:paraId="4335BC23">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2、环境事件分类与分级</w:t>
      </w:r>
    </w:p>
    <w:p w14:paraId="26F810B0">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3、组织机构及职责</w:t>
      </w:r>
    </w:p>
    <w:p w14:paraId="158E9662">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4、监控和预警</w:t>
      </w:r>
    </w:p>
    <w:p w14:paraId="4C23FF1B">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5、应急响应</w:t>
      </w:r>
    </w:p>
    <w:p w14:paraId="0906BEA0">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6、应急保障</w:t>
      </w:r>
    </w:p>
    <w:p w14:paraId="64888AE5">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7、善后处置</w:t>
      </w:r>
    </w:p>
    <w:p w14:paraId="01D11BEA">
      <w:pPr>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8、预案管理与演练</w:t>
      </w:r>
    </w:p>
    <w:p w14:paraId="13E074F5">
      <w:pPr>
        <w:tabs>
          <w:tab w:val="left" w:pos="0"/>
          <w:tab w:val="left" w:pos="1123"/>
        </w:tabs>
        <w:adjustRightInd w:val="0"/>
        <w:snapToGrid w:val="0"/>
        <w:spacing w:line="360" w:lineRule="auto"/>
        <w:ind w:left="-105" w:right="-105" w:firstLine="480" w:firstLineChars="200"/>
        <w:rPr>
          <w:rFonts w:ascii="Times New Roman" w:hAnsi="Times New Roman" w:cs="Times New Roman"/>
          <w:color w:val="auto"/>
          <w:highlight w:val="none"/>
        </w:rPr>
      </w:pPr>
      <w:r>
        <w:rPr>
          <w:rFonts w:ascii="Times New Roman" w:hAnsi="Times New Roman" w:cs="Times New Roman"/>
          <w:color w:val="auto"/>
          <w:highlight w:val="none"/>
        </w:rPr>
        <w:t>企业应按照《企业突发环境事件隐患排查和治理工作指南(试行)》（环保部第74号公告）的要求制定隐患排查制度，采取自查或委托专业机构排查等方式对</w:t>
      </w:r>
      <w:r>
        <w:rPr>
          <w:rFonts w:hint="eastAsia" w:ascii="Times New Roman" w:hAnsi="Times New Roman" w:cs="Times New Roman"/>
          <w:color w:val="auto"/>
          <w:highlight w:val="none"/>
        </w:rPr>
        <w:t>生产装置、</w:t>
      </w:r>
      <w:r>
        <w:rPr>
          <w:rFonts w:hint="eastAsia" w:ascii="Times New Roman" w:hAnsi="Times New Roman" w:cs="Times New Roman"/>
          <w:color w:val="auto"/>
          <w:highlight w:val="none"/>
          <w:lang w:eastAsia="zh-CN"/>
        </w:rPr>
        <w:t>危险品仓库</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eastAsia="zh-CN"/>
        </w:rPr>
        <w:t>防爆间</w:t>
      </w:r>
      <w:r>
        <w:rPr>
          <w:rFonts w:hint="eastAsia" w:ascii="Times New Roman" w:hAnsi="Times New Roman" w:cs="Times New Roman"/>
          <w:color w:val="auto"/>
          <w:highlight w:val="none"/>
        </w:rPr>
        <w:t>、化学试剂柜、成品仓库、危废仓库、废液储罐、废气处理设施</w:t>
      </w:r>
      <w:r>
        <w:rPr>
          <w:rFonts w:ascii="Times New Roman" w:hAnsi="Times New Roman" w:cs="Times New Roman"/>
          <w:color w:val="auto"/>
          <w:highlight w:val="none"/>
        </w:rPr>
        <w:t>等区域开展隐患排查，频次不低于1年/次。并在重点风险区域现场应配置可视化的应急处置卡，例如：</w:t>
      </w:r>
    </w:p>
    <w:p w14:paraId="5101D943">
      <w:pPr>
        <w:pStyle w:val="43"/>
        <w:ind w:left="-105" w:right="-105" w:firstLine="241"/>
        <w:jc w:val="center"/>
        <w:rPr>
          <w:rFonts w:ascii="Times New Roman" w:hAnsi="Times New Roman"/>
          <w:color w:val="auto"/>
          <w:sz w:val="24"/>
          <w:szCs w:val="32"/>
          <w:highlight w:val="none"/>
        </w:rPr>
      </w:pPr>
      <w:r>
        <w:rPr>
          <w:rFonts w:ascii="Times New Roman" w:hAnsi="Times New Roman"/>
          <w:b/>
          <w:bCs/>
          <w:color w:val="auto"/>
          <w:sz w:val="24"/>
          <w:highlight w:val="none"/>
        </w:rPr>
        <w:t>表</w:t>
      </w:r>
      <w:r>
        <w:rPr>
          <w:rFonts w:ascii="Times New Roman" w:hAnsi="Times New Roman"/>
          <w:b/>
          <w:bCs/>
          <w:color w:val="auto"/>
          <w:sz w:val="24"/>
          <w:highlight w:val="none"/>
        </w:rPr>
        <w:fldChar w:fldCharType="begin"/>
      </w:r>
      <w:r>
        <w:rPr>
          <w:rFonts w:ascii="Times New Roman" w:hAnsi="Times New Roman"/>
          <w:b/>
          <w:bCs/>
          <w:color w:val="auto"/>
          <w:sz w:val="24"/>
          <w:highlight w:val="none"/>
        </w:rPr>
        <w:instrText xml:space="preserve"> STYLEREF 2 \s </w:instrText>
      </w:r>
      <w:r>
        <w:rPr>
          <w:rFonts w:ascii="Times New Roman" w:hAnsi="Times New Roman"/>
          <w:b/>
          <w:bCs/>
          <w:color w:val="auto"/>
          <w:sz w:val="24"/>
          <w:highlight w:val="none"/>
        </w:rPr>
        <w:fldChar w:fldCharType="separate"/>
      </w:r>
      <w:r>
        <w:rPr>
          <w:rFonts w:ascii="Times New Roman" w:hAnsi="Times New Roman"/>
          <w:b/>
          <w:bCs/>
          <w:color w:val="auto"/>
          <w:sz w:val="24"/>
          <w:highlight w:val="none"/>
        </w:rPr>
        <w:t>7.6</w:t>
      </w:r>
      <w:r>
        <w:rPr>
          <w:rFonts w:ascii="Times New Roman" w:hAnsi="Times New Roman"/>
          <w:b/>
          <w:bCs/>
          <w:color w:val="auto"/>
          <w:sz w:val="24"/>
          <w:highlight w:val="none"/>
        </w:rPr>
        <w:fldChar w:fldCharType="end"/>
      </w:r>
      <w:r>
        <w:rPr>
          <w:rFonts w:ascii="Times New Roman" w:hAnsi="Times New Roman"/>
          <w:b/>
          <w:bCs/>
          <w:color w:val="auto"/>
          <w:sz w:val="24"/>
          <w:highlight w:val="none"/>
        </w:rPr>
        <w:noBreakHyphen/>
      </w:r>
      <w:r>
        <w:rPr>
          <w:rFonts w:ascii="Times New Roman" w:hAnsi="Times New Roman"/>
          <w:b/>
          <w:bCs/>
          <w:color w:val="auto"/>
          <w:sz w:val="24"/>
          <w:highlight w:val="none"/>
        </w:rPr>
        <w:fldChar w:fldCharType="begin"/>
      </w:r>
      <w:r>
        <w:rPr>
          <w:rFonts w:ascii="Times New Roman" w:hAnsi="Times New Roman"/>
          <w:b/>
          <w:bCs/>
          <w:color w:val="auto"/>
          <w:sz w:val="24"/>
          <w:highlight w:val="none"/>
        </w:rPr>
        <w:instrText xml:space="preserve"> SEQ 表 \* ARABIC \s 2 </w:instrText>
      </w:r>
      <w:r>
        <w:rPr>
          <w:rFonts w:ascii="Times New Roman" w:hAnsi="Times New Roman"/>
          <w:b/>
          <w:bCs/>
          <w:color w:val="auto"/>
          <w:sz w:val="24"/>
          <w:highlight w:val="none"/>
        </w:rPr>
        <w:fldChar w:fldCharType="separate"/>
      </w:r>
      <w:r>
        <w:rPr>
          <w:rFonts w:ascii="Times New Roman" w:hAnsi="Times New Roman"/>
          <w:b/>
          <w:bCs/>
          <w:color w:val="auto"/>
          <w:sz w:val="24"/>
          <w:highlight w:val="none"/>
        </w:rPr>
        <w:t>2</w:t>
      </w:r>
      <w:r>
        <w:rPr>
          <w:rFonts w:ascii="Times New Roman" w:hAnsi="Times New Roman"/>
          <w:b/>
          <w:bCs/>
          <w:color w:val="auto"/>
          <w:sz w:val="24"/>
          <w:highlight w:val="none"/>
        </w:rPr>
        <w:fldChar w:fldCharType="end"/>
      </w:r>
      <w:r>
        <w:rPr>
          <w:rFonts w:hint="eastAsia" w:ascii="Times New Roman" w:hAnsi="Times New Roman"/>
          <w:b/>
          <w:bCs/>
          <w:color w:val="auto"/>
          <w:sz w:val="24"/>
          <w:szCs w:val="32"/>
          <w:highlight w:val="none"/>
          <w:lang w:eastAsia="zh-CN"/>
        </w:rPr>
        <w:t>危险品仓库</w:t>
      </w:r>
      <w:r>
        <w:rPr>
          <w:rFonts w:ascii="Times New Roman" w:hAnsi="Times New Roman"/>
          <w:b/>
          <w:bCs/>
          <w:color w:val="auto"/>
          <w:sz w:val="24"/>
          <w:szCs w:val="32"/>
          <w:highlight w:val="none"/>
        </w:rPr>
        <w:t>现场处置卡</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87"/>
        <w:gridCol w:w="2133"/>
        <w:gridCol w:w="4884"/>
      </w:tblGrid>
      <w:tr w14:paraId="3A10BD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4" w:type="pct"/>
            <w:vAlign w:val="center"/>
          </w:tcPr>
          <w:p w14:paraId="5739463B">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岗位名称</w:t>
            </w:r>
          </w:p>
        </w:tc>
        <w:tc>
          <w:tcPr>
            <w:tcW w:w="4125" w:type="pct"/>
            <w:gridSpan w:val="2"/>
            <w:vAlign w:val="center"/>
          </w:tcPr>
          <w:p w14:paraId="5F500FB9">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color w:val="auto"/>
                <w:sz w:val="21"/>
                <w:szCs w:val="21"/>
                <w:highlight w:val="none"/>
                <w:lang w:eastAsia="zh-CN"/>
              </w:rPr>
              <w:t>危险品仓库</w:t>
            </w:r>
          </w:p>
        </w:tc>
      </w:tr>
      <w:tr w14:paraId="31814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4" w:type="pct"/>
            <w:vAlign w:val="center"/>
          </w:tcPr>
          <w:p w14:paraId="1665578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风险物质</w:t>
            </w:r>
          </w:p>
        </w:tc>
        <w:tc>
          <w:tcPr>
            <w:tcW w:w="4125" w:type="pct"/>
            <w:gridSpan w:val="2"/>
            <w:vAlign w:val="center"/>
          </w:tcPr>
          <w:p w14:paraId="08D6DB2D">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rPr>
              <w:t>二甲基亚砜、N-甲基吡咯烷酮、四甲基氢氧化铵、2-甲氨基乙醇、邻苯二酚、乙醇胺</w:t>
            </w:r>
            <w:r>
              <w:rPr>
                <w:rFonts w:ascii="Times New Roman" w:hAnsi="Times New Roman" w:cs="Times New Roman"/>
                <w:color w:val="auto"/>
                <w:sz w:val="21"/>
                <w:szCs w:val="21"/>
                <w:highlight w:val="none"/>
              </w:rPr>
              <w:t>等</w:t>
            </w:r>
          </w:p>
        </w:tc>
      </w:tr>
      <w:tr w14:paraId="382EE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874" w:type="pct"/>
            <w:vAlign w:val="center"/>
          </w:tcPr>
          <w:p w14:paraId="1993C105">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环境风险类型</w:t>
            </w:r>
          </w:p>
        </w:tc>
        <w:tc>
          <w:tcPr>
            <w:tcW w:w="4125" w:type="pct"/>
            <w:gridSpan w:val="2"/>
            <w:vAlign w:val="center"/>
          </w:tcPr>
          <w:p w14:paraId="753039A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泄漏、火灾、爆炸</w:t>
            </w:r>
          </w:p>
        </w:tc>
      </w:tr>
      <w:tr w14:paraId="19264B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874" w:type="pct"/>
            <w:vAlign w:val="center"/>
          </w:tcPr>
          <w:p w14:paraId="60F675A8">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应急处置措施</w:t>
            </w:r>
          </w:p>
        </w:tc>
        <w:tc>
          <w:tcPr>
            <w:tcW w:w="4125" w:type="pct"/>
            <w:gridSpan w:val="2"/>
            <w:vAlign w:val="center"/>
          </w:tcPr>
          <w:p w14:paraId="0E02F604">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物料泄漏应急处理措施：</w:t>
            </w:r>
          </w:p>
          <w:p w14:paraId="6B5D4E52">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①</w:t>
            </w:r>
            <w:r>
              <w:rPr>
                <w:rFonts w:ascii="Times New Roman" w:hAnsi="Times New Roman" w:cs="Times New Roman"/>
                <w:bCs/>
                <w:color w:val="auto"/>
                <w:sz w:val="21"/>
                <w:szCs w:val="21"/>
                <w:highlight w:val="none"/>
              </w:rPr>
              <w:t>内部污染源控制：根据包装桶破损或侧翻情况进行相应处置，侧翻时及时扶正，破损时立即更换包装，地面废液采用黄沙吸附。</w:t>
            </w:r>
          </w:p>
          <w:p w14:paraId="02B6436A">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②</w:t>
            </w:r>
            <w:r>
              <w:rPr>
                <w:rFonts w:ascii="Times New Roman" w:hAnsi="Times New Roman" w:cs="Times New Roman"/>
                <w:bCs/>
                <w:color w:val="auto"/>
                <w:sz w:val="21"/>
                <w:szCs w:val="21"/>
                <w:highlight w:val="none"/>
              </w:rPr>
              <w:t>污染范围研判：原料仓库内桶装液体发生泄漏时，一般不会流出仓库。</w:t>
            </w:r>
          </w:p>
          <w:p w14:paraId="0A8E9F8B">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③</w:t>
            </w:r>
            <w:r>
              <w:rPr>
                <w:rFonts w:ascii="Times New Roman" w:hAnsi="Times New Roman" w:cs="Times New Roman"/>
                <w:bCs/>
                <w:color w:val="auto"/>
                <w:sz w:val="21"/>
                <w:szCs w:val="21"/>
                <w:highlight w:val="none"/>
              </w:rPr>
              <w:t>污染扩散控制：原料仓库设有防渗漏措施，液体物料发生泄漏时可收集在原料仓库内，只要控制污染源即可；若发生泄漏液流出原料仓库并进入厂区雨水管网时，首先确认雨水切断阀是否处于关闭状态，然后对污染区域雨水管网进行隔绝、管道内物料抽至应急池，并对管网进行冲洗，冲洗水抽至应急池。</w:t>
            </w:r>
          </w:p>
          <w:p w14:paraId="297BE5EA">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④</w:t>
            </w:r>
            <w:r>
              <w:rPr>
                <w:rFonts w:ascii="Times New Roman" w:hAnsi="Times New Roman" w:cs="Times New Roman"/>
                <w:bCs/>
                <w:color w:val="auto"/>
                <w:sz w:val="21"/>
                <w:szCs w:val="21"/>
                <w:highlight w:val="none"/>
              </w:rPr>
              <w:t>污染处置：吸附过物料的黄沙作为危废处置，应急池内的物料及冲洗水委外处置。</w:t>
            </w:r>
          </w:p>
          <w:p w14:paraId="2C603AA2">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火灾事故应急措施：</w:t>
            </w:r>
          </w:p>
          <w:p w14:paraId="4C97B9BB">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在作业过程中一旦发生火灾，做到立即报警，停止生产并且充分发挥整体组织功能，在确保人身安全的前提下，用身边的消防器材将灾害减到最低程度，避免火势扩大殃及周围危险场所。</w:t>
            </w:r>
          </w:p>
          <w:p w14:paraId="02ECF3E1">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应急指挥组迅速电话通知所有的应急救援队伍人员到着火区域上风口集合了解分析情况，疏散无关人员至安全区，并分析和确定火灾原因，采取相应措施进行扑救。</w:t>
            </w:r>
          </w:p>
          <w:p w14:paraId="17990C2B">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扑救时人站在上风位置，顺序前进。当火势趋盛、无法靠自身力量扑救和控制时，职工应立即疏散撤离，并对人员进行清点，留下主控人员对系统进行手动控制，停止系统运行。</w:t>
            </w:r>
          </w:p>
          <w:p w14:paraId="5D2C93E1">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其他生产工序人员密切注意本岗情况，加强岗位监督控制，确保其它目标安全生产。</w:t>
            </w:r>
          </w:p>
          <w:p w14:paraId="25BB6F69">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若使用消防水灭火，消防废水会排入企业厂区内雨水排放管网，因此需确保雨水接管口处于关闭状态，防止流入雨水管网的地面消防废水进入外环境。待事故结束后，通过检测确定事故废水是委托有资质单位处置，还是拖运至污水厂处理。</w:t>
            </w:r>
          </w:p>
          <w:p w14:paraId="7CE5B026">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爆炸事故应急措施：</w:t>
            </w:r>
          </w:p>
          <w:p w14:paraId="660EC07A">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当爆炸事故发生后，现场发现人应立即报告给值班领导，对事故现场进行警戒。值班领导立即报告应急指挥部，应急救援小组立即赶赴现场并拨打报警电话。</w:t>
            </w:r>
          </w:p>
          <w:p w14:paraId="6C2E6461">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当爆炸引起建筑物发生坍塌，造成人员被埋、被压的情况，应在确认不会再次发生同类事故的前提下，立即组织人员进行抢救受伤人员。</w:t>
            </w:r>
          </w:p>
          <w:p w14:paraId="1D8D73C2">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当发现有人员受伤时，拨打</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120</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向当地急救中心取得联系，详细说明事故地点、严重程度、联系电话，并派人到路口接应。</w:t>
            </w:r>
          </w:p>
        </w:tc>
      </w:tr>
      <w:tr w14:paraId="7DB243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4" w:type="pct"/>
            <w:vAlign w:val="center"/>
          </w:tcPr>
          <w:p w14:paraId="63BC0A8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事件</w:t>
            </w:r>
          </w:p>
          <w:p w14:paraId="7CAC9E2E">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报告</w:t>
            </w:r>
          </w:p>
        </w:tc>
        <w:tc>
          <w:tcPr>
            <w:tcW w:w="1254" w:type="pct"/>
            <w:vAlign w:val="center"/>
          </w:tcPr>
          <w:p w14:paraId="50D6EE1D">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报告流程：</w:t>
            </w:r>
          </w:p>
          <w:p w14:paraId="04CCCC31">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现场突发环境事件知情人→指挥部</w:t>
            </w:r>
          </w:p>
        </w:tc>
        <w:tc>
          <w:tcPr>
            <w:tcW w:w="2870" w:type="pct"/>
            <w:vAlign w:val="center"/>
          </w:tcPr>
          <w:p w14:paraId="62161E13">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报告内容：</w:t>
            </w:r>
          </w:p>
          <w:p w14:paraId="40E13B1E">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①</w:t>
            </w:r>
            <w:r>
              <w:rPr>
                <w:rFonts w:ascii="Times New Roman" w:hAnsi="Times New Roman" w:cs="Times New Roman"/>
                <w:bCs/>
                <w:color w:val="auto"/>
                <w:sz w:val="21"/>
                <w:szCs w:val="21"/>
                <w:highlight w:val="none"/>
              </w:rPr>
              <w:t>事故发生的时间和地点；</w:t>
            </w:r>
          </w:p>
          <w:p w14:paraId="0991AB4F">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②</w:t>
            </w:r>
            <w:r>
              <w:rPr>
                <w:rFonts w:ascii="Times New Roman" w:hAnsi="Times New Roman" w:cs="Times New Roman"/>
                <w:bCs/>
                <w:color w:val="auto"/>
                <w:sz w:val="21"/>
                <w:szCs w:val="21"/>
                <w:highlight w:val="none"/>
              </w:rPr>
              <w:t>事故类型：泄漏、火灾、爆炸（暂时状态、连续状态）；</w:t>
            </w:r>
          </w:p>
          <w:p w14:paraId="53F31DA8">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③</w:t>
            </w:r>
            <w:r>
              <w:rPr>
                <w:rFonts w:ascii="Times New Roman" w:hAnsi="Times New Roman" w:cs="Times New Roman"/>
                <w:bCs/>
                <w:color w:val="auto"/>
                <w:sz w:val="21"/>
                <w:szCs w:val="21"/>
                <w:highlight w:val="none"/>
              </w:rPr>
              <w:t>估计造成事故的泄漏量、火灾程度、爆炸程度；</w:t>
            </w:r>
          </w:p>
          <w:p w14:paraId="00F97A7D">
            <w:pPr>
              <w:keepNext w:val="0"/>
              <w:keepLines w:val="0"/>
              <w:pageBreakBefore w:val="0"/>
              <w:widowControl/>
              <w:kinsoku/>
              <w:wordWrap/>
              <w:overflowPunct/>
              <w:topLinePunct w:val="0"/>
              <w:autoSpaceDE/>
              <w:autoSpaceDN/>
              <w:bidi w:val="0"/>
              <w:adjustRightInd w:val="0"/>
              <w:snapToGrid w:val="0"/>
              <w:ind w:left="0" w:right="0"/>
              <w:textAlignment w:val="auto"/>
              <w:rPr>
                <w:rFonts w:ascii="Times New Roman" w:hAnsi="Times New Roman" w:cs="Times New Roman"/>
                <w:bCs/>
                <w:color w:val="auto"/>
                <w:sz w:val="21"/>
                <w:szCs w:val="21"/>
                <w:highlight w:val="none"/>
              </w:rPr>
            </w:pPr>
            <w:r>
              <w:rPr>
                <w:rFonts w:hint="eastAsia"/>
                <w:bCs/>
                <w:color w:val="auto"/>
                <w:sz w:val="21"/>
                <w:szCs w:val="21"/>
                <w:highlight w:val="none"/>
              </w:rPr>
              <w:t>④</w:t>
            </w:r>
            <w:r>
              <w:rPr>
                <w:rFonts w:ascii="Times New Roman" w:hAnsi="Times New Roman" w:cs="Times New Roman"/>
                <w:bCs/>
                <w:color w:val="auto"/>
                <w:sz w:val="21"/>
                <w:szCs w:val="21"/>
                <w:highlight w:val="none"/>
              </w:rPr>
              <w:t>事故可能持续的时间。</w:t>
            </w:r>
          </w:p>
        </w:tc>
      </w:tr>
      <w:tr w14:paraId="239CE5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4" w:type="pct"/>
            <w:vAlign w:val="center"/>
          </w:tcPr>
          <w:p w14:paraId="5F1974C6">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应急物资</w:t>
            </w:r>
          </w:p>
        </w:tc>
        <w:tc>
          <w:tcPr>
            <w:tcW w:w="4125" w:type="pct"/>
            <w:gridSpan w:val="2"/>
            <w:vAlign w:val="center"/>
          </w:tcPr>
          <w:p w14:paraId="69691BB1">
            <w:pPr>
              <w:keepNext w:val="0"/>
              <w:keepLines w:val="0"/>
              <w:pageBreakBefore w:val="0"/>
              <w:widowControl/>
              <w:kinsoku/>
              <w:wordWrap/>
              <w:overflowPunct/>
              <w:topLinePunct w:val="0"/>
              <w:autoSpaceDE/>
              <w:autoSpaceDN/>
              <w:bidi w:val="0"/>
              <w:adjustRightInd w:val="0"/>
              <w:snapToGrid w:val="0"/>
              <w:ind w:left="0" w:right="0"/>
              <w:jc w:val="center"/>
              <w:textAlignment w:val="auto"/>
              <w:rPr>
                <w:rFonts w:ascii="Times New Roman" w:hAnsi="Times New Roman" w:cs="Times New Roman"/>
                <w:bCs/>
                <w:color w:val="auto"/>
                <w:sz w:val="21"/>
                <w:szCs w:val="21"/>
                <w:highlight w:val="none"/>
              </w:rPr>
            </w:pPr>
            <w:r>
              <w:rPr>
                <w:rFonts w:hint="eastAsia"/>
                <w:color w:val="auto"/>
                <w:sz w:val="21"/>
                <w:szCs w:val="21"/>
                <w:highlight w:val="none"/>
              </w:rPr>
              <w:t>雨水总排口切换阀门</w:t>
            </w:r>
            <w:r>
              <w:rPr>
                <w:rFonts w:hint="eastAsia"/>
                <w:color w:val="auto"/>
                <w:sz w:val="21"/>
                <w:szCs w:val="21"/>
                <w:highlight w:val="none"/>
                <w:lang w:eastAsia="zh-CN"/>
              </w:rPr>
              <w:t>、</w:t>
            </w:r>
            <w:r>
              <w:rPr>
                <w:rFonts w:hint="eastAsia"/>
                <w:color w:val="auto"/>
                <w:sz w:val="21"/>
                <w:szCs w:val="21"/>
                <w:highlight w:val="none"/>
              </w:rPr>
              <w:t>黄沙</w:t>
            </w:r>
            <w:r>
              <w:rPr>
                <w:rFonts w:hint="eastAsia"/>
                <w:color w:val="auto"/>
                <w:sz w:val="21"/>
                <w:szCs w:val="21"/>
                <w:highlight w:val="none"/>
                <w:lang w:eastAsia="zh-CN"/>
              </w:rPr>
              <w:t>、</w:t>
            </w:r>
            <w:r>
              <w:rPr>
                <w:rFonts w:hint="eastAsia"/>
                <w:color w:val="auto"/>
                <w:sz w:val="21"/>
                <w:szCs w:val="21"/>
                <w:highlight w:val="none"/>
              </w:rPr>
              <w:t>铁锹</w:t>
            </w:r>
            <w:r>
              <w:rPr>
                <w:rFonts w:hint="eastAsia"/>
                <w:color w:val="auto"/>
                <w:sz w:val="21"/>
                <w:szCs w:val="21"/>
                <w:highlight w:val="none"/>
                <w:lang w:eastAsia="zh-CN"/>
              </w:rPr>
              <w:t>、</w:t>
            </w:r>
            <w:r>
              <w:rPr>
                <w:rFonts w:hint="eastAsia"/>
                <w:color w:val="auto"/>
                <w:sz w:val="21"/>
                <w:szCs w:val="21"/>
                <w:highlight w:val="none"/>
              </w:rPr>
              <w:t>吸附纸</w:t>
            </w:r>
            <w:r>
              <w:rPr>
                <w:rFonts w:hint="eastAsia"/>
                <w:color w:val="auto"/>
                <w:sz w:val="21"/>
                <w:szCs w:val="21"/>
                <w:highlight w:val="none"/>
                <w:lang w:eastAsia="zh-CN"/>
              </w:rPr>
              <w:t>、</w:t>
            </w:r>
            <w:r>
              <w:rPr>
                <w:rFonts w:hint="eastAsia"/>
                <w:color w:val="auto"/>
                <w:sz w:val="21"/>
                <w:szCs w:val="21"/>
                <w:highlight w:val="none"/>
              </w:rPr>
              <w:t>应急事故池</w:t>
            </w:r>
            <w:r>
              <w:rPr>
                <w:rFonts w:hint="eastAsia"/>
                <w:color w:val="auto"/>
                <w:sz w:val="21"/>
                <w:szCs w:val="21"/>
                <w:highlight w:val="none"/>
                <w:lang w:eastAsia="zh-CN"/>
              </w:rPr>
              <w:t>、</w:t>
            </w:r>
            <w:r>
              <w:rPr>
                <w:rFonts w:hint="eastAsia"/>
                <w:color w:val="auto"/>
                <w:sz w:val="21"/>
                <w:szCs w:val="21"/>
                <w:highlight w:val="none"/>
              </w:rPr>
              <w:t>围堰</w:t>
            </w:r>
            <w:r>
              <w:rPr>
                <w:rFonts w:hint="eastAsia"/>
                <w:color w:val="auto"/>
                <w:sz w:val="21"/>
                <w:szCs w:val="21"/>
                <w:highlight w:val="none"/>
                <w:lang w:eastAsia="zh-CN"/>
              </w:rPr>
              <w:t>、</w:t>
            </w:r>
            <w:r>
              <w:rPr>
                <w:rFonts w:hint="eastAsia"/>
                <w:color w:val="auto"/>
                <w:sz w:val="21"/>
                <w:szCs w:val="21"/>
                <w:highlight w:val="none"/>
              </w:rPr>
              <w:t>水泵</w:t>
            </w:r>
            <w:r>
              <w:rPr>
                <w:rFonts w:hint="eastAsia"/>
                <w:color w:val="auto"/>
                <w:sz w:val="21"/>
                <w:szCs w:val="21"/>
                <w:highlight w:val="none"/>
                <w:lang w:eastAsia="zh-CN"/>
              </w:rPr>
              <w:t>、</w:t>
            </w:r>
            <w:r>
              <w:rPr>
                <w:rFonts w:hint="eastAsia"/>
                <w:color w:val="auto"/>
                <w:sz w:val="21"/>
                <w:szCs w:val="21"/>
                <w:highlight w:val="none"/>
              </w:rPr>
              <w:t>应急电源</w:t>
            </w:r>
            <w:r>
              <w:rPr>
                <w:rFonts w:hint="eastAsia"/>
                <w:color w:val="auto"/>
                <w:sz w:val="21"/>
                <w:szCs w:val="21"/>
                <w:highlight w:val="none"/>
                <w:lang w:eastAsia="zh-CN"/>
              </w:rPr>
              <w:t>、</w:t>
            </w:r>
            <w:r>
              <w:rPr>
                <w:rFonts w:hint="eastAsia"/>
                <w:color w:val="auto"/>
                <w:sz w:val="21"/>
                <w:szCs w:val="21"/>
                <w:highlight w:val="none"/>
              </w:rPr>
              <w:t>活性炭等吸附材料</w:t>
            </w:r>
            <w:r>
              <w:rPr>
                <w:rFonts w:hint="eastAsia"/>
                <w:color w:val="auto"/>
                <w:sz w:val="21"/>
                <w:szCs w:val="21"/>
                <w:highlight w:val="none"/>
                <w:lang w:eastAsia="zh-CN"/>
              </w:rPr>
              <w:t>、</w:t>
            </w:r>
            <w:r>
              <w:rPr>
                <w:rFonts w:hint="eastAsia"/>
                <w:color w:val="auto"/>
                <w:sz w:val="21"/>
                <w:szCs w:val="21"/>
                <w:highlight w:val="none"/>
              </w:rPr>
              <w:t>有毒有害气体泄露监控预警系统</w:t>
            </w:r>
            <w:r>
              <w:rPr>
                <w:rFonts w:hint="eastAsia"/>
                <w:color w:val="auto"/>
                <w:sz w:val="21"/>
                <w:szCs w:val="21"/>
                <w:highlight w:val="none"/>
                <w:lang w:eastAsia="zh-CN"/>
              </w:rPr>
              <w:t>、</w:t>
            </w:r>
            <w:r>
              <w:rPr>
                <w:rFonts w:hint="eastAsia"/>
                <w:color w:val="auto"/>
                <w:sz w:val="21"/>
                <w:szCs w:val="21"/>
                <w:highlight w:val="none"/>
              </w:rPr>
              <w:t>过滤式防毒面具</w:t>
            </w:r>
            <w:r>
              <w:rPr>
                <w:rFonts w:hint="eastAsia"/>
                <w:color w:val="auto"/>
                <w:sz w:val="21"/>
                <w:szCs w:val="21"/>
                <w:highlight w:val="none"/>
                <w:lang w:eastAsia="zh-CN"/>
              </w:rPr>
              <w:t>、</w:t>
            </w:r>
            <w:r>
              <w:rPr>
                <w:rFonts w:hint="eastAsia"/>
                <w:color w:val="auto"/>
                <w:sz w:val="21"/>
                <w:szCs w:val="21"/>
                <w:highlight w:val="none"/>
              </w:rPr>
              <w:t>防护服</w:t>
            </w:r>
            <w:r>
              <w:rPr>
                <w:rFonts w:hint="eastAsia"/>
                <w:color w:val="auto"/>
                <w:sz w:val="21"/>
                <w:szCs w:val="21"/>
                <w:highlight w:val="none"/>
                <w:lang w:eastAsia="zh-CN"/>
              </w:rPr>
              <w:t>、</w:t>
            </w:r>
            <w:r>
              <w:rPr>
                <w:rFonts w:hint="eastAsia"/>
                <w:color w:val="auto"/>
                <w:sz w:val="21"/>
                <w:szCs w:val="21"/>
                <w:highlight w:val="none"/>
              </w:rPr>
              <w:t>防护胶鞋</w:t>
            </w:r>
            <w:r>
              <w:rPr>
                <w:rFonts w:hint="eastAsia"/>
                <w:color w:val="auto"/>
                <w:sz w:val="21"/>
                <w:szCs w:val="21"/>
                <w:highlight w:val="none"/>
                <w:lang w:eastAsia="zh-CN"/>
              </w:rPr>
              <w:t>、</w:t>
            </w:r>
            <w:r>
              <w:rPr>
                <w:rFonts w:hint="eastAsia"/>
                <w:color w:val="auto"/>
                <w:sz w:val="21"/>
                <w:szCs w:val="21"/>
                <w:highlight w:val="none"/>
              </w:rPr>
              <w:t>洗眼器</w:t>
            </w:r>
            <w:r>
              <w:rPr>
                <w:rFonts w:hint="eastAsia"/>
                <w:color w:val="auto"/>
                <w:sz w:val="21"/>
                <w:szCs w:val="21"/>
                <w:highlight w:val="none"/>
                <w:lang w:eastAsia="zh-CN"/>
              </w:rPr>
              <w:t>、</w:t>
            </w:r>
            <w:r>
              <w:rPr>
                <w:rFonts w:hint="eastAsia"/>
                <w:color w:val="auto"/>
                <w:sz w:val="21"/>
                <w:szCs w:val="21"/>
                <w:highlight w:val="none"/>
              </w:rPr>
              <w:t>警戒带</w:t>
            </w:r>
            <w:r>
              <w:rPr>
                <w:rFonts w:hint="eastAsia"/>
                <w:color w:val="auto"/>
                <w:sz w:val="21"/>
                <w:szCs w:val="21"/>
                <w:highlight w:val="none"/>
                <w:lang w:eastAsia="zh-CN"/>
              </w:rPr>
              <w:t>、</w:t>
            </w:r>
            <w:r>
              <w:rPr>
                <w:rFonts w:hint="eastAsia"/>
                <w:color w:val="auto"/>
                <w:sz w:val="21"/>
                <w:szCs w:val="21"/>
                <w:highlight w:val="none"/>
              </w:rPr>
              <w:t>急救箱</w:t>
            </w:r>
            <w:r>
              <w:rPr>
                <w:rFonts w:hint="eastAsia"/>
                <w:color w:val="auto"/>
                <w:sz w:val="21"/>
                <w:szCs w:val="21"/>
                <w:highlight w:val="none"/>
                <w:lang w:eastAsia="zh-CN"/>
              </w:rPr>
              <w:t>、</w:t>
            </w:r>
            <w:r>
              <w:rPr>
                <w:rFonts w:hint="eastAsia"/>
                <w:color w:val="auto"/>
                <w:sz w:val="21"/>
                <w:szCs w:val="21"/>
                <w:highlight w:val="none"/>
              </w:rPr>
              <w:t>担架</w:t>
            </w:r>
            <w:r>
              <w:rPr>
                <w:rFonts w:hint="eastAsia"/>
                <w:color w:val="auto"/>
                <w:sz w:val="21"/>
                <w:szCs w:val="21"/>
                <w:highlight w:val="none"/>
                <w:lang w:eastAsia="zh-CN"/>
              </w:rPr>
              <w:t>、</w:t>
            </w:r>
            <w:r>
              <w:rPr>
                <w:rFonts w:hint="eastAsia"/>
                <w:color w:val="auto"/>
                <w:sz w:val="21"/>
                <w:szCs w:val="21"/>
                <w:highlight w:val="none"/>
              </w:rPr>
              <w:t>正压式呼吸器</w:t>
            </w:r>
            <w:r>
              <w:rPr>
                <w:rFonts w:hint="eastAsia"/>
                <w:color w:val="auto"/>
                <w:sz w:val="21"/>
                <w:szCs w:val="21"/>
                <w:highlight w:val="none"/>
                <w:lang w:eastAsia="zh-CN"/>
              </w:rPr>
              <w:t>、</w:t>
            </w:r>
            <w:r>
              <w:rPr>
                <w:rFonts w:hint="eastAsia"/>
                <w:color w:val="auto"/>
                <w:sz w:val="21"/>
                <w:szCs w:val="21"/>
                <w:highlight w:val="none"/>
              </w:rPr>
              <w:t>扩音器</w:t>
            </w:r>
          </w:p>
        </w:tc>
      </w:tr>
    </w:tbl>
    <w:p w14:paraId="6C122DD5">
      <w:pPr>
        <w:tabs>
          <w:tab w:val="left" w:pos="96"/>
          <w:tab w:val="left" w:pos="340"/>
          <w:tab w:val="left" w:pos="890"/>
          <w:tab w:val="left" w:pos="5142"/>
        </w:tabs>
        <w:adjustRightInd w:val="0"/>
        <w:snapToGrid w:val="0"/>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为满足事故应急需要，企业应配备相应应急物资，拟配备应急物资如下：</w:t>
      </w:r>
    </w:p>
    <w:p w14:paraId="77714F0E">
      <w:pPr>
        <w:pStyle w:val="43"/>
        <w:ind w:left="-105" w:right="-105" w:firstLine="0" w:firstLineChars="0"/>
        <w:jc w:val="center"/>
        <w:rPr>
          <w:rFonts w:ascii="Times New Roman" w:hAnsi="Times New Roman"/>
          <w:color w:val="auto"/>
          <w:highlight w:val="none"/>
        </w:rPr>
      </w:pPr>
      <w:r>
        <w:rPr>
          <w:rFonts w:ascii="Times New Roman" w:hAnsi="Times New Roman"/>
          <w:b/>
          <w:bCs/>
          <w:color w:val="auto"/>
          <w:sz w:val="24"/>
          <w:highlight w:val="none"/>
        </w:rPr>
        <w:t>表</w:t>
      </w:r>
      <w:r>
        <w:rPr>
          <w:rFonts w:ascii="Times New Roman" w:hAnsi="Times New Roman"/>
          <w:b/>
          <w:bCs/>
          <w:color w:val="auto"/>
          <w:sz w:val="24"/>
          <w:highlight w:val="none"/>
        </w:rPr>
        <w:fldChar w:fldCharType="begin"/>
      </w:r>
      <w:r>
        <w:rPr>
          <w:rFonts w:ascii="Times New Roman" w:hAnsi="Times New Roman"/>
          <w:b/>
          <w:bCs/>
          <w:color w:val="auto"/>
          <w:sz w:val="24"/>
          <w:highlight w:val="none"/>
        </w:rPr>
        <w:instrText xml:space="preserve"> STYLEREF 2 \s </w:instrText>
      </w:r>
      <w:r>
        <w:rPr>
          <w:rFonts w:ascii="Times New Roman" w:hAnsi="Times New Roman"/>
          <w:b/>
          <w:bCs/>
          <w:color w:val="auto"/>
          <w:sz w:val="24"/>
          <w:highlight w:val="none"/>
        </w:rPr>
        <w:fldChar w:fldCharType="separate"/>
      </w:r>
      <w:r>
        <w:rPr>
          <w:rFonts w:ascii="Times New Roman" w:hAnsi="Times New Roman"/>
          <w:b/>
          <w:bCs/>
          <w:color w:val="auto"/>
          <w:sz w:val="24"/>
          <w:highlight w:val="none"/>
        </w:rPr>
        <w:t>6.6</w:t>
      </w:r>
      <w:r>
        <w:rPr>
          <w:rFonts w:ascii="Times New Roman" w:hAnsi="Times New Roman"/>
          <w:b/>
          <w:bCs/>
          <w:color w:val="auto"/>
          <w:sz w:val="24"/>
          <w:highlight w:val="none"/>
        </w:rPr>
        <w:fldChar w:fldCharType="end"/>
      </w:r>
      <w:r>
        <w:rPr>
          <w:rFonts w:ascii="Times New Roman" w:hAnsi="Times New Roman"/>
          <w:b/>
          <w:bCs/>
          <w:color w:val="auto"/>
          <w:sz w:val="24"/>
          <w:highlight w:val="none"/>
        </w:rPr>
        <w:noBreakHyphen/>
      </w:r>
      <w:r>
        <w:rPr>
          <w:rFonts w:ascii="Times New Roman" w:hAnsi="Times New Roman"/>
          <w:b/>
          <w:bCs/>
          <w:color w:val="auto"/>
          <w:sz w:val="24"/>
          <w:highlight w:val="none"/>
        </w:rPr>
        <w:fldChar w:fldCharType="begin"/>
      </w:r>
      <w:r>
        <w:rPr>
          <w:rFonts w:ascii="Times New Roman" w:hAnsi="Times New Roman"/>
          <w:b/>
          <w:bCs/>
          <w:color w:val="auto"/>
          <w:sz w:val="24"/>
          <w:highlight w:val="none"/>
        </w:rPr>
        <w:instrText xml:space="preserve"> SEQ 表 \* ARABIC \s 2 </w:instrText>
      </w:r>
      <w:r>
        <w:rPr>
          <w:rFonts w:ascii="Times New Roman" w:hAnsi="Times New Roman"/>
          <w:b/>
          <w:bCs/>
          <w:color w:val="auto"/>
          <w:sz w:val="24"/>
          <w:highlight w:val="none"/>
        </w:rPr>
        <w:fldChar w:fldCharType="separate"/>
      </w:r>
      <w:r>
        <w:rPr>
          <w:rFonts w:ascii="Times New Roman" w:hAnsi="Times New Roman"/>
          <w:b/>
          <w:bCs/>
          <w:color w:val="auto"/>
          <w:sz w:val="24"/>
          <w:highlight w:val="none"/>
        </w:rPr>
        <w:t>3</w:t>
      </w:r>
      <w:r>
        <w:rPr>
          <w:rFonts w:ascii="Times New Roman" w:hAnsi="Times New Roman"/>
          <w:b/>
          <w:bCs/>
          <w:color w:val="auto"/>
          <w:sz w:val="24"/>
          <w:highlight w:val="none"/>
        </w:rPr>
        <w:fldChar w:fldCharType="end"/>
      </w:r>
      <w:r>
        <w:rPr>
          <w:rFonts w:ascii="Times New Roman" w:hAnsi="Times New Roman"/>
          <w:b/>
          <w:bCs/>
          <w:color w:val="auto"/>
          <w:sz w:val="24"/>
          <w:szCs w:val="32"/>
          <w:highlight w:val="none"/>
        </w:rPr>
        <w:t>企业拟配备应急物资</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2749"/>
        <w:gridCol w:w="3483"/>
      </w:tblGrid>
      <w:tr w14:paraId="07588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2486" w:type="dxa"/>
            <w:tcBorders>
              <w:top w:val="single" w:color="auto" w:sz="12" w:space="0"/>
            </w:tcBorders>
            <w:vAlign w:val="center"/>
          </w:tcPr>
          <w:p w14:paraId="09B8AB1B">
            <w:pPr>
              <w:adjustRightInd w:val="0"/>
              <w:snapToGrid w:val="0"/>
              <w:ind w:left="-105" w:right="-105"/>
              <w:jc w:val="center"/>
              <w:rPr>
                <w:rFonts w:ascii="Times New Roman" w:hAnsi="Times New Roman" w:cs="Times New Roman"/>
                <w:b/>
                <w:bCs/>
                <w:color w:val="auto"/>
                <w:sz w:val="21"/>
                <w:szCs w:val="21"/>
                <w:highlight w:val="none"/>
              </w:rPr>
            </w:pPr>
            <w:bookmarkStart w:id="502" w:name="_Hlk87953768"/>
            <w:r>
              <w:rPr>
                <w:rFonts w:ascii="Times New Roman" w:hAnsi="Times New Roman" w:cs="Times New Roman"/>
                <w:b/>
                <w:bCs/>
                <w:color w:val="auto"/>
                <w:sz w:val="21"/>
                <w:szCs w:val="21"/>
                <w:highlight w:val="none"/>
              </w:rPr>
              <w:t>分类</w:t>
            </w:r>
          </w:p>
        </w:tc>
        <w:tc>
          <w:tcPr>
            <w:tcW w:w="2749" w:type="dxa"/>
            <w:tcBorders>
              <w:top w:val="single" w:color="auto" w:sz="12" w:space="0"/>
            </w:tcBorders>
            <w:vAlign w:val="center"/>
          </w:tcPr>
          <w:p w14:paraId="62452F30">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名称</w:t>
            </w:r>
          </w:p>
        </w:tc>
        <w:tc>
          <w:tcPr>
            <w:tcW w:w="3485" w:type="dxa"/>
            <w:tcBorders>
              <w:top w:val="single" w:color="auto" w:sz="12" w:space="0"/>
            </w:tcBorders>
            <w:vAlign w:val="center"/>
          </w:tcPr>
          <w:p w14:paraId="3DC80E32">
            <w:pPr>
              <w:adjustRightInd w:val="0"/>
              <w:snapToGrid w:val="0"/>
              <w:ind w:left="-105" w:right="-105"/>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数量</w:t>
            </w:r>
          </w:p>
        </w:tc>
      </w:tr>
      <w:tr w14:paraId="0604E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Align w:val="center"/>
          </w:tcPr>
          <w:p w14:paraId="61786C76">
            <w:pPr>
              <w:adjustRightInd w:val="0"/>
              <w:snapToGrid w:val="0"/>
              <w:ind w:left="-105" w:right="-105"/>
              <w:jc w:val="center"/>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lang w:val="zh-CN"/>
              </w:rPr>
              <w:t>污染源切断</w:t>
            </w:r>
          </w:p>
        </w:tc>
        <w:tc>
          <w:tcPr>
            <w:tcW w:w="2749" w:type="dxa"/>
            <w:vAlign w:val="center"/>
          </w:tcPr>
          <w:p w14:paraId="484F21C5">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雨水总排口切换阀门</w:t>
            </w:r>
          </w:p>
        </w:tc>
        <w:tc>
          <w:tcPr>
            <w:tcW w:w="3485" w:type="dxa"/>
            <w:vAlign w:val="center"/>
          </w:tcPr>
          <w:p w14:paraId="227DA1B3">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1个</w:t>
            </w:r>
          </w:p>
        </w:tc>
      </w:tr>
      <w:tr w14:paraId="65003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restart"/>
            <w:vAlign w:val="center"/>
          </w:tcPr>
          <w:p w14:paraId="1A653DA4">
            <w:pPr>
              <w:adjustRightInd w:val="0"/>
              <w:snapToGrid w:val="0"/>
              <w:ind w:left="-105" w:right="-105"/>
              <w:jc w:val="center"/>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rPr>
              <w:t>污染物控制</w:t>
            </w:r>
          </w:p>
        </w:tc>
        <w:tc>
          <w:tcPr>
            <w:tcW w:w="2749" w:type="dxa"/>
            <w:vAlign w:val="center"/>
          </w:tcPr>
          <w:p w14:paraId="7FF8D217">
            <w:pPr>
              <w:pStyle w:val="236"/>
              <w:ind w:left="-105" w:right="-105"/>
              <w:jc w:val="center"/>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黄沙</w:t>
            </w:r>
          </w:p>
        </w:tc>
        <w:tc>
          <w:tcPr>
            <w:tcW w:w="3485" w:type="dxa"/>
            <w:vAlign w:val="center"/>
          </w:tcPr>
          <w:p w14:paraId="387A03CC">
            <w:pPr>
              <w:pStyle w:val="236"/>
              <w:ind w:left="-105" w:right="-105"/>
              <w:jc w:val="center"/>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7堆</w:t>
            </w:r>
          </w:p>
        </w:tc>
      </w:tr>
      <w:tr w14:paraId="68296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5C1F6C51">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6B449029">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铁锹</w:t>
            </w:r>
          </w:p>
        </w:tc>
        <w:tc>
          <w:tcPr>
            <w:tcW w:w="3485" w:type="dxa"/>
            <w:vAlign w:val="center"/>
          </w:tcPr>
          <w:p w14:paraId="1BCE1EE7">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2把</w:t>
            </w:r>
          </w:p>
        </w:tc>
      </w:tr>
      <w:tr w14:paraId="6E8A5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restart"/>
            <w:vAlign w:val="center"/>
          </w:tcPr>
          <w:p w14:paraId="6525F1F0">
            <w:pPr>
              <w:adjustRightInd w:val="0"/>
              <w:snapToGrid w:val="0"/>
              <w:ind w:left="-105" w:right="-105"/>
              <w:jc w:val="center"/>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rPr>
              <w:t>污染物收集</w:t>
            </w:r>
          </w:p>
        </w:tc>
        <w:tc>
          <w:tcPr>
            <w:tcW w:w="2749" w:type="dxa"/>
            <w:vAlign w:val="center"/>
          </w:tcPr>
          <w:p w14:paraId="5ED87E9E">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吸附纸</w:t>
            </w:r>
          </w:p>
        </w:tc>
        <w:tc>
          <w:tcPr>
            <w:tcW w:w="3485" w:type="dxa"/>
            <w:vAlign w:val="center"/>
          </w:tcPr>
          <w:p w14:paraId="76E2A2A7">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1箱</w:t>
            </w:r>
          </w:p>
        </w:tc>
      </w:tr>
      <w:tr w14:paraId="0696C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66783EDE">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3FECE959">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应急事故池</w:t>
            </w:r>
          </w:p>
        </w:tc>
        <w:tc>
          <w:tcPr>
            <w:tcW w:w="3485" w:type="dxa"/>
            <w:vAlign w:val="center"/>
          </w:tcPr>
          <w:p w14:paraId="3E72D671">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540m</w:t>
            </w:r>
            <w:r>
              <w:rPr>
                <w:rFonts w:hint="eastAsia" w:ascii="Times New Roman" w:hAnsi="Times New Roman" w:cs="Times New Roman"/>
                <w:color w:val="auto"/>
                <w:sz w:val="21"/>
                <w:szCs w:val="21"/>
                <w:highlight w:val="none"/>
                <w:vertAlign w:val="superscript"/>
                <w:lang w:val="zh-CN"/>
              </w:rPr>
              <w:t>3</w:t>
            </w:r>
          </w:p>
        </w:tc>
      </w:tr>
      <w:tr w14:paraId="77F43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10C13A1F">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5665434F">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围堰</w:t>
            </w:r>
          </w:p>
        </w:tc>
        <w:tc>
          <w:tcPr>
            <w:tcW w:w="3485" w:type="dxa"/>
            <w:vAlign w:val="center"/>
          </w:tcPr>
          <w:p w14:paraId="47C57594">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15.4×6.4×0.93m</w:t>
            </w:r>
          </w:p>
        </w:tc>
      </w:tr>
      <w:tr w14:paraId="2DE99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58844A94">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6A025297">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水泵</w:t>
            </w:r>
          </w:p>
        </w:tc>
        <w:tc>
          <w:tcPr>
            <w:tcW w:w="3485" w:type="dxa"/>
            <w:vAlign w:val="center"/>
          </w:tcPr>
          <w:p w14:paraId="566E1DCF">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2台</w:t>
            </w:r>
          </w:p>
        </w:tc>
      </w:tr>
      <w:tr w14:paraId="6FFF4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6B74EED7">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22289EDD">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应急电源</w:t>
            </w:r>
          </w:p>
        </w:tc>
        <w:tc>
          <w:tcPr>
            <w:tcW w:w="3485" w:type="dxa"/>
            <w:vAlign w:val="center"/>
          </w:tcPr>
          <w:p w14:paraId="4F730D9C">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zh-CN"/>
              </w:rPr>
              <w:t>台</w:t>
            </w:r>
          </w:p>
        </w:tc>
      </w:tr>
      <w:tr w14:paraId="43379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Align w:val="center"/>
          </w:tcPr>
          <w:p w14:paraId="331CF2E0">
            <w:pPr>
              <w:adjustRightInd w:val="0"/>
              <w:snapToGrid w:val="0"/>
              <w:ind w:left="-105" w:right="-105"/>
              <w:jc w:val="center"/>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rPr>
              <w:t>污染物降解</w:t>
            </w:r>
          </w:p>
        </w:tc>
        <w:tc>
          <w:tcPr>
            <w:tcW w:w="2749" w:type="dxa"/>
            <w:vAlign w:val="center"/>
          </w:tcPr>
          <w:p w14:paraId="2F086AE1">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活性炭等吸附材料</w:t>
            </w:r>
          </w:p>
        </w:tc>
        <w:tc>
          <w:tcPr>
            <w:tcW w:w="3485" w:type="dxa"/>
            <w:vAlign w:val="center"/>
          </w:tcPr>
          <w:p w14:paraId="77382E2D">
            <w:pPr>
              <w:adjustRightInd w:val="0"/>
              <w:snapToGrid w:val="0"/>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2箱</w:t>
            </w:r>
          </w:p>
        </w:tc>
      </w:tr>
      <w:tr w14:paraId="3B003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restart"/>
            <w:vAlign w:val="center"/>
          </w:tcPr>
          <w:p w14:paraId="1A8943B8">
            <w:pPr>
              <w:adjustRightInd w:val="0"/>
              <w:snapToGrid w:val="0"/>
              <w:ind w:left="-105" w:right="-105"/>
              <w:jc w:val="center"/>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rPr>
              <w:t>安全防护</w:t>
            </w:r>
          </w:p>
        </w:tc>
        <w:tc>
          <w:tcPr>
            <w:tcW w:w="2749" w:type="dxa"/>
            <w:vAlign w:val="center"/>
          </w:tcPr>
          <w:p w14:paraId="4E349B89">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有毒有害气体泄露监控预警系统</w:t>
            </w:r>
          </w:p>
        </w:tc>
        <w:tc>
          <w:tcPr>
            <w:tcW w:w="3485" w:type="dxa"/>
            <w:vAlign w:val="center"/>
          </w:tcPr>
          <w:p w14:paraId="0C5D3B1E">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2个</w:t>
            </w:r>
          </w:p>
        </w:tc>
      </w:tr>
      <w:tr w14:paraId="6264F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379B5B69">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6F7C42EC">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烟感报警器</w:t>
            </w:r>
          </w:p>
        </w:tc>
        <w:tc>
          <w:tcPr>
            <w:tcW w:w="3485" w:type="dxa"/>
            <w:vAlign w:val="center"/>
          </w:tcPr>
          <w:p w14:paraId="65D0CE86">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55个</w:t>
            </w:r>
          </w:p>
        </w:tc>
      </w:tr>
      <w:tr w14:paraId="79E8F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30744B48">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44420B25">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可燃气体报警器</w:t>
            </w:r>
          </w:p>
        </w:tc>
        <w:tc>
          <w:tcPr>
            <w:tcW w:w="3485" w:type="dxa"/>
            <w:vAlign w:val="center"/>
          </w:tcPr>
          <w:p w14:paraId="215AF655">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55个</w:t>
            </w:r>
          </w:p>
        </w:tc>
      </w:tr>
      <w:tr w14:paraId="54EFF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572E54B9">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5D2AA241">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手动报警装置</w:t>
            </w:r>
          </w:p>
        </w:tc>
        <w:tc>
          <w:tcPr>
            <w:tcW w:w="3485" w:type="dxa"/>
            <w:vAlign w:val="center"/>
          </w:tcPr>
          <w:p w14:paraId="3DB2161B">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19台</w:t>
            </w:r>
          </w:p>
        </w:tc>
      </w:tr>
      <w:tr w14:paraId="1FD40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6627CDE5">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32A1EFA2">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过滤式防毒面具</w:t>
            </w:r>
          </w:p>
        </w:tc>
        <w:tc>
          <w:tcPr>
            <w:tcW w:w="3485" w:type="dxa"/>
            <w:vAlign w:val="center"/>
          </w:tcPr>
          <w:p w14:paraId="7194E15E">
            <w:pPr>
              <w:adjustRightInd w:val="0"/>
              <w:snapToGrid w:val="0"/>
              <w:ind w:left="-105" w:right="-105"/>
              <w:jc w:val="center"/>
              <w:rPr>
                <w:rFonts w:ascii="Times New Roman" w:hAnsi="Times New Roman" w:cs="Times New Roman"/>
                <w:color w:val="auto"/>
                <w:sz w:val="21"/>
                <w:szCs w:val="21"/>
                <w:highlight w:val="none"/>
                <w:lang w:val="zh-CN" w:eastAsia="en-US"/>
              </w:rPr>
            </w:pPr>
            <w:r>
              <w:rPr>
                <w:rFonts w:hint="eastAsia" w:ascii="Times New Roman" w:hAnsi="Times New Roman" w:cs="Times New Roman"/>
                <w:color w:val="auto"/>
                <w:sz w:val="21"/>
                <w:szCs w:val="21"/>
                <w:highlight w:val="none"/>
                <w:lang w:val="zh-CN"/>
              </w:rPr>
              <w:t>24个</w:t>
            </w:r>
          </w:p>
        </w:tc>
      </w:tr>
      <w:tr w14:paraId="5BEC4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2141A945">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49F5053D">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防护服</w:t>
            </w:r>
          </w:p>
        </w:tc>
        <w:tc>
          <w:tcPr>
            <w:tcW w:w="3485" w:type="dxa"/>
            <w:vAlign w:val="center"/>
          </w:tcPr>
          <w:p w14:paraId="5133AB40">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6套</w:t>
            </w:r>
          </w:p>
        </w:tc>
      </w:tr>
      <w:tr w14:paraId="7379C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7620D578">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0DB1662F">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防护胶鞋</w:t>
            </w:r>
          </w:p>
        </w:tc>
        <w:tc>
          <w:tcPr>
            <w:tcW w:w="3485" w:type="dxa"/>
            <w:vAlign w:val="center"/>
          </w:tcPr>
          <w:p w14:paraId="28A33347">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2双</w:t>
            </w:r>
          </w:p>
        </w:tc>
      </w:tr>
      <w:tr w14:paraId="3D26F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00F56DED">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61690E4D">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洗眼器</w:t>
            </w:r>
          </w:p>
        </w:tc>
        <w:tc>
          <w:tcPr>
            <w:tcW w:w="3485" w:type="dxa"/>
            <w:vAlign w:val="center"/>
          </w:tcPr>
          <w:p w14:paraId="106C6FA3">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16个</w:t>
            </w:r>
          </w:p>
        </w:tc>
      </w:tr>
      <w:tr w14:paraId="6D721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69903974">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3BE530B8">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警戒带</w:t>
            </w:r>
          </w:p>
        </w:tc>
        <w:tc>
          <w:tcPr>
            <w:tcW w:w="3485" w:type="dxa"/>
            <w:vAlign w:val="center"/>
          </w:tcPr>
          <w:p w14:paraId="022A0EB9">
            <w:pPr>
              <w:pStyle w:val="236"/>
              <w:ind w:left="-105" w:right="-105"/>
              <w:jc w:val="center"/>
              <w:rPr>
                <w:rFonts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2卷</w:t>
            </w:r>
          </w:p>
        </w:tc>
      </w:tr>
      <w:tr w14:paraId="657DE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698CEC4A">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36FC33A8">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急救箱</w:t>
            </w:r>
          </w:p>
        </w:tc>
        <w:tc>
          <w:tcPr>
            <w:tcW w:w="3485" w:type="dxa"/>
            <w:vAlign w:val="center"/>
          </w:tcPr>
          <w:p w14:paraId="6D2B1360">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3个</w:t>
            </w:r>
          </w:p>
        </w:tc>
      </w:tr>
      <w:tr w14:paraId="58B5F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3F2D487B">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7E096C26">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担架</w:t>
            </w:r>
          </w:p>
        </w:tc>
        <w:tc>
          <w:tcPr>
            <w:tcW w:w="3485" w:type="dxa"/>
            <w:vAlign w:val="center"/>
          </w:tcPr>
          <w:p w14:paraId="5A3D6078">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1副</w:t>
            </w:r>
          </w:p>
        </w:tc>
      </w:tr>
      <w:tr w14:paraId="5765A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Merge w:val="continue"/>
            <w:vAlign w:val="center"/>
          </w:tcPr>
          <w:p w14:paraId="1E05A627">
            <w:pPr>
              <w:adjustRightInd w:val="0"/>
              <w:snapToGrid w:val="0"/>
              <w:ind w:left="-105" w:right="-105"/>
              <w:jc w:val="center"/>
              <w:rPr>
                <w:rFonts w:ascii="Times New Roman" w:hAnsi="Times New Roman" w:cs="Times New Roman"/>
                <w:color w:val="auto"/>
                <w:sz w:val="21"/>
                <w:szCs w:val="21"/>
                <w:highlight w:val="none"/>
              </w:rPr>
            </w:pPr>
          </w:p>
        </w:tc>
        <w:tc>
          <w:tcPr>
            <w:tcW w:w="2749" w:type="dxa"/>
            <w:vAlign w:val="center"/>
          </w:tcPr>
          <w:p w14:paraId="074440C8">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正压式呼吸器</w:t>
            </w:r>
          </w:p>
        </w:tc>
        <w:tc>
          <w:tcPr>
            <w:tcW w:w="3485" w:type="dxa"/>
            <w:vAlign w:val="center"/>
          </w:tcPr>
          <w:p w14:paraId="07F360C7">
            <w:pPr>
              <w:pStyle w:val="236"/>
              <w:ind w:left="-105" w:right="-105"/>
              <w:jc w:val="center"/>
              <w:rPr>
                <w:rFonts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2套</w:t>
            </w:r>
          </w:p>
        </w:tc>
      </w:tr>
      <w:tr w14:paraId="71DA0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6" w:type="dxa"/>
            <w:vAlign w:val="center"/>
          </w:tcPr>
          <w:p w14:paraId="5C1E5A37">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应急通信和指挥</w:t>
            </w:r>
          </w:p>
        </w:tc>
        <w:tc>
          <w:tcPr>
            <w:tcW w:w="2749" w:type="dxa"/>
            <w:vAlign w:val="center"/>
          </w:tcPr>
          <w:p w14:paraId="0AEF0DA6">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扩音器</w:t>
            </w:r>
          </w:p>
        </w:tc>
        <w:tc>
          <w:tcPr>
            <w:tcW w:w="3485" w:type="dxa"/>
            <w:vAlign w:val="center"/>
          </w:tcPr>
          <w:p w14:paraId="1315F75B">
            <w:pPr>
              <w:adjustRightInd w:val="0"/>
              <w:snapToGrid w:val="0"/>
              <w:ind w:left="-105" w:right="-105"/>
              <w:jc w:val="center"/>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2个</w:t>
            </w:r>
          </w:p>
        </w:tc>
      </w:tr>
      <w:bookmarkEnd w:id="502"/>
    </w:tbl>
    <w:p w14:paraId="4C38558C">
      <w:pPr>
        <w:pStyle w:val="44"/>
        <w:spacing w:after="0" w:line="360" w:lineRule="auto"/>
        <w:ind w:left="0" w:leftChars="0" w:right="-105" w:firstLine="480"/>
        <w:rPr>
          <w:rFonts w:eastAsia="宋体"/>
          <w:color w:val="auto"/>
          <w:sz w:val="24"/>
          <w:highlight w:val="none"/>
        </w:rPr>
      </w:pPr>
      <w:r>
        <w:rPr>
          <w:rFonts w:eastAsia="宋体"/>
          <w:color w:val="auto"/>
          <w:sz w:val="24"/>
          <w:highlight w:val="none"/>
        </w:rPr>
        <w:t>企业应系统培训公司作业人员，发生事故时报警、紧急处置、逃生、个体防护、急救、紧急疏散等程序的基本要求，针对可能发生的泄漏、火灾或爆炸情形开展应急演练，并邀请同行、专家进行指导评价，提高企业人员对突发环境事件的处置能力，尽可能的减小对突发环境事件对周边环境的影响。应急培训、演练频次不低于1年/次。</w:t>
      </w:r>
    </w:p>
    <w:p w14:paraId="38721688">
      <w:pPr>
        <w:pStyle w:val="44"/>
        <w:spacing w:after="0" w:line="360" w:lineRule="auto"/>
        <w:ind w:left="0" w:leftChars="0" w:right="-105" w:firstLine="480"/>
        <w:rPr>
          <w:color w:val="auto"/>
          <w:highlight w:val="none"/>
        </w:rPr>
      </w:pPr>
      <w:r>
        <w:rPr>
          <w:rFonts w:eastAsia="宋体"/>
          <w:color w:val="auto"/>
          <w:sz w:val="24"/>
          <w:highlight w:val="none"/>
        </w:rPr>
        <w:t>企业应急根据应急预案的管理要求，针对全厂的工艺、设备、风险源及可能发生的事故编制应急预案，并定期进行演练，并在生产地点、生产规模和生产工艺发生重大变化时，及时更新预案。在演练过程中发现存在的问题和出现新的情况，也应及时修订完善预案。</w:t>
      </w:r>
    </w:p>
    <w:p w14:paraId="3CA7A896">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7.6.10</w:t>
      </w:r>
      <w:r>
        <w:rPr>
          <w:rFonts w:eastAsia="宋体"/>
          <w:color w:val="auto"/>
          <w:sz w:val="28"/>
          <w:szCs w:val="28"/>
          <w:highlight w:val="none"/>
        </w:rPr>
        <w:t>环境风险应急体系</w:t>
      </w:r>
    </w:p>
    <w:p w14:paraId="6425222F">
      <w:pPr>
        <w:adjustRightInd w:val="0"/>
        <w:snapToGrid w:val="0"/>
        <w:spacing w:line="360" w:lineRule="auto"/>
        <w:ind w:left="-105" w:right="-105"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化药化工（无锡）有限公司</w:t>
      </w:r>
      <w:r>
        <w:rPr>
          <w:rFonts w:ascii="Times New Roman" w:hAnsi="Times New Roman" w:cs="Times New Roman"/>
          <w:color w:val="auto"/>
          <w:highlight w:val="none"/>
        </w:rPr>
        <w:t>应急预案体系根据有关法律、法规、规章、上级人民政府及其有关部门要求，针对</w:t>
      </w:r>
      <w:r>
        <w:rPr>
          <w:rFonts w:hint="eastAsia" w:ascii="Times New Roman" w:hAnsi="Times New Roman" w:cs="Times New Roman"/>
          <w:color w:val="auto"/>
          <w:highlight w:val="none"/>
        </w:rPr>
        <w:t>化药化工（无锡）有限公司</w:t>
      </w:r>
      <w:r>
        <w:rPr>
          <w:rFonts w:ascii="Times New Roman" w:hAnsi="Times New Roman" w:cs="Times New Roman"/>
          <w:color w:val="auto"/>
          <w:highlight w:val="none"/>
        </w:rPr>
        <w:t>的情况制定的突发环境事件总体应急预案、各单项应急预案、现场处置预案，编制安全生产事故应急救援预案，并与区域突发环境事件应急预案相衔接，与锡山区环境风险防控和应急响应机制相联动，符合区域环境安全要求。应急预案体系如下图。</w:t>
      </w:r>
    </w:p>
    <w:p w14:paraId="2952CF02">
      <w:pPr>
        <w:pStyle w:val="15"/>
        <w:ind w:left="-105" w:right="-105" w:firstLine="562"/>
        <w:rPr>
          <w:rFonts w:eastAsia="宋体"/>
          <w:color w:val="auto"/>
          <w:sz w:val="24"/>
          <w:szCs w:val="18"/>
          <w:highlight w:val="none"/>
        </w:rPr>
      </w:pPr>
      <w:r>
        <w:rPr>
          <w:color w:val="auto"/>
          <w:highlight w:val="none"/>
        </w:rPr>
        <mc:AlternateContent>
          <mc:Choice Requires="wpc">
            <w:drawing>
              <wp:inline distT="0" distB="0" distL="0" distR="0">
                <wp:extent cx="5166995" cy="3223895"/>
                <wp:effectExtent l="0" t="0" r="0" b="0"/>
                <wp:docPr id="590360456" name="画布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1807022" name="文本框 179"/>
                        <wps:cNvSpPr txBox="1">
                          <a:spLocks noChangeArrowheads="1"/>
                        </wps:cNvSpPr>
                        <wps:spPr bwMode="auto">
                          <a:xfrm>
                            <a:off x="200004" y="198106"/>
                            <a:ext cx="2400344" cy="296609"/>
                          </a:xfrm>
                          <a:prstGeom prst="rect">
                            <a:avLst/>
                          </a:prstGeom>
                          <a:solidFill>
                            <a:srgbClr val="FFFFFF"/>
                          </a:solidFill>
                          <a:ln w="9525">
                            <a:solidFill>
                              <a:srgbClr val="000000"/>
                            </a:solidFill>
                            <a:miter lim="800000"/>
                          </a:ln>
                        </wps:spPr>
                        <wps:txbx>
                          <w:txbxContent>
                            <w:p w14:paraId="6B291ABB">
                              <w:pPr>
                                <w:jc w:val="center"/>
                                <w:rPr>
                                  <w:rFonts w:cs="Times New Roman"/>
                                  <w:sz w:val="21"/>
                                  <w:szCs w:val="21"/>
                                </w:rPr>
                              </w:pPr>
                              <w:r>
                                <w:rPr>
                                  <w:rFonts w:cs="Times New Roman"/>
                                  <w:sz w:val="21"/>
                                  <w:szCs w:val="21"/>
                                </w:rPr>
                                <w:t>锡山区突发环境事件应急预案</w:t>
                              </w:r>
                            </w:p>
                          </w:txbxContent>
                        </wps:txbx>
                        <wps:bodyPr rot="0" vert="horz" wrap="square" lIns="91440" tIns="45720" rIns="91440" bIns="45720" anchor="t" anchorCtr="0" upright="1">
                          <a:noAutofit/>
                        </wps:bodyPr>
                      </wps:wsp>
                      <wps:wsp>
                        <wps:cNvPr id="1199138302" name="直接连接符 180"/>
                        <wps:cNvCnPr>
                          <a:cxnSpLocks noChangeShapeType="1"/>
                        </wps:cNvCnPr>
                        <wps:spPr bwMode="auto">
                          <a:xfrm>
                            <a:off x="1399526" y="494715"/>
                            <a:ext cx="0" cy="397012"/>
                          </a:xfrm>
                          <a:prstGeom prst="line">
                            <a:avLst/>
                          </a:prstGeom>
                          <a:noFill/>
                          <a:ln w="9525">
                            <a:solidFill>
                              <a:srgbClr val="000000"/>
                            </a:solidFill>
                            <a:prstDash val="dash"/>
                            <a:round/>
                            <a:headEnd type="triangle" w="med" len="med"/>
                          </a:ln>
                        </wps:spPr>
                        <wps:bodyPr/>
                      </wps:wsp>
                      <wps:wsp>
                        <wps:cNvPr id="2097421531" name="文本框 181"/>
                        <wps:cNvSpPr txBox="1">
                          <a:spLocks noChangeArrowheads="1"/>
                        </wps:cNvSpPr>
                        <wps:spPr bwMode="auto">
                          <a:xfrm>
                            <a:off x="200004" y="891726"/>
                            <a:ext cx="2400344" cy="495415"/>
                          </a:xfrm>
                          <a:prstGeom prst="rect">
                            <a:avLst/>
                          </a:prstGeom>
                          <a:solidFill>
                            <a:srgbClr val="FFFFFF"/>
                          </a:solidFill>
                          <a:ln w="9525">
                            <a:solidFill>
                              <a:srgbClr val="000000"/>
                            </a:solidFill>
                            <a:miter lim="800000"/>
                          </a:ln>
                        </wps:spPr>
                        <wps:txbx>
                          <w:txbxContent>
                            <w:p w14:paraId="574205A2">
                              <w:pPr>
                                <w:rPr>
                                  <w:rFonts w:cs="Times New Roman"/>
                                  <w:sz w:val="21"/>
                                  <w:szCs w:val="21"/>
                                </w:rPr>
                              </w:pPr>
                              <w:r>
                                <w:rPr>
                                  <w:rFonts w:hint="eastAsia" w:cs="Times New Roman"/>
                                  <w:sz w:val="21"/>
                                  <w:szCs w:val="21"/>
                                </w:rPr>
                                <w:t>化药化工（无锡）有限公司</w:t>
                              </w:r>
                              <w:r>
                                <w:rPr>
                                  <w:rFonts w:cs="Times New Roman"/>
                                  <w:sz w:val="21"/>
                                  <w:szCs w:val="21"/>
                                </w:rPr>
                                <w:t>突发环境事件应急预案（本预案）</w:t>
                              </w:r>
                            </w:p>
                          </w:txbxContent>
                        </wps:txbx>
                        <wps:bodyPr rot="0" vert="horz" wrap="square" lIns="91440" tIns="45720" rIns="91440" bIns="45720" anchor="t" anchorCtr="0" upright="1">
                          <a:noAutofit/>
                        </wps:bodyPr>
                      </wps:wsp>
                      <wps:wsp>
                        <wps:cNvPr id="576456072" name="文本框 182"/>
                        <wps:cNvSpPr txBox="1">
                          <a:spLocks noChangeArrowheads="1"/>
                        </wps:cNvSpPr>
                        <wps:spPr bwMode="auto">
                          <a:xfrm>
                            <a:off x="3071495" y="900430"/>
                            <a:ext cx="1906270" cy="485140"/>
                          </a:xfrm>
                          <a:prstGeom prst="rect">
                            <a:avLst/>
                          </a:prstGeom>
                          <a:solidFill>
                            <a:srgbClr val="FFFFFF"/>
                          </a:solidFill>
                          <a:ln w="12700">
                            <a:solidFill>
                              <a:srgbClr val="000000"/>
                            </a:solidFill>
                            <a:prstDash val="dash"/>
                            <a:miter lim="800000"/>
                          </a:ln>
                        </wps:spPr>
                        <wps:txbx>
                          <w:txbxContent>
                            <w:p w14:paraId="605590C9">
                              <w:pPr>
                                <w:rPr>
                                  <w:rFonts w:cs="Times New Roman"/>
                                  <w:sz w:val="21"/>
                                  <w:szCs w:val="21"/>
                                </w:rPr>
                              </w:pPr>
                              <w:r>
                                <w:rPr>
                                  <w:rFonts w:hint="eastAsia" w:cs="Times New Roman"/>
                                  <w:sz w:val="21"/>
                                  <w:szCs w:val="21"/>
                                </w:rPr>
                                <w:t>化药化工（无锡）有限公司</w:t>
                              </w:r>
                              <w:r>
                                <w:rPr>
                                  <w:rFonts w:cs="Times New Roman"/>
                                  <w:sz w:val="21"/>
                                  <w:szCs w:val="21"/>
                                </w:rPr>
                                <w:t>安全生产事故应急救援预案</w:t>
                              </w:r>
                            </w:p>
                          </w:txbxContent>
                        </wps:txbx>
                        <wps:bodyPr rot="0" vert="horz" wrap="square" lIns="91440" tIns="45720" rIns="91440" bIns="45720" anchor="t" anchorCtr="0" upright="1">
                          <a:noAutofit/>
                        </wps:bodyPr>
                      </wps:wsp>
                      <wps:wsp>
                        <wps:cNvPr id="1373531251" name="直接连接符 183"/>
                        <wps:cNvCnPr>
                          <a:cxnSpLocks noChangeShapeType="1"/>
                        </wps:cNvCnPr>
                        <wps:spPr bwMode="auto">
                          <a:xfrm>
                            <a:off x="2600348" y="1126733"/>
                            <a:ext cx="466709" cy="600"/>
                          </a:xfrm>
                          <a:prstGeom prst="line">
                            <a:avLst/>
                          </a:prstGeom>
                          <a:noFill/>
                          <a:ln w="9525">
                            <a:solidFill>
                              <a:srgbClr val="000000"/>
                            </a:solidFill>
                            <a:round/>
                          </a:ln>
                        </wps:spPr>
                        <wps:bodyPr/>
                      </wps:wsp>
                      <wps:wsp>
                        <wps:cNvPr id="1352509751" name="直接连接符 185"/>
                        <wps:cNvCnPr>
                          <a:cxnSpLocks noChangeShapeType="1"/>
                        </wps:cNvCnPr>
                        <wps:spPr bwMode="auto">
                          <a:xfrm>
                            <a:off x="1400126" y="1387141"/>
                            <a:ext cx="700" cy="396912"/>
                          </a:xfrm>
                          <a:prstGeom prst="line">
                            <a:avLst/>
                          </a:prstGeom>
                          <a:noFill/>
                          <a:ln w="9525">
                            <a:solidFill>
                              <a:srgbClr val="000000"/>
                            </a:solidFill>
                            <a:round/>
                            <a:tailEnd type="triangle" w="med" len="med"/>
                          </a:ln>
                        </wps:spPr>
                        <wps:bodyPr/>
                      </wps:wsp>
                      <wps:wsp>
                        <wps:cNvPr id="1470667849" name="文本框 186"/>
                        <wps:cNvSpPr txBox="1">
                          <a:spLocks noChangeArrowheads="1"/>
                        </wps:cNvSpPr>
                        <wps:spPr bwMode="auto">
                          <a:xfrm>
                            <a:off x="766414" y="1795453"/>
                            <a:ext cx="1283324" cy="296609"/>
                          </a:xfrm>
                          <a:prstGeom prst="rect">
                            <a:avLst/>
                          </a:prstGeom>
                          <a:solidFill>
                            <a:srgbClr val="FFFFFF"/>
                          </a:solidFill>
                          <a:ln w="9525">
                            <a:solidFill>
                              <a:srgbClr val="000000"/>
                            </a:solidFill>
                            <a:miter lim="800000"/>
                          </a:ln>
                        </wps:spPr>
                        <wps:txbx>
                          <w:txbxContent>
                            <w:p w14:paraId="1A081C53">
                              <w:pPr>
                                <w:rPr>
                                  <w:rFonts w:cs="Times New Roman"/>
                                  <w:sz w:val="21"/>
                                  <w:szCs w:val="21"/>
                                </w:rPr>
                              </w:pPr>
                              <w:r>
                                <w:rPr>
                                  <w:rFonts w:cs="Times New Roman"/>
                                  <w:sz w:val="21"/>
                                  <w:szCs w:val="21"/>
                                </w:rPr>
                                <w:t>专项应急预案</w:t>
                              </w:r>
                            </w:p>
                          </w:txbxContent>
                        </wps:txbx>
                        <wps:bodyPr rot="0" vert="horz" wrap="square" lIns="91440" tIns="45720" rIns="91440" bIns="45720" anchor="t" anchorCtr="0" upright="1">
                          <a:noAutofit/>
                        </wps:bodyPr>
                      </wps:wsp>
                      <wps:wsp>
                        <wps:cNvPr id="1982162393" name="文本框 187"/>
                        <wps:cNvSpPr txBox="1">
                          <a:spLocks noChangeArrowheads="1"/>
                        </wps:cNvSpPr>
                        <wps:spPr bwMode="auto">
                          <a:xfrm>
                            <a:off x="1333525" y="595118"/>
                            <a:ext cx="1066820" cy="296609"/>
                          </a:xfrm>
                          <a:prstGeom prst="rect">
                            <a:avLst/>
                          </a:prstGeom>
                          <a:noFill/>
                          <a:ln>
                            <a:noFill/>
                          </a:ln>
                        </wps:spPr>
                        <wps:txbx>
                          <w:txbxContent>
                            <w:p w14:paraId="63DBEB9F">
                              <w:pPr>
                                <w:rPr>
                                  <w:rFonts w:cs="Times New Roman"/>
                                  <w:sz w:val="21"/>
                                  <w:szCs w:val="21"/>
                                </w:rPr>
                              </w:pPr>
                              <w:r>
                                <w:rPr>
                                  <w:rFonts w:cs="Times New Roman"/>
                                  <w:sz w:val="21"/>
                                  <w:szCs w:val="21"/>
                                </w:rPr>
                                <w:t>提供依据</w:t>
                              </w:r>
                            </w:p>
                          </w:txbxContent>
                        </wps:txbx>
                        <wps:bodyPr rot="0" vert="horz" wrap="square" lIns="91440" tIns="45720" rIns="91440" bIns="45720" anchor="t" anchorCtr="0" upright="1">
                          <a:noAutofit/>
                        </wps:bodyPr>
                      </wps:wsp>
                      <wps:wsp>
                        <wps:cNvPr id="277338997" name="文本框 188"/>
                        <wps:cNvSpPr txBox="1">
                          <a:spLocks noChangeArrowheads="1"/>
                        </wps:cNvSpPr>
                        <wps:spPr bwMode="auto">
                          <a:xfrm>
                            <a:off x="2583948" y="891726"/>
                            <a:ext cx="666712" cy="495415"/>
                          </a:xfrm>
                          <a:prstGeom prst="rect">
                            <a:avLst/>
                          </a:prstGeom>
                          <a:noFill/>
                          <a:ln>
                            <a:noFill/>
                          </a:ln>
                        </wps:spPr>
                        <wps:txbx>
                          <w:txbxContent>
                            <w:p w14:paraId="07A7F5CE">
                              <w:pPr>
                                <w:rPr>
                                  <w:rFonts w:cs="Times New Roman"/>
                                  <w:sz w:val="21"/>
                                  <w:szCs w:val="21"/>
                                </w:rPr>
                              </w:pPr>
                              <w:r>
                                <w:rPr>
                                  <w:rFonts w:cs="Times New Roman"/>
                                  <w:sz w:val="21"/>
                                  <w:szCs w:val="21"/>
                                </w:rPr>
                                <w:t>相互</w:t>
                              </w:r>
                            </w:p>
                            <w:p w14:paraId="59657E6D">
                              <w:pPr>
                                <w:rPr>
                                  <w:rFonts w:cs="Times New Roman"/>
                                  <w:sz w:val="21"/>
                                  <w:szCs w:val="21"/>
                                </w:rPr>
                              </w:pPr>
                              <w:r>
                                <w:rPr>
                                  <w:rFonts w:cs="Times New Roman"/>
                                  <w:sz w:val="21"/>
                                  <w:szCs w:val="21"/>
                                </w:rPr>
                                <w:t>衔接</w:t>
                              </w:r>
                            </w:p>
                          </w:txbxContent>
                        </wps:txbx>
                        <wps:bodyPr rot="0" vert="horz" wrap="square" lIns="91440" tIns="45720" rIns="91440" bIns="45720" anchor="t" anchorCtr="0" upright="1">
                          <a:noAutofit/>
                        </wps:bodyPr>
                      </wps:wsp>
                      <wps:wsp>
                        <wps:cNvPr id="101668550" name="直接连接符 189"/>
                        <wps:cNvCnPr>
                          <a:cxnSpLocks noChangeShapeType="1"/>
                        </wps:cNvCnPr>
                        <wps:spPr bwMode="auto">
                          <a:xfrm>
                            <a:off x="1412226" y="2107362"/>
                            <a:ext cx="0" cy="393812"/>
                          </a:xfrm>
                          <a:prstGeom prst="line">
                            <a:avLst/>
                          </a:prstGeom>
                          <a:noFill/>
                          <a:ln w="9525">
                            <a:solidFill>
                              <a:srgbClr val="000000"/>
                            </a:solidFill>
                            <a:round/>
                            <a:tailEnd type="triangle" w="med" len="med"/>
                          </a:ln>
                        </wps:spPr>
                        <wps:bodyPr/>
                      </wps:wsp>
                      <wps:wsp>
                        <wps:cNvPr id="1912481482" name="文本框 190"/>
                        <wps:cNvSpPr txBox="1">
                          <a:spLocks noChangeArrowheads="1"/>
                        </wps:cNvSpPr>
                        <wps:spPr bwMode="auto">
                          <a:xfrm>
                            <a:off x="742914" y="2493473"/>
                            <a:ext cx="1282724" cy="292209"/>
                          </a:xfrm>
                          <a:prstGeom prst="rect">
                            <a:avLst/>
                          </a:prstGeom>
                          <a:solidFill>
                            <a:srgbClr val="FFFFFF"/>
                          </a:solidFill>
                          <a:ln w="9525">
                            <a:solidFill>
                              <a:srgbClr val="000000"/>
                            </a:solidFill>
                            <a:miter lim="800000"/>
                          </a:ln>
                        </wps:spPr>
                        <wps:txbx>
                          <w:txbxContent>
                            <w:p w14:paraId="6095D9B6">
                              <w:pPr>
                                <w:rPr>
                                  <w:rFonts w:cs="Times New Roman"/>
                                  <w:sz w:val="21"/>
                                  <w:szCs w:val="21"/>
                                </w:rPr>
                              </w:pPr>
                              <w:r>
                                <w:rPr>
                                  <w:rFonts w:cs="Times New Roman"/>
                                  <w:sz w:val="21"/>
                                  <w:szCs w:val="21"/>
                                </w:rPr>
                                <w:t>现场处置方案</w:t>
                              </w:r>
                            </w:p>
                          </w:txbxContent>
                        </wps:txbx>
                        <wps:bodyPr rot="0" vert="horz" wrap="square" lIns="91440" tIns="45720" rIns="91440" bIns="45720" anchor="t" anchorCtr="0" upright="1">
                          <a:noAutofit/>
                        </wps:bodyPr>
                      </wps:wsp>
                    </wpc:wpc>
                  </a:graphicData>
                </a:graphic>
              </wp:inline>
            </w:drawing>
          </mc:Choice>
          <mc:Fallback>
            <w:pict>
              <v:group id="画布 191" o:spid="_x0000_s1026" o:spt="203" style="height:253.85pt;width:406.85pt;" coordsize="5166995,3223895" editas="canvas" o:gfxdata="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6PX4T1wAAAAUBAAAPAAAAAAAAAAEA&#10;IAAAACIAAABkcnMvZG93bnJldi54bWxQSwECFAAUAAAACACHTuJAEKMNwWcFAACuHQAADgAAAAAA&#10;AAABACAAAAAmAQAAZHJzL2Uyb0RvYy54bWxQSwUGAAAAAAYABgBZAQAA/wgAAAAA&#10;">
                <o:lock v:ext="edit" aspectratio="f"/>
                <v:shape id="画布 191" o:spid="_x0000_s1026" style="position:absolute;left:0;top:0;height:3223895;width:5166995;" filled="f" stroked="f" coordsize="21600,21600" o:gfxdata="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Do9fhPXAAAABQEAAA8AAAAAAAAAAQAgAAAAIgAAAGRycy9kb3ducmV2LnhtbFBLAQIUABQA&#10;AAAIAIdO4kDQX9eSDwUAAP4cAAAOAAAAAAAAAAEAIAAAACYBAABkcnMvZTJvRG9jLnhtbFBLBQYA&#10;AAAABgAGAFkBAACnCAAAAAA=&#10;">
                  <v:fill on="f" focussize="0,0"/>
                  <v:stroke on="f"/>
                  <v:imagedata o:title=""/>
                  <o:lock v:ext="edit" aspectratio="t"/>
                </v:shape>
                <v:shape id="文本框 179" o:spid="_x0000_s1026" o:spt="202" type="#_x0000_t202" style="position:absolute;left:200004;top:198106;height:296609;width:2400344;" fillcolor="#FFFFFF" filled="t" stroked="t" coordsize="21600,21600" o:gfxdata="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l0Vts1gAAAAUB&#10;AAAPAAAAAAAAAAEAIAAAACIAAABkcnMvZG93bnJldi54bWxQSwECFAAUAAAACACHTuJAaDKYtlYC&#10;AACcBAAADgAAAAAAAAABACAAAAAlAQAAZHJzL2Uyb0RvYy54bWxQSwUGAAAAAAYABgBZAQAA7QUA&#10;AAAA&#10;">
                  <v:fill on="t" focussize="0,0"/>
                  <v:stroke color="#000000" miterlimit="8" joinstyle="miter"/>
                  <v:imagedata o:title=""/>
                  <o:lock v:ext="edit" aspectratio="f"/>
                  <v:textbox>
                    <w:txbxContent>
                      <w:p w14:paraId="6B291ABB">
                        <w:pPr>
                          <w:jc w:val="center"/>
                          <w:rPr>
                            <w:rFonts w:cs="Times New Roman"/>
                            <w:sz w:val="21"/>
                            <w:szCs w:val="21"/>
                          </w:rPr>
                        </w:pPr>
                        <w:r>
                          <w:rPr>
                            <w:rFonts w:cs="Times New Roman"/>
                            <w:sz w:val="21"/>
                            <w:szCs w:val="21"/>
                          </w:rPr>
                          <w:t>锡山区突发环境事件应急预案</w:t>
                        </w:r>
                      </w:p>
                    </w:txbxContent>
                  </v:textbox>
                </v:shape>
                <v:line id="直接连接符 180" o:spid="_x0000_s1026" o:spt="20" style="position:absolute;left:1399526;top:494715;height:397012;width:0;" filled="f" stroked="t" coordsize="21600,21600" o:gfxdata="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5UOKtcA&#10;AAAFAQAADwAAAAAAAAABACAAAAAiAAAAZHJzL2Rvd25yZXYueG1sUEsBAhQAFAAAAAgAh07iQHts&#10;xV8gAgAABQQAAA4AAAAAAAAAAQAgAAAAJgEAAGRycy9lMm9Eb2MueG1sUEsFBgAAAAAGAAYAWQEA&#10;ALgFAAAAAA==&#10;">
                  <v:fill on="f" focussize="0,0"/>
                  <v:stroke color="#000000" joinstyle="round" dashstyle="dash" startarrow="block"/>
                  <v:imagedata o:title=""/>
                  <o:lock v:ext="edit" aspectratio="f"/>
                </v:line>
                <v:shape id="文本框 181" o:spid="_x0000_s1026" o:spt="202" type="#_x0000_t202" style="position:absolute;left:200004;top:891726;height:495415;width:2400344;" fillcolor="#FFFFFF" filled="t" stroked="t" coordsize="21600,21600" o:gfxdata="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dFbbNYAAAAF&#10;AQAADwAAAAAAAAABACAAAAAiAAAAZHJzL2Rvd25yZXYueG1sUEsBAhQAFAAAAAgAh07iQITiAWJX&#10;AgAAnAQAAA4AAAAAAAAAAQAgAAAAJQEAAGRycy9lMm9Eb2MueG1sUEsFBgAAAAAGAAYAWQEAAO4F&#10;AAAAAA==&#10;">
                  <v:fill on="t" focussize="0,0"/>
                  <v:stroke color="#000000" miterlimit="8" joinstyle="miter"/>
                  <v:imagedata o:title=""/>
                  <o:lock v:ext="edit" aspectratio="f"/>
                  <v:textbox>
                    <w:txbxContent>
                      <w:p w14:paraId="574205A2">
                        <w:pPr>
                          <w:rPr>
                            <w:rFonts w:cs="Times New Roman"/>
                            <w:sz w:val="21"/>
                            <w:szCs w:val="21"/>
                          </w:rPr>
                        </w:pPr>
                        <w:r>
                          <w:rPr>
                            <w:rFonts w:hint="eastAsia" w:cs="Times New Roman"/>
                            <w:sz w:val="21"/>
                            <w:szCs w:val="21"/>
                          </w:rPr>
                          <w:t>化药化工（无锡）有限公司</w:t>
                        </w:r>
                        <w:r>
                          <w:rPr>
                            <w:rFonts w:cs="Times New Roman"/>
                            <w:sz w:val="21"/>
                            <w:szCs w:val="21"/>
                          </w:rPr>
                          <w:t>突发环境事件应急预案（本预案）</w:t>
                        </w:r>
                      </w:p>
                    </w:txbxContent>
                  </v:textbox>
                </v:shape>
                <v:shape id="文本框 182" o:spid="_x0000_s1026" o:spt="202" type="#_x0000_t202" style="position:absolute;left:3071495;top:900430;height:485140;width:1906270;" fillcolor="#FFFFFF" filled="t" stroked="t" coordsize="21600,21600" o:gfxdata="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fgIx9cAAAAFAQAADwAAAAAAAAABACAAAAAiAAAAZHJzL2Rvd25yZXYueG1sUEsBAhQAFAAAAAgA&#10;h07iQOxXVSRfAgAAtQQAAA4AAAAAAAAAAQAgAAAAJgEAAGRycy9lMm9Eb2MueG1sUEsFBgAAAAAG&#10;AAYAWQEAAPcFAAAAAA==&#10;">
                  <v:fill on="t" focussize="0,0"/>
                  <v:stroke weight="1pt" color="#000000" miterlimit="8" joinstyle="miter" dashstyle="dash"/>
                  <v:imagedata o:title=""/>
                  <o:lock v:ext="edit" aspectratio="f"/>
                  <v:textbox>
                    <w:txbxContent>
                      <w:p w14:paraId="605590C9">
                        <w:pPr>
                          <w:rPr>
                            <w:rFonts w:cs="Times New Roman"/>
                            <w:sz w:val="21"/>
                            <w:szCs w:val="21"/>
                          </w:rPr>
                        </w:pPr>
                        <w:r>
                          <w:rPr>
                            <w:rFonts w:hint="eastAsia" w:cs="Times New Roman"/>
                            <w:sz w:val="21"/>
                            <w:szCs w:val="21"/>
                          </w:rPr>
                          <w:t>化药化工（无锡）有限公司</w:t>
                        </w:r>
                        <w:r>
                          <w:rPr>
                            <w:rFonts w:cs="Times New Roman"/>
                            <w:sz w:val="21"/>
                            <w:szCs w:val="21"/>
                          </w:rPr>
                          <w:t>安全生产事故应急救援预案</w:t>
                        </w:r>
                      </w:p>
                    </w:txbxContent>
                  </v:textbox>
                </v:shape>
                <v:line id="直接连接符 183" o:spid="_x0000_s1026" o:spt="20" style="position:absolute;left:2600348;top:1126733;height:600;width:466709;" filled="f" stroked="t" coordsize="21600,21600" o:gfxdata="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Q5QGzVAAAABQEAAA8AAAAAAAAAAQAgAAAAIgAAAGRycy9kb3ducmV2Lnht&#10;bFBLAQIUABQAAAAIAIdO4kDmzfok/AEAAMIDAAAOAAAAAAAAAAEAIAAAACQBAABkcnMvZTJvRG9j&#10;LnhtbFBLBQYAAAAABgAGAFkBAACSBQAAAAA=&#10;">
                  <v:fill on="f" focussize="0,0"/>
                  <v:stroke color="#000000" joinstyle="round"/>
                  <v:imagedata o:title=""/>
                  <o:lock v:ext="edit" aspectratio="f"/>
                </v:line>
                <v:line id="直接连接符 185" o:spid="_x0000_s1026" o:spt="20" style="position:absolute;left:1400126;top:1387141;height:396912;width:700;" filled="f" stroked="t" coordsize="21600,21600" o:gfxdata="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TeMM2AAAAAUBAAAPAAAA&#10;AAAAAAEAIAAAACIAAABkcnMvZG93bnJldi54bWxQSwECFAAUAAAACACHTuJAC24HUxUCAADwAwAA&#10;DgAAAAAAAAABACAAAAAnAQAAZHJzL2Uyb0RvYy54bWxQSwUGAAAAAAYABgBZAQAArgUAAAAA&#10;">
                  <v:fill on="f" focussize="0,0"/>
                  <v:stroke color="#000000" joinstyle="round" endarrow="block"/>
                  <v:imagedata o:title=""/>
                  <o:lock v:ext="edit" aspectratio="f"/>
                </v:line>
                <v:shape id="文本框 186" o:spid="_x0000_s1026" o:spt="202" type="#_x0000_t202" style="position:absolute;left:766414;top:1795453;height:296609;width:1283324;" fillcolor="#FFFFFF" filled="t" stroked="t" coordsize="21600,21600" o:gfxdata="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XRW2zWAAAABQEA&#10;AA8AAAAAAAAAAQAgAAAAIgAAAGRycy9kb3ducmV2LnhtbFBLAQIUABQAAAAIAIdO4kBnzuvcVQIA&#10;AJ0EAAAOAAAAAAAAAAEAIAAAACUBAABkcnMvZTJvRG9jLnhtbFBLBQYAAAAABgAGAFkBAADsBQAA&#10;AAA=&#10;">
                  <v:fill on="t" focussize="0,0"/>
                  <v:stroke color="#000000" miterlimit="8" joinstyle="miter"/>
                  <v:imagedata o:title=""/>
                  <o:lock v:ext="edit" aspectratio="f"/>
                  <v:textbox>
                    <w:txbxContent>
                      <w:p w14:paraId="1A081C53">
                        <w:pPr>
                          <w:rPr>
                            <w:rFonts w:cs="Times New Roman"/>
                            <w:sz w:val="21"/>
                            <w:szCs w:val="21"/>
                          </w:rPr>
                        </w:pPr>
                        <w:r>
                          <w:rPr>
                            <w:rFonts w:cs="Times New Roman"/>
                            <w:sz w:val="21"/>
                            <w:szCs w:val="21"/>
                          </w:rPr>
                          <w:t>专项应急预案</w:t>
                        </w:r>
                      </w:p>
                    </w:txbxContent>
                  </v:textbox>
                </v:shape>
                <v:shape id="文本框 187" o:spid="_x0000_s1026" o:spt="202" type="#_x0000_t202" style="position:absolute;left:1333525;top:595118;height:296609;width:1066820;" filled="f" stroked="f" coordsize="21600,21600" o:gfxdata="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4gfR1AAAAAUBAAAPAAAAAAAAAAEAIAAAACIAAABkcnMvZG93bnJldi54bWxQSwECFAAUAAAA&#10;CACHTuJAjuUHEysCAAArBAAADgAAAAAAAAABACAAAAAjAQAAZHJzL2Uyb0RvYy54bWxQSwUGAAAA&#10;AAYABgBZAQAAwAUAAAAA&#10;">
                  <v:fill on="f" focussize="0,0"/>
                  <v:stroke on="f"/>
                  <v:imagedata o:title=""/>
                  <o:lock v:ext="edit" aspectratio="f"/>
                  <v:textbox>
                    <w:txbxContent>
                      <w:p w14:paraId="63DBEB9F">
                        <w:pPr>
                          <w:rPr>
                            <w:rFonts w:cs="Times New Roman"/>
                            <w:sz w:val="21"/>
                            <w:szCs w:val="21"/>
                          </w:rPr>
                        </w:pPr>
                        <w:r>
                          <w:rPr>
                            <w:rFonts w:cs="Times New Roman"/>
                            <w:sz w:val="21"/>
                            <w:szCs w:val="21"/>
                          </w:rPr>
                          <w:t>提供依据</w:t>
                        </w:r>
                      </w:p>
                    </w:txbxContent>
                  </v:textbox>
                </v:shape>
                <v:shape id="文本框 188" o:spid="_x0000_s1026" o:spt="202" type="#_x0000_t202" style="position:absolute;left:2583948;top:891726;height:495415;width:666712;" filled="f" stroked="f" coordsize="21600,21600" o:gfxdata="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uIH0dQAAAAFAQAADwAAAAAAAAABACAAAAAiAAAAZHJzL2Rvd25yZXYueG1sUEsBAhQAFAAA&#10;AAgAh07iQOwSguMsAgAAKQQAAA4AAAAAAAAAAQAgAAAAIwEAAGRycy9lMm9Eb2MueG1sUEsFBgAA&#10;AAAGAAYAWQEAAMEFAAAAAA==&#10;">
                  <v:fill on="f" focussize="0,0"/>
                  <v:stroke on="f"/>
                  <v:imagedata o:title=""/>
                  <o:lock v:ext="edit" aspectratio="f"/>
                  <v:textbox>
                    <w:txbxContent>
                      <w:p w14:paraId="07A7F5CE">
                        <w:pPr>
                          <w:rPr>
                            <w:rFonts w:cs="Times New Roman"/>
                            <w:sz w:val="21"/>
                            <w:szCs w:val="21"/>
                          </w:rPr>
                        </w:pPr>
                        <w:r>
                          <w:rPr>
                            <w:rFonts w:cs="Times New Roman"/>
                            <w:sz w:val="21"/>
                            <w:szCs w:val="21"/>
                          </w:rPr>
                          <w:t>相互</w:t>
                        </w:r>
                      </w:p>
                      <w:p w14:paraId="59657E6D">
                        <w:pPr>
                          <w:rPr>
                            <w:rFonts w:cs="Times New Roman"/>
                            <w:sz w:val="21"/>
                            <w:szCs w:val="21"/>
                          </w:rPr>
                        </w:pPr>
                        <w:r>
                          <w:rPr>
                            <w:rFonts w:cs="Times New Roman"/>
                            <w:sz w:val="21"/>
                            <w:szCs w:val="21"/>
                          </w:rPr>
                          <w:t>衔接</w:t>
                        </w:r>
                      </w:p>
                    </w:txbxContent>
                  </v:textbox>
                </v:shape>
                <v:line id="直接连接符 189" o:spid="_x0000_s1026" o:spt="20" style="position:absolute;left:1412226;top:2107362;height:393812;width:0;" filled="f" stroked="t" coordsize="21600,21600" o:gfxdata="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TeMM2AAAAAUBAAAPAAAA&#10;AAAAAAEAIAAAACIAAABkcnMvZG93bnJldi54bWxQSwECFAAUAAAACACHTuJAf9Kl3xUCAADtAwAA&#10;DgAAAAAAAAABACAAAAAnAQAAZHJzL2Uyb0RvYy54bWxQSwUGAAAAAAYABgBZAQAArgUAAAAA&#10;">
                  <v:fill on="f" focussize="0,0"/>
                  <v:stroke color="#000000" joinstyle="round" endarrow="block"/>
                  <v:imagedata o:title=""/>
                  <o:lock v:ext="edit" aspectratio="f"/>
                </v:line>
                <v:shape id="文本框 190" o:spid="_x0000_s1026" o:spt="202" type="#_x0000_t202" style="position:absolute;left:742914;top:2493473;height:292209;width:1282724;" fillcolor="#FFFFFF" filled="t" stroked="t" coordsize="21600,21600" o:gfxdata="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dFbbNYAAAAFAQAA&#10;DwAAAAAAAAABACAAAAAiAAAAZHJzL2Rvd25yZXYueG1sUEsBAhQAFAAAAAgAh07iQCSGer5UAgAA&#10;nQQAAA4AAAAAAAAAAQAgAAAAJQEAAGRycy9lMm9Eb2MueG1sUEsFBgAAAAAGAAYAWQEAAOsFAAAA&#10;AA==&#10;">
                  <v:fill on="t" focussize="0,0"/>
                  <v:stroke color="#000000" miterlimit="8" joinstyle="miter"/>
                  <v:imagedata o:title=""/>
                  <o:lock v:ext="edit" aspectratio="f"/>
                  <v:textbox>
                    <w:txbxContent>
                      <w:p w14:paraId="6095D9B6">
                        <w:pPr>
                          <w:rPr>
                            <w:rFonts w:cs="Times New Roman"/>
                            <w:sz w:val="21"/>
                            <w:szCs w:val="21"/>
                          </w:rPr>
                        </w:pPr>
                        <w:r>
                          <w:rPr>
                            <w:rFonts w:cs="Times New Roman"/>
                            <w:sz w:val="21"/>
                            <w:szCs w:val="21"/>
                          </w:rPr>
                          <w:t>现场处置方案</w:t>
                        </w:r>
                      </w:p>
                    </w:txbxContent>
                  </v:textbox>
                </v:shape>
                <w10:wrap type="none"/>
                <w10:anchorlock/>
              </v:group>
            </w:pict>
          </mc:Fallback>
        </mc:AlternateContent>
      </w:r>
    </w:p>
    <w:p w14:paraId="5335364E">
      <w:pPr>
        <w:pStyle w:val="15"/>
        <w:ind w:left="-105" w:right="-105" w:firstLine="482"/>
        <w:rPr>
          <w:rFonts w:eastAsia="宋体"/>
          <w:color w:val="auto"/>
          <w:sz w:val="24"/>
          <w:szCs w:val="18"/>
          <w:highlight w:val="none"/>
        </w:rPr>
      </w:pPr>
      <w:r>
        <w:rPr>
          <w:rFonts w:eastAsia="宋体"/>
          <w:color w:val="auto"/>
          <w:sz w:val="24"/>
          <w:szCs w:val="18"/>
          <w:highlight w:val="none"/>
        </w:rPr>
        <w:t>图</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7.6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图 \* ARABIC \s 2 </w:instrText>
      </w:r>
      <w:r>
        <w:rPr>
          <w:rFonts w:eastAsia="宋体"/>
          <w:color w:val="auto"/>
          <w:sz w:val="24"/>
          <w:szCs w:val="18"/>
          <w:highlight w:val="none"/>
        </w:rPr>
        <w:fldChar w:fldCharType="separate"/>
      </w:r>
      <w:r>
        <w:rPr>
          <w:rFonts w:eastAsia="宋体"/>
          <w:color w:val="auto"/>
          <w:sz w:val="24"/>
          <w:szCs w:val="18"/>
          <w:highlight w:val="none"/>
        </w:rPr>
        <w:t>2</w:t>
      </w:r>
      <w:r>
        <w:rPr>
          <w:rFonts w:eastAsia="宋体"/>
          <w:color w:val="auto"/>
          <w:sz w:val="24"/>
          <w:szCs w:val="18"/>
          <w:highlight w:val="none"/>
        </w:rPr>
        <w:fldChar w:fldCharType="end"/>
      </w:r>
      <w:r>
        <w:rPr>
          <w:rFonts w:eastAsia="宋体"/>
          <w:color w:val="auto"/>
          <w:sz w:val="24"/>
          <w:szCs w:val="18"/>
          <w:highlight w:val="none"/>
        </w:rPr>
        <w:t>应急预案构成体系框架图</w:t>
      </w:r>
    </w:p>
    <w:p w14:paraId="787B197F">
      <w:pPr>
        <w:adjustRightInd w:val="0"/>
        <w:snapToGrid w:val="0"/>
        <w:spacing w:line="360" w:lineRule="auto"/>
        <w:ind w:left="-105" w:right="-105" w:firstLine="482" w:firstLineChars="200"/>
        <w:rPr>
          <w:rFonts w:ascii="Times New Roman" w:hAnsi="Times New Roman" w:cs="Times New Roman"/>
          <w:bCs/>
          <w:color w:val="auto"/>
          <w:highlight w:val="none"/>
        </w:rPr>
      </w:pPr>
      <w:r>
        <w:rPr>
          <w:rFonts w:ascii="Times New Roman" w:hAnsi="Times New Roman" w:cs="Times New Roman"/>
          <w:b/>
          <w:color w:val="auto"/>
          <w:highlight w:val="none"/>
        </w:rPr>
        <w:t>响应程序</w:t>
      </w:r>
    </w:p>
    <w:p w14:paraId="77BAB311">
      <w:pPr>
        <w:adjustRightInd w:val="0"/>
        <w:snapToGrid w:val="0"/>
        <w:spacing w:line="360" w:lineRule="auto"/>
        <w:ind w:left="-105" w:right="-105"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明确突发环境事件发生后，各应急组织机构应当采取的具体行动措施，包括响应分级、应急启动、应急处置等程序。</w:t>
      </w:r>
    </w:p>
    <w:p w14:paraId="4E87049C">
      <w:pPr>
        <w:ind w:left="-105" w:right="-105"/>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c">
            <w:drawing>
              <wp:inline distT="0" distB="0" distL="0" distR="0">
                <wp:extent cx="5500370" cy="6260465"/>
                <wp:effectExtent l="4445" t="4445" r="19685" b="2540"/>
                <wp:docPr id="239" name="画布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994371" name="文本框 102"/>
                        <wps:cNvSpPr txBox="1">
                          <a:spLocks noChangeArrowheads="1"/>
                        </wps:cNvSpPr>
                        <wps:spPr bwMode="auto">
                          <a:xfrm>
                            <a:off x="1967230" y="685165"/>
                            <a:ext cx="2029460" cy="497840"/>
                          </a:xfrm>
                          <a:prstGeom prst="rect">
                            <a:avLst/>
                          </a:prstGeom>
                          <a:solidFill>
                            <a:srgbClr val="FFFFFF"/>
                          </a:solidFill>
                          <a:ln w="6350">
                            <a:solidFill>
                              <a:srgbClr val="000000"/>
                            </a:solidFill>
                            <a:round/>
                          </a:ln>
                        </wps:spPr>
                        <wps:txbx>
                          <w:txbxContent>
                            <w:p w14:paraId="422A9B96">
                              <w:pPr>
                                <w:autoSpaceDE w:val="0"/>
                                <w:autoSpaceDN w:val="0"/>
                                <w:adjustRightInd w:val="0"/>
                                <w:jc w:val="center"/>
                                <w:rPr>
                                  <w:color w:val="000000"/>
                                  <w:sz w:val="21"/>
                                  <w:szCs w:val="21"/>
                                  <w:lang w:val="zh-CN"/>
                                </w:rPr>
                              </w:pPr>
                              <w:r>
                                <w:rPr>
                                  <w:rFonts w:hint="eastAsia"/>
                                  <w:color w:val="000000"/>
                                  <w:sz w:val="21"/>
                                  <w:szCs w:val="21"/>
                                  <w:lang w:val="zh-CN"/>
                                </w:rPr>
                                <w:t>化药化工（无锡）有限公司</w:t>
                              </w:r>
                            </w:p>
                            <w:p w14:paraId="09DACE73">
                              <w:pPr>
                                <w:autoSpaceDE w:val="0"/>
                                <w:autoSpaceDN w:val="0"/>
                                <w:adjustRightInd w:val="0"/>
                                <w:jc w:val="center"/>
                                <w:rPr>
                                  <w:color w:val="000000"/>
                                  <w:sz w:val="21"/>
                                  <w:szCs w:val="21"/>
                                  <w:lang w:val="zh-CN"/>
                                </w:rPr>
                              </w:pPr>
                              <w:r>
                                <w:rPr>
                                  <w:color w:val="000000"/>
                                  <w:sz w:val="21"/>
                                  <w:szCs w:val="21"/>
                                  <w:lang w:val="zh-CN"/>
                                </w:rPr>
                                <w:t>应急指挥部</w:t>
                              </w:r>
                            </w:p>
                          </w:txbxContent>
                        </wps:txbx>
                        <wps:bodyPr rot="0" vert="horz" wrap="square" lIns="91440" tIns="45720" rIns="91440" bIns="45720" anchor="ctr" anchorCtr="0" upright="1">
                          <a:noAutofit/>
                        </wps:bodyPr>
                      </wps:wsp>
                      <wps:wsp>
                        <wps:cNvPr id="963317148" name="文本框 103"/>
                        <wps:cNvSpPr txBox="1">
                          <a:spLocks noChangeArrowheads="1"/>
                        </wps:cNvSpPr>
                        <wps:spPr bwMode="auto">
                          <a:xfrm>
                            <a:off x="2011680" y="0"/>
                            <a:ext cx="1808480" cy="313055"/>
                          </a:xfrm>
                          <a:prstGeom prst="rect">
                            <a:avLst/>
                          </a:prstGeom>
                          <a:solidFill>
                            <a:srgbClr val="FFFFFF"/>
                          </a:solidFill>
                          <a:ln w="6350">
                            <a:solidFill>
                              <a:srgbClr val="000000"/>
                            </a:solidFill>
                            <a:round/>
                          </a:ln>
                        </wps:spPr>
                        <wps:txbx>
                          <w:txbxContent>
                            <w:p w14:paraId="2FDABEC1">
                              <w:pPr>
                                <w:autoSpaceDE w:val="0"/>
                                <w:autoSpaceDN w:val="0"/>
                                <w:adjustRightInd w:val="0"/>
                                <w:jc w:val="center"/>
                                <w:rPr>
                                  <w:color w:val="000000"/>
                                  <w:sz w:val="21"/>
                                  <w:szCs w:val="21"/>
                                  <w:lang w:val="zh-CN"/>
                                </w:rPr>
                              </w:pPr>
                              <w:r>
                                <w:rPr>
                                  <w:color w:val="000000"/>
                                  <w:sz w:val="21"/>
                                  <w:szCs w:val="21"/>
                                </w:rPr>
                                <w:t>无锡市</w:t>
                              </w:r>
                              <w:r>
                                <w:rPr>
                                  <w:rFonts w:hint="eastAsia"/>
                                  <w:color w:val="000000"/>
                                  <w:sz w:val="21"/>
                                  <w:szCs w:val="21"/>
                                </w:rPr>
                                <w:t>锡山</w:t>
                              </w:r>
                              <w:r>
                                <w:rPr>
                                  <w:color w:val="000000"/>
                                  <w:sz w:val="21"/>
                                  <w:szCs w:val="21"/>
                                  <w:lang w:val="zh-CN"/>
                                </w:rPr>
                                <w:t>生态环境局</w:t>
                              </w:r>
                            </w:p>
                          </w:txbxContent>
                        </wps:txbx>
                        <wps:bodyPr rot="0" vert="horz" wrap="square" lIns="91440" tIns="45720" rIns="91440" bIns="45720" anchor="ctr" anchorCtr="1" upright="1">
                          <a:noAutofit/>
                        </wps:bodyPr>
                      </wps:wsp>
                      <wps:wsp>
                        <wps:cNvPr id="1156112548" name="文本框 104"/>
                        <wps:cNvSpPr txBox="1">
                          <a:spLocks noChangeArrowheads="1"/>
                        </wps:cNvSpPr>
                        <wps:spPr bwMode="auto">
                          <a:xfrm>
                            <a:off x="4157345" y="1935480"/>
                            <a:ext cx="1343025" cy="328295"/>
                          </a:xfrm>
                          <a:prstGeom prst="rect">
                            <a:avLst/>
                          </a:prstGeom>
                          <a:solidFill>
                            <a:srgbClr val="FFFFFF"/>
                          </a:solidFill>
                          <a:ln w="6350">
                            <a:solidFill>
                              <a:srgbClr val="000000"/>
                            </a:solidFill>
                            <a:round/>
                          </a:ln>
                        </wps:spPr>
                        <wps:txbx>
                          <w:txbxContent>
                            <w:p w14:paraId="6D921823">
                              <w:pPr>
                                <w:autoSpaceDE w:val="0"/>
                                <w:autoSpaceDN w:val="0"/>
                                <w:adjustRightInd w:val="0"/>
                                <w:rPr>
                                  <w:color w:val="000000"/>
                                  <w:sz w:val="21"/>
                                  <w:szCs w:val="21"/>
                                  <w:lang w:val="zh-CN"/>
                                </w:rPr>
                              </w:pPr>
                              <w:r>
                                <w:rPr>
                                  <w:color w:val="000000"/>
                                  <w:sz w:val="21"/>
                                  <w:szCs w:val="21"/>
                                  <w:lang w:val="zh-CN"/>
                                </w:rPr>
                                <w:t>启动预案</w:t>
                              </w:r>
                              <w:r>
                                <w:rPr>
                                  <w:color w:val="000000"/>
                                  <w:sz w:val="21"/>
                                  <w:szCs w:val="21"/>
                                </w:rPr>
                                <w:t>/</w:t>
                              </w:r>
                              <w:r>
                                <w:rPr>
                                  <w:color w:val="000000"/>
                                  <w:sz w:val="21"/>
                                  <w:szCs w:val="21"/>
                                  <w:lang w:val="zh-CN"/>
                                </w:rPr>
                                <w:t>终止预案</w:t>
                              </w:r>
                            </w:p>
                          </w:txbxContent>
                        </wps:txbx>
                        <wps:bodyPr rot="0" vert="horz" wrap="square" lIns="91440" tIns="45720" rIns="91440" bIns="45720" anchor="ctr" anchorCtr="1" upright="1">
                          <a:noAutofit/>
                        </wps:bodyPr>
                      </wps:wsp>
                      <wps:wsp>
                        <wps:cNvPr id="1861024778" name="文本框 105"/>
                        <wps:cNvSpPr txBox="1">
                          <a:spLocks noChangeArrowheads="1"/>
                        </wps:cNvSpPr>
                        <wps:spPr bwMode="auto">
                          <a:xfrm>
                            <a:off x="988060" y="1961515"/>
                            <a:ext cx="871220" cy="327025"/>
                          </a:xfrm>
                          <a:prstGeom prst="rect">
                            <a:avLst/>
                          </a:prstGeom>
                          <a:solidFill>
                            <a:srgbClr val="FFFFFF"/>
                          </a:solidFill>
                          <a:ln w="6350">
                            <a:solidFill>
                              <a:srgbClr val="000000"/>
                            </a:solidFill>
                            <a:round/>
                          </a:ln>
                        </wps:spPr>
                        <wps:txbx>
                          <w:txbxContent>
                            <w:p w14:paraId="3C8F77E3">
                              <w:pPr>
                                <w:autoSpaceDE w:val="0"/>
                                <w:autoSpaceDN w:val="0"/>
                                <w:adjustRightInd w:val="0"/>
                                <w:rPr>
                                  <w:color w:val="000000"/>
                                  <w:sz w:val="21"/>
                                  <w:szCs w:val="21"/>
                                  <w:lang w:val="zh-CN"/>
                                </w:rPr>
                              </w:pPr>
                              <w:r>
                                <w:rPr>
                                  <w:color w:val="000000"/>
                                  <w:sz w:val="21"/>
                                  <w:szCs w:val="21"/>
                                  <w:lang w:val="zh-CN"/>
                                </w:rPr>
                                <w:t>第一发现人</w:t>
                              </w:r>
                            </w:p>
                          </w:txbxContent>
                        </wps:txbx>
                        <wps:bodyPr rot="0" vert="horz" wrap="square" lIns="91440" tIns="45720" rIns="91440" bIns="45720" anchor="ctr" anchorCtr="1" upright="1">
                          <a:noAutofit/>
                        </wps:bodyPr>
                      </wps:wsp>
                      <wps:wsp>
                        <wps:cNvPr id="906863736" name="文本框 106"/>
                        <wps:cNvSpPr txBox="1">
                          <a:spLocks noChangeArrowheads="1"/>
                        </wps:cNvSpPr>
                        <wps:spPr bwMode="auto">
                          <a:xfrm>
                            <a:off x="2511425" y="1938655"/>
                            <a:ext cx="735330" cy="327025"/>
                          </a:xfrm>
                          <a:prstGeom prst="rect">
                            <a:avLst/>
                          </a:prstGeom>
                          <a:solidFill>
                            <a:srgbClr val="FFFFFF"/>
                          </a:solidFill>
                          <a:ln w="6350">
                            <a:solidFill>
                              <a:srgbClr val="000000"/>
                            </a:solidFill>
                            <a:round/>
                          </a:ln>
                        </wps:spPr>
                        <wps:txbx>
                          <w:txbxContent>
                            <w:p w14:paraId="1465163E">
                              <w:pPr>
                                <w:autoSpaceDE w:val="0"/>
                                <w:autoSpaceDN w:val="0"/>
                                <w:adjustRightInd w:val="0"/>
                                <w:rPr>
                                  <w:color w:val="000000"/>
                                  <w:sz w:val="21"/>
                                  <w:szCs w:val="21"/>
                                  <w:lang w:val="zh-CN"/>
                                </w:rPr>
                              </w:pPr>
                              <w:r>
                                <w:rPr>
                                  <w:color w:val="000000"/>
                                  <w:sz w:val="21"/>
                                  <w:szCs w:val="21"/>
                                  <w:lang w:val="zh-CN"/>
                                </w:rPr>
                                <w:t>副总指挥</w:t>
                              </w:r>
                            </w:p>
                          </w:txbxContent>
                        </wps:txbx>
                        <wps:bodyPr rot="0" vert="horz" wrap="square" lIns="91440" tIns="45720" rIns="91440" bIns="45720" anchor="ctr" anchorCtr="1" upright="1">
                          <a:noAutofit/>
                        </wps:bodyPr>
                      </wps:wsp>
                      <wps:wsp>
                        <wps:cNvPr id="1913426332" name="文本框 107"/>
                        <wps:cNvSpPr txBox="1">
                          <a:spLocks noChangeArrowheads="1"/>
                        </wps:cNvSpPr>
                        <wps:spPr bwMode="auto">
                          <a:xfrm>
                            <a:off x="2411730" y="2903855"/>
                            <a:ext cx="1038860" cy="327025"/>
                          </a:xfrm>
                          <a:prstGeom prst="rect">
                            <a:avLst/>
                          </a:prstGeom>
                          <a:solidFill>
                            <a:srgbClr val="FFFFFF"/>
                          </a:solidFill>
                          <a:ln w="6350">
                            <a:solidFill>
                              <a:srgbClr val="000000"/>
                            </a:solidFill>
                            <a:round/>
                          </a:ln>
                        </wps:spPr>
                        <wps:txbx>
                          <w:txbxContent>
                            <w:p w14:paraId="1DEA39DE">
                              <w:pPr>
                                <w:autoSpaceDE w:val="0"/>
                                <w:autoSpaceDN w:val="0"/>
                                <w:adjustRightInd w:val="0"/>
                                <w:rPr>
                                  <w:color w:val="000000"/>
                                  <w:sz w:val="21"/>
                                  <w:szCs w:val="21"/>
                                  <w:lang w:val="zh-CN"/>
                                </w:rPr>
                              </w:pPr>
                              <w:r>
                                <w:rPr>
                                  <w:color w:val="000000"/>
                                  <w:sz w:val="21"/>
                                  <w:szCs w:val="21"/>
                                  <w:lang w:val="zh-CN"/>
                                </w:rPr>
                                <w:t>现场应急处置</w:t>
                              </w:r>
                            </w:p>
                          </w:txbxContent>
                        </wps:txbx>
                        <wps:bodyPr rot="0" vert="horz" wrap="square" lIns="91440" tIns="45720" rIns="91440" bIns="45720" anchor="ctr" anchorCtr="1" upright="1">
                          <a:noAutofit/>
                        </wps:bodyPr>
                      </wps:wsp>
                      <wps:wsp>
                        <wps:cNvPr id="901360367" name="文本框 108"/>
                        <wps:cNvSpPr txBox="1">
                          <a:spLocks noChangeArrowheads="1"/>
                        </wps:cNvSpPr>
                        <wps:spPr bwMode="auto">
                          <a:xfrm>
                            <a:off x="3996690" y="4132580"/>
                            <a:ext cx="333375" cy="1063625"/>
                          </a:xfrm>
                          <a:prstGeom prst="rect">
                            <a:avLst/>
                          </a:prstGeom>
                          <a:solidFill>
                            <a:srgbClr val="FFFFFF"/>
                          </a:solidFill>
                          <a:ln w="6350">
                            <a:solidFill>
                              <a:srgbClr val="000000"/>
                            </a:solidFill>
                            <a:round/>
                          </a:ln>
                        </wps:spPr>
                        <wps:txbx>
                          <w:txbxContent>
                            <w:p w14:paraId="39ACA92F">
                              <w:pPr>
                                <w:autoSpaceDE w:val="0"/>
                                <w:autoSpaceDN w:val="0"/>
                                <w:adjustRightInd w:val="0"/>
                                <w:rPr>
                                  <w:color w:val="000000"/>
                                  <w:sz w:val="21"/>
                                  <w:szCs w:val="21"/>
                                  <w:lang w:val="zh-CN"/>
                                </w:rPr>
                              </w:pPr>
                              <w:r>
                                <w:rPr>
                                  <w:rFonts w:hint="eastAsia"/>
                                  <w:color w:val="000000"/>
                                  <w:sz w:val="21"/>
                                  <w:szCs w:val="21"/>
                                </w:rPr>
                                <w:t>应急监测</w:t>
                              </w:r>
                              <w:r>
                                <w:rPr>
                                  <w:color w:val="000000"/>
                                  <w:sz w:val="21"/>
                                  <w:szCs w:val="21"/>
                                  <w:lang w:val="zh-CN"/>
                                </w:rPr>
                                <w:t>组</w:t>
                              </w:r>
                            </w:p>
                          </w:txbxContent>
                        </wps:txbx>
                        <wps:bodyPr rot="0" vert="horz" wrap="square" lIns="91440" tIns="45720" rIns="91440" bIns="45720" anchor="ctr" anchorCtr="1" upright="1">
                          <a:noAutofit/>
                        </wps:bodyPr>
                      </wps:wsp>
                      <wps:wsp>
                        <wps:cNvPr id="1432339640" name="直接箭头连接符 109"/>
                        <wps:cNvCnPr>
                          <a:cxnSpLocks noChangeShapeType="1"/>
                        </wps:cNvCnPr>
                        <wps:spPr bwMode="auto">
                          <a:xfrm flipV="1">
                            <a:off x="2817495" y="335915"/>
                            <a:ext cx="0" cy="349885"/>
                          </a:xfrm>
                          <a:prstGeom prst="straightConnector1">
                            <a:avLst/>
                          </a:prstGeom>
                          <a:noFill/>
                          <a:ln w="9525">
                            <a:solidFill>
                              <a:srgbClr val="000000"/>
                            </a:solidFill>
                            <a:prstDash val="lgDash"/>
                            <a:round/>
                            <a:tailEnd type="triangle" w="med" len="med"/>
                          </a:ln>
                        </wps:spPr>
                        <wps:bodyPr/>
                      </wps:wsp>
                      <wps:wsp>
                        <wps:cNvPr id="1838149350" name="直接箭头连接符 110"/>
                        <wps:cNvCnPr>
                          <a:cxnSpLocks noChangeShapeType="1"/>
                        </wps:cNvCnPr>
                        <wps:spPr bwMode="auto">
                          <a:xfrm flipV="1">
                            <a:off x="2927350" y="1215390"/>
                            <a:ext cx="0" cy="709295"/>
                          </a:xfrm>
                          <a:prstGeom prst="straightConnector1">
                            <a:avLst/>
                          </a:prstGeom>
                          <a:noFill/>
                          <a:ln w="9525">
                            <a:solidFill>
                              <a:srgbClr val="000000"/>
                            </a:solidFill>
                            <a:prstDash val="lgDash"/>
                            <a:round/>
                            <a:tailEnd type="triangle" w="med" len="med"/>
                          </a:ln>
                        </wps:spPr>
                        <wps:bodyPr/>
                      </wps:wsp>
                      <wps:wsp>
                        <wps:cNvPr id="1349678770" name="直接箭头连接符 111"/>
                        <wps:cNvCnPr>
                          <a:cxnSpLocks noChangeShapeType="1"/>
                        </wps:cNvCnPr>
                        <wps:spPr bwMode="auto">
                          <a:xfrm>
                            <a:off x="1889760" y="2116455"/>
                            <a:ext cx="612140" cy="635"/>
                          </a:xfrm>
                          <a:prstGeom prst="straightConnector1">
                            <a:avLst/>
                          </a:prstGeom>
                          <a:noFill/>
                          <a:ln w="9525">
                            <a:solidFill>
                              <a:srgbClr val="000000"/>
                            </a:solidFill>
                            <a:prstDash val="lgDash"/>
                            <a:round/>
                            <a:tailEnd type="triangle" w="med" len="med"/>
                          </a:ln>
                        </wps:spPr>
                        <wps:bodyPr/>
                      </wps:wsp>
                      <wps:wsp>
                        <wps:cNvPr id="635601029" name="直接连接符 112"/>
                        <wps:cNvCnPr>
                          <a:cxnSpLocks noChangeShapeType="1"/>
                        </wps:cNvCnPr>
                        <wps:spPr bwMode="auto">
                          <a:xfrm>
                            <a:off x="1729740" y="3791585"/>
                            <a:ext cx="2447290" cy="2540"/>
                          </a:xfrm>
                          <a:prstGeom prst="line">
                            <a:avLst/>
                          </a:prstGeom>
                          <a:noFill/>
                          <a:ln w="9525">
                            <a:solidFill>
                              <a:srgbClr val="000000"/>
                            </a:solidFill>
                            <a:round/>
                          </a:ln>
                        </wps:spPr>
                        <wps:bodyPr/>
                      </wps:wsp>
                      <wps:wsp>
                        <wps:cNvPr id="982623695" name="文本框 113"/>
                        <wps:cNvSpPr txBox="1">
                          <a:spLocks noChangeArrowheads="1"/>
                        </wps:cNvSpPr>
                        <wps:spPr bwMode="auto">
                          <a:xfrm>
                            <a:off x="1569720" y="4140835"/>
                            <a:ext cx="333375" cy="1054100"/>
                          </a:xfrm>
                          <a:prstGeom prst="rect">
                            <a:avLst/>
                          </a:prstGeom>
                          <a:solidFill>
                            <a:srgbClr val="FFFFFF"/>
                          </a:solidFill>
                          <a:ln w="6350">
                            <a:solidFill>
                              <a:srgbClr val="000000"/>
                            </a:solidFill>
                            <a:round/>
                          </a:ln>
                        </wps:spPr>
                        <wps:txbx>
                          <w:txbxContent>
                            <w:p w14:paraId="37695DF2">
                              <w:pPr>
                                <w:autoSpaceDE w:val="0"/>
                                <w:autoSpaceDN w:val="0"/>
                                <w:adjustRightInd w:val="0"/>
                                <w:rPr>
                                  <w:color w:val="000000"/>
                                  <w:sz w:val="21"/>
                                  <w:szCs w:val="21"/>
                                  <w:lang w:val="zh-CN"/>
                                </w:rPr>
                              </w:pPr>
                              <w:r>
                                <w:rPr>
                                  <w:rFonts w:hint="eastAsia"/>
                                  <w:color w:val="000000"/>
                                  <w:sz w:val="21"/>
                                  <w:szCs w:val="21"/>
                                </w:rPr>
                                <w:t>抢险灭火</w:t>
                              </w:r>
                              <w:r>
                                <w:rPr>
                                  <w:color w:val="000000"/>
                                  <w:sz w:val="21"/>
                                  <w:szCs w:val="21"/>
                                  <w:lang w:val="zh-CN"/>
                                </w:rPr>
                                <w:t>组</w:t>
                              </w:r>
                            </w:p>
                          </w:txbxContent>
                        </wps:txbx>
                        <wps:bodyPr rot="0" vert="horz" wrap="square" lIns="91440" tIns="45720" rIns="91440" bIns="45720" anchor="ctr" anchorCtr="1" upright="1">
                          <a:noAutofit/>
                        </wps:bodyPr>
                      </wps:wsp>
                      <wps:wsp>
                        <wps:cNvPr id="1686413936" name="直接箭头连接符 114"/>
                        <wps:cNvCnPr>
                          <a:cxnSpLocks noChangeShapeType="1"/>
                        </wps:cNvCnPr>
                        <wps:spPr bwMode="auto">
                          <a:xfrm>
                            <a:off x="1738630" y="3787775"/>
                            <a:ext cx="0" cy="348615"/>
                          </a:xfrm>
                          <a:prstGeom prst="straightConnector1">
                            <a:avLst/>
                          </a:prstGeom>
                          <a:noFill/>
                          <a:ln w="9525">
                            <a:solidFill>
                              <a:srgbClr val="000000"/>
                            </a:solidFill>
                            <a:round/>
                            <a:tailEnd type="triangle" w="med" len="med"/>
                          </a:ln>
                        </wps:spPr>
                        <wps:bodyPr/>
                      </wps:wsp>
                      <wps:wsp>
                        <wps:cNvPr id="2041615511" name="直接箭头连接符 116"/>
                        <wps:cNvCnPr>
                          <a:cxnSpLocks noChangeShapeType="1"/>
                        </wps:cNvCnPr>
                        <wps:spPr bwMode="auto">
                          <a:xfrm>
                            <a:off x="4176395" y="3789045"/>
                            <a:ext cx="0" cy="346710"/>
                          </a:xfrm>
                          <a:prstGeom prst="straightConnector1">
                            <a:avLst/>
                          </a:prstGeom>
                          <a:noFill/>
                          <a:ln w="9525">
                            <a:solidFill>
                              <a:srgbClr val="000000"/>
                            </a:solidFill>
                            <a:round/>
                            <a:tailEnd type="triangle" w="med" len="med"/>
                          </a:ln>
                        </wps:spPr>
                        <wps:bodyPr/>
                      </wps:wsp>
                      <wps:wsp>
                        <wps:cNvPr id="1346251838" name="直接箭头连接符 117"/>
                        <wps:cNvCnPr>
                          <a:cxnSpLocks noChangeShapeType="1"/>
                        </wps:cNvCnPr>
                        <wps:spPr bwMode="auto">
                          <a:xfrm>
                            <a:off x="2927985" y="3230880"/>
                            <a:ext cx="0" cy="566420"/>
                          </a:xfrm>
                          <a:prstGeom prst="straightConnector1">
                            <a:avLst/>
                          </a:prstGeom>
                          <a:noFill/>
                          <a:ln w="9525">
                            <a:solidFill>
                              <a:srgbClr val="000000"/>
                            </a:solidFill>
                            <a:round/>
                            <a:tailEnd type="triangle" w="med" len="med"/>
                          </a:ln>
                        </wps:spPr>
                        <wps:bodyPr/>
                      </wps:wsp>
                      <wps:wsp>
                        <wps:cNvPr id="1894833903" name="文本框 118"/>
                        <wps:cNvSpPr txBox="1">
                          <a:spLocks noChangeArrowheads="1"/>
                        </wps:cNvSpPr>
                        <wps:spPr bwMode="auto">
                          <a:xfrm>
                            <a:off x="0" y="1579880"/>
                            <a:ext cx="768350" cy="448945"/>
                          </a:xfrm>
                          <a:prstGeom prst="rect">
                            <a:avLst/>
                          </a:prstGeom>
                          <a:noFill/>
                          <a:ln w="6350">
                            <a:solidFill>
                              <a:srgbClr val="000000"/>
                            </a:solidFill>
                            <a:round/>
                          </a:ln>
                        </wps:spPr>
                        <wps:txbx>
                          <w:txbxContent>
                            <w:p w14:paraId="28EF1826">
                              <w:pPr>
                                <w:autoSpaceDE w:val="0"/>
                                <w:autoSpaceDN w:val="0"/>
                                <w:adjustRightInd w:val="0"/>
                                <w:jc w:val="center"/>
                                <w:rPr>
                                  <w:color w:val="000000"/>
                                  <w:sz w:val="21"/>
                                  <w:szCs w:val="21"/>
                                  <w:lang w:val="zh-CN"/>
                                </w:rPr>
                              </w:pPr>
                              <w:r>
                                <w:rPr>
                                  <w:rFonts w:hint="eastAsia"/>
                                  <w:color w:val="000000"/>
                                  <w:sz w:val="21"/>
                                  <w:szCs w:val="21"/>
                                  <w:lang w:val="zh-CN"/>
                                </w:rPr>
                                <w:t>应急救援</w:t>
                              </w:r>
                              <w:r>
                                <w:rPr>
                                  <w:color w:val="000000"/>
                                  <w:sz w:val="21"/>
                                  <w:szCs w:val="21"/>
                                  <w:lang w:val="zh-CN"/>
                                </w:rPr>
                                <w:t>协调员</w:t>
                              </w:r>
                            </w:p>
                          </w:txbxContent>
                        </wps:txbx>
                        <wps:bodyPr rot="0" vert="horz" wrap="square" lIns="91440" tIns="45720" rIns="91440" bIns="45720" anchor="ctr" anchorCtr="1" upright="1">
                          <a:noAutofit/>
                        </wps:bodyPr>
                      </wps:wsp>
                      <wps:wsp>
                        <wps:cNvPr id="1218201240" name="直接连接符 119"/>
                        <wps:cNvCnPr>
                          <a:cxnSpLocks noChangeShapeType="1"/>
                        </wps:cNvCnPr>
                        <wps:spPr bwMode="auto">
                          <a:xfrm>
                            <a:off x="281305" y="884555"/>
                            <a:ext cx="1710055" cy="1270"/>
                          </a:xfrm>
                          <a:prstGeom prst="line">
                            <a:avLst/>
                          </a:prstGeom>
                          <a:noFill/>
                          <a:ln w="9525">
                            <a:solidFill>
                              <a:srgbClr val="000000"/>
                            </a:solidFill>
                            <a:round/>
                          </a:ln>
                        </wps:spPr>
                        <wps:bodyPr/>
                      </wps:wsp>
                      <wps:wsp>
                        <wps:cNvPr id="1536345605" name="直接箭头连接符 120"/>
                        <wps:cNvCnPr>
                          <a:cxnSpLocks noChangeShapeType="1"/>
                        </wps:cNvCnPr>
                        <wps:spPr bwMode="auto">
                          <a:xfrm flipH="1">
                            <a:off x="281305" y="884555"/>
                            <a:ext cx="8255" cy="683895"/>
                          </a:xfrm>
                          <a:prstGeom prst="straightConnector1">
                            <a:avLst/>
                          </a:prstGeom>
                          <a:noFill/>
                          <a:ln w="9525">
                            <a:solidFill>
                              <a:srgbClr val="000000"/>
                            </a:solidFill>
                            <a:round/>
                            <a:tailEnd type="triangle" w="med" len="med"/>
                          </a:ln>
                        </wps:spPr>
                        <wps:bodyPr/>
                      </wps:wsp>
                      <wps:wsp>
                        <wps:cNvPr id="1793368833" name="直接箭头连接符 121"/>
                        <wps:cNvCnPr>
                          <a:cxnSpLocks noChangeShapeType="1"/>
                        </wps:cNvCnPr>
                        <wps:spPr bwMode="auto">
                          <a:xfrm>
                            <a:off x="274955" y="4463415"/>
                            <a:ext cx="851535" cy="0"/>
                          </a:xfrm>
                          <a:prstGeom prst="straightConnector1">
                            <a:avLst/>
                          </a:prstGeom>
                          <a:noFill/>
                          <a:ln w="9525">
                            <a:solidFill>
                              <a:srgbClr val="000000"/>
                            </a:solidFill>
                            <a:round/>
                            <a:tailEnd type="triangle" w="med" len="med"/>
                          </a:ln>
                        </wps:spPr>
                        <wps:bodyPr/>
                      </wps:wsp>
                      <wps:wsp>
                        <wps:cNvPr id="363562286" name="直接连接符 122"/>
                        <wps:cNvCnPr>
                          <a:cxnSpLocks noChangeShapeType="1"/>
                        </wps:cNvCnPr>
                        <wps:spPr bwMode="auto">
                          <a:xfrm flipH="1" flipV="1">
                            <a:off x="274955" y="2028825"/>
                            <a:ext cx="6350" cy="2425065"/>
                          </a:xfrm>
                          <a:prstGeom prst="line">
                            <a:avLst/>
                          </a:prstGeom>
                          <a:noFill/>
                          <a:ln w="9525">
                            <a:solidFill>
                              <a:srgbClr val="000000"/>
                            </a:solidFill>
                            <a:round/>
                          </a:ln>
                        </wps:spPr>
                        <wps:bodyPr/>
                      </wps:wsp>
                      <wps:wsp>
                        <wps:cNvPr id="553984193" name="直接连接符 123"/>
                        <wps:cNvCnPr>
                          <a:cxnSpLocks noChangeShapeType="1"/>
                        </wps:cNvCnPr>
                        <wps:spPr bwMode="auto">
                          <a:xfrm>
                            <a:off x="3996690" y="862330"/>
                            <a:ext cx="830580" cy="1905"/>
                          </a:xfrm>
                          <a:prstGeom prst="line">
                            <a:avLst/>
                          </a:prstGeom>
                          <a:noFill/>
                          <a:ln w="9525">
                            <a:solidFill>
                              <a:srgbClr val="000000"/>
                            </a:solidFill>
                            <a:round/>
                          </a:ln>
                        </wps:spPr>
                        <wps:bodyPr/>
                      </wps:wsp>
                      <wps:wsp>
                        <wps:cNvPr id="1251337250" name="直接箭头连接符 124"/>
                        <wps:cNvCnPr>
                          <a:cxnSpLocks noChangeShapeType="1"/>
                        </wps:cNvCnPr>
                        <wps:spPr bwMode="auto">
                          <a:xfrm flipH="1">
                            <a:off x="4808220" y="864235"/>
                            <a:ext cx="19050" cy="1076325"/>
                          </a:xfrm>
                          <a:prstGeom prst="straightConnector1">
                            <a:avLst/>
                          </a:prstGeom>
                          <a:noFill/>
                          <a:ln w="9525">
                            <a:solidFill>
                              <a:srgbClr val="000000"/>
                            </a:solidFill>
                            <a:round/>
                            <a:tailEnd type="triangle" w="med" len="med"/>
                          </a:ln>
                        </wps:spPr>
                        <wps:bodyPr/>
                      </wps:wsp>
                      <wps:wsp>
                        <wps:cNvPr id="962252599" name="直接箭头连接符 125"/>
                        <wps:cNvCnPr>
                          <a:cxnSpLocks noChangeShapeType="1"/>
                        </wps:cNvCnPr>
                        <wps:spPr bwMode="auto">
                          <a:xfrm>
                            <a:off x="3249295" y="2079625"/>
                            <a:ext cx="871220" cy="0"/>
                          </a:xfrm>
                          <a:prstGeom prst="straightConnector1">
                            <a:avLst/>
                          </a:prstGeom>
                          <a:noFill/>
                          <a:ln w="9525">
                            <a:solidFill>
                              <a:srgbClr val="000000"/>
                            </a:solidFill>
                            <a:round/>
                            <a:tailEnd type="triangle" w="med" len="med"/>
                          </a:ln>
                        </wps:spPr>
                        <wps:bodyPr/>
                      </wps:wsp>
                      <wps:wsp>
                        <wps:cNvPr id="1014832147" name="文本框 126"/>
                        <wps:cNvSpPr txBox="1">
                          <a:spLocks noChangeArrowheads="1"/>
                        </wps:cNvSpPr>
                        <wps:spPr bwMode="auto">
                          <a:xfrm>
                            <a:off x="3322320" y="1856740"/>
                            <a:ext cx="804545" cy="294640"/>
                          </a:xfrm>
                          <a:prstGeom prst="rect">
                            <a:avLst/>
                          </a:prstGeom>
                          <a:noFill/>
                          <a:ln>
                            <a:noFill/>
                          </a:ln>
                        </wps:spPr>
                        <wps:txbx>
                          <w:txbxContent>
                            <w:p w14:paraId="4BEAF8F9">
                              <w:pPr>
                                <w:autoSpaceDE w:val="0"/>
                                <w:autoSpaceDN w:val="0"/>
                                <w:adjustRightInd w:val="0"/>
                                <w:rPr>
                                  <w:color w:val="000000"/>
                                  <w:sz w:val="21"/>
                                  <w:szCs w:val="21"/>
                                  <w:lang w:val="zh-CN"/>
                                </w:rPr>
                              </w:pPr>
                              <w:r>
                                <w:rPr>
                                  <w:color w:val="000000"/>
                                  <w:sz w:val="21"/>
                                  <w:szCs w:val="21"/>
                                  <w:lang w:val="zh-CN"/>
                                </w:rPr>
                                <w:t>二、三级</w:t>
                              </w:r>
                            </w:p>
                          </w:txbxContent>
                        </wps:txbx>
                        <wps:bodyPr rot="0" vert="horz" wrap="square" lIns="91440" tIns="45720" rIns="91440" bIns="45720" anchor="t" anchorCtr="0" upright="1">
                          <a:noAutofit/>
                        </wps:bodyPr>
                      </wps:wsp>
                      <wps:wsp>
                        <wps:cNvPr id="1037435631" name="文本框 127"/>
                        <wps:cNvSpPr txBox="1">
                          <a:spLocks noChangeArrowheads="1"/>
                        </wps:cNvSpPr>
                        <wps:spPr bwMode="auto">
                          <a:xfrm>
                            <a:off x="4134485" y="602615"/>
                            <a:ext cx="602615" cy="295275"/>
                          </a:xfrm>
                          <a:prstGeom prst="rect">
                            <a:avLst/>
                          </a:prstGeom>
                          <a:noFill/>
                          <a:ln>
                            <a:noFill/>
                          </a:ln>
                        </wps:spPr>
                        <wps:txbx>
                          <w:txbxContent>
                            <w:p w14:paraId="2E25800C">
                              <w:pPr>
                                <w:autoSpaceDE w:val="0"/>
                                <w:autoSpaceDN w:val="0"/>
                                <w:adjustRightInd w:val="0"/>
                                <w:rPr>
                                  <w:color w:val="000000"/>
                                  <w:sz w:val="21"/>
                                  <w:szCs w:val="21"/>
                                  <w:lang w:val="zh-CN"/>
                                </w:rPr>
                              </w:pPr>
                              <w:r>
                                <w:rPr>
                                  <w:color w:val="000000"/>
                                  <w:sz w:val="21"/>
                                  <w:szCs w:val="21"/>
                                  <w:lang w:val="zh-CN"/>
                                </w:rPr>
                                <w:t>一级</w:t>
                              </w:r>
                            </w:p>
                          </w:txbxContent>
                        </wps:txbx>
                        <wps:bodyPr rot="0" vert="horz" wrap="square" lIns="91440" tIns="45720" rIns="91440" bIns="45720" anchor="t" anchorCtr="0" upright="1">
                          <a:noAutofit/>
                        </wps:bodyPr>
                      </wps:wsp>
                      <wps:wsp>
                        <wps:cNvPr id="1803617858" name="矩形 128"/>
                        <wps:cNvSpPr>
                          <a:spLocks noChangeArrowheads="1"/>
                        </wps:cNvSpPr>
                        <wps:spPr bwMode="auto">
                          <a:xfrm>
                            <a:off x="1126490" y="3552825"/>
                            <a:ext cx="3636010" cy="1669415"/>
                          </a:xfrm>
                          <a:prstGeom prst="rect">
                            <a:avLst/>
                          </a:prstGeom>
                          <a:noFill/>
                          <a:ln w="12700">
                            <a:solidFill>
                              <a:srgbClr val="000000"/>
                            </a:solidFill>
                            <a:prstDash val="dash"/>
                            <a:round/>
                          </a:ln>
                        </wps:spPr>
                        <wps:bodyPr rot="0" vert="horz" wrap="square" lIns="91440" tIns="45720" rIns="91440" bIns="45720" anchor="ctr" anchorCtr="0" upright="1">
                          <a:noAutofit/>
                        </wps:bodyPr>
                      </wps:wsp>
                      <wps:wsp>
                        <wps:cNvPr id="1569493440" name="直接连接符 129"/>
                        <wps:cNvCnPr>
                          <a:cxnSpLocks noChangeShapeType="1"/>
                        </wps:cNvCnPr>
                        <wps:spPr bwMode="auto">
                          <a:xfrm>
                            <a:off x="542290" y="4274820"/>
                            <a:ext cx="619125" cy="0"/>
                          </a:xfrm>
                          <a:prstGeom prst="line">
                            <a:avLst/>
                          </a:prstGeom>
                          <a:noFill/>
                          <a:ln w="12700">
                            <a:solidFill>
                              <a:srgbClr val="000000"/>
                            </a:solidFill>
                            <a:prstDash val="dash"/>
                            <a:round/>
                          </a:ln>
                        </wps:spPr>
                        <wps:bodyPr/>
                      </wps:wsp>
                      <wps:wsp>
                        <wps:cNvPr id="1341973995" name="直接连接符 130"/>
                        <wps:cNvCnPr>
                          <a:cxnSpLocks noChangeShapeType="1"/>
                        </wps:cNvCnPr>
                        <wps:spPr bwMode="auto">
                          <a:xfrm>
                            <a:off x="513715" y="999490"/>
                            <a:ext cx="0" cy="549910"/>
                          </a:xfrm>
                          <a:prstGeom prst="line">
                            <a:avLst/>
                          </a:prstGeom>
                          <a:noFill/>
                          <a:ln w="12700">
                            <a:solidFill>
                              <a:srgbClr val="000000"/>
                            </a:solidFill>
                            <a:prstDash val="dash"/>
                            <a:round/>
                          </a:ln>
                        </wps:spPr>
                        <wps:bodyPr/>
                      </wps:wsp>
                      <wps:wsp>
                        <wps:cNvPr id="471941763" name="直接箭头连接符 131"/>
                        <wps:cNvCnPr>
                          <a:cxnSpLocks noChangeShapeType="1"/>
                        </wps:cNvCnPr>
                        <wps:spPr bwMode="auto">
                          <a:xfrm>
                            <a:off x="2987675" y="351155"/>
                            <a:ext cx="0" cy="347345"/>
                          </a:xfrm>
                          <a:prstGeom prst="straightConnector1">
                            <a:avLst/>
                          </a:prstGeom>
                          <a:noFill/>
                          <a:ln w="9525">
                            <a:solidFill>
                              <a:srgbClr val="000000"/>
                            </a:solidFill>
                            <a:round/>
                            <a:tailEnd type="triangle" w="med" len="med"/>
                          </a:ln>
                        </wps:spPr>
                        <wps:bodyPr/>
                      </wps:wsp>
                      <wps:wsp>
                        <wps:cNvPr id="2136629374" name="文本框 132"/>
                        <wps:cNvSpPr txBox="1">
                          <a:spLocks noChangeArrowheads="1"/>
                        </wps:cNvSpPr>
                        <wps:spPr bwMode="auto">
                          <a:xfrm>
                            <a:off x="3234690" y="354330"/>
                            <a:ext cx="603885" cy="295275"/>
                          </a:xfrm>
                          <a:prstGeom prst="rect">
                            <a:avLst/>
                          </a:prstGeom>
                          <a:noFill/>
                          <a:ln>
                            <a:noFill/>
                          </a:ln>
                        </wps:spPr>
                        <wps:txbx>
                          <w:txbxContent>
                            <w:p w14:paraId="64C78F7C">
                              <w:pPr>
                                <w:autoSpaceDE w:val="0"/>
                                <w:autoSpaceDN w:val="0"/>
                                <w:adjustRightInd w:val="0"/>
                                <w:rPr>
                                  <w:color w:val="000000"/>
                                  <w:sz w:val="21"/>
                                  <w:szCs w:val="21"/>
                                  <w:lang w:val="zh-CN"/>
                                </w:rPr>
                              </w:pPr>
                              <w:r>
                                <w:rPr>
                                  <w:color w:val="000000"/>
                                  <w:sz w:val="21"/>
                                  <w:szCs w:val="21"/>
                                  <w:lang w:val="zh-CN"/>
                                </w:rPr>
                                <w:t>一级</w:t>
                              </w:r>
                            </w:p>
                          </w:txbxContent>
                        </wps:txbx>
                        <wps:bodyPr rot="0" vert="horz" wrap="square" lIns="91440" tIns="45720" rIns="91440" bIns="45720" anchor="t" anchorCtr="0" upright="1">
                          <a:noAutofit/>
                        </wps:bodyPr>
                      </wps:wsp>
                      <wps:wsp>
                        <wps:cNvPr id="1746377762" name="直接连接符 133"/>
                        <wps:cNvCnPr>
                          <a:cxnSpLocks noChangeShapeType="1"/>
                        </wps:cNvCnPr>
                        <wps:spPr bwMode="auto">
                          <a:xfrm>
                            <a:off x="4798060" y="2295525"/>
                            <a:ext cx="0" cy="749300"/>
                          </a:xfrm>
                          <a:prstGeom prst="line">
                            <a:avLst/>
                          </a:prstGeom>
                          <a:noFill/>
                          <a:ln w="9525">
                            <a:solidFill>
                              <a:srgbClr val="000000"/>
                            </a:solidFill>
                            <a:round/>
                          </a:ln>
                        </wps:spPr>
                        <wps:bodyPr/>
                      </wps:wsp>
                      <wps:wsp>
                        <wps:cNvPr id="508118321" name="文本框 134"/>
                        <wps:cNvSpPr txBox="1">
                          <a:spLocks noChangeArrowheads="1"/>
                        </wps:cNvSpPr>
                        <wps:spPr bwMode="auto">
                          <a:xfrm>
                            <a:off x="1016000" y="5559425"/>
                            <a:ext cx="1031875" cy="254635"/>
                          </a:xfrm>
                          <a:prstGeom prst="rect">
                            <a:avLst/>
                          </a:prstGeom>
                          <a:solidFill>
                            <a:srgbClr val="FFFFFF"/>
                          </a:solidFill>
                          <a:ln>
                            <a:noFill/>
                          </a:ln>
                        </wps:spPr>
                        <wps:txbx>
                          <w:txbxContent>
                            <w:p w14:paraId="0752AA9C">
                              <w:pPr>
                                <w:autoSpaceDE w:val="0"/>
                                <w:autoSpaceDN w:val="0"/>
                                <w:adjustRightInd w:val="0"/>
                                <w:rPr>
                                  <w:color w:val="000000"/>
                                  <w:sz w:val="21"/>
                                  <w:szCs w:val="21"/>
                                  <w:lang w:val="zh-CN"/>
                                </w:rPr>
                              </w:pPr>
                              <w:r>
                                <w:rPr>
                                  <w:color w:val="000000"/>
                                  <w:sz w:val="21"/>
                                  <w:szCs w:val="21"/>
                                  <w:lang w:val="zh-CN"/>
                                </w:rPr>
                                <w:t>指令下达程序</w:t>
                              </w:r>
                            </w:p>
                          </w:txbxContent>
                        </wps:txbx>
                        <wps:bodyPr rot="0" vert="horz" wrap="square" lIns="91440" tIns="45720" rIns="91440" bIns="45720" anchor="t" anchorCtr="0" upright="1">
                          <a:noAutofit/>
                        </wps:bodyPr>
                      </wps:wsp>
                      <wps:wsp>
                        <wps:cNvPr id="1064364008" name="直接箭头连接符 135"/>
                        <wps:cNvCnPr>
                          <a:cxnSpLocks noChangeShapeType="1"/>
                        </wps:cNvCnPr>
                        <wps:spPr bwMode="auto">
                          <a:xfrm flipH="1">
                            <a:off x="3465195" y="3041015"/>
                            <a:ext cx="1316990" cy="6985"/>
                          </a:xfrm>
                          <a:prstGeom prst="straightConnector1">
                            <a:avLst/>
                          </a:prstGeom>
                          <a:noFill/>
                          <a:ln w="9525">
                            <a:solidFill>
                              <a:srgbClr val="000000"/>
                            </a:solidFill>
                            <a:round/>
                            <a:tailEnd type="triangle" w="med" len="med"/>
                          </a:ln>
                        </wps:spPr>
                        <wps:bodyPr/>
                      </wps:wsp>
                      <wps:wsp>
                        <wps:cNvPr id="2006638252" name="直接箭头连接符 136"/>
                        <wps:cNvCnPr>
                          <a:cxnSpLocks noChangeShapeType="1"/>
                        </wps:cNvCnPr>
                        <wps:spPr bwMode="auto">
                          <a:xfrm flipV="1">
                            <a:off x="2927350" y="2243455"/>
                            <a:ext cx="0" cy="636905"/>
                          </a:xfrm>
                          <a:prstGeom prst="straightConnector1">
                            <a:avLst/>
                          </a:prstGeom>
                          <a:noFill/>
                          <a:ln w="9525">
                            <a:solidFill>
                              <a:srgbClr val="000000"/>
                            </a:solidFill>
                            <a:prstDash val="lgDash"/>
                            <a:round/>
                            <a:tailEnd type="triangle" w="med" len="med"/>
                          </a:ln>
                        </wps:spPr>
                        <wps:bodyPr/>
                      </wps:wsp>
                      <wps:wsp>
                        <wps:cNvPr id="1475357198" name="文本框 137"/>
                        <wps:cNvSpPr txBox="1">
                          <a:spLocks noChangeArrowheads="1"/>
                        </wps:cNvSpPr>
                        <wps:spPr bwMode="auto">
                          <a:xfrm>
                            <a:off x="1016000" y="5216525"/>
                            <a:ext cx="1031875" cy="254635"/>
                          </a:xfrm>
                          <a:prstGeom prst="rect">
                            <a:avLst/>
                          </a:prstGeom>
                          <a:solidFill>
                            <a:srgbClr val="FFFFFF"/>
                          </a:solidFill>
                          <a:ln>
                            <a:noFill/>
                          </a:ln>
                        </wps:spPr>
                        <wps:txbx>
                          <w:txbxContent>
                            <w:p w14:paraId="2D4CC916">
                              <w:pPr>
                                <w:autoSpaceDE w:val="0"/>
                                <w:autoSpaceDN w:val="0"/>
                                <w:adjustRightInd w:val="0"/>
                                <w:rPr>
                                  <w:color w:val="000000"/>
                                  <w:sz w:val="21"/>
                                  <w:szCs w:val="21"/>
                                  <w:lang w:val="zh-CN"/>
                                </w:rPr>
                              </w:pPr>
                              <w:r>
                                <w:rPr>
                                  <w:color w:val="000000"/>
                                  <w:sz w:val="21"/>
                                  <w:szCs w:val="21"/>
                                  <w:lang w:val="zh-CN"/>
                                </w:rPr>
                                <w:t>信息报告程序</w:t>
                              </w:r>
                            </w:p>
                          </w:txbxContent>
                        </wps:txbx>
                        <wps:bodyPr rot="0" vert="horz" wrap="square" lIns="91440" tIns="45720" rIns="91440" bIns="45720" anchor="t" anchorCtr="0" upright="1">
                          <a:noAutofit/>
                        </wps:bodyPr>
                      </wps:wsp>
                      <wps:wsp>
                        <wps:cNvPr id="538407678" name="直接连接符 138"/>
                        <wps:cNvCnPr>
                          <a:cxnSpLocks noChangeShapeType="1"/>
                        </wps:cNvCnPr>
                        <wps:spPr bwMode="auto">
                          <a:xfrm>
                            <a:off x="513715" y="999490"/>
                            <a:ext cx="1439545" cy="0"/>
                          </a:xfrm>
                          <a:prstGeom prst="line">
                            <a:avLst/>
                          </a:prstGeom>
                          <a:noFill/>
                          <a:ln w="9525">
                            <a:solidFill>
                              <a:srgbClr val="000000"/>
                            </a:solidFill>
                            <a:prstDash val="dash"/>
                            <a:round/>
                            <a:tailEnd type="triangle" w="med" len="med"/>
                          </a:ln>
                        </wps:spPr>
                        <wps:bodyPr/>
                      </wps:wsp>
                      <wps:wsp>
                        <wps:cNvPr id="1322348567" name="直接连接符 139"/>
                        <wps:cNvCnPr>
                          <a:cxnSpLocks noChangeShapeType="1"/>
                        </wps:cNvCnPr>
                        <wps:spPr bwMode="auto">
                          <a:xfrm flipV="1">
                            <a:off x="513715" y="2028825"/>
                            <a:ext cx="635" cy="2244090"/>
                          </a:xfrm>
                          <a:prstGeom prst="line">
                            <a:avLst/>
                          </a:prstGeom>
                          <a:noFill/>
                          <a:ln w="9525">
                            <a:solidFill>
                              <a:srgbClr val="000000"/>
                            </a:solidFill>
                            <a:prstDash val="dash"/>
                            <a:round/>
                            <a:tailEnd type="triangle" w="med" len="med"/>
                          </a:ln>
                        </wps:spPr>
                        <wps:bodyPr/>
                      </wps:wsp>
                      <wps:wsp>
                        <wps:cNvPr id="1923724223" name="直接连接符 140"/>
                        <wps:cNvCnPr>
                          <a:cxnSpLocks noChangeShapeType="1"/>
                        </wps:cNvCnPr>
                        <wps:spPr bwMode="auto">
                          <a:xfrm>
                            <a:off x="1953260" y="5361305"/>
                            <a:ext cx="647065" cy="635"/>
                          </a:xfrm>
                          <a:prstGeom prst="line">
                            <a:avLst/>
                          </a:prstGeom>
                          <a:noFill/>
                          <a:ln w="9525">
                            <a:solidFill>
                              <a:srgbClr val="000000"/>
                            </a:solidFill>
                            <a:prstDash val="dash"/>
                            <a:round/>
                            <a:tailEnd type="triangle" w="med" len="med"/>
                          </a:ln>
                        </wps:spPr>
                        <wps:bodyPr/>
                      </wps:wsp>
                      <wps:wsp>
                        <wps:cNvPr id="1767765222" name="直接连接符 141"/>
                        <wps:cNvCnPr>
                          <a:cxnSpLocks noChangeShapeType="1"/>
                        </wps:cNvCnPr>
                        <wps:spPr bwMode="auto">
                          <a:xfrm>
                            <a:off x="1953260" y="5704205"/>
                            <a:ext cx="647065" cy="635"/>
                          </a:xfrm>
                          <a:prstGeom prst="line">
                            <a:avLst/>
                          </a:prstGeom>
                          <a:noFill/>
                          <a:ln w="9525">
                            <a:solidFill>
                              <a:srgbClr val="000000"/>
                            </a:solidFill>
                            <a:round/>
                            <a:tailEnd type="triangle" w="med" len="med"/>
                          </a:ln>
                        </wps:spPr>
                        <wps:bodyPr/>
                      </wps:wsp>
                      <wps:wsp>
                        <wps:cNvPr id="882074031" name="文本框 142"/>
                        <wps:cNvSpPr txBox="1">
                          <a:spLocks noChangeArrowheads="1"/>
                        </wps:cNvSpPr>
                        <wps:spPr bwMode="auto">
                          <a:xfrm>
                            <a:off x="1738630" y="5908040"/>
                            <a:ext cx="2600960" cy="352425"/>
                          </a:xfrm>
                          <a:prstGeom prst="rect">
                            <a:avLst/>
                          </a:prstGeom>
                          <a:solidFill>
                            <a:srgbClr val="FFFFFF"/>
                          </a:solidFill>
                          <a:ln>
                            <a:noFill/>
                          </a:ln>
                        </wps:spPr>
                        <wps:txbx>
                          <w:txbxContent>
                            <w:p w14:paraId="2AB7D179">
                              <w:pPr>
                                <w:rPr>
                                  <w:rFonts w:ascii="Times New Roman" w:hAnsi="Times New Roman" w:cs="Times New Roman"/>
                                </w:rPr>
                              </w:pPr>
                              <w:r>
                                <w:rPr>
                                  <w:rFonts w:ascii="Times New Roman" w:hAnsi="Times New Roman" w:cs="Times New Roman"/>
                                  <w:b/>
                                  <w:bCs/>
                                </w:rPr>
                                <w:t>图</w:t>
                              </w:r>
                              <w:r>
                                <w:rPr>
                                  <w:rFonts w:hint="eastAsia" w:ascii="Times New Roman" w:hAnsi="Times New Roman" w:cs="Times New Roman"/>
                                  <w:b/>
                                  <w:bCs/>
                                </w:rPr>
                                <w:t>7</w:t>
                              </w:r>
                              <w:r>
                                <w:rPr>
                                  <w:rFonts w:ascii="Times New Roman" w:hAnsi="Times New Roman" w:cs="Times New Roman"/>
                                  <w:b/>
                                  <w:bCs/>
                                </w:rPr>
                                <w:t>.6-</w:t>
                              </w:r>
                              <w:r>
                                <w:rPr>
                                  <w:rFonts w:hint="eastAsia" w:ascii="Times New Roman" w:hAnsi="Times New Roman" w:cs="Times New Roman"/>
                                  <w:b/>
                                  <w:bCs/>
                                  <w:lang w:val="en-US" w:eastAsia="zh-CN"/>
                                </w:rPr>
                                <w:t>3</w:t>
                              </w:r>
                              <w:r>
                                <w:rPr>
                                  <w:rFonts w:ascii="Times New Roman" w:hAnsi="Times New Roman" w:cs="Times New Roman"/>
                                  <w:b/>
                                  <w:bCs/>
                                </w:rPr>
                                <w:t>应急预案构成体系框架图</w:t>
                              </w:r>
                            </w:p>
                          </w:txbxContent>
                        </wps:txbx>
                        <wps:bodyPr rot="0" vert="horz" wrap="square" lIns="91440" tIns="45720" rIns="91440" bIns="45720" anchor="t" anchorCtr="0" upright="1">
                          <a:noAutofit/>
                        </wps:bodyPr>
                      </wps:wsp>
                      <wps:wsp>
                        <wps:cNvPr id="56764626" name="文本框 143"/>
                        <wps:cNvSpPr txBox="1">
                          <a:spLocks noChangeArrowheads="1"/>
                        </wps:cNvSpPr>
                        <wps:spPr bwMode="auto">
                          <a:xfrm>
                            <a:off x="2181860" y="4148455"/>
                            <a:ext cx="333375" cy="1047750"/>
                          </a:xfrm>
                          <a:prstGeom prst="rect">
                            <a:avLst/>
                          </a:prstGeom>
                          <a:solidFill>
                            <a:srgbClr val="FFFFFF"/>
                          </a:solidFill>
                          <a:ln w="6350">
                            <a:solidFill>
                              <a:srgbClr val="000000"/>
                            </a:solidFill>
                            <a:round/>
                          </a:ln>
                        </wps:spPr>
                        <wps:txbx>
                          <w:txbxContent>
                            <w:p w14:paraId="188B4F3F">
                              <w:pPr>
                                <w:autoSpaceDE w:val="0"/>
                                <w:autoSpaceDN w:val="0"/>
                                <w:adjustRightInd w:val="0"/>
                                <w:rPr>
                                  <w:color w:val="000000"/>
                                  <w:sz w:val="21"/>
                                  <w:szCs w:val="21"/>
                                  <w:lang w:val="zh-CN"/>
                                </w:rPr>
                              </w:pPr>
                              <w:r>
                                <w:rPr>
                                  <w:color w:val="000000"/>
                                  <w:sz w:val="21"/>
                                  <w:szCs w:val="21"/>
                                  <w:lang w:val="zh-CN"/>
                                </w:rPr>
                                <w:t>通讯</w:t>
                              </w:r>
                            </w:p>
                            <w:p w14:paraId="30A374A4">
                              <w:pPr>
                                <w:autoSpaceDE w:val="0"/>
                                <w:autoSpaceDN w:val="0"/>
                                <w:adjustRightInd w:val="0"/>
                                <w:rPr>
                                  <w:color w:val="000000"/>
                                  <w:sz w:val="21"/>
                                  <w:szCs w:val="21"/>
                                  <w:lang w:val="zh-CN"/>
                                </w:rPr>
                              </w:pPr>
                              <w:r>
                                <w:rPr>
                                  <w:color w:val="000000"/>
                                  <w:sz w:val="21"/>
                                  <w:szCs w:val="21"/>
                                  <w:lang w:val="zh-CN"/>
                                </w:rPr>
                                <w:t>组</w:t>
                              </w:r>
                            </w:p>
                          </w:txbxContent>
                        </wps:txbx>
                        <wps:bodyPr rot="0" vert="horz" wrap="square" lIns="91440" tIns="45720" rIns="91440" bIns="45720" anchor="ctr" anchorCtr="1" upright="1">
                          <a:noAutofit/>
                        </wps:bodyPr>
                      </wps:wsp>
                      <wps:wsp>
                        <wps:cNvPr id="373366506" name="直接箭头连接符 144"/>
                        <wps:cNvCnPr>
                          <a:cxnSpLocks noChangeShapeType="1"/>
                        </wps:cNvCnPr>
                        <wps:spPr bwMode="auto">
                          <a:xfrm>
                            <a:off x="2346325" y="3793490"/>
                            <a:ext cx="635" cy="348615"/>
                          </a:xfrm>
                          <a:prstGeom prst="straightConnector1">
                            <a:avLst/>
                          </a:prstGeom>
                          <a:noFill/>
                          <a:ln w="9525">
                            <a:solidFill>
                              <a:srgbClr val="000000"/>
                            </a:solidFill>
                            <a:round/>
                            <a:tailEnd type="triangle" w="med" len="med"/>
                          </a:ln>
                        </wps:spPr>
                        <wps:bodyPr/>
                      </wps:wsp>
                      <wps:wsp>
                        <wps:cNvPr id="1637133683" name="文本框 145"/>
                        <wps:cNvSpPr txBox="1">
                          <a:spLocks noChangeArrowheads="1"/>
                        </wps:cNvSpPr>
                        <wps:spPr bwMode="auto">
                          <a:xfrm>
                            <a:off x="3354070" y="4142740"/>
                            <a:ext cx="330200" cy="1053465"/>
                          </a:xfrm>
                          <a:prstGeom prst="rect">
                            <a:avLst/>
                          </a:prstGeom>
                          <a:solidFill>
                            <a:srgbClr val="FFFFFF"/>
                          </a:solidFill>
                          <a:ln w="6350">
                            <a:solidFill>
                              <a:srgbClr val="000000"/>
                            </a:solidFill>
                            <a:round/>
                          </a:ln>
                        </wps:spPr>
                        <wps:txbx>
                          <w:txbxContent>
                            <w:p w14:paraId="016B42BD">
                              <w:pPr>
                                <w:autoSpaceDE w:val="0"/>
                                <w:autoSpaceDN w:val="0"/>
                                <w:adjustRightInd w:val="0"/>
                                <w:rPr>
                                  <w:color w:val="000000"/>
                                  <w:sz w:val="21"/>
                                  <w:szCs w:val="21"/>
                                  <w:lang w:val="zh-CN"/>
                                </w:rPr>
                              </w:pPr>
                              <w:r>
                                <w:rPr>
                                  <w:rFonts w:hint="eastAsia"/>
                                  <w:color w:val="000000"/>
                                  <w:sz w:val="21"/>
                                  <w:szCs w:val="21"/>
                                </w:rPr>
                                <w:t>事故处置</w:t>
                              </w:r>
                              <w:r>
                                <w:rPr>
                                  <w:color w:val="000000"/>
                                  <w:sz w:val="21"/>
                                  <w:szCs w:val="21"/>
                                  <w:lang w:val="zh-CN"/>
                                </w:rPr>
                                <w:t>组</w:t>
                              </w:r>
                            </w:p>
                          </w:txbxContent>
                        </wps:txbx>
                        <wps:bodyPr rot="0" vert="horz" wrap="square" lIns="91440" tIns="45720" rIns="91440" bIns="45720" anchor="ctr" anchorCtr="1" upright="1">
                          <a:noAutofit/>
                        </wps:bodyPr>
                      </wps:wsp>
                      <wps:wsp>
                        <wps:cNvPr id="378072361" name="直接箭头连接符 146"/>
                        <wps:cNvCnPr>
                          <a:cxnSpLocks noChangeShapeType="1"/>
                        </wps:cNvCnPr>
                        <wps:spPr bwMode="auto">
                          <a:xfrm>
                            <a:off x="3529330" y="3791585"/>
                            <a:ext cx="0" cy="342900"/>
                          </a:xfrm>
                          <a:prstGeom prst="straightConnector1">
                            <a:avLst/>
                          </a:prstGeom>
                          <a:noFill/>
                          <a:ln w="9525">
                            <a:solidFill>
                              <a:srgbClr val="000000"/>
                            </a:solidFill>
                            <a:round/>
                            <a:tailEnd type="triangle" w="med" len="med"/>
                          </a:ln>
                        </wps:spPr>
                        <wps:bodyPr/>
                      </wps:wsp>
                      <wps:wsp>
                        <wps:cNvPr id="324302023" name="直接箭头连接符 147"/>
                        <wps:cNvCnPr>
                          <a:cxnSpLocks noChangeShapeType="1"/>
                        </wps:cNvCnPr>
                        <wps:spPr bwMode="auto">
                          <a:xfrm>
                            <a:off x="2930525" y="3800475"/>
                            <a:ext cx="0" cy="342900"/>
                          </a:xfrm>
                          <a:prstGeom prst="straightConnector1">
                            <a:avLst/>
                          </a:prstGeom>
                          <a:noFill/>
                          <a:ln w="9525">
                            <a:solidFill>
                              <a:srgbClr val="000000"/>
                            </a:solidFill>
                            <a:round/>
                            <a:tailEnd type="triangle" w="med" len="med"/>
                          </a:ln>
                        </wps:spPr>
                        <wps:bodyPr/>
                      </wps:wsp>
                      <wps:wsp>
                        <wps:cNvPr id="77098138" name="文本框 148"/>
                        <wps:cNvSpPr txBox="1">
                          <a:spLocks noChangeArrowheads="1"/>
                        </wps:cNvSpPr>
                        <wps:spPr bwMode="auto">
                          <a:xfrm>
                            <a:off x="2752725" y="4139565"/>
                            <a:ext cx="330200" cy="1056005"/>
                          </a:xfrm>
                          <a:prstGeom prst="rect">
                            <a:avLst/>
                          </a:prstGeom>
                          <a:solidFill>
                            <a:srgbClr val="FFFFFF"/>
                          </a:solidFill>
                          <a:ln w="6350">
                            <a:solidFill>
                              <a:srgbClr val="000000"/>
                            </a:solidFill>
                            <a:round/>
                          </a:ln>
                        </wps:spPr>
                        <wps:txbx>
                          <w:txbxContent>
                            <w:p w14:paraId="25C5948B">
                              <w:pPr>
                                <w:autoSpaceDE w:val="0"/>
                                <w:autoSpaceDN w:val="0"/>
                                <w:adjustRightInd w:val="0"/>
                                <w:rPr>
                                  <w:color w:val="000000"/>
                                  <w:sz w:val="21"/>
                                  <w:szCs w:val="21"/>
                                </w:rPr>
                              </w:pPr>
                              <w:r>
                                <w:rPr>
                                  <w:rFonts w:hint="eastAsia"/>
                                  <w:color w:val="000000"/>
                                  <w:sz w:val="21"/>
                                  <w:szCs w:val="21"/>
                                </w:rPr>
                                <w:t>应急保障</w:t>
                              </w:r>
                              <w:r>
                                <w:rPr>
                                  <w:color w:val="000000"/>
                                  <w:sz w:val="21"/>
                                  <w:szCs w:val="21"/>
                                </w:rPr>
                                <w:t>组</w:t>
                              </w:r>
                            </w:p>
                          </w:txbxContent>
                        </wps:txbx>
                        <wps:bodyPr rot="0" vert="horz" wrap="square" lIns="91440" tIns="45720" rIns="91440" bIns="45720" anchor="ctr" anchorCtr="1" upright="1">
                          <a:noAutofit/>
                        </wps:bodyPr>
                      </wps:wsp>
                    </wpc:wpc>
                  </a:graphicData>
                </a:graphic>
              </wp:inline>
            </w:drawing>
          </mc:Choice>
          <mc:Fallback>
            <w:pict>
              <v:group id="画布 149" o:spid="_x0000_s1026" o:spt="203" style="height:492.95pt;width:433.1pt;" coordsize="5500370,6260465" editas="canvas" o:gfxdata="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PL69AvXAAAABQEAAA8AAAAAAAAAAQAgAAAAIgAAAGRycy9kb3ducmV2LnhtbFBLAQIUABQA&#10;AAAIAIdO4kCHodtF9gsAABptAAAOAAAAAAAAAAEAIAAAACYBAABkcnMvZTJvRG9jLnhtbFBLBQYA&#10;AAAABgAGAFkBAACODwAAAAA=&#10;">
                <o:lock v:ext="edit" aspectratio="f"/>
                <v:shape id="画布 149" o:spid="_x0000_s1026" style="position:absolute;left:0;top:0;height:6260465;width:5500370;" filled="f" stroked="f" coordsize="21600,21600" o:gfxdata="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">
                  <v:fill on="f" focussize="0,0"/>
                  <v:stroke on="f"/>
                  <v:imagedata o:title=""/>
                  <o:lock v:ext="edit" aspectratio="t"/>
                </v:shape>
                <v:shape id="文本框 102" o:spid="_x0000_s1026" o:spt="202" type="#_x0000_t202" style="position:absolute;left:1967230;top:685165;height:497840;width:2029460;v-text-anchor:middle;" fillcolor="#FFFFFF" filled="t" stroked="t" coordsize="21600,21600" o:gfxdata="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5/KuH1gAAAAUBAAAPAAAA&#10;AAAAAAEAIAAAACIAAABkcnMvZG93bnJldi54bWxQSwECFAAUAAAACACHTuJAaf9SdFACAACRBAAA&#10;DgAAAAAAAAABACAAAAAlAQAAZHJzL2Uyb0RvYy54bWxQSwUGAAAAAAYABgBZAQAA5wUAAAAA&#10;">
                  <v:fill on="t" focussize="0,0"/>
                  <v:stroke weight="0.5pt" color="#000000" joinstyle="round"/>
                  <v:imagedata o:title=""/>
                  <o:lock v:ext="edit" aspectratio="f"/>
                  <v:textbox>
                    <w:txbxContent>
                      <w:p w14:paraId="422A9B96">
                        <w:pPr>
                          <w:autoSpaceDE w:val="0"/>
                          <w:autoSpaceDN w:val="0"/>
                          <w:adjustRightInd w:val="0"/>
                          <w:jc w:val="center"/>
                          <w:rPr>
                            <w:color w:val="000000"/>
                            <w:sz w:val="21"/>
                            <w:szCs w:val="21"/>
                            <w:lang w:val="zh-CN"/>
                          </w:rPr>
                        </w:pPr>
                        <w:r>
                          <w:rPr>
                            <w:rFonts w:hint="eastAsia"/>
                            <w:color w:val="000000"/>
                            <w:sz w:val="21"/>
                            <w:szCs w:val="21"/>
                            <w:lang w:val="zh-CN"/>
                          </w:rPr>
                          <w:t>化药化工（无锡）有限公司</w:t>
                        </w:r>
                      </w:p>
                      <w:p w14:paraId="09DACE73">
                        <w:pPr>
                          <w:autoSpaceDE w:val="0"/>
                          <w:autoSpaceDN w:val="0"/>
                          <w:adjustRightInd w:val="0"/>
                          <w:jc w:val="center"/>
                          <w:rPr>
                            <w:color w:val="000000"/>
                            <w:sz w:val="21"/>
                            <w:szCs w:val="21"/>
                            <w:lang w:val="zh-CN"/>
                          </w:rPr>
                        </w:pPr>
                        <w:r>
                          <w:rPr>
                            <w:color w:val="000000"/>
                            <w:sz w:val="21"/>
                            <w:szCs w:val="21"/>
                            <w:lang w:val="zh-CN"/>
                          </w:rPr>
                          <w:t>应急指挥部</w:t>
                        </w:r>
                      </w:p>
                    </w:txbxContent>
                  </v:textbox>
                </v:shape>
                <v:shape id="文本框 103" o:spid="_x0000_s1026" o:spt="202" type="#_x0000_t202" style="position:absolute;left:2011680;top:0;height:313055;width:180848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5nKCdcAAAAFAQAADwAAAAAAAAAB&#10;ACAAAAAiAAAAZHJzL2Rvd25yZXYueG1sUEsBAhQAFAAAAAgAh07iQJ/Vn6VKAgAAjAQAAA4AAAAA&#10;AAAAAQAgAAAAJgEAAGRycy9lMm9Eb2MueG1sUEsFBgAAAAAGAAYAWQEAAOIFAAAAAA==&#10;">
                  <v:fill on="t" focussize="0,0"/>
                  <v:stroke weight="0.5pt" color="#000000" joinstyle="round"/>
                  <v:imagedata o:title=""/>
                  <o:lock v:ext="edit" aspectratio="f"/>
                  <v:textbox>
                    <w:txbxContent>
                      <w:p w14:paraId="2FDABEC1">
                        <w:pPr>
                          <w:autoSpaceDE w:val="0"/>
                          <w:autoSpaceDN w:val="0"/>
                          <w:adjustRightInd w:val="0"/>
                          <w:jc w:val="center"/>
                          <w:rPr>
                            <w:color w:val="000000"/>
                            <w:sz w:val="21"/>
                            <w:szCs w:val="21"/>
                            <w:lang w:val="zh-CN"/>
                          </w:rPr>
                        </w:pPr>
                        <w:r>
                          <w:rPr>
                            <w:color w:val="000000"/>
                            <w:sz w:val="21"/>
                            <w:szCs w:val="21"/>
                          </w:rPr>
                          <w:t>无锡市</w:t>
                        </w:r>
                        <w:r>
                          <w:rPr>
                            <w:rFonts w:hint="eastAsia"/>
                            <w:color w:val="000000"/>
                            <w:sz w:val="21"/>
                            <w:szCs w:val="21"/>
                          </w:rPr>
                          <w:t>锡山</w:t>
                        </w:r>
                        <w:r>
                          <w:rPr>
                            <w:color w:val="000000"/>
                            <w:sz w:val="21"/>
                            <w:szCs w:val="21"/>
                            <w:lang w:val="zh-CN"/>
                          </w:rPr>
                          <w:t>生态环境局</w:t>
                        </w:r>
                      </w:p>
                    </w:txbxContent>
                  </v:textbox>
                </v:shape>
                <v:shape id="文本框 104" o:spid="_x0000_s1026" o:spt="202" type="#_x0000_t202" style="position:absolute;left:4157345;top:1935480;height:328295;width:1343025;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mcoJ1wAAAAUBAAAPAAAA&#10;AAAAAAEAIAAAACIAAABkcnMvZG93bnJldi54bWxQSwECFAAUAAAACACHTuJAh9+el08CAACTBAAA&#10;DgAAAAAAAAABACAAAAAmAQAAZHJzL2Uyb0RvYy54bWxQSwUGAAAAAAYABgBZAQAA5wUAAAAA&#10;">
                  <v:fill on="t" focussize="0,0"/>
                  <v:stroke weight="0.5pt" color="#000000" joinstyle="round"/>
                  <v:imagedata o:title=""/>
                  <o:lock v:ext="edit" aspectratio="f"/>
                  <v:textbox>
                    <w:txbxContent>
                      <w:p w14:paraId="6D921823">
                        <w:pPr>
                          <w:autoSpaceDE w:val="0"/>
                          <w:autoSpaceDN w:val="0"/>
                          <w:adjustRightInd w:val="0"/>
                          <w:rPr>
                            <w:color w:val="000000"/>
                            <w:sz w:val="21"/>
                            <w:szCs w:val="21"/>
                            <w:lang w:val="zh-CN"/>
                          </w:rPr>
                        </w:pPr>
                        <w:r>
                          <w:rPr>
                            <w:color w:val="000000"/>
                            <w:sz w:val="21"/>
                            <w:szCs w:val="21"/>
                            <w:lang w:val="zh-CN"/>
                          </w:rPr>
                          <w:t>启动预案</w:t>
                        </w:r>
                        <w:r>
                          <w:rPr>
                            <w:color w:val="000000"/>
                            <w:sz w:val="21"/>
                            <w:szCs w:val="21"/>
                          </w:rPr>
                          <w:t>/</w:t>
                        </w:r>
                        <w:r>
                          <w:rPr>
                            <w:color w:val="000000"/>
                            <w:sz w:val="21"/>
                            <w:szCs w:val="21"/>
                            <w:lang w:val="zh-CN"/>
                          </w:rPr>
                          <w:t>终止预案</w:t>
                        </w:r>
                      </w:p>
                    </w:txbxContent>
                  </v:textbox>
                </v:shape>
                <v:shape id="文本框 105" o:spid="_x0000_s1026" o:spt="202" type="#_x0000_t202" style="position:absolute;left:988060;top:1961515;height:327025;width:87122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mcoJ1wAAAAUBAAAPAAAA&#10;AAAAAAEAIAAAACIAAABkcnMvZG93bnJldi54bWxQSwECFAAUAAAACACHTuJAAW9dA08CAACRBAAA&#10;DgAAAAAAAAABACAAAAAmAQAAZHJzL2Uyb0RvYy54bWxQSwUGAAAAAAYABgBZAQAA5wUAAAAA&#10;">
                  <v:fill on="t" focussize="0,0"/>
                  <v:stroke weight="0.5pt" color="#000000" joinstyle="round"/>
                  <v:imagedata o:title=""/>
                  <o:lock v:ext="edit" aspectratio="f"/>
                  <v:textbox>
                    <w:txbxContent>
                      <w:p w14:paraId="3C8F77E3">
                        <w:pPr>
                          <w:autoSpaceDE w:val="0"/>
                          <w:autoSpaceDN w:val="0"/>
                          <w:adjustRightInd w:val="0"/>
                          <w:rPr>
                            <w:color w:val="000000"/>
                            <w:sz w:val="21"/>
                            <w:szCs w:val="21"/>
                            <w:lang w:val="zh-CN"/>
                          </w:rPr>
                        </w:pPr>
                        <w:r>
                          <w:rPr>
                            <w:color w:val="000000"/>
                            <w:sz w:val="21"/>
                            <w:szCs w:val="21"/>
                            <w:lang w:val="zh-CN"/>
                          </w:rPr>
                          <w:t>第一发现人</w:t>
                        </w:r>
                      </w:p>
                    </w:txbxContent>
                  </v:textbox>
                </v:shape>
                <v:shape id="文本框 106" o:spid="_x0000_s1026" o:spt="202" type="#_x0000_t202" style="position:absolute;left:2511425;top:1938655;height:327025;width:73533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uZygnXAAAABQEAAA8A&#10;AAAAAAAAAQAgAAAAIgAAAGRycy9kb3ducmV2LnhtbFBLAQIUABQAAAAIAIdO4kBcFntoUQIAAJEE&#10;AAAOAAAAAAAAAAEAIAAAACYBAABkcnMvZTJvRG9jLnhtbFBLBQYAAAAABgAGAFkBAADpBQAAAAA=&#10;">
                  <v:fill on="t" focussize="0,0"/>
                  <v:stroke weight="0.5pt" color="#000000" joinstyle="round"/>
                  <v:imagedata o:title=""/>
                  <o:lock v:ext="edit" aspectratio="f"/>
                  <v:textbox>
                    <w:txbxContent>
                      <w:p w14:paraId="1465163E">
                        <w:pPr>
                          <w:autoSpaceDE w:val="0"/>
                          <w:autoSpaceDN w:val="0"/>
                          <w:adjustRightInd w:val="0"/>
                          <w:rPr>
                            <w:color w:val="000000"/>
                            <w:sz w:val="21"/>
                            <w:szCs w:val="21"/>
                            <w:lang w:val="zh-CN"/>
                          </w:rPr>
                        </w:pPr>
                        <w:r>
                          <w:rPr>
                            <w:color w:val="000000"/>
                            <w:sz w:val="21"/>
                            <w:szCs w:val="21"/>
                            <w:lang w:val="zh-CN"/>
                          </w:rPr>
                          <w:t>副总指挥</w:t>
                        </w:r>
                      </w:p>
                    </w:txbxContent>
                  </v:textbox>
                </v:shape>
                <v:shape id="文本框 107" o:spid="_x0000_s1026" o:spt="202" type="#_x0000_t202" style="position:absolute;left:2411730;top:2903855;height:327025;width:103886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mcoJ1wAAAAUBAAAPAAAA&#10;AAAAAAEAIAAAACIAAABkcnMvZG93bnJldi54bWxQSwECFAAUAAAACACHTuJALvwoWk8CAACTBAAA&#10;DgAAAAAAAAABACAAAAAmAQAAZHJzL2Uyb0RvYy54bWxQSwUGAAAAAAYABgBZAQAA5wUAAAAA&#10;">
                  <v:fill on="t" focussize="0,0"/>
                  <v:stroke weight="0.5pt" color="#000000" joinstyle="round"/>
                  <v:imagedata o:title=""/>
                  <o:lock v:ext="edit" aspectratio="f"/>
                  <v:textbox>
                    <w:txbxContent>
                      <w:p w14:paraId="1DEA39DE">
                        <w:pPr>
                          <w:autoSpaceDE w:val="0"/>
                          <w:autoSpaceDN w:val="0"/>
                          <w:adjustRightInd w:val="0"/>
                          <w:rPr>
                            <w:color w:val="000000"/>
                            <w:sz w:val="21"/>
                            <w:szCs w:val="21"/>
                            <w:lang w:val="zh-CN"/>
                          </w:rPr>
                        </w:pPr>
                        <w:r>
                          <w:rPr>
                            <w:color w:val="000000"/>
                            <w:sz w:val="21"/>
                            <w:szCs w:val="21"/>
                            <w:lang w:val="zh-CN"/>
                          </w:rPr>
                          <w:t>现场应急处置</w:t>
                        </w:r>
                      </w:p>
                    </w:txbxContent>
                  </v:textbox>
                </v:shape>
                <v:shape id="文本框 108" o:spid="_x0000_s1026" o:spt="202" type="#_x0000_t202" style="position:absolute;left:3996690;top:4132580;height:1063625;width:333375;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mcoJ1wAAAAUBAAAP&#10;AAAAAAAAAAEAIAAAACIAAABkcnMvZG93bnJldi54bWxQSwECFAAUAAAACACHTuJA2XYp0VICAACS&#10;BAAADgAAAAAAAAABACAAAAAmAQAAZHJzL2Uyb0RvYy54bWxQSwUGAAAAAAYABgBZAQAA6gUAAAAA&#10;">
                  <v:fill on="t" focussize="0,0"/>
                  <v:stroke weight="0.5pt" color="#000000" joinstyle="round"/>
                  <v:imagedata o:title=""/>
                  <o:lock v:ext="edit" aspectratio="f"/>
                  <v:textbox>
                    <w:txbxContent>
                      <w:p w14:paraId="39ACA92F">
                        <w:pPr>
                          <w:autoSpaceDE w:val="0"/>
                          <w:autoSpaceDN w:val="0"/>
                          <w:adjustRightInd w:val="0"/>
                          <w:rPr>
                            <w:color w:val="000000"/>
                            <w:sz w:val="21"/>
                            <w:szCs w:val="21"/>
                            <w:lang w:val="zh-CN"/>
                          </w:rPr>
                        </w:pPr>
                        <w:r>
                          <w:rPr>
                            <w:rFonts w:hint="eastAsia"/>
                            <w:color w:val="000000"/>
                            <w:sz w:val="21"/>
                            <w:szCs w:val="21"/>
                          </w:rPr>
                          <w:t>应急监测</w:t>
                        </w:r>
                        <w:r>
                          <w:rPr>
                            <w:color w:val="000000"/>
                            <w:sz w:val="21"/>
                            <w:szCs w:val="21"/>
                            <w:lang w:val="zh-CN"/>
                          </w:rPr>
                          <w:t>组</w:t>
                        </w:r>
                      </w:p>
                    </w:txbxContent>
                  </v:textbox>
                </v:shape>
                <v:shape id="直接箭头连接符 109" o:spid="_x0000_s1026" o:spt="32" type="#_x0000_t32" style="position:absolute;left:2817495;top:335915;flip:y;height:349885;width:0;" filled="f" stroked="t" coordsize="21600,21600" o:gfxdata="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jzGINYAAAAFAQAADwAAAAAAAAABACAAAAAiAAAAZHJzL2Rvd25yZXYu&#10;eG1sUEsBAhQAFAAAAAgAh07iQNw8RqU2AgAAJQQAAA4AAAAAAAAAAQAgAAAAJQEAAGRycy9lMm9E&#10;b2MueG1sUEsFBgAAAAAGAAYAWQEAAM0FAAAAAA==&#10;">
                  <v:fill on="f" focussize="0,0"/>
                  <v:stroke color="#000000" joinstyle="round" dashstyle="longDash" endarrow="block"/>
                  <v:imagedata o:title=""/>
                  <o:lock v:ext="edit" aspectratio="f"/>
                </v:shape>
                <v:shape id="直接箭头连接符 110" o:spid="_x0000_s1026" o:spt="32" type="#_x0000_t32" style="position:absolute;left:2927350;top:1215390;flip:y;height:709295;width:0;" filled="f" stroked="t" coordsize="21600,21600" o:gfxdata="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jzGINYAAAAFAQAADwAAAAAAAAABACAAAAAiAAAAZHJzL2Rvd25yZXYueG1s&#10;UEsBAhQAFAAAAAgAh07iQE6mD5IzAgAAJgQAAA4AAAAAAAAAAQAgAAAAJQEAAGRycy9lMm9Eb2Mu&#10;eG1sUEsFBgAAAAAGAAYAWQEAAMoFAAAAAA==&#10;">
                  <v:fill on="f" focussize="0,0"/>
                  <v:stroke color="#000000" joinstyle="round" dashstyle="longDash" endarrow="block"/>
                  <v:imagedata o:title=""/>
                  <o:lock v:ext="edit" aspectratio="f"/>
                </v:shape>
                <v:shape id="直接箭头连接符 111" o:spid="_x0000_s1026" o:spt="32" type="#_x0000_t32" style="position:absolute;left:1889760;top:2116455;height:635;width:612140;" filled="f" stroked="t" coordsize="21600,21600" o:gfxdata="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QfOR1gAAAAUBAAAPAAAAAAAAAAEAIAAAACIAAABkcnMvZG93bnJldi54bWxQ&#10;SwECFAAUAAAACACHTuJAH9dy9zICAAAeBAAADgAAAAAAAAABACAAAAAlAQAAZHJzL2Uyb0RvYy54&#10;bWxQSwUGAAAAAAYABgBZAQAAyQUAAAAA&#10;">
                  <v:fill on="f" focussize="0,0"/>
                  <v:stroke color="#000000" joinstyle="round" dashstyle="longDash" endarrow="block"/>
                  <v:imagedata o:title=""/>
                  <o:lock v:ext="edit" aspectratio="f"/>
                </v:shape>
                <v:line id="直接连接符 112" o:spid="_x0000_s1026" o:spt="20" style="position:absolute;left:1729740;top:3791585;height:2540;width:2447290;" filled="f" stroked="t" coordsize="21600,21600" o:gfxdata="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7KdNUAAAAFAQAADwAAAAAAAAABACAAAAAiAAAAZHJzL2Rvd25yZXYueG1s&#10;UEsBAhQAFAAAAAgAh07iQLiUY1D7AQAAwwMAAA4AAAAAAAAAAQAgAAAAJAEAAGRycy9lMm9Eb2Mu&#10;eG1sUEsFBgAAAAAGAAYAWQEAAJEFAAAAAA==&#10;">
                  <v:fill on="f" focussize="0,0"/>
                  <v:stroke color="#000000" joinstyle="round"/>
                  <v:imagedata o:title=""/>
                  <o:lock v:ext="edit" aspectratio="f"/>
                </v:line>
                <v:shape id="文本框 113" o:spid="_x0000_s1026" o:spt="202" type="#_x0000_t202" style="position:absolute;left:1569720;top:4140835;height:1054100;width:333375;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mcoJ1wAAAAUBAAAPAAAA&#10;AAAAAAEAIAAAACIAAABkcnMvZG93bnJldi54bWxQSwECFAAUAAAACACHTuJAMH0c/08CAACSBAAA&#10;DgAAAAAAAAABACAAAAAmAQAAZHJzL2Uyb0RvYy54bWxQSwUGAAAAAAYABgBZAQAA5wUAAAAA&#10;">
                  <v:fill on="t" focussize="0,0"/>
                  <v:stroke weight="0.5pt" color="#000000" joinstyle="round"/>
                  <v:imagedata o:title=""/>
                  <o:lock v:ext="edit" aspectratio="f"/>
                  <v:textbox>
                    <w:txbxContent>
                      <w:p w14:paraId="37695DF2">
                        <w:pPr>
                          <w:autoSpaceDE w:val="0"/>
                          <w:autoSpaceDN w:val="0"/>
                          <w:adjustRightInd w:val="0"/>
                          <w:rPr>
                            <w:color w:val="000000"/>
                            <w:sz w:val="21"/>
                            <w:szCs w:val="21"/>
                            <w:lang w:val="zh-CN"/>
                          </w:rPr>
                        </w:pPr>
                        <w:r>
                          <w:rPr>
                            <w:rFonts w:hint="eastAsia"/>
                            <w:color w:val="000000"/>
                            <w:sz w:val="21"/>
                            <w:szCs w:val="21"/>
                          </w:rPr>
                          <w:t>抢险灭火</w:t>
                        </w:r>
                        <w:r>
                          <w:rPr>
                            <w:color w:val="000000"/>
                            <w:sz w:val="21"/>
                            <w:szCs w:val="21"/>
                            <w:lang w:val="zh-CN"/>
                          </w:rPr>
                          <w:t>组</w:t>
                        </w:r>
                      </w:p>
                    </w:txbxContent>
                  </v:textbox>
                </v:shape>
                <v:shape id="直接箭头连接符 114" o:spid="_x0000_s1026" o:spt="32" type="#_x0000_t32" style="position:absolute;left:1738630;top:3787775;height:348615;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eYTbtcAAAAFAQAADwAAAAAAAAABACAAAAAiAAAAZHJzL2Rvd25yZXYueG1sUEsBAhQAFAAAAAgA&#10;h07iQJwGUs0mAgAAAgQAAA4AAAAAAAAAAQAgAAAAJgEAAGRycy9lMm9Eb2MueG1sUEsFBgAAAAAG&#10;AAYAWQEAAL4FAAAAAA==&#10;">
                  <v:fill on="f" focussize="0,0"/>
                  <v:stroke color="#000000" joinstyle="round" endarrow="block"/>
                  <v:imagedata o:title=""/>
                  <o:lock v:ext="edit" aspectratio="f"/>
                </v:shape>
                <v:shape id="直接箭头连接符 116" o:spid="_x0000_s1026" o:spt="32" type="#_x0000_t32" style="position:absolute;left:4176395;top:3789045;height:346710;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5hNu1wAAAAUBAAAPAAAAAAAAAAEAIAAAACIAAABkcnMvZG93bnJldi54bWxQSwECFAAUAAAA&#10;CACHTuJAgqi9IigCAAACBAAADgAAAAAAAAABACAAAAAmAQAAZHJzL2Uyb0RvYy54bWxQSwUGAAAA&#10;AAYABgBZAQAAwAUAAAAA&#10;">
                  <v:fill on="f" focussize="0,0"/>
                  <v:stroke color="#000000" joinstyle="round" endarrow="block"/>
                  <v:imagedata o:title=""/>
                  <o:lock v:ext="edit" aspectratio="f"/>
                </v:shape>
                <v:shape id="直接箭头连接符 117" o:spid="_x0000_s1026" o:spt="32" type="#_x0000_t32" style="position:absolute;left:2927985;top:3230880;height:566420;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mE27XAAAABQEAAA8AAAAAAAAAAQAgAAAAIgAAAGRycy9kb3ducmV2LnhtbFBLAQIUABQAAAAI&#10;AIdO4kAWfwNkJwIAAAIEAAAOAAAAAAAAAAEAIAAAACYBAABkcnMvZTJvRG9jLnhtbFBLBQYAAAAA&#10;BgAGAFkBAAC/BQAAAAA=&#10;">
                  <v:fill on="f" focussize="0,0"/>
                  <v:stroke color="#000000" joinstyle="round" endarrow="block"/>
                  <v:imagedata o:title=""/>
                  <o:lock v:ext="edit" aspectratio="f"/>
                </v:shape>
                <v:shape id="文本框 118" o:spid="_x0000_s1026" o:spt="202" type="#_x0000_t202" style="position:absolute;left:0;top:1579880;height:448945;width:768350;v-text-anchor:middle-center;" filled="f" stroked="t" coordsize="21600,21600" o:gfxdata="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v4x6dYAAAAFAQAADwAAAAAAAAABACAAAAAi&#10;AAAAZHJzL2Rvd25yZXYueG1sUEsBAhQAFAAAAAgAh07iQDjQ45NFAgAAYwQAAA4AAAAAAAAAAQAg&#10;AAAAJQEAAGRycy9lMm9Eb2MueG1sUEsFBgAAAAAGAAYAWQEAANwFAAAAAA==&#10;">
                  <v:fill on="f" focussize="0,0"/>
                  <v:stroke weight="0.5pt" color="#000000" joinstyle="round"/>
                  <v:imagedata o:title=""/>
                  <o:lock v:ext="edit" aspectratio="f"/>
                  <v:textbox>
                    <w:txbxContent>
                      <w:p w14:paraId="28EF1826">
                        <w:pPr>
                          <w:autoSpaceDE w:val="0"/>
                          <w:autoSpaceDN w:val="0"/>
                          <w:adjustRightInd w:val="0"/>
                          <w:jc w:val="center"/>
                          <w:rPr>
                            <w:color w:val="000000"/>
                            <w:sz w:val="21"/>
                            <w:szCs w:val="21"/>
                            <w:lang w:val="zh-CN"/>
                          </w:rPr>
                        </w:pPr>
                        <w:r>
                          <w:rPr>
                            <w:rFonts w:hint="eastAsia"/>
                            <w:color w:val="000000"/>
                            <w:sz w:val="21"/>
                            <w:szCs w:val="21"/>
                            <w:lang w:val="zh-CN"/>
                          </w:rPr>
                          <w:t>应急救援</w:t>
                        </w:r>
                        <w:r>
                          <w:rPr>
                            <w:color w:val="000000"/>
                            <w:sz w:val="21"/>
                            <w:szCs w:val="21"/>
                            <w:lang w:val="zh-CN"/>
                          </w:rPr>
                          <w:t>协调员</w:t>
                        </w:r>
                      </w:p>
                    </w:txbxContent>
                  </v:textbox>
                </v:shape>
                <v:line id="直接连接符 119" o:spid="_x0000_s1026" o:spt="20" style="position:absolute;left:281305;top:884555;height:1270;width:1710055;" filled="f" stroked="t" coordsize="21600,21600" o:gfxdata="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ynTVAAAABQEAAA8AAAAAAAAAAQAgAAAAIgAAAGRycy9kb3ducmV2Lnht&#10;bFBLAQIUABQAAAAIAIdO4kDYmcZv/AEAAMIDAAAOAAAAAAAAAAEAIAAAACQBAABkcnMvZTJvRG9j&#10;LnhtbFBLBQYAAAAABgAGAFkBAACSBQAAAAA=&#10;">
                  <v:fill on="f" focussize="0,0"/>
                  <v:stroke color="#000000" joinstyle="round"/>
                  <v:imagedata o:title=""/>
                  <o:lock v:ext="edit" aspectratio="f"/>
                </v:line>
                <v:shape id="直接箭头连接符 120" o:spid="_x0000_s1026" o:spt="32" type="#_x0000_t32" style="position:absolute;left:281305;top:884555;flip:x;height:683895;width:8255;" filled="f" stroked="t" coordsize="21600,21600" o:gfxdata="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1ejsQ1gAAAAUBAAAPAAAAAAAAAAEAIAAAACIAAABkcnMvZG93bnJldi54bWxQSwECFAAU&#10;AAAACACHTuJAp7DjOSwCAAANBAAADgAAAAAAAAABACAAAAAlAQAAZHJzL2Uyb0RvYy54bWxQSwUG&#10;AAAAAAYABgBZAQAAwwUAAAAA&#10;">
                  <v:fill on="f" focussize="0,0"/>
                  <v:stroke color="#000000" joinstyle="round" endarrow="block"/>
                  <v:imagedata o:title=""/>
                  <o:lock v:ext="edit" aspectratio="f"/>
                </v:shape>
                <v:shape id="直接箭头连接符 121" o:spid="_x0000_s1026" o:spt="32" type="#_x0000_t32" style="position:absolute;left:274955;top:4463415;height:0;width:851535;"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eYTbtcAAAAFAQAADwAAAAAAAAABACAAAAAiAAAAZHJzL2Rvd25yZXYueG1sUEsBAhQAFAAAAAgA&#10;h07iQA97j4AmAgAAAQQAAA4AAAAAAAAAAQAgAAAAJgEAAGRycy9lMm9Eb2MueG1sUEsFBgAAAAAG&#10;AAYAWQEAAL4FAAAAAA==&#10;">
                  <v:fill on="f" focussize="0,0"/>
                  <v:stroke color="#000000" joinstyle="round" endarrow="block"/>
                  <v:imagedata o:title=""/>
                  <o:lock v:ext="edit" aspectratio="f"/>
                </v:shape>
                <v:line id="直接连接符 122" o:spid="_x0000_s1026" o:spt="20" style="position:absolute;left:274955;top:2028825;flip:x y;height:2425065;width:6350;" filled="f" stroked="t" coordsize="21600,21600" o:gfxdata="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Z1YF0gAAAAUBAAAPAAAAAAAAAAEAIAAAACIAAABkcnMvZG93bnJl&#10;di54bWxQSwECFAAUAAAACACHTuJAjedAzAMCAADWAwAADgAAAAAAAAABACAAAAAhAQAAZHJzL2Uy&#10;b0RvYy54bWxQSwUGAAAAAAYABgBZAQAAlgUAAAAA&#10;">
                  <v:fill on="f" focussize="0,0"/>
                  <v:stroke color="#000000" joinstyle="round"/>
                  <v:imagedata o:title=""/>
                  <o:lock v:ext="edit" aspectratio="f"/>
                </v:line>
                <v:line id="直接连接符 123" o:spid="_x0000_s1026" o:spt="20" style="position:absolute;left:3996690;top:862330;height:1905;width:830580;" filled="f" stroked="t" coordsize="21600,21600" o:gfxdata="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7KdNUAAAAFAQAADwAAAAAAAAABACAAAAAiAAAAZHJzL2Rvd25yZXYueG1s&#10;UEsBAhQAFAAAAAgAh07iQFS+nQT7AQAAwQMAAA4AAAAAAAAAAQAgAAAAJAEAAGRycy9lMm9Eb2Mu&#10;eG1sUEsFBgAAAAAGAAYAWQEAAJEFAAAAAA==&#10;">
                  <v:fill on="f" focussize="0,0"/>
                  <v:stroke color="#000000" joinstyle="round"/>
                  <v:imagedata o:title=""/>
                  <o:lock v:ext="edit" aspectratio="f"/>
                </v:line>
                <v:shape id="直接箭头连接符 124" o:spid="_x0000_s1026" o:spt="32" type="#_x0000_t32" style="position:absolute;left:4808220;top:864235;flip:x;height:1076325;width:19050;" filled="f" stroked="t" coordsize="21600,21600" o:gfxdata="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Xo7ENYAAAAFAQAADwAAAAAAAAABACAAAAAiAAAAZHJzL2Rvd25yZXYueG1sUEsBAhQA&#10;FAAAAAgAh07iQLStQwwtAgAAEAQAAA4AAAAAAAAAAQAgAAAAJQEAAGRycy9lMm9Eb2MueG1sUEsF&#10;BgAAAAAGAAYAWQEAAMQFAAAAAA==&#10;">
                  <v:fill on="f" focussize="0,0"/>
                  <v:stroke color="#000000" joinstyle="round" endarrow="block"/>
                  <v:imagedata o:title=""/>
                  <o:lock v:ext="edit" aspectratio="f"/>
                </v:shape>
                <v:shape id="直接箭头连接符 125" o:spid="_x0000_s1026" o:spt="32" type="#_x0000_t32" style="position:absolute;left:3249295;top:2079625;height:0;width:87122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m&#10;E27XAAAABQEAAA8AAAAAAAAAAQAgAAAAIgAAAGRycy9kb3ducmV2LnhtbFBLAQIUABQAAAAIAIdO&#10;4kBrcnwQJAIAAAEEAAAOAAAAAAAAAAEAIAAAACYBAABkcnMvZTJvRG9jLnhtbFBLBQYAAAAABgAG&#10;AFkBAAC8BQAAAAA=&#10;">
                  <v:fill on="f" focussize="0,0"/>
                  <v:stroke color="#000000" joinstyle="round" endarrow="block"/>
                  <v:imagedata o:title=""/>
                  <o:lock v:ext="edit" aspectratio="f"/>
                </v:shape>
                <v:shape id="文本框 126" o:spid="_x0000_s1026" o:spt="202" type="#_x0000_t202" style="position:absolute;left:3322320;top:1856740;height:294640;width:804545;" filled="f" stroked="f" coordsize="21600,21600" o:gfxdata="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ljcnUAAAABQEAAA8AAAAAAAAAAQAgAAAAIgAAAGRycy9kb3ducmV2LnhtbFBLAQIUABQAAAAI&#10;AIdO4kCkX67AKgIAACsEAAAOAAAAAAAAAAEAIAAAACMBAABkcnMvZTJvRG9jLnhtbFBLBQYAAAAA&#10;BgAGAFkBAAC/BQAAAAA=&#10;">
                  <v:fill on="f" focussize="0,0"/>
                  <v:stroke on="f"/>
                  <v:imagedata o:title=""/>
                  <o:lock v:ext="edit" aspectratio="f"/>
                  <v:textbox>
                    <w:txbxContent>
                      <w:p w14:paraId="4BEAF8F9">
                        <w:pPr>
                          <w:autoSpaceDE w:val="0"/>
                          <w:autoSpaceDN w:val="0"/>
                          <w:adjustRightInd w:val="0"/>
                          <w:rPr>
                            <w:color w:val="000000"/>
                            <w:sz w:val="21"/>
                            <w:szCs w:val="21"/>
                            <w:lang w:val="zh-CN"/>
                          </w:rPr>
                        </w:pPr>
                        <w:r>
                          <w:rPr>
                            <w:color w:val="000000"/>
                            <w:sz w:val="21"/>
                            <w:szCs w:val="21"/>
                            <w:lang w:val="zh-CN"/>
                          </w:rPr>
                          <w:t>二、三级</w:t>
                        </w:r>
                      </w:p>
                    </w:txbxContent>
                  </v:textbox>
                </v:shape>
                <v:shape id="文本框 127" o:spid="_x0000_s1026" o:spt="202" type="#_x0000_t202" style="position:absolute;left:4134485;top:602615;height:295275;width:602615;" filled="f" stroked="f" coordsize="21600,21600" o:gfxdata="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JY3J1AAAAAUBAAAPAAAAAAAAAAEAIAAAACIAAABkcnMvZG93bnJldi54bWxQSwECFAAUAAAACACH&#10;TuJAcnBnfygCAAAqBAAADgAAAAAAAAABACAAAAAjAQAAZHJzL2Uyb0RvYy54bWxQSwUGAAAAAAYA&#10;BgBZAQAAvQUAAAAA&#10;">
                  <v:fill on="f" focussize="0,0"/>
                  <v:stroke on="f"/>
                  <v:imagedata o:title=""/>
                  <o:lock v:ext="edit" aspectratio="f"/>
                  <v:textbox>
                    <w:txbxContent>
                      <w:p w14:paraId="2E25800C">
                        <w:pPr>
                          <w:autoSpaceDE w:val="0"/>
                          <w:autoSpaceDN w:val="0"/>
                          <w:adjustRightInd w:val="0"/>
                          <w:rPr>
                            <w:color w:val="000000"/>
                            <w:sz w:val="21"/>
                            <w:szCs w:val="21"/>
                            <w:lang w:val="zh-CN"/>
                          </w:rPr>
                        </w:pPr>
                        <w:r>
                          <w:rPr>
                            <w:color w:val="000000"/>
                            <w:sz w:val="21"/>
                            <w:szCs w:val="21"/>
                            <w:lang w:val="zh-CN"/>
                          </w:rPr>
                          <w:t>一级</w:t>
                        </w:r>
                      </w:p>
                    </w:txbxContent>
                  </v:textbox>
                </v:shape>
                <v:rect id="矩形 128" o:spid="_x0000_s1026" o:spt="1" style="position:absolute;left:1126490;top:3552825;height:1669415;width:3636010;v-text-anchor:middle;" filled="f" stroked="t" coordsize="21600,21600" o:gfxdata="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79Zn1AAAAAUBAAAPAAAAAAAAAAEA&#10;IAAAACIAAABkcnMvZG93bnJldi54bWxQSwECFAAUAAAACACHTuJAjdMSmEwCAABsBAAADgAAAAAA&#10;AAABACAAAAAjAQAAZHJzL2Uyb0RvYy54bWxQSwUGAAAAAAYABgBZAQAA4QUAAAAA&#10;">
                  <v:fill on="f" focussize="0,0"/>
                  <v:stroke weight="1pt" color="#000000" joinstyle="round" dashstyle="dash"/>
                  <v:imagedata o:title=""/>
                  <o:lock v:ext="edit" aspectratio="f"/>
                </v:rect>
                <v:line id="直接连接符 129" o:spid="_x0000_s1026" o:spt="20" style="position:absolute;left:542290;top:4274820;height:0;width:619125;" filled="f" stroked="t" coordsize="21600,21600" o:gfxdata="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k0S0gAAAAUBAAAPAAAAAAAAAAEAIAAAACIAAABkcnMvZG93&#10;bnJldi54bWxQSwECFAAUAAAACACHTuJA5V2yvQYCAADYAwAADgAAAAAAAAABACAAAAAhAQAAZHJz&#10;L2Uyb0RvYy54bWxQSwUGAAAAAAYABgBZAQAAmQUAAAAA&#10;">
                  <v:fill on="f" focussize="0,0"/>
                  <v:stroke weight="1pt" color="#000000" joinstyle="round" dashstyle="dash"/>
                  <v:imagedata o:title=""/>
                  <o:lock v:ext="edit" aspectratio="f"/>
                </v:line>
                <v:line id="直接连接符 130" o:spid="_x0000_s1026" o:spt="20" style="position:absolute;left:513715;top:999490;height:549910;width:0;" filled="f" stroked="t" coordsize="21600,21600" o:gfxdata="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vCTRLSAAAABQEAAA8AAAAAAAAAAQAgAAAAIgAAAGRycy9kb3du&#10;cmV2LnhtbFBLAQIUABQAAAAIAIdO4kDOm8IhBQIAANcDAAAOAAAAAAAAAAEAIAAAACEBAABkcnMv&#10;ZTJvRG9jLnhtbFBLBQYAAAAABgAGAFkBAACYBQAAAAA=&#10;">
                  <v:fill on="f" focussize="0,0"/>
                  <v:stroke weight="1pt" color="#000000" joinstyle="round" dashstyle="dash"/>
                  <v:imagedata o:title=""/>
                  <o:lock v:ext="edit" aspectratio="f"/>
                </v:line>
                <v:shape id="直接箭头连接符 131" o:spid="_x0000_s1026" o:spt="32" type="#_x0000_t32" style="position:absolute;left:2987675;top:351155;height:347345;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m&#10;E27XAAAABQEAAA8AAAAAAAAAAQAgAAAAIgAAAGRycy9kb3ducmV2LnhtbFBLAQIUABQAAAAIAIdO&#10;4kAeifHxJAIAAAAEAAAOAAAAAAAAAAEAIAAAACYBAABkcnMvZTJvRG9jLnhtbFBLBQYAAAAABgAG&#10;AFkBAAC8BQAAAAA=&#10;">
                  <v:fill on="f" focussize="0,0"/>
                  <v:stroke color="#000000" joinstyle="round" endarrow="block"/>
                  <v:imagedata o:title=""/>
                  <o:lock v:ext="edit" aspectratio="f"/>
                </v:shape>
                <v:shape id="文本框 132" o:spid="_x0000_s1026" o:spt="202" type="#_x0000_t202" style="position:absolute;left:3234690;top:354330;height:295275;width:603885;" filled="f" stroked="f" coordsize="21600,21600" o:gfxdata="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JY3J1AAAAAUBAAAPAAAAAAAAAAEAIAAAACIAAABkcnMvZG93bnJldi54bWxQSwECFAAUAAAA&#10;CACHTuJAuyFaySsCAAAqBAAADgAAAAAAAAABACAAAAAjAQAAZHJzL2Uyb0RvYy54bWxQSwUGAAAA&#10;AAYABgBZAQAAwAUAAAAA&#10;">
                  <v:fill on="f" focussize="0,0"/>
                  <v:stroke on="f"/>
                  <v:imagedata o:title=""/>
                  <o:lock v:ext="edit" aspectratio="f"/>
                  <v:textbox>
                    <w:txbxContent>
                      <w:p w14:paraId="64C78F7C">
                        <w:pPr>
                          <w:autoSpaceDE w:val="0"/>
                          <w:autoSpaceDN w:val="0"/>
                          <w:adjustRightInd w:val="0"/>
                          <w:rPr>
                            <w:color w:val="000000"/>
                            <w:sz w:val="21"/>
                            <w:szCs w:val="21"/>
                            <w:lang w:val="zh-CN"/>
                          </w:rPr>
                        </w:pPr>
                        <w:r>
                          <w:rPr>
                            <w:color w:val="000000"/>
                            <w:sz w:val="21"/>
                            <w:szCs w:val="21"/>
                            <w:lang w:val="zh-CN"/>
                          </w:rPr>
                          <w:t>一级</w:t>
                        </w:r>
                      </w:p>
                    </w:txbxContent>
                  </v:textbox>
                </v:shape>
                <v:line id="直接连接符 133" o:spid="_x0000_s1026" o:spt="20" style="position:absolute;left:4798060;top:2295525;height:749300;width:0;" filled="f" stroked="t" coordsize="21600,21600" o:gfxdata="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sp01QAAAAUBAAAPAAAAAAAAAAEAIAAAACIAAABkcnMvZG93bnJldi54bWxQ&#10;SwECFAAUAAAACACHTuJAuPFRX/oBAADAAwAADgAAAAAAAAABACAAAAAkAQAAZHJzL2Uyb0RvYy54&#10;bWxQSwUGAAAAAAYABgBZAQAAkAUAAAAA&#10;">
                  <v:fill on="f" focussize="0,0"/>
                  <v:stroke color="#000000" joinstyle="round"/>
                  <v:imagedata o:title=""/>
                  <o:lock v:ext="edit" aspectratio="f"/>
                </v:line>
                <v:shape id="文本框 134" o:spid="_x0000_s1026" o:spt="202" type="#_x0000_t202" style="position:absolute;left:1016000;top:5559425;height:254635;width:1031875;" fillcolor="#FFFFFF" filled="t" stroked="f" coordsize="21600,21600" o:gfxdata="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NdlkPUAAAABQEAAA8AAAAAAAAAAQAgAAAAIgAAAGRycy9k&#10;b3ducmV2LnhtbFBLAQIUABQAAAAIAIdO4kAU426HPwIAAFQEAAAOAAAAAAAAAAEAIAAAACMBAABk&#10;cnMvZTJvRG9jLnhtbFBLBQYAAAAABgAGAFkBAADUBQAAAAA=&#10;">
                  <v:fill on="t" focussize="0,0"/>
                  <v:stroke on="f"/>
                  <v:imagedata o:title=""/>
                  <o:lock v:ext="edit" aspectratio="f"/>
                  <v:textbox>
                    <w:txbxContent>
                      <w:p w14:paraId="0752AA9C">
                        <w:pPr>
                          <w:autoSpaceDE w:val="0"/>
                          <w:autoSpaceDN w:val="0"/>
                          <w:adjustRightInd w:val="0"/>
                          <w:rPr>
                            <w:color w:val="000000"/>
                            <w:sz w:val="21"/>
                            <w:szCs w:val="21"/>
                            <w:lang w:val="zh-CN"/>
                          </w:rPr>
                        </w:pPr>
                        <w:r>
                          <w:rPr>
                            <w:color w:val="000000"/>
                            <w:sz w:val="21"/>
                            <w:szCs w:val="21"/>
                            <w:lang w:val="zh-CN"/>
                          </w:rPr>
                          <w:t>指令下达程序</w:t>
                        </w:r>
                      </w:p>
                    </w:txbxContent>
                  </v:textbox>
                </v:shape>
                <v:shape id="直接箭头连接符 135" o:spid="_x0000_s1026" o:spt="32" type="#_x0000_t32" style="position:absolute;left:3465195;top:3041015;flip:x;height:6985;width:1316990;" filled="f" stroked="t" coordsize="21600,21600" o:gfxdata="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Xo7ENYAAAAFAQAADwAAAAAAAAABACAAAAAiAAAAZHJzL2Rvd25yZXYueG1sUEsB&#10;AhQAFAAAAAgAh07iQKeYc6IwAgAAEAQAAA4AAAAAAAAAAQAgAAAAJQEAAGRycy9lMm9Eb2MueG1s&#10;UEsFBgAAAAAGAAYAWQEAAMcFAAAAAA==&#10;">
                  <v:fill on="f" focussize="0,0"/>
                  <v:stroke color="#000000" joinstyle="round" endarrow="block"/>
                  <v:imagedata o:title=""/>
                  <o:lock v:ext="edit" aspectratio="f"/>
                </v:shape>
                <v:shape id="直接箭头连接符 136" o:spid="_x0000_s1026" o:spt="32" type="#_x0000_t32" style="position:absolute;left:2927350;top:2243455;flip:y;height:636905;width:0;" filled="f" stroked="t" coordsize="21600,21600" o:gfxdata="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PMYg1gAAAAUBAAAPAAAAAAAAAAEAIAAAACIAAABkcnMvZG93bnJldi54&#10;bWxQSwECFAAUAAAACACHTuJAGi46pjUCAAAmBAAADgAAAAAAAAABACAAAAAlAQAAZHJzL2Uyb0Rv&#10;Yy54bWxQSwUGAAAAAAYABgBZAQAAzAUAAAAA&#10;">
                  <v:fill on="f" focussize="0,0"/>
                  <v:stroke color="#000000" joinstyle="round" dashstyle="longDash" endarrow="block"/>
                  <v:imagedata o:title=""/>
                  <o:lock v:ext="edit" aspectratio="f"/>
                </v:shape>
                <v:shape id="文本框 137" o:spid="_x0000_s1026" o:spt="202" type="#_x0000_t202" style="position:absolute;left:1016000;top:5216525;height:254635;width:1031875;" fillcolor="#FFFFFF" filled="t" stroked="f" coordsize="21600,21600" o:gfxdata="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XZZD1AAAAAUBAAAPAAAAAAAAAAEAIAAAACIAAABkcnMv&#10;ZG93bnJldi54bWxQSwECFAAUAAAACACHTuJATZDYfUACAABVBAAADgAAAAAAAAABACAAAAAjAQAA&#10;ZHJzL2Uyb0RvYy54bWxQSwUGAAAAAAYABgBZAQAA1QUAAAAA&#10;">
                  <v:fill on="t" focussize="0,0"/>
                  <v:stroke on="f"/>
                  <v:imagedata o:title=""/>
                  <o:lock v:ext="edit" aspectratio="f"/>
                  <v:textbox>
                    <w:txbxContent>
                      <w:p w14:paraId="2D4CC916">
                        <w:pPr>
                          <w:autoSpaceDE w:val="0"/>
                          <w:autoSpaceDN w:val="0"/>
                          <w:adjustRightInd w:val="0"/>
                          <w:rPr>
                            <w:color w:val="000000"/>
                            <w:sz w:val="21"/>
                            <w:szCs w:val="21"/>
                            <w:lang w:val="zh-CN"/>
                          </w:rPr>
                        </w:pPr>
                        <w:r>
                          <w:rPr>
                            <w:color w:val="000000"/>
                            <w:sz w:val="21"/>
                            <w:szCs w:val="21"/>
                            <w:lang w:val="zh-CN"/>
                          </w:rPr>
                          <w:t>信息报告程序</w:t>
                        </w:r>
                      </w:p>
                    </w:txbxContent>
                  </v:textbox>
                </v:shape>
                <v:line id="直接连接符 138" o:spid="_x0000_s1026" o:spt="20" style="position:absolute;left:513715;top:999490;height:0;width:1439545;" filled="f" stroked="t" coordsize="21600,21600" o:gfxdata="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J1bMNgA&#10;AAAFAQAADwAAAAAAAAABACAAAAAiAAAAZHJzL2Rvd25yZXYueG1sUEsBAhQAFAAAAAgAh07iQIo7&#10;fx8fAgAABAQAAA4AAAAAAAAAAQAgAAAAJwEAAGRycy9lMm9Eb2MueG1sUEsFBgAAAAAGAAYAWQEA&#10;ALgFAAAAAA==&#10;">
                  <v:fill on="f" focussize="0,0"/>
                  <v:stroke color="#000000" joinstyle="round" dashstyle="dash" endarrow="block"/>
                  <v:imagedata o:title=""/>
                  <o:lock v:ext="edit" aspectratio="f"/>
                </v:line>
                <v:line id="直接连接符 139" o:spid="_x0000_s1026" o:spt="20" style="position:absolute;left:513715;top:2028825;flip:y;height:2244090;width:635;" filled="f" stroked="t" coordsize="21600,21600" o:gfxdata="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jBd&#10;wtQAAAAFAQAADwAAAAAAAAABACAAAAAiAAAAZHJzL2Rvd25yZXYueG1sUEsBAhQAFAAAAAgAh07i&#10;QI70QL8mAgAAEgQAAA4AAAAAAAAAAQAgAAAAIwEAAGRycy9lMm9Eb2MueG1sUEsFBgAAAAAGAAYA&#10;WQEAALsFAAAAAA==&#10;">
                  <v:fill on="f" focussize="0,0"/>
                  <v:stroke color="#000000" joinstyle="round" dashstyle="dash" endarrow="block"/>
                  <v:imagedata o:title=""/>
                  <o:lock v:ext="edit" aspectratio="f"/>
                </v:line>
                <v:line id="直接连接符 140" o:spid="_x0000_s1026" o:spt="20" style="position:absolute;left:1953260;top:5361305;height:635;width:647065;" filled="f" stroked="t" coordsize="21600,21600" o:gfxdata="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J1b&#10;MNgAAAAFAQAADwAAAAAAAAABACAAAAAiAAAAZHJzL2Rvd25yZXYueG1sUEsBAhQAFAAAAAgAh07i&#10;QIyC8cQiAgAACAQAAA4AAAAAAAAAAQAgAAAAJwEAAGRycy9lMm9Eb2MueG1sUEsFBgAAAAAGAAYA&#10;WQEAALsFAAAAAA==&#10;">
                  <v:fill on="f" focussize="0,0"/>
                  <v:stroke color="#000000" joinstyle="round" dashstyle="dash" endarrow="block"/>
                  <v:imagedata o:title=""/>
                  <o:lock v:ext="edit" aspectratio="f"/>
                </v:line>
                <v:line id="直接连接符 141" o:spid="_x0000_s1026" o:spt="20" style="position:absolute;left:1953260;top:5704205;height:635;width:647065;" filled="f" stroked="t" coordsize="21600,21600" o:gfxdata="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KaRTYAAAABQEAAA8A&#10;AAAAAAAAAQAgAAAAIgAAAGRycy9kb3ducmV2LnhtbFBLAQIUABQAAAAIAIdO4kDUKH+bFwIAAPAD&#10;AAAOAAAAAAAAAAEAIAAAACcBAABkcnMvZTJvRG9jLnhtbFBLBQYAAAAABgAGAFkBAACwBQAAAAA=&#10;">
                  <v:fill on="f" focussize="0,0"/>
                  <v:stroke color="#000000" joinstyle="round" endarrow="block"/>
                  <v:imagedata o:title=""/>
                  <o:lock v:ext="edit" aspectratio="f"/>
                </v:line>
                <v:shape id="文本框 142" o:spid="_x0000_s1026" o:spt="202" type="#_x0000_t202" style="position:absolute;left:1738630;top:5908040;height:352425;width:2600960;" fillcolor="#FFFFFF" filled="t" stroked="f" coordsize="21600,21600" o:gfxdata="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XZZD1AAAAAUBAAAPAAAAAAAAAAEAIAAAACIAAABkcnMv&#10;ZG93bnJldi54bWxQSwECFAAUAAAACACHTuJAVyneTEACAABUBAAADgAAAAAAAAABACAAAAAjAQAA&#10;ZHJzL2Uyb0RvYy54bWxQSwUGAAAAAAYABgBZAQAA1QUAAAAA&#10;">
                  <v:fill on="t" focussize="0,0"/>
                  <v:stroke on="f"/>
                  <v:imagedata o:title=""/>
                  <o:lock v:ext="edit" aspectratio="f"/>
                  <v:textbox>
                    <w:txbxContent>
                      <w:p w14:paraId="2AB7D179">
                        <w:pPr>
                          <w:rPr>
                            <w:rFonts w:ascii="Times New Roman" w:hAnsi="Times New Roman" w:cs="Times New Roman"/>
                          </w:rPr>
                        </w:pPr>
                        <w:r>
                          <w:rPr>
                            <w:rFonts w:ascii="Times New Roman" w:hAnsi="Times New Roman" w:cs="Times New Roman"/>
                            <w:b/>
                            <w:bCs/>
                          </w:rPr>
                          <w:t>图</w:t>
                        </w:r>
                        <w:r>
                          <w:rPr>
                            <w:rFonts w:hint="eastAsia" w:ascii="Times New Roman" w:hAnsi="Times New Roman" w:cs="Times New Roman"/>
                            <w:b/>
                            <w:bCs/>
                          </w:rPr>
                          <w:t>7</w:t>
                        </w:r>
                        <w:r>
                          <w:rPr>
                            <w:rFonts w:ascii="Times New Roman" w:hAnsi="Times New Roman" w:cs="Times New Roman"/>
                            <w:b/>
                            <w:bCs/>
                          </w:rPr>
                          <w:t>.6-</w:t>
                        </w:r>
                        <w:r>
                          <w:rPr>
                            <w:rFonts w:hint="eastAsia" w:ascii="Times New Roman" w:hAnsi="Times New Roman" w:cs="Times New Roman"/>
                            <w:b/>
                            <w:bCs/>
                            <w:lang w:val="en-US" w:eastAsia="zh-CN"/>
                          </w:rPr>
                          <w:t>3</w:t>
                        </w:r>
                        <w:r>
                          <w:rPr>
                            <w:rFonts w:ascii="Times New Roman" w:hAnsi="Times New Roman" w:cs="Times New Roman"/>
                            <w:b/>
                            <w:bCs/>
                          </w:rPr>
                          <w:t>应急预案构成体系框架图</w:t>
                        </w:r>
                      </w:p>
                    </w:txbxContent>
                  </v:textbox>
                </v:shape>
                <v:shape id="文本框 143" o:spid="_x0000_s1026" o:spt="202" type="#_x0000_t202" style="position:absolute;left:2181860;top:4148455;height:1047750;width:333375;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mcoJ1wAAAAUBAAAPAAAA&#10;AAAAAAEAIAAAACIAAABkcnMvZG93bnJldi54bWxQSwECFAAUAAAACACHTuJAFxHGTk8CAACRBAAA&#10;DgAAAAAAAAABACAAAAAmAQAAZHJzL2Uyb0RvYy54bWxQSwUGAAAAAAYABgBZAQAA5wUAAAAA&#10;">
                  <v:fill on="t" focussize="0,0"/>
                  <v:stroke weight="0.5pt" color="#000000" joinstyle="round"/>
                  <v:imagedata o:title=""/>
                  <o:lock v:ext="edit" aspectratio="f"/>
                  <v:textbox>
                    <w:txbxContent>
                      <w:p w14:paraId="188B4F3F">
                        <w:pPr>
                          <w:autoSpaceDE w:val="0"/>
                          <w:autoSpaceDN w:val="0"/>
                          <w:adjustRightInd w:val="0"/>
                          <w:rPr>
                            <w:color w:val="000000"/>
                            <w:sz w:val="21"/>
                            <w:szCs w:val="21"/>
                            <w:lang w:val="zh-CN"/>
                          </w:rPr>
                        </w:pPr>
                        <w:r>
                          <w:rPr>
                            <w:color w:val="000000"/>
                            <w:sz w:val="21"/>
                            <w:szCs w:val="21"/>
                            <w:lang w:val="zh-CN"/>
                          </w:rPr>
                          <w:t>通讯</w:t>
                        </w:r>
                      </w:p>
                      <w:p w14:paraId="30A374A4">
                        <w:pPr>
                          <w:autoSpaceDE w:val="0"/>
                          <w:autoSpaceDN w:val="0"/>
                          <w:adjustRightInd w:val="0"/>
                          <w:rPr>
                            <w:color w:val="000000"/>
                            <w:sz w:val="21"/>
                            <w:szCs w:val="21"/>
                            <w:lang w:val="zh-CN"/>
                          </w:rPr>
                        </w:pPr>
                        <w:r>
                          <w:rPr>
                            <w:color w:val="000000"/>
                            <w:sz w:val="21"/>
                            <w:szCs w:val="21"/>
                            <w:lang w:val="zh-CN"/>
                          </w:rPr>
                          <w:t>组</w:t>
                        </w:r>
                      </w:p>
                    </w:txbxContent>
                  </v:textbox>
                </v:shape>
                <v:shape id="直接箭头连接符 144" o:spid="_x0000_s1026" o:spt="32" type="#_x0000_t32" style="position:absolute;left:2346325;top:3793490;height:348615;width:635;"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m&#10;E27XAAAABQEAAA8AAAAAAAAAAQAgAAAAIgAAAGRycy9kb3ducmV2LnhtbFBLAQIUABQAAAAIAIdO&#10;4kBDQA4dJAIAAAMEAAAOAAAAAAAAAAEAIAAAACYBAABkcnMvZTJvRG9jLnhtbFBLBQYAAAAABgAG&#10;AFkBAAC8BQAAAAA=&#10;">
                  <v:fill on="f" focussize="0,0"/>
                  <v:stroke color="#000000" joinstyle="round" endarrow="block"/>
                  <v:imagedata o:title=""/>
                  <o:lock v:ext="edit" aspectratio="f"/>
                </v:shape>
                <v:shape id="文本框 145" o:spid="_x0000_s1026" o:spt="202" type="#_x0000_t202" style="position:absolute;left:3354070;top:4142740;height:1053465;width:33020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5nKCdcAAAAFAQAADwAA&#10;AAAAAAABACAAAAAiAAAAZHJzL2Rvd25yZXYueG1sUEsBAhQAFAAAAAgAh07iQEnVJghQAgAAkwQA&#10;AA4AAAAAAAAAAQAgAAAAJgEAAGRycy9lMm9Eb2MueG1sUEsFBgAAAAAGAAYAWQEAAOgFAAAAAA==&#10;">
                  <v:fill on="t" focussize="0,0"/>
                  <v:stroke weight="0.5pt" color="#000000" joinstyle="round"/>
                  <v:imagedata o:title=""/>
                  <o:lock v:ext="edit" aspectratio="f"/>
                  <v:textbox>
                    <w:txbxContent>
                      <w:p w14:paraId="016B42BD">
                        <w:pPr>
                          <w:autoSpaceDE w:val="0"/>
                          <w:autoSpaceDN w:val="0"/>
                          <w:adjustRightInd w:val="0"/>
                          <w:rPr>
                            <w:color w:val="000000"/>
                            <w:sz w:val="21"/>
                            <w:szCs w:val="21"/>
                            <w:lang w:val="zh-CN"/>
                          </w:rPr>
                        </w:pPr>
                        <w:r>
                          <w:rPr>
                            <w:rFonts w:hint="eastAsia"/>
                            <w:color w:val="000000"/>
                            <w:sz w:val="21"/>
                            <w:szCs w:val="21"/>
                          </w:rPr>
                          <w:t>事故处置</w:t>
                        </w:r>
                        <w:r>
                          <w:rPr>
                            <w:color w:val="000000"/>
                            <w:sz w:val="21"/>
                            <w:szCs w:val="21"/>
                            <w:lang w:val="zh-CN"/>
                          </w:rPr>
                          <w:t>组</w:t>
                        </w:r>
                      </w:p>
                    </w:txbxContent>
                  </v:textbox>
                </v:shape>
                <v:shape id="直接箭头连接符 146" o:spid="_x0000_s1026" o:spt="32" type="#_x0000_t32" style="position:absolute;left:3529330;top:3791585;height:342900;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5hNu1wAAAAUBAAAPAAAAAAAAAAEAIAAAACIAAABkcnMvZG93bnJldi54bWxQSwECFAAUAAAACACH&#10;TuJAuBMOPyUCAAABBAAADgAAAAAAAAABACAAAAAmAQAAZHJzL2Uyb0RvYy54bWxQSwUGAAAAAAYA&#10;BgBZAQAAvQUAAAAA&#10;">
                  <v:fill on="f" focussize="0,0"/>
                  <v:stroke color="#000000" joinstyle="round" endarrow="block"/>
                  <v:imagedata o:title=""/>
                  <o:lock v:ext="edit" aspectratio="f"/>
                </v:shape>
                <v:shape id="直接箭头连接符 147" o:spid="_x0000_s1026" o:spt="32" type="#_x0000_t32" style="position:absolute;left:2930525;top:3800475;height:342900;width:0;" filled="f" stroked="t" coordsize="21600,21600" o:gfxdata="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eYT&#10;btcAAAAFAQAADwAAAAAAAAABACAAAAAiAAAAZHJzL2Rvd25yZXYueG1sUEsBAhQAFAAAAAgAh07i&#10;QN8G+VwjAgAAAQQAAA4AAAAAAAAAAQAgAAAAJgEAAGRycy9lMm9Eb2MueG1sUEsFBgAAAAAGAAYA&#10;WQEAALsFAAAAAA==&#10;">
                  <v:fill on="f" focussize="0,0"/>
                  <v:stroke color="#000000" joinstyle="round" endarrow="block"/>
                  <v:imagedata o:title=""/>
                  <o:lock v:ext="edit" aspectratio="f"/>
                </v:shape>
                <v:shape id="文本框 148" o:spid="_x0000_s1026" o:spt="202" type="#_x0000_t202" style="position:absolute;left:2752725;top:4139565;height:1056005;width:330200;v-text-anchor:middle-center;" fillcolor="#FFFFFF" filled="t" stroked="t" coordsize="21600,21600" o:gfxdata="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mcoJ1wAAAAUBAAAP&#10;AAAAAAAAAAEAIAAAACIAAABkcnMvZG93bnJldi54bWxQSwECFAAUAAAACACHTuJApVVh0VICAACR&#10;BAAADgAAAAAAAAABACAAAAAmAQAAZHJzL2Uyb0RvYy54bWxQSwUGAAAAAAYABgBZAQAA6gUAAAAA&#10;">
                  <v:fill on="t" focussize="0,0"/>
                  <v:stroke weight="0.5pt" color="#000000" joinstyle="round"/>
                  <v:imagedata o:title=""/>
                  <o:lock v:ext="edit" aspectratio="f"/>
                  <v:textbox>
                    <w:txbxContent>
                      <w:p w14:paraId="25C5948B">
                        <w:pPr>
                          <w:autoSpaceDE w:val="0"/>
                          <w:autoSpaceDN w:val="0"/>
                          <w:adjustRightInd w:val="0"/>
                          <w:rPr>
                            <w:color w:val="000000"/>
                            <w:sz w:val="21"/>
                            <w:szCs w:val="21"/>
                          </w:rPr>
                        </w:pPr>
                        <w:r>
                          <w:rPr>
                            <w:rFonts w:hint="eastAsia"/>
                            <w:color w:val="000000"/>
                            <w:sz w:val="21"/>
                            <w:szCs w:val="21"/>
                          </w:rPr>
                          <w:t>应急保障</w:t>
                        </w:r>
                        <w:r>
                          <w:rPr>
                            <w:color w:val="000000"/>
                            <w:sz w:val="21"/>
                            <w:szCs w:val="21"/>
                          </w:rPr>
                          <w:t>组</w:t>
                        </w:r>
                      </w:p>
                    </w:txbxContent>
                  </v:textbox>
                </v:shape>
                <w10:wrap type="none"/>
                <w10:anchorlock/>
              </v:group>
            </w:pict>
          </mc:Fallback>
        </mc:AlternateContent>
      </w:r>
    </w:p>
    <w:p w14:paraId="0C2501AD">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bookmarkStart w:id="503" w:name="_Toc2913"/>
      <w:r>
        <w:rPr>
          <w:rFonts w:hint="eastAsia" w:eastAsia="宋体"/>
          <w:color w:val="auto"/>
          <w:sz w:val="28"/>
          <w:szCs w:val="28"/>
          <w:highlight w:val="none"/>
        </w:rPr>
        <w:t>7.6.11</w:t>
      </w:r>
      <w:r>
        <w:rPr>
          <w:rFonts w:eastAsia="宋体"/>
          <w:color w:val="auto"/>
          <w:sz w:val="28"/>
          <w:szCs w:val="28"/>
          <w:highlight w:val="none"/>
        </w:rPr>
        <w:t>风险防范措施和应急预案纳入验收管理</w:t>
      </w:r>
      <w:bookmarkEnd w:id="503"/>
    </w:p>
    <w:p w14:paraId="0064AB3B">
      <w:pPr>
        <w:pStyle w:val="20"/>
        <w:spacing w:line="360" w:lineRule="auto"/>
        <w:ind w:left="-105" w:right="-105" w:firstLine="480" w:firstLineChars="200"/>
        <w:rPr>
          <w:rFonts w:ascii="Times New Roman" w:hAnsi="Times New Roman" w:cs="Times New Roman"/>
          <w:b/>
          <w:bCs/>
          <w:color w:val="auto"/>
          <w:sz w:val="24"/>
          <w:highlight w:val="none"/>
        </w:rPr>
      </w:pPr>
      <w:r>
        <w:rPr>
          <w:rFonts w:ascii="Times New Roman" w:hAnsi="Times New Roman" w:cs="Times New Roman"/>
          <w:bCs/>
          <w:color w:val="auto"/>
          <w:sz w:val="24"/>
          <w:highlight w:val="none"/>
        </w:rPr>
        <w:t>将本次环评提出环境风险防范措施和应急预案纳入环保投资和建设项目竣工环境保护验收内容，具体见下表。</w:t>
      </w:r>
    </w:p>
    <w:p w14:paraId="7C39E8AD">
      <w:pPr>
        <w:pStyle w:val="15"/>
        <w:ind w:left="-105" w:right="-105" w:firstLine="482"/>
        <w:rPr>
          <w:rFonts w:eastAsia="宋体"/>
          <w:color w:val="auto"/>
          <w:sz w:val="24"/>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7.6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4</w:t>
      </w:r>
      <w:r>
        <w:rPr>
          <w:rFonts w:eastAsia="宋体"/>
          <w:color w:val="auto"/>
          <w:sz w:val="24"/>
          <w:szCs w:val="18"/>
          <w:highlight w:val="none"/>
        </w:rPr>
        <w:fldChar w:fldCharType="end"/>
      </w:r>
      <w:r>
        <w:rPr>
          <w:rFonts w:eastAsia="宋体"/>
          <w:color w:val="auto"/>
          <w:sz w:val="24"/>
          <w:szCs w:val="18"/>
          <w:highlight w:val="none"/>
        </w:rPr>
        <w:t>环境风险防范措施和应急预案“三同时”检查表</w:t>
      </w:r>
    </w:p>
    <w:tbl>
      <w:tblPr>
        <w:tblStyle w:val="45"/>
        <w:tblW w:w="8504"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850"/>
        <w:gridCol w:w="3300"/>
        <w:gridCol w:w="1563"/>
      </w:tblGrid>
      <w:tr w14:paraId="75E99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791" w:type="dxa"/>
            <w:vAlign w:val="center"/>
          </w:tcPr>
          <w:p w14:paraId="2FBCDB46">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
                <w:color w:val="auto"/>
                <w:sz w:val="21"/>
                <w:szCs w:val="16"/>
                <w:highlight w:val="none"/>
              </w:rPr>
            </w:pPr>
            <w:r>
              <w:rPr>
                <w:rFonts w:eastAsia="宋体"/>
                <w:b/>
                <w:color w:val="auto"/>
                <w:sz w:val="21"/>
                <w:szCs w:val="16"/>
                <w:highlight w:val="none"/>
              </w:rPr>
              <w:t>类别</w:t>
            </w:r>
          </w:p>
        </w:tc>
        <w:tc>
          <w:tcPr>
            <w:tcW w:w="1850" w:type="dxa"/>
            <w:vAlign w:val="center"/>
          </w:tcPr>
          <w:p w14:paraId="18146740">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
                <w:color w:val="auto"/>
                <w:sz w:val="21"/>
                <w:szCs w:val="16"/>
                <w:highlight w:val="none"/>
              </w:rPr>
            </w:pPr>
            <w:r>
              <w:rPr>
                <w:rFonts w:eastAsia="宋体"/>
                <w:b/>
                <w:color w:val="auto"/>
                <w:sz w:val="21"/>
                <w:szCs w:val="16"/>
                <w:highlight w:val="none"/>
              </w:rPr>
              <w:t>措施名称</w:t>
            </w:r>
          </w:p>
        </w:tc>
        <w:tc>
          <w:tcPr>
            <w:tcW w:w="3300" w:type="dxa"/>
            <w:vAlign w:val="center"/>
          </w:tcPr>
          <w:p w14:paraId="1E5FB008">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
                <w:color w:val="auto"/>
                <w:sz w:val="21"/>
                <w:szCs w:val="16"/>
                <w:highlight w:val="none"/>
              </w:rPr>
            </w:pPr>
            <w:r>
              <w:rPr>
                <w:rFonts w:eastAsia="宋体"/>
                <w:b/>
                <w:color w:val="auto"/>
                <w:sz w:val="21"/>
                <w:szCs w:val="16"/>
                <w:highlight w:val="none"/>
              </w:rPr>
              <w:t>措施内容</w:t>
            </w:r>
          </w:p>
        </w:tc>
        <w:tc>
          <w:tcPr>
            <w:tcW w:w="1563" w:type="dxa"/>
            <w:vAlign w:val="center"/>
          </w:tcPr>
          <w:p w14:paraId="372AFCF3">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
                <w:color w:val="auto"/>
                <w:sz w:val="21"/>
                <w:szCs w:val="16"/>
                <w:highlight w:val="none"/>
              </w:rPr>
            </w:pPr>
            <w:r>
              <w:rPr>
                <w:rFonts w:eastAsia="宋体"/>
                <w:b/>
                <w:color w:val="auto"/>
                <w:sz w:val="21"/>
                <w:szCs w:val="16"/>
                <w:highlight w:val="none"/>
              </w:rPr>
              <w:t>完成时间</w:t>
            </w:r>
          </w:p>
        </w:tc>
      </w:tr>
      <w:tr w14:paraId="1685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1" w:type="dxa"/>
            <w:vAlign w:val="center"/>
          </w:tcPr>
          <w:p w14:paraId="111ABFE2">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环境风险</w:t>
            </w:r>
          </w:p>
          <w:p w14:paraId="76A943A7">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防范措施</w:t>
            </w:r>
          </w:p>
        </w:tc>
        <w:tc>
          <w:tcPr>
            <w:tcW w:w="1850" w:type="dxa"/>
            <w:vAlign w:val="center"/>
          </w:tcPr>
          <w:p w14:paraId="299A7B23">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泄漏、火灾和爆炸具体措施主要见前文</w:t>
            </w:r>
            <w:r>
              <w:rPr>
                <w:rFonts w:hint="eastAsia" w:eastAsia="宋体"/>
                <w:bCs/>
                <w:color w:val="auto"/>
                <w:sz w:val="21"/>
                <w:szCs w:val="16"/>
                <w:highlight w:val="none"/>
              </w:rPr>
              <w:t>7.6</w:t>
            </w:r>
            <w:r>
              <w:rPr>
                <w:rFonts w:eastAsia="宋体"/>
                <w:bCs/>
                <w:color w:val="auto"/>
                <w:sz w:val="21"/>
                <w:szCs w:val="16"/>
                <w:highlight w:val="none"/>
              </w:rPr>
              <w:t>章</w:t>
            </w:r>
          </w:p>
        </w:tc>
        <w:tc>
          <w:tcPr>
            <w:tcW w:w="3300" w:type="dxa"/>
            <w:vAlign w:val="center"/>
          </w:tcPr>
          <w:p w14:paraId="16E59768">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全厂按</w:t>
            </w:r>
            <w:r>
              <w:rPr>
                <w:rFonts w:hint="eastAsia" w:eastAsia="宋体"/>
                <w:bCs/>
                <w:color w:val="auto"/>
                <w:sz w:val="21"/>
                <w:szCs w:val="16"/>
                <w:highlight w:val="none"/>
              </w:rPr>
              <w:t>《建筑防火通用规范》</w:t>
            </w:r>
            <w:r>
              <w:rPr>
                <w:rFonts w:hint="eastAsia" w:eastAsia="宋体"/>
                <w:bCs/>
                <w:color w:val="auto"/>
                <w:sz w:val="21"/>
                <w:szCs w:val="16"/>
                <w:highlight w:val="none"/>
                <w:lang w:eastAsia="zh-CN"/>
              </w:rPr>
              <w:t>（</w:t>
            </w:r>
            <w:r>
              <w:rPr>
                <w:rFonts w:hint="eastAsia" w:eastAsia="宋体"/>
                <w:bCs/>
                <w:color w:val="auto"/>
                <w:sz w:val="21"/>
                <w:szCs w:val="16"/>
                <w:highlight w:val="none"/>
              </w:rPr>
              <w:t>GB 55037-2022</w:t>
            </w:r>
            <w:r>
              <w:rPr>
                <w:rFonts w:hint="eastAsia" w:eastAsia="宋体"/>
                <w:bCs/>
                <w:color w:val="auto"/>
                <w:sz w:val="21"/>
                <w:szCs w:val="16"/>
                <w:highlight w:val="none"/>
                <w:lang w:eastAsia="zh-CN"/>
              </w:rPr>
              <w:t>）</w:t>
            </w:r>
            <w:r>
              <w:rPr>
                <w:rFonts w:eastAsia="宋体"/>
                <w:bCs/>
                <w:color w:val="auto"/>
                <w:sz w:val="21"/>
                <w:szCs w:val="16"/>
                <w:highlight w:val="none"/>
              </w:rPr>
              <w:t>的要求设置。设置电气、供水、工艺风险防范措施，设置消防及火灾报警系统；</w:t>
            </w:r>
            <w:r>
              <w:rPr>
                <w:rFonts w:hint="eastAsia" w:eastAsia="宋体"/>
                <w:bCs/>
                <w:color w:val="auto"/>
                <w:sz w:val="21"/>
                <w:szCs w:val="16"/>
                <w:highlight w:val="none"/>
                <w:lang w:eastAsia="zh-CN"/>
              </w:rPr>
              <w:t>危险品仓库</w:t>
            </w:r>
            <w:r>
              <w:rPr>
                <w:rFonts w:hint="eastAsia" w:eastAsia="宋体"/>
                <w:bCs/>
                <w:color w:val="auto"/>
                <w:sz w:val="21"/>
                <w:szCs w:val="16"/>
                <w:highlight w:val="none"/>
              </w:rPr>
              <w:t>、成品库、废液储罐区、</w:t>
            </w:r>
            <w:r>
              <w:rPr>
                <w:rFonts w:eastAsia="宋体"/>
                <w:bCs/>
                <w:color w:val="auto"/>
                <w:sz w:val="21"/>
                <w:szCs w:val="16"/>
                <w:highlight w:val="none"/>
              </w:rPr>
              <w:t>危废仓库按要求设置防泄漏、防腐防渗措施，设置监控和报警系统等；按要求设置切断阀、应急池等各类应急物资和环境风险防范措施。</w:t>
            </w:r>
          </w:p>
        </w:tc>
        <w:tc>
          <w:tcPr>
            <w:tcW w:w="1563" w:type="dxa"/>
            <w:vAlign w:val="center"/>
          </w:tcPr>
          <w:p w14:paraId="2A4E6CB3">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试生产前</w:t>
            </w:r>
          </w:p>
        </w:tc>
      </w:tr>
      <w:tr w14:paraId="3E6A6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1" w:type="dxa"/>
            <w:gridSpan w:val="2"/>
            <w:vAlign w:val="center"/>
          </w:tcPr>
          <w:p w14:paraId="14031781">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突发环境事件应急预案</w:t>
            </w:r>
          </w:p>
        </w:tc>
        <w:tc>
          <w:tcPr>
            <w:tcW w:w="3300" w:type="dxa"/>
            <w:vAlign w:val="center"/>
          </w:tcPr>
          <w:p w14:paraId="31B743F5">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按要求编制突发环境事件应急预案并完成备案</w:t>
            </w:r>
          </w:p>
        </w:tc>
        <w:tc>
          <w:tcPr>
            <w:tcW w:w="1563" w:type="dxa"/>
            <w:vAlign w:val="center"/>
          </w:tcPr>
          <w:p w14:paraId="386379C5">
            <w:pPr>
              <w:pStyle w:val="21"/>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eastAsia="宋体"/>
                <w:bCs/>
                <w:color w:val="auto"/>
                <w:sz w:val="21"/>
                <w:szCs w:val="16"/>
                <w:highlight w:val="none"/>
              </w:rPr>
            </w:pPr>
            <w:r>
              <w:rPr>
                <w:rFonts w:eastAsia="宋体"/>
                <w:bCs/>
                <w:color w:val="auto"/>
                <w:sz w:val="21"/>
                <w:szCs w:val="16"/>
                <w:highlight w:val="none"/>
              </w:rPr>
              <w:t>试生产前</w:t>
            </w:r>
          </w:p>
        </w:tc>
      </w:tr>
      <w:bookmarkEnd w:id="501"/>
    </w:tbl>
    <w:p w14:paraId="7E149116">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7.6.12</w:t>
      </w:r>
      <w:r>
        <w:rPr>
          <w:rFonts w:eastAsia="宋体"/>
          <w:color w:val="auto"/>
          <w:sz w:val="28"/>
          <w:szCs w:val="28"/>
          <w:highlight w:val="none"/>
        </w:rPr>
        <w:t>风险应急监测</w:t>
      </w:r>
    </w:p>
    <w:p w14:paraId="28157349">
      <w:pPr>
        <w:pStyle w:val="15"/>
        <w:ind w:left="-105" w:right="-105" w:firstLine="482"/>
        <w:rPr>
          <w:rFonts w:eastAsia="宋体"/>
          <w:b w:val="0"/>
          <w:bCs/>
          <w:color w:val="auto"/>
          <w:sz w:val="24"/>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eastAsia="宋体"/>
          <w:color w:val="auto"/>
          <w:sz w:val="24"/>
          <w:szCs w:val="18"/>
          <w:highlight w:val="none"/>
        </w:rPr>
        <w:t>7.6</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5</w:t>
      </w:r>
      <w:r>
        <w:rPr>
          <w:rFonts w:eastAsia="宋体"/>
          <w:color w:val="auto"/>
          <w:sz w:val="24"/>
          <w:szCs w:val="18"/>
          <w:highlight w:val="none"/>
        </w:rPr>
        <w:fldChar w:fldCharType="end"/>
      </w:r>
      <w:r>
        <w:rPr>
          <w:rFonts w:eastAsia="宋体"/>
          <w:bCs/>
          <w:color w:val="auto"/>
          <w:sz w:val="24"/>
          <w:highlight w:val="none"/>
        </w:rPr>
        <w:t>应急监测点位、因子、频次</w:t>
      </w:r>
    </w:p>
    <w:tbl>
      <w:tblPr>
        <w:tblStyle w:val="4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88"/>
        <w:gridCol w:w="2921"/>
        <w:gridCol w:w="2030"/>
        <w:gridCol w:w="2480"/>
      </w:tblGrid>
      <w:tr w14:paraId="65665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blHeader/>
        </w:trPr>
        <w:tc>
          <w:tcPr>
            <w:tcW w:w="739" w:type="pct"/>
            <w:tcBorders>
              <w:top w:val="single" w:color="000000" w:sz="12" w:space="0"/>
            </w:tcBorders>
            <w:vAlign w:val="center"/>
          </w:tcPr>
          <w:p w14:paraId="7244B8B7">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事故类型</w:t>
            </w:r>
          </w:p>
        </w:tc>
        <w:tc>
          <w:tcPr>
            <w:tcW w:w="1675" w:type="pct"/>
            <w:tcBorders>
              <w:top w:val="single" w:color="000000" w:sz="12" w:space="0"/>
            </w:tcBorders>
            <w:vAlign w:val="center"/>
          </w:tcPr>
          <w:p w14:paraId="3EFE867D">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b/>
                <w:snapToGrid w:val="0"/>
                <w:color w:val="auto"/>
                <w:sz w:val="21"/>
                <w:szCs w:val="21"/>
                <w:highlight w:val="none"/>
              </w:rPr>
            </w:pPr>
            <w:r>
              <w:rPr>
                <w:rFonts w:ascii="Times New Roman" w:hAnsi="Times New Roman" w:cs="Times New Roman"/>
                <w:b/>
                <w:snapToGrid w:val="0"/>
                <w:color w:val="auto"/>
                <w:sz w:val="21"/>
                <w:szCs w:val="21"/>
                <w:highlight w:val="none"/>
              </w:rPr>
              <w:t>监测点位</w:t>
            </w:r>
          </w:p>
        </w:tc>
        <w:tc>
          <w:tcPr>
            <w:tcW w:w="1164" w:type="pct"/>
            <w:tcBorders>
              <w:top w:val="single" w:color="000000" w:sz="12" w:space="0"/>
            </w:tcBorders>
            <w:vAlign w:val="center"/>
          </w:tcPr>
          <w:p w14:paraId="50CEA98A">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b/>
                <w:snapToGrid w:val="0"/>
                <w:color w:val="auto"/>
                <w:sz w:val="21"/>
                <w:szCs w:val="21"/>
                <w:highlight w:val="none"/>
              </w:rPr>
            </w:pPr>
            <w:r>
              <w:rPr>
                <w:rFonts w:ascii="Times New Roman" w:hAnsi="Times New Roman" w:cs="Times New Roman"/>
                <w:b/>
                <w:snapToGrid w:val="0"/>
                <w:color w:val="auto"/>
                <w:sz w:val="21"/>
                <w:szCs w:val="21"/>
                <w:highlight w:val="none"/>
              </w:rPr>
              <w:t>监测因子</w:t>
            </w:r>
          </w:p>
        </w:tc>
        <w:tc>
          <w:tcPr>
            <w:tcW w:w="1422" w:type="pct"/>
            <w:tcBorders>
              <w:top w:val="single" w:color="000000" w:sz="12" w:space="0"/>
            </w:tcBorders>
            <w:vAlign w:val="center"/>
          </w:tcPr>
          <w:p w14:paraId="0D82144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b/>
                <w:snapToGrid w:val="0"/>
                <w:color w:val="auto"/>
                <w:sz w:val="21"/>
                <w:szCs w:val="21"/>
                <w:highlight w:val="none"/>
              </w:rPr>
            </w:pPr>
            <w:r>
              <w:rPr>
                <w:rFonts w:ascii="Times New Roman" w:hAnsi="Times New Roman" w:cs="Times New Roman"/>
                <w:b/>
                <w:color w:val="auto"/>
                <w:sz w:val="21"/>
                <w:szCs w:val="21"/>
                <w:highlight w:val="none"/>
              </w:rPr>
              <w:t>应急监测频次</w:t>
            </w:r>
          </w:p>
        </w:tc>
      </w:tr>
      <w:tr w14:paraId="121C1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restart"/>
            <w:vAlign w:val="center"/>
          </w:tcPr>
          <w:p w14:paraId="517C933C">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环境空气</w:t>
            </w:r>
          </w:p>
          <w:p w14:paraId="6FB5C528">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污染事故</w:t>
            </w:r>
          </w:p>
        </w:tc>
        <w:tc>
          <w:tcPr>
            <w:tcW w:w="1675" w:type="pct"/>
            <w:vAlign w:val="center"/>
          </w:tcPr>
          <w:p w14:paraId="60E43D86">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w:t>
            </w:r>
          </w:p>
        </w:tc>
        <w:tc>
          <w:tcPr>
            <w:tcW w:w="1164" w:type="pct"/>
            <w:vMerge w:val="restart"/>
            <w:vAlign w:val="center"/>
          </w:tcPr>
          <w:p w14:paraId="1FB5E9F3">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根据事故选取监测因子，如非甲烷总烃</w:t>
            </w:r>
            <w:r>
              <w:rPr>
                <w:rFonts w:hint="eastAsia" w:ascii="Times New Roman" w:hAnsi="Times New Roman" w:cs="Times New Roman"/>
                <w:color w:val="auto"/>
                <w:sz w:val="21"/>
                <w:szCs w:val="21"/>
                <w:highlight w:val="none"/>
              </w:rPr>
              <w:t>（含甲醇）、</w:t>
            </w:r>
            <w:r>
              <w:rPr>
                <w:rFonts w:ascii="Times New Roman" w:hAnsi="Times New Roman" w:cs="Times New Roman"/>
                <w:color w:val="auto"/>
                <w:sz w:val="21"/>
                <w:szCs w:val="21"/>
                <w:highlight w:val="none"/>
              </w:rPr>
              <w:t>一氧化碳等</w:t>
            </w:r>
          </w:p>
        </w:tc>
        <w:tc>
          <w:tcPr>
            <w:tcW w:w="1422" w:type="pct"/>
            <w:vAlign w:val="center"/>
          </w:tcPr>
          <w:p w14:paraId="127DAC00">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初始加密（6次/天）监测，随着污染物浓度的下降逐渐降低频次</w:t>
            </w:r>
          </w:p>
        </w:tc>
      </w:tr>
      <w:tr w14:paraId="297B3D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01FC1FA5">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402F5A34">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事故发生地下风向</w:t>
            </w:r>
          </w:p>
        </w:tc>
        <w:tc>
          <w:tcPr>
            <w:tcW w:w="1164" w:type="pct"/>
            <w:vMerge w:val="continue"/>
            <w:vAlign w:val="center"/>
          </w:tcPr>
          <w:p w14:paraId="05A7C36F">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422" w:type="pct"/>
            <w:vAlign w:val="center"/>
          </w:tcPr>
          <w:p w14:paraId="0AED72E6">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4次/天或与事故发生地同频次（应急期间）</w:t>
            </w:r>
          </w:p>
        </w:tc>
      </w:tr>
      <w:tr w14:paraId="18508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7885F7A3">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658855FF">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事故发生地上风向对照点</w:t>
            </w:r>
          </w:p>
        </w:tc>
        <w:tc>
          <w:tcPr>
            <w:tcW w:w="1164" w:type="pct"/>
            <w:vMerge w:val="continue"/>
            <w:vAlign w:val="center"/>
          </w:tcPr>
          <w:p w14:paraId="1A1DD0E9">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422" w:type="pct"/>
            <w:vAlign w:val="center"/>
          </w:tcPr>
          <w:p w14:paraId="4FADAFE4">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3次/天（应急期间）</w:t>
            </w:r>
          </w:p>
        </w:tc>
      </w:tr>
      <w:tr w14:paraId="0ED913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restart"/>
            <w:tcBorders>
              <w:top w:val="single" w:color="auto" w:sz="4" w:space="0"/>
            </w:tcBorders>
            <w:vAlign w:val="center"/>
          </w:tcPr>
          <w:p w14:paraId="77AFBDB8">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地表水环境污染事故</w:t>
            </w:r>
          </w:p>
        </w:tc>
        <w:tc>
          <w:tcPr>
            <w:tcW w:w="1675" w:type="pct"/>
            <w:tcBorders>
              <w:top w:val="single" w:color="auto" w:sz="4" w:space="0"/>
            </w:tcBorders>
            <w:vAlign w:val="center"/>
          </w:tcPr>
          <w:p w14:paraId="03D4CE4C">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w:t>
            </w:r>
          </w:p>
        </w:tc>
        <w:tc>
          <w:tcPr>
            <w:tcW w:w="1164" w:type="pct"/>
            <w:vMerge w:val="restart"/>
            <w:tcBorders>
              <w:top w:val="single" w:color="auto" w:sz="4" w:space="0"/>
            </w:tcBorders>
            <w:vAlign w:val="center"/>
          </w:tcPr>
          <w:p w14:paraId="165426DF">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根据事故选取监测因子，如pH、COD、BOD、氨氮、总氮、总磷、石油类等</w:t>
            </w:r>
          </w:p>
        </w:tc>
        <w:tc>
          <w:tcPr>
            <w:tcW w:w="1422" w:type="pct"/>
            <w:tcBorders>
              <w:top w:val="single" w:color="auto" w:sz="4" w:space="0"/>
            </w:tcBorders>
            <w:vAlign w:val="center"/>
          </w:tcPr>
          <w:p w14:paraId="65494652">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初始加密（4次/天）监测，随着污染物浓度的下降逐渐降低频次</w:t>
            </w:r>
          </w:p>
        </w:tc>
      </w:tr>
      <w:tr w14:paraId="295D20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564E0946">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4CE652FD">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雨水管道监控池</w:t>
            </w:r>
          </w:p>
        </w:tc>
        <w:tc>
          <w:tcPr>
            <w:tcW w:w="1164" w:type="pct"/>
            <w:vMerge w:val="continue"/>
            <w:vAlign w:val="center"/>
          </w:tcPr>
          <w:p w14:paraId="56C22465">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7ECF4140">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2~4次/天</w:t>
            </w:r>
          </w:p>
        </w:tc>
      </w:tr>
      <w:tr w14:paraId="0B1BF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1EA93975">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55E66827">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污水管道监控池</w:t>
            </w:r>
          </w:p>
        </w:tc>
        <w:tc>
          <w:tcPr>
            <w:tcW w:w="1164" w:type="pct"/>
            <w:vMerge w:val="continue"/>
            <w:vAlign w:val="center"/>
          </w:tcPr>
          <w:p w14:paraId="239C4C09">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6F434506">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2~4次/天</w:t>
            </w:r>
          </w:p>
        </w:tc>
      </w:tr>
      <w:tr w14:paraId="7D96B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restart"/>
            <w:vAlign w:val="center"/>
          </w:tcPr>
          <w:p w14:paraId="4B369F6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地下水环境污染事故</w:t>
            </w:r>
          </w:p>
        </w:tc>
        <w:tc>
          <w:tcPr>
            <w:tcW w:w="1675" w:type="pct"/>
            <w:vAlign w:val="center"/>
          </w:tcPr>
          <w:p w14:paraId="0DA8B8F0">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事故发生地周围水井</w:t>
            </w:r>
          </w:p>
        </w:tc>
        <w:tc>
          <w:tcPr>
            <w:tcW w:w="1164" w:type="pct"/>
            <w:vMerge w:val="restart"/>
            <w:vAlign w:val="center"/>
          </w:tcPr>
          <w:p w14:paraId="5F014D2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根据事故选取监测因子，如pH、耗氧量、氨氮、石油烃等</w:t>
            </w:r>
          </w:p>
        </w:tc>
        <w:tc>
          <w:tcPr>
            <w:tcW w:w="1422" w:type="pct"/>
            <w:vAlign w:val="center"/>
          </w:tcPr>
          <w:p w14:paraId="22144B57">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初始1~2次/天，第三天后，1次/周直至应急结束</w:t>
            </w:r>
          </w:p>
        </w:tc>
      </w:tr>
      <w:tr w14:paraId="22C5A7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5ADF8ABC">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1483A88E">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事故发生地厂界处水井</w:t>
            </w:r>
          </w:p>
        </w:tc>
        <w:tc>
          <w:tcPr>
            <w:tcW w:w="1164" w:type="pct"/>
            <w:vMerge w:val="continue"/>
            <w:vAlign w:val="center"/>
          </w:tcPr>
          <w:p w14:paraId="4B1187DE">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0FF7C214">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1次/天，第三天后，1次/周直至应急结束</w:t>
            </w:r>
          </w:p>
        </w:tc>
      </w:tr>
      <w:tr w14:paraId="2A0015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57CE9622">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0AC8C55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事故发生地下游500m水井</w:t>
            </w:r>
          </w:p>
        </w:tc>
        <w:tc>
          <w:tcPr>
            <w:tcW w:w="1164" w:type="pct"/>
            <w:vMerge w:val="continue"/>
            <w:vAlign w:val="center"/>
          </w:tcPr>
          <w:p w14:paraId="29B7BBB6">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76ED180C">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1次/天</w:t>
            </w:r>
            <w:r>
              <w:rPr>
                <w:rFonts w:ascii="Times New Roman" w:hAnsi="Times New Roman" w:cs="Times New Roman"/>
                <w:color w:val="auto"/>
                <w:sz w:val="21"/>
                <w:szCs w:val="21"/>
                <w:highlight w:val="none"/>
              </w:rPr>
              <w:t>第三天后，1次/周直至应急结束</w:t>
            </w:r>
          </w:p>
        </w:tc>
      </w:tr>
      <w:tr w14:paraId="6A418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restart"/>
            <w:vAlign w:val="center"/>
          </w:tcPr>
          <w:p w14:paraId="00845819">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土壤环境污染事故</w:t>
            </w:r>
          </w:p>
        </w:tc>
        <w:tc>
          <w:tcPr>
            <w:tcW w:w="1675" w:type="pct"/>
            <w:vAlign w:val="center"/>
          </w:tcPr>
          <w:p w14:paraId="0C57A59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事故发生地周围土壤</w:t>
            </w:r>
          </w:p>
        </w:tc>
        <w:tc>
          <w:tcPr>
            <w:tcW w:w="1164" w:type="pct"/>
            <w:vMerge w:val="restart"/>
            <w:vAlign w:val="center"/>
          </w:tcPr>
          <w:p w14:paraId="2A1B1049">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根据事故选取监测因子，如pH、石油烃等</w:t>
            </w:r>
          </w:p>
        </w:tc>
        <w:tc>
          <w:tcPr>
            <w:tcW w:w="1422" w:type="pct"/>
            <w:vAlign w:val="center"/>
          </w:tcPr>
          <w:p w14:paraId="7BE36BD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初始1~2次/天，视处置进展情况逐渐降低频次</w:t>
            </w:r>
          </w:p>
        </w:tc>
      </w:tr>
      <w:tr w14:paraId="7F7A68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6B86422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7B1AE4D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事故发生地厂界处土壤</w:t>
            </w:r>
          </w:p>
        </w:tc>
        <w:tc>
          <w:tcPr>
            <w:tcW w:w="1164" w:type="pct"/>
            <w:vMerge w:val="continue"/>
            <w:vAlign w:val="center"/>
          </w:tcPr>
          <w:p w14:paraId="0526E9B3">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642115A7">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1次/天，视处置进展情况逐渐降低频次</w:t>
            </w:r>
          </w:p>
        </w:tc>
      </w:tr>
      <w:tr w14:paraId="230EB6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39" w:type="pct"/>
            <w:vMerge w:val="continue"/>
            <w:vAlign w:val="center"/>
          </w:tcPr>
          <w:p w14:paraId="60963F53">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675" w:type="pct"/>
            <w:vAlign w:val="center"/>
          </w:tcPr>
          <w:p w14:paraId="1A70E71A">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厂界外200m土壤</w:t>
            </w:r>
          </w:p>
        </w:tc>
        <w:tc>
          <w:tcPr>
            <w:tcW w:w="1164" w:type="pct"/>
            <w:vMerge w:val="continue"/>
            <w:vAlign w:val="center"/>
          </w:tcPr>
          <w:p w14:paraId="7EF2FB17">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p>
        </w:tc>
        <w:tc>
          <w:tcPr>
            <w:tcW w:w="1422" w:type="pct"/>
            <w:vAlign w:val="center"/>
          </w:tcPr>
          <w:p w14:paraId="04F6DC31">
            <w:pPr>
              <w:keepNext w:val="0"/>
              <w:keepLines w:val="0"/>
              <w:pageBreakBefore w:val="0"/>
              <w:widowControl/>
              <w:shd w:val="clear" w:color="auto" w:fill="FFFFFF"/>
              <w:kinsoku/>
              <w:wordWrap/>
              <w:overflowPunct/>
              <w:topLinePunct w:val="0"/>
              <w:autoSpaceDE/>
              <w:autoSpaceDN/>
              <w:bidi w:val="0"/>
              <w:adjustRightInd/>
              <w:snapToGrid/>
              <w:ind w:left="0" w:right="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1次/天，视处置进展情况逐渐降低频次</w:t>
            </w:r>
          </w:p>
        </w:tc>
      </w:tr>
    </w:tbl>
    <w:p w14:paraId="677C3E5F">
      <w:pPr>
        <w:pStyle w:val="5"/>
        <w:keepLines w:val="0"/>
        <w:numPr>
          <w:ilvl w:val="0"/>
          <w:numId w:val="0"/>
        </w:numPr>
        <w:tabs>
          <w:tab w:val="left" w:pos="141"/>
          <w:tab w:val="left" w:pos="567"/>
          <w:tab w:val="left" w:pos="709"/>
        </w:tabs>
        <w:spacing w:before="120" w:beforeLines="50" w:after="120" w:afterLines="50" w:line="360" w:lineRule="auto"/>
        <w:ind w:right="-105"/>
        <w:rPr>
          <w:rFonts w:eastAsia="宋体"/>
          <w:color w:val="auto"/>
          <w:sz w:val="28"/>
          <w:szCs w:val="28"/>
          <w:highlight w:val="none"/>
        </w:rPr>
      </w:pPr>
      <w:r>
        <w:rPr>
          <w:rFonts w:hint="eastAsia" w:eastAsia="宋体"/>
          <w:color w:val="auto"/>
          <w:sz w:val="28"/>
          <w:szCs w:val="28"/>
          <w:highlight w:val="none"/>
        </w:rPr>
        <w:t>7.6.13环境风险与防范措施</w:t>
      </w:r>
    </w:p>
    <w:p w14:paraId="77E18805">
      <w:pPr>
        <w:ind w:left="-105" w:right="-105" w:firstLine="482"/>
        <w:jc w:val="center"/>
        <w:rPr>
          <w:color w:val="auto"/>
          <w:highlight w:val="none"/>
        </w:rPr>
      </w:pPr>
      <w:r>
        <w:rPr>
          <w:rFonts w:ascii="Times New Roman" w:hAnsi="Times New Roman" w:cs="Times New Roman"/>
          <w:b/>
          <w:bCs/>
          <w:color w:val="auto"/>
          <w:szCs w:val="18"/>
          <w:highlight w:val="none"/>
        </w:rPr>
        <w:t>表</w:t>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STYLEREF 2 \s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7.6</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noBreakHyphen/>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SEQ 表 \* ARABIC \s 2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6</w:t>
      </w:r>
      <w:r>
        <w:rPr>
          <w:rFonts w:ascii="Times New Roman" w:hAnsi="Times New Roman" w:cs="Times New Roman"/>
          <w:b/>
          <w:bCs/>
          <w:color w:val="auto"/>
          <w:szCs w:val="18"/>
          <w:highlight w:val="none"/>
        </w:rPr>
        <w:fldChar w:fldCharType="end"/>
      </w:r>
      <w:r>
        <w:rPr>
          <w:rFonts w:hint="eastAsia"/>
          <w:b/>
          <w:bCs/>
          <w:color w:val="auto"/>
          <w:highlight w:val="none"/>
        </w:rPr>
        <w:t>本</w:t>
      </w:r>
      <w:r>
        <w:rPr>
          <w:rFonts w:hint="eastAsia" w:ascii="Times New Roman" w:hAnsi="Times New Roman" w:cs="Times New Roman"/>
          <w:b/>
          <w:color w:val="auto"/>
          <w:kern w:val="2"/>
          <w:szCs w:val="18"/>
          <w:highlight w:val="none"/>
        </w:rPr>
        <w:t>项目</w:t>
      </w:r>
      <w:r>
        <w:rPr>
          <w:rFonts w:ascii="Times New Roman" w:hAnsi="Times New Roman" w:cs="Times New Roman"/>
          <w:b/>
          <w:color w:val="auto"/>
          <w:kern w:val="2"/>
          <w:szCs w:val="18"/>
          <w:highlight w:val="none"/>
        </w:rPr>
        <w:t>环境风险与防范措施</w:t>
      </w:r>
      <w:r>
        <w:rPr>
          <w:rFonts w:hint="eastAsia" w:ascii="Times New Roman" w:hAnsi="Times New Roman" w:cs="Times New Roman"/>
          <w:b/>
          <w:color w:val="auto"/>
          <w:kern w:val="2"/>
          <w:szCs w:val="18"/>
          <w:highlight w:val="none"/>
        </w:rPr>
        <w:t>一览表</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99"/>
        <w:gridCol w:w="7121"/>
      </w:tblGrid>
      <w:tr w14:paraId="3E37AF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72BA9679">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bookmarkStart w:id="504" w:name="_Hlk136270523"/>
            <w:r>
              <w:rPr>
                <w:rFonts w:ascii="Times New Roman" w:hAnsi="Times New Roman"/>
                <w:b/>
                <w:color w:val="auto"/>
                <w:kern w:val="0"/>
                <w:highlight w:val="none"/>
              </w:rPr>
              <w:t>区分</w:t>
            </w:r>
          </w:p>
        </w:tc>
        <w:tc>
          <w:tcPr>
            <w:tcW w:w="4083" w:type="pct"/>
            <w:vAlign w:val="center"/>
          </w:tcPr>
          <w:p w14:paraId="5FDA76AA">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具体等级、性质、内容、规模及措施与要求</w:t>
            </w:r>
          </w:p>
        </w:tc>
      </w:tr>
      <w:tr w14:paraId="524BB9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0B438836">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环境风险及各环境要素评价等级</w:t>
            </w:r>
          </w:p>
        </w:tc>
        <w:tc>
          <w:tcPr>
            <w:tcW w:w="4083" w:type="pct"/>
            <w:vAlign w:val="center"/>
          </w:tcPr>
          <w:p w14:paraId="1F5A2869">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color w:val="auto"/>
                <w:kern w:val="0"/>
                <w:highlight w:val="none"/>
              </w:rPr>
            </w:pPr>
            <w:r>
              <w:rPr>
                <w:rFonts w:ascii="Times New Roman" w:hAnsi="Times New Roman"/>
                <w:color w:val="auto"/>
                <w:kern w:val="0"/>
                <w:highlight w:val="none"/>
              </w:rPr>
              <w:t>环境风险：二级</w:t>
            </w:r>
            <w:r>
              <w:rPr>
                <w:rFonts w:hint="eastAsia" w:ascii="Times New Roman" w:hAnsi="Times New Roman"/>
                <w:color w:val="auto"/>
                <w:kern w:val="0"/>
                <w:highlight w:val="none"/>
              </w:rPr>
              <w:t>，</w:t>
            </w:r>
            <w:r>
              <w:rPr>
                <w:rFonts w:ascii="Times New Roman" w:hAnsi="Times New Roman"/>
                <w:color w:val="auto"/>
                <w:kern w:val="0"/>
                <w:highlight w:val="none"/>
              </w:rPr>
              <w:t>大气</w:t>
            </w:r>
            <w:r>
              <w:rPr>
                <w:rFonts w:hint="eastAsia" w:ascii="Times New Roman" w:hAnsi="Times New Roman"/>
                <w:color w:val="auto"/>
                <w:kern w:val="0"/>
                <w:highlight w:val="none"/>
              </w:rPr>
              <w:t>：</w:t>
            </w:r>
            <w:r>
              <w:rPr>
                <w:rFonts w:ascii="Times New Roman" w:hAnsi="Times New Roman"/>
                <w:color w:val="auto"/>
                <w:kern w:val="0"/>
                <w:highlight w:val="none"/>
              </w:rPr>
              <w:t>二级</w:t>
            </w:r>
            <w:r>
              <w:rPr>
                <w:rFonts w:hint="eastAsia" w:ascii="Times New Roman" w:hAnsi="Times New Roman"/>
                <w:color w:val="auto"/>
                <w:kern w:val="0"/>
                <w:highlight w:val="none"/>
              </w:rPr>
              <w:t>，</w:t>
            </w:r>
            <w:r>
              <w:rPr>
                <w:rFonts w:ascii="Times New Roman" w:hAnsi="Times New Roman"/>
                <w:color w:val="auto"/>
                <w:kern w:val="0"/>
                <w:highlight w:val="none"/>
              </w:rPr>
              <w:t>地表水：</w:t>
            </w:r>
            <w:r>
              <w:rPr>
                <w:rFonts w:hint="eastAsia" w:ascii="Times New Roman" w:hAnsi="Times New Roman"/>
                <w:color w:val="auto"/>
                <w:kern w:val="0"/>
                <w:highlight w:val="none"/>
              </w:rPr>
              <w:t>二</w:t>
            </w:r>
            <w:r>
              <w:rPr>
                <w:rFonts w:ascii="Times New Roman" w:hAnsi="Times New Roman"/>
                <w:color w:val="auto"/>
                <w:kern w:val="0"/>
                <w:highlight w:val="none"/>
              </w:rPr>
              <w:t>级，地下水：简单分析</w:t>
            </w:r>
          </w:p>
        </w:tc>
      </w:tr>
      <w:tr w14:paraId="0D603F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4DAFD4D7">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环境风险类型</w:t>
            </w:r>
          </w:p>
        </w:tc>
        <w:tc>
          <w:tcPr>
            <w:tcW w:w="4083" w:type="pct"/>
            <w:vAlign w:val="center"/>
          </w:tcPr>
          <w:p w14:paraId="0FEC39E4">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color w:val="auto"/>
                <w:kern w:val="0"/>
                <w:highlight w:val="none"/>
              </w:rPr>
            </w:pPr>
            <w:r>
              <w:rPr>
                <w:rFonts w:ascii="Times New Roman" w:hAnsi="Times New Roman"/>
                <w:color w:val="auto"/>
                <w:kern w:val="0"/>
                <w:highlight w:val="none"/>
              </w:rPr>
              <w:t>泄漏、火灾、爆炸</w:t>
            </w:r>
          </w:p>
        </w:tc>
      </w:tr>
      <w:tr w14:paraId="59719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266EC7A1">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危险物质存储情况和最大可信事故</w:t>
            </w:r>
          </w:p>
        </w:tc>
        <w:tc>
          <w:tcPr>
            <w:tcW w:w="4083" w:type="pct"/>
            <w:vAlign w:val="center"/>
          </w:tcPr>
          <w:p w14:paraId="57006E65">
            <w:pPr>
              <w:pStyle w:val="240"/>
              <w:keepNext w:val="0"/>
              <w:keepLines w:val="0"/>
              <w:pageBreakBefore w:val="0"/>
              <w:kinsoku/>
              <w:wordWrap/>
              <w:overflowPunct/>
              <w:topLinePunct w:val="0"/>
              <w:bidi w:val="0"/>
              <w:adjustRightInd w:val="0"/>
              <w:snapToGrid w:val="0"/>
              <w:ind w:left="0" w:right="0" w:firstLine="420" w:firstLineChars="200"/>
              <w:jc w:val="both"/>
              <w:textAlignment w:val="auto"/>
              <w:rPr>
                <w:rFonts w:ascii="Times New Roman" w:hAnsi="Times New Roman"/>
                <w:color w:val="auto"/>
                <w:kern w:val="0"/>
                <w:highlight w:val="none"/>
              </w:rPr>
            </w:pPr>
            <w:r>
              <w:rPr>
                <w:rFonts w:ascii="Times New Roman" w:hAnsi="Times New Roman"/>
                <w:color w:val="auto"/>
                <w:kern w:val="0"/>
                <w:highlight w:val="none"/>
              </w:rPr>
              <w:t>主要危险物质：</w:t>
            </w:r>
            <w:r>
              <w:rPr>
                <w:rFonts w:hint="eastAsia" w:ascii="Times New Roman" w:hAnsi="Times New Roman"/>
                <w:color w:val="auto"/>
                <w:kern w:val="0"/>
                <w:highlight w:val="none"/>
              </w:rPr>
              <w:t>丙烯酸酯树脂、异氰酸酯（六亚甲基-1,6-二异氰酸酯）、丁酮、聚氨酯丙烯酸酯、环氧丙烯酸树脂、单体（二缩三丙二醇二丙烯酸酯）、光敏剂（1-羟环己基苯酮）、酚醛环氧树脂、丙烯酸、2-乙二醇单乙醚醋酸酯（溶剂）、重溶剂油（溶剂）、2-甲基对苯二酚（聚合阻止剂）、三苯基膦（催化剂）、2、6-二叔丁基对甲基苯酚（聚合阻止剂）、四氢化邻苯二甲酸酐、二甲基亚砜、N-甲基吡咯烷酮、四甲基氢氧化铵、2-甲氨基乙醇、邻苯二酚、乙醇胺</w:t>
            </w:r>
            <w:r>
              <w:rPr>
                <w:rFonts w:ascii="Times New Roman" w:hAnsi="Times New Roman"/>
                <w:color w:val="auto"/>
                <w:kern w:val="0"/>
                <w:highlight w:val="none"/>
              </w:rPr>
              <w:t>等，以及</w:t>
            </w:r>
            <w:r>
              <w:rPr>
                <w:rFonts w:hint="eastAsia" w:ascii="Times New Roman" w:hAnsi="Times New Roman"/>
                <w:color w:val="auto"/>
                <w:kern w:val="0"/>
                <w:highlight w:val="none"/>
              </w:rPr>
              <w:t>生产废液</w:t>
            </w:r>
            <w:r>
              <w:rPr>
                <w:rFonts w:ascii="Times New Roman" w:hAnsi="Times New Roman"/>
                <w:color w:val="auto"/>
                <w:kern w:val="0"/>
                <w:highlight w:val="none"/>
              </w:rPr>
              <w:t>等；存储方式：包装桶</w:t>
            </w:r>
            <w:r>
              <w:rPr>
                <w:rFonts w:hint="eastAsia" w:ascii="Times New Roman" w:hAnsi="Times New Roman"/>
                <w:color w:val="auto"/>
                <w:kern w:val="0"/>
                <w:highlight w:val="none"/>
              </w:rPr>
              <w:t>、储罐</w:t>
            </w:r>
            <w:r>
              <w:rPr>
                <w:rFonts w:ascii="Times New Roman" w:hAnsi="Times New Roman"/>
                <w:color w:val="auto"/>
                <w:kern w:val="0"/>
                <w:highlight w:val="none"/>
              </w:rPr>
              <w:t>等；存储量超临界量的物质：</w:t>
            </w:r>
            <w:r>
              <w:rPr>
                <w:rFonts w:ascii="Times New Roman" w:hAnsi="Times New Roman"/>
                <w:color w:val="auto"/>
                <w:spacing w:val="8"/>
                <w:highlight w:val="none"/>
              </w:rPr>
              <w:t>丙烯酸酯组成物</w:t>
            </w:r>
            <w:r>
              <w:rPr>
                <w:rFonts w:hint="eastAsia" w:ascii="Times New Roman" w:hAnsi="Times New Roman"/>
                <w:color w:val="auto"/>
                <w:spacing w:val="8"/>
                <w:highlight w:val="none"/>
              </w:rPr>
              <w:t>、</w:t>
            </w:r>
            <w:r>
              <w:rPr>
                <w:rFonts w:ascii="Times New Roman" w:hAnsi="Times New Roman"/>
                <w:color w:val="auto"/>
                <w:spacing w:val="7"/>
                <w:highlight w:val="none"/>
              </w:rPr>
              <w:t>废丁酮</w:t>
            </w:r>
            <w:r>
              <w:rPr>
                <w:rFonts w:ascii="Times New Roman" w:hAnsi="Times New Roman"/>
                <w:color w:val="auto"/>
                <w:kern w:val="0"/>
                <w:highlight w:val="none"/>
              </w:rPr>
              <w:t>等；风险源主要部位：</w:t>
            </w:r>
            <w:r>
              <w:rPr>
                <w:rFonts w:hint="eastAsia" w:ascii="Times New Roman" w:hAnsi="Times New Roman"/>
                <w:color w:val="auto"/>
                <w:kern w:val="0"/>
                <w:highlight w:val="none"/>
                <w:lang w:eastAsia="zh-CN"/>
              </w:rPr>
              <w:t>危险品仓库</w:t>
            </w:r>
            <w:r>
              <w:rPr>
                <w:rFonts w:hint="eastAsia" w:ascii="Times New Roman" w:hAnsi="Times New Roman"/>
                <w:color w:val="auto"/>
                <w:kern w:val="0"/>
                <w:highlight w:val="none"/>
              </w:rPr>
              <w:t>、成品库、危废库、废液储罐</w:t>
            </w:r>
            <w:r>
              <w:rPr>
                <w:rFonts w:ascii="Times New Roman" w:hAnsi="Times New Roman"/>
                <w:color w:val="auto"/>
                <w:kern w:val="0"/>
                <w:highlight w:val="none"/>
              </w:rPr>
              <w:t>等，最大可信事故为：（1）</w:t>
            </w:r>
            <w:r>
              <w:rPr>
                <w:rFonts w:hint="eastAsia" w:ascii="Times New Roman" w:hAnsi="Times New Roman"/>
                <w:color w:val="auto"/>
                <w:kern w:val="0"/>
                <w:highlight w:val="none"/>
              </w:rPr>
              <w:t>N-甲基吡咯烷酮包装桶泄漏遇明火发生火灾产生一氧化碳进入大气环境、DA005排气筒事故排放进入大气环境</w:t>
            </w:r>
            <w:r>
              <w:rPr>
                <w:rFonts w:ascii="Times New Roman" w:hAnsi="Times New Roman"/>
                <w:color w:val="auto"/>
                <w:kern w:val="0"/>
                <w:highlight w:val="none"/>
              </w:rPr>
              <w:t>。（2）</w:t>
            </w:r>
            <w:r>
              <w:rPr>
                <w:rFonts w:hint="eastAsia" w:ascii="Times New Roman" w:hAnsi="Times New Roman"/>
                <w:color w:val="auto"/>
                <w:kern w:val="0"/>
                <w:highlight w:val="none"/>
              </w:rPr>
              <w:t>废液储罐泄漏污染地表水、地下水环境</w:t>
            </w:r>
            <w:r>
              <w:rPr>
                <w:rFonts w:ascii="Times New Roman" w:hAnsi="Times New Roman"/>
                <w:color w:val="auto"/>
                <w:kern w:val="0"/>
                <w:highlight w:val="none"/>
              </w:rPr>
              <w:t>。</w:t>
            </w:r>
            <w:r>
              <w:rPr>
                <w:rFonts w:hint="eastAsia" w:ascii="Times New Roman" w:hAnsi="Times New Roman"/>
                <w:color w:val="auto"/>
                <w:kern w:val="0"/>
                <w:highlight w:val="none"/>
              </w:rPr>
              <w:t>（3）DA005、DA006排气筒因设备故障或加药系统发生故障、活性炭未及时更换导致废气处理不达标外排至大气环境</w:t>
            </w:r>
          </w:p>
        </w:tc>
      </w:tr>
      <w:tr w14:paraId="6AA35D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1899B4BC">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影响程度判定</w:t>
            </w:r>
          </w:p>
        </w:tc>
        <w:tc>
          <w:tcPr>
            <w:tcW w:w="4083" w:type="pct"/>
            <w:vAlign w:val="center"/>
          </w:tcPr>
          <w:p w14:paraId="67C52B7E">
            <w:pPr>
              <w:keepNext w:val="0"/>
              <w:keepLines w:val="0"/>
              <w:pageBreakBefore w:val="0"/>
              <w:kinsoku/>
              <w:wordWrap/>
              <w:overflowPunct/>
              <w:topLinePunct w:val="0"/>
              <w:bidi w:val="0"/>
              <w:ind w:left="0" w:right="0" w:firstLine="420" w:firstLineChars="20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有毒有害和易燃易爆危险物质存储量超过临界量，</w:t>
            </w:r>
            <w:r>
              <w:rPr>
                <w:rFonts w:ascii="Times New Roman" w:hAnsi="Times New Roman" w:cs="Times New Roman"/>
                <w:snapToGrid w:val="0"/>
                <w:color w:val="auto"/>
                <w:sz w:val="21"/>
                <w:szCs w:val="21"/>
                <w:highlight w:val="none"/>
              </w:rPr>
              <w:t>存在发生较大环境风险的可能，但据《报告》测算概率较低，风险事故的后果在可接受范围。在严格按有关规范搞好危险单元的建设与监管，严格储量控制与规范存放、严格遵守使用与生产的操作规程，认真制定和落实各项环境风险防控措施与应急预案和风险防范与应急物资储备，定期对员工进行突发环境事件应急培训与演练的前提下，风险总体可控并在可接受范围内。</w:t>
            </w:r>
          </w:p>
        </w:tc>
      </w:tr>
      <w:tr w14:paraId="4B5779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16FC28D3">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风险防范与管控的主要工程措施</w:t>
            </w:r>
          </w:p>
        </w:tc>
        <w:tc>
          <w:tcPr>
            <w:tcW w:w="4083" w:type="pct"/>
            <w:vAlign w:val="center"/>
          </w:tcPr>
          <w:p w14:paraId="293BB19C">
            <w:pPr>
              <w:pStyle w:val="20"/>
              <w:keepNext w:val="0"/>
              <w:keepLines w:val="0"/>
              <w:pageBreakBefore w:val="0"/>
              <w:kinsoku/>
              <w:wordWrap/>
              <w:overflowPunct/>
              <w:topLinePunct w:val="0"/>
              <w:bidi w:val="0"/>
              <w:adjustRightInd w:val="0"/>
              <w:snapToGrid w:val="0"/>
              <w:ind w:left="0" w:right="0" w:firstLine="420" w:firstLineChars="200"/>
              <w:jc w:val="both"/>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按照</w:t>
            </w:r>
            <w:r>
              <w:rPr>
                <w:rFonts w:hint="eastAsia" w:ascii="Times New Roman" w:hAnsi="Times New Roman" w:cs="Times New Roman"/>
                <w:snapToGrid w:val="0"/>
                <w:color w:val="auto"/>
                <w:sz w:val="21"/>
                <w:szCs w:val="21"/>
                <w:highlight w:val="none"/>
              </w:rPr>
              <w:t>“</w:t>
            </w:r>
            <w:r>
              <w:rPr>
                <w:rFonts w:ascii="Times New Roman" w:hAnsi="Times New Roman" w:cs="Times New Roman"/>
                <w:snapToGrid w:val="0"/>
                <w:color w:val="auto"/>
                <w:sz w:val="21"/>
                <w:szCs w:val="21"/>
                <w:highlight w:val="none"/>
              </w:rPr>
              <w:t>源头控制、末端防治、污染监控、应急响应</w:t>
            </w:r>
            <w:r>
              <w:rPr>
                <w:rFonts w:hint="eastAsia" w:ascii="Times New Roman" w:hAnsi="Times New Roman" w:cs="Times New Roman"/>
                <w:snapToGrid w:val="0"/>
                <w:color w:val="auto"/>
                <w:sz w:val="21"/>
                <w:szCs w:val="21"/>
                <w:highlight w:val="none"/>
              </w:rPr>
              <w:t>”</w:t>
            </w:r>
            <w:r>
              <w:rPr>
                <w:rFonts w:ascii="Times New Roman" w:hAnsi="Times New Roman" w:cs="Times New Roman"/>
                <w:snapToGrid w:val="0"/>
                <w:color w:val="auto"/>
                <w:sz w:val="21"/>
                <w:szCs w:val="21"/>
                <w:highlight w:val="none"/>
              </w:rPr>
              <w:t>相结合的原则，从污染物的产生、入渗、扩散、应急响应全阶段进行控制。</w:t>
            </w:r>
            <w:r>
              <w:rPr>
                <w:rFonts w:hint="eastAsia" w:ascii="Times New Roman" w:hAnsi="Times New Roman" w:cs="Times New Roman"/>
                <w:snapToGrid w:val="0"/>
                <w:color w:val="auto"/>
                <w:sz w:val="21"/>
                <w:szCs w:val="21"/>
                <w:highlight w:val="none"/>
                <w:lang w:val="en-US" w:eastAsia="zh-CN"/>
              </w:rPr>
              <w:t>危险品仓库</w:t>
            </w:r>
            <w:r>
              <w:rPr>
                <w:rFonts w:ascii="Times New Roman" w:hAnsi="Times New Roman" w:cs="Times New Roman"/>
                <w:snapToGrid w:val="0"/>
                <w:color w:val="auto"/>
                <w:sz w:val="21"/>
                <w:szCs w:val="21"/>
                <w:highlight w:val="none"/>
              </w:rPr>
              <w:t>的设置必须符合相应规范的要求和储存条件，各类危险化学品不得与禁忌物料混合存放。对</w:t>
            </w:r>
            <w:r>
              <w:rPr>
                <w:rFonts w:hint="eastAsia" w:ascii="Times New Roman" w:hAnsi="Times New Roman" w:cs="Times New Roman"/>
                <w:snapToGrid w:val="0"/>
                <w:color w:val="auto"/>
                <w:sz w:val="21"/>
                <w:szCs w:val="21"/>
                <w:highlight w:val="none"/>
                <w:lang w:val="en-US" w:eastAsia="zh-CN"/>
              </w:rPr>
              <w:t>危险品仓库</w:t>
            </w:r>
            <w:r>
              <w:rPr>
                <w:rFonts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val="en-US"/>
              </w:rPr>
              <w:t>成品</w:t>
            </w:r>
            <w:r>
              <w:rPr>
                <w:rFonts w:ascii="Times New Roman" w:hAnsi="Times New Roman" w:cs="Times New Roman"/>
                <w:snapToGrid w:val="0"/>
                <w:color w:val="auto"/>
                <w:sz w:val="21"/>
                <w:szCs w:val="21"/>
                <w:highlight w:val="none"/>
              </w:rPr>
              <w:t>库、危废仓库、</w:t>
            </w:r>
            <w:r>
              <w:rPr>
                <w:rFonts w:hint="eastAsia" w:ascii="Times New Roman" w:hAnsi="Times New Roman" w:cs="Times New Roman"/>
                <w:snapToGrid w:val="0"/>
                <w:color w:val="auto"/>
                <w:sz w:val="21"/>
                <w:szCs w:val="21"/>
                <w:highlight w:val="none"/>
                <w:lang w:val="en-US"/>
              </w:rPr>
              <w:t>废液储罐、</w:t>
            </w:r>
            <w:r>
              <w:rPr>
                <w:rFonts w:ascii="Times New Roman" w:hAnsi="Times New Roman" w:cs="Times New Roman"/>
                <w:snapToGrid w:val="0"/>
                <w:color w:val="auto"/>
                <w:sz w:val="21"/>
                <w:szCs w:val="21"/>
                <w:highlight w:val="none"/>
              </w:rPr>
              <w:t>各生产车间、废气处理设施所在区域等危险单元，应严格按公安、消防、应急管理、生态环境等部门的要求和行业技术规范与指南，做好建设和日常运行、管理、监督工作。</w:t>
            </w:r>
            <w:r>
              <w:rPr>
                <w:rFonts w:hint="eastAsia" w:ascii="Times New Roman" w:hAnsi="Times New Roman" w:cs="Times New Roman"/>
                <w:snapToGrid w:val="0"/>
                <w:color w:val="auto"/>
                <w:sz w:val="21"/>
                <w:szCs w:val="21"/>
                <w:highlight w:val="none"/>
                <w:lang w:val="en-US" w:eastAsia="zh-CN"/>
              </w:rPr>
              <w:t>危险品仓库</w:t>
            </w:r>
            <w:r>
              <w:rPr>
                <w:rFonts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val="en-US"/>
              </w:rPr>
              <w:t>成品</w:t>
            </w:r>
            <w:r>
              <w:rPr>
                <w:rFonts w:ascii="Times New Roman" w:hAnsi="Times New Roman" w:cs="Times New Roman"/>
                <w:snapToGrid w:val="0"/>
                <w:color w:val="auto"/>
                <w:sz w:val="21"/>
                <w:szCs w:val="21"/>
                <w:highlight w:val="none"/>
              </w:rPr>
              <w:t>库、危废仓库、</w:t>
            </w:r>
            <w:r>
              <w:rPr>
                <w:rFonts w:hint="eastAsia" w:ascii="Times New Roman" w:hAnsi="Times New Roman" w:cs="Times New Roman"/>
                <w:snapToGrid w:val="0"/>
                <w:color w:val="auto"/>
                <w:sz w:val="21"/>
                <w:szCs w:val="21"/>
                <w:highlight w:val="none"/>
                <w:lang w:val="en-US"/>
              </w:rPr>
              <w:t>废液储罐、</w:t>
            </w:r>
            <w:r>
              <w:rPr>
                <w:rFonts w:ascii="Times New Roman" w:hAnsi="Times New Roman" w:cs="Times New Roman"/>
                <w:snapToGrid w:val="0"/>
                <w:color w:val="auto"/>
                <w:sz w:val="21"/>
                <w:szCs w:val="21"/>
                <w:highlight w:val="none"/>
              </w:rPr>
              <w:t>各生产车间、废气处理设施等应按消防要求划定禁火、防爆区域，配置消防灭火系统，对使用易燃易爆介质的设备</w:t>
            </w:r>
            <w:r>
              <w:rPr>
                <w:rFonts w:ascii="Times New Roman" w:hAnsi="Times New Roman" w:cs="Times New Roman"/>
                <w:snapToGrid w:val="0"/>
                <w:color w:val="auto"/>
                <w:sz w:val="21"/>
                <w:szCs w:val="21"/>
                <w:highlight w:val="none"/>
                <w:lang w:val="en-US"/>
              </w:rPr>
              <w:t>和产生、存放涉</w:t>
            </w:r>
            <w:r>
              <w:rPr>
                <w:rFonts w:ascii="Times New Roman" w:hAnsi="Times New Roman" w:cs="Times New Roman"/>
                <w:snapToGrid w:val="0"/>
                <w:color w:val="auto"/>
                <w:sz w:val="21"/>
                <w:szCs w:val="21"/>
                <w:highlight w:val="none"/>
              </w:rPr>
              <w:t>爆</w:t>
            </w:r>
            <w:r>
              <w:rPr>
                <w:rFonts w:ascii="Times New Roman" w:hAnsi="Times New Roman" w:cs="Times New Roman"/>
                <w:snapToGrid w:val="0"/>
                <w:color w:val="auto"/>
                <w:sz w:val="21"/>
                <w:szCs w:val="21"/>
                <w:highlight w:val="none"/>
                <w:lang w:val="en-US"/>
              </w:rPr>
              <w:t>粉尘的部位</w:t>
            </w:r>
            <w:r>
              <w:rPr>
                <w:rFonts w:ascii="Times New Roman" w:hAnsi="Times New Roman" w:cs="Times New Roman"/>
                <w:snapToGrid w:val="0"/>
                <w:color w:val="auto"/>
                <w:sz w:val="21"/>
                <w:szCs w:val="21"/>
                <w:highlight w:val="none"/>
              </w:rPr>
              <w:t>，应设置防燃爆元</w:t>
            </w:r>
            <w:r>
              <w:rPr>
                <w:rFonts w:ascii="Times New Roman" w:hAnsi="Times New Roman" w:cs="Times New Roman"/>
                <w:snapToGrid w:val="0"/>
                <w:color w:val="auto"/>
                <w:sz w:val="21"/>
                <w:szCs w:val="21"/>
                <w:highlight w:val="none"/>
                <w:lang w:val="en-US"/>
              </w:rPr>
              <w:t>件或采取</w:t>
            </w:r>
            <w:r>
              <w:rPr>
                <w:rFonts w:ascii="Times New Roman" w:hAnsi="Times New Roman" w:cs="Times New Roman"/>
                <w:snapToGrid w:val="0"/>
                <w:color w:val="auto"/>
                <w:sz w:val="21"/>
                <w:szCs w:val="21"/>
                <w:highlight w:val="none"/>
              </w:rPr>
              <w:t>防燃爆</w:t>
            </w:r>
            <w:r>
              <w:rPr>
                <w:rFonts w:ascii="Times New Roman" w:hAnsi="Times New Roman" w:cs="Times New Roman"/>
                <w:snapToGrid w:val="0"/>
                <w:color w:val="auto"/>
                <w:sz w:val="21"/>
                <w:szCs w:val="21"/>
                <w:highlight w:val="none"/>
                <w:lang w:val="en-US"/>
              </w:rPr>
              <w:t>工程与管理等措施</w:t>
            </w:r>
            <w:r>
              <w:rPr>
                <w:rFonts w:ascii="Times New Roman" w:hAnsi="Times New Roman" w:cs="Times New Roman"/>
                <w:snapToGrid w:val="0"/>
                <w:color w:val="auto"/>
                <w:sz w:val="21"/>
                <w:szCs w:val="21"/>
                <w:highlight w:val="none"/>
              </w:rPr>
              <w:t>。</w:t>
            </w:r>
          </w:p>
          <w:p w14:paraId="0E2632F5">
            <w:pPr>
              <w:pStyle w:val="20"/>
              <w:keepNext w:val="0"/>
              <w:keepLines w:val="0"/>
              <w:pageBreakBefore w:val="0"/>
              <w:kinsoku/>
              <w:wordWrap/>
              <w:overflowPunct/>
              <w:topLinePunct w:val="0"/>
              <w:bidi w:val="0"/>
              <w:adjustRightInd w:val="0"/>
              <w:snapToGrid w:val="0"/>
              <w:ind w:left="0" w:right="0" w:firstLine="420" w:firstLineChars="200"/>
              <w:jc w:val="both"/>
              <w:textAlignment w:val="auto"/>
              <w:rPr>
                <w:rFonts w:ascii="Times New Roman" w:hAnsi="Times New Roman" w:cs="Times New Roman"/>
                <w:snapToGrid w:val="0"/>
                <w:color w:val="auto"/>
                <w:sz w:val="21"/>
                <w:szCs w:val="21"/>
                <w:highlight w:val="none"/>
              </w:rPr>
            </w:pPr>
            <w:r>
              <w:rPr>
                <w:rFonts w:hint="eastAsia" w:ascii="Times New Roman" w:hAnsi="Times New Roman" w:cs="Times New Roman"/>
                <w:snapToGrid w:val="0"/>
                <w:color w:val="auto"/>
                <w:sz w:val="21"/>
                <w:szCs w:val="21"/>
                <w:highlight w:val="none"/>
                <w:lang w:val="en-US" w:eastAsia="zh-CN"/>
              </w:rPr>
              <w:t>已</w:t>
            </w:r>
            <w:r>
              <w:rPr>
                <w:rFonts w:ascii="Times New Roman" w:hAnsi="Times New Roman" w:cs="Times New Roman"/>
                <w:snapToGrid w:val="0"/>
                <w:color w:val="auto"/>
                <w:sz w:val="21"/>
                <w:szCs w:val="21"/>
                <w:highlight w:val="none"/>
              </w:rPr>
              <w:t>建设容积</w:t>
            </w:r>
            <w:r>
              <w:rPr>
                <w:rFonts w:hint="eastAsia" w:ascii="Times New Roman" w:hAnsi="Times New Roman" w:cs="Times New Roman"/>
                <w:snapToGrid w:val="0"/>
                <w:color w:val="auto"/>
                <w:sz w:val="21"/>
                <w:szCs w:val="21"/>
                <w:highlight w:val="none"/>
                <w:lang w:val="en-US" w:eastAsia="zh-CN"/>
              </w:rPr>
              <w:t>540</w:t>
            </w:r>
            <w:r>
              <w:rPr>
                <w:rFonts w:ascii="Times New Roman" w:hAnsi="Times New Roman" w:cs="Times New Roman"/>
                <w:snapToGrid w:val="0"/>
                <w:color w:val="auto"/>
                <w:sz w:val="21"/>
                <w:szCs w:val="21"/>
                <w:highlight w:val="none"/>
              </w:rPr>
              <w:t>m</w:t>
            </w:r>
            <w:r>
              <w:rPr>
                <w:rFonts w:ascii="Times New Roman" w:hAnsi="Times New Roman" w:cs="Times New Roman"/>
                <w:snapToGrid w:val="0"/>
                <w:color w:val="auto"/>
                <w:sz w:val="21"/>
                <w:szCs w:val="21"/>
                <w:highlight w:val="none"/>
                <w:vertAlign w:val="superscript"/>
              </w:rPr>
              <w:t>3</w:t>
            </w:r>
            <w:r>
              <w:rPr>
                <w:rFonts w:ascii="Times New Roman" w:hAnsi="Times New Roman" w:cs="Times New Roman"/>
                <w:snapToGrid w:val="0"/>
                <w:color w:val="auto"/>
                <w:sz w:val="21"/>
                <w:szCs w:val="21"/>
                <w:highlight w:val="none"/>
              </w:rPr>
              <w:t>事故池</w:t>
            </w:r>
            <w:r>
              <w:rPr>
                <w:rFonts w:hint="eastAsia" w:ascii="Times New Roman" w:hAnsi="Times New Roman" w:cs="Times New Roman"/>
                <w:snapToGrid w:val="0"/>
                <w:color w:val="auto"/>
                <w:sz w:val="21"/>
                <w:szCs w:val="21"/>
                <w:highlight w:val="none"/>
                <w:lang w:val="en-US" w:eastAsia="zh-CN"/>
              </w:rPr>
              <w:t>和380m</w:t>
            </w:r>
            <w:r>
              <w:rPr>
                <w:rFonts w:hint="eastAsia" w:ascii="Times New Roman" w:hAnsi="Times New Roman" w:cs="Times New Roman"/>
                <w:snapToGrid w:val="0"/>
                <w:color w:val="auto"/>
                <w:sz w:val="21"/>
                <w:szCs w:val="21"/>
                <w:highlight w:val="none"/>
                <w:vertAlign w:val="superscript"/>
                <w:lang w:val="en-US" w:eastAsia="zh-CN"/>
              </w:rPr>
              <w:t>3</w:t>
            </w:r>
            <w:r>
              <w:rPr>
                <w:rFonts w:hint="eastAsia" w:ascii="Times New Roman" w:hAnsi="Times New Roman" w:cs="Times New Roman"/>
                <w:snapToGrid w:val="0"/>
                <w:color w:val="auto"/>
                <w:sz w:val="21"/>
                <w:szCs w:val="21"/>
                <w:highlight w:val="none"/>
                <w:vertAlign w:val="baseline"/>
                <w:lang w:val="en-US" w:eastAsia="zh-CN"/>
              </w:rPr>
              <w:t>初期雨水收集池</w:t>
            </w:r>
            <w:r>
              <w:rPr>
                <w:rFonts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val="en-US" w:eastAsia="zh-CN"/>
              </w:rPr>
              <w:t>危险品仓库</w:t>
            </w:r>
            <w:r>
              <w:rPr>
                <w:rFonts w:hint="eastAsia"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val="en-US"/>
              </w:rPr>
              <w:t>成品库</w:t>
            </w:r>
            <w:r>
              <w:rPr>
                <w:rFonts w:ascii="Times New Roman" w:hAnsi="Times New Roman" w:cs="Times New Roman"/>
                <w:snapToGrid w:val="0"/>
                <w:color w:val="auto"/>
                <w:sz w:val="21"/>
                <w:szCs w:val="21"/>
                <w:highlight w:val="none"/>
              </w:rPr>
              <w:t>和危废仓库要全面落实防雨、防晒、防渗、防腐、防火、防爆、防泄漏、防雷电、通风等技术措施；属于液态化学品物质的应按有关技术规范和规定设置围堰、托盘、截流沟、收集池等</w:t>
            </w:r>
            <w:r>
              <w:rPr>
                <w:rFonts w:hint="eastAsia" w:ascii="Times New Roman" w:hAnsi="Times New Roman" w:cs="Times New Roman"/>
                <w:snapToGrid w:val="0"/>
                <w:color w:val="auto"/>
                <w:sz w:val="21"/>
                <w:szCs w:val="21"/>
                <w:highlight w:val="none"/>
              </w:rPr>
              <w:t>，</w:t>
            </w:r>
            <w:r>
              <w:rPr>
                <w:rFonts w:ascii="Times New Roman" w:hAnsi="Times New Roman" w:cs="Times New Roman"/>
                <w:snapToGrid w:val="0"/>
                <w:color w:val="auto"/>
                <w:sz w:val="21"/>
                <w:szCs w:val="21"/>
                <w:highlight w:val="none"/>
              </w:rPr>
              <w:t>防止泄漏物质进入外环境；厂区实行雨污分流并设置截流切断阀，落实专人管理等措施；电动自动控制阀，火灾、泄漏等探测、报警、防爆监控设施应设置备用电源或不间断电源（UPS），以时刻保持正常工作状态。</w:t>
            </w:r>
          </w:p>
        </w:tc>
      </w:tr>
      <w:tr w14:paraId="7710C7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18E6120E">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风险防范与管控的其它措施</w:t>
            </w:r>
          </w:p>
        </w:tc>
        <w:tc>
          <w:tcPr>
            <w:tcW w:w="4083" w:type="pct"/>
            <w:vAlign w:val="center"/>
          </w:tcPr>
          <w:p w14:paraId="19645D5A">
            <w:pPr>
              <w:pStyle w:val="240"/>
              <w:keepNext w:val="0"/>
              <w:keepLines w:val="0"/>
              <w:pageBreakBefore w:val="0"/>
              <w:kinsoku/>
              <w:wordWrap/>
              <w:overflowPunct/>
              <w:topLinePunct w:val="0"/>
              <w:bidi w:val="0"/>
              <w:adjustRightInd w:val="0"/>
              <w:snapToGrid w:val="0"/>
              <w:ind w:left="0" w:right="0" w:firstLine="420" w:firstLineChars="200"/>
              <w:jc w:val="both"/>
              <w:textAlignment w:val="auto"/>
              <w:rPr>
                <w:rFonts w:ascii="Times New Roman" w:hAnsi="Times New Roman"/>
                <w:color w:val="auto"/>
                <w:kern w:val="0"/>
                <w:highlight w:val="none"/>
              </w:rPr>
            </w:pPr>
            <w:r>
              <w:rPr>
                <w:rFonts w:ascii="Times New Roman" w:hAnsi="Times New Roman"/>
                <w:color w:val="auto"/>
                <w:kern w:val="0"/>
                <w:highlight w:val="none"/>
              </w:rPr>
              <w:t>应设专职环保专员，配备必要的人员防护、急救和事故应急器材；制定落实应急预案和各项环境风险防控措施，定期对员工进行操作规程、突发环境事件应急培训与应急演练。对存贮、使用或输送易燃易爆、有毒有害物质的设备和管道加强保养维护和检查，确保处于良好状态；对废气和废水处理系统及所用填料，进行定期的测试、检修、更新、维护,确保设备处于良好状态。一旦发生风险苗头和事故，按应急预案或有关规定进行设备故障、泄漏、火灾、爆炸、土壤、地下水污染等事故的处理、处置和人员救护，并积极消除其后续影响。</w:t>
            </w:r>
          </w:p>
        </w:tc>
      </w:tr>
      <w:tr w14:paraId="46C824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7" w:type="pct"/>
            <w:vAlign w:val="center"/>
          </w:tcPr>
          <w:p w14:paraId="59EF0B42">
            <w:pPr>
              <w:pStyle w:val="240"/>
              <w:keepNext w:val="0"/>
              <w:keepLines w:val="0"/>
              <w:pageBreakBefore w:val="0"/>
              <w:kinsoku/>
              <w:wordWrap/>
              <w:overflowPunct/>
              <w:topLinePunct w:val="0"/>
              <w:bidi w:val="0"/>
              <w:adjustRightInd w:val="0"/>
              <w:snapToGrid w:val="0"/>
              <w:ind w:left="0" w:right="0"/>
              <w:textAlignment w:val="auto"/>
              <w:rPr>
                <w:rFonts w:ascii="Times New Roman" w:hAnsi="Times New Roman"/>
                <w:b/>
                <w:color w:val="auto"/>
                <w:kern w:val="0"/>
                <w:highlight w:val="none"/>
              </w:rPr>
            </w:pPr>
            <w:r>
              <w:rPr>
                <w:rFonts w:ascii="Times New Roman" w:hAnsi="Times New Roman"/>
                <w:b/>
                <w:color w:val="auto"/>
                <w:kern w:val="0"/>
                <w:highlight w:val="none"/>
              </w:rPr>
              <w:t>环境安全距离设置</w:t>
            </w:r>
          </w:p>
        </w:tc>
        <w:tc>
          <w:tcPr>
            <w:tcW w:w="4083" w:type="pct"/>
            <w:vAlign w:val="center"/>
          </w:tcPr>
          <w:p w14:paraId="2FA7D386">
            <w:pPr>
              <w:keepNext w:val="0"/>
              <w:keepLines w:val="0"/>
              <w:pageBreakBefore w:val="0"/>
              <w:kinsoku/>
              <w:wordWrap/>
              <w:overflowPunct/>
              <w:topLinePunct w:val="0"/>
              <w:bidi w:val="0"/>
              <w:ind w:left="0" w:right="0"/>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根</w:t>
            </w:r>
            <w:r>
              <w:rPr>
                <w:rFonts w:ascii="Times New Roman" w:hAnsi="Times New Roman" w:cs="Times New Roman"/>
                <w:color w:val="auto"/>
                <w:sz w:val="21"/>
                <w:szCs w:val="21"/>
                <w:highlight w:val="none"/>
              </w:rPr>
              <w:t>据《报告》按有关规范测算，本项目不需要设置大气环境防护距离。</w:t>
            </w:r>
          </w:p>
        </w:tc>
      </w:tr>
      <w:bookmarkEnd w:id="493"/>
      <w:bookmarkEnd w:id="494"/>
      <w:bookmarkEnd w:id="495"/>
      <w:bookmarkEnd w:id="496"/>
      <w:bookmarkEnd w:id="497"/>
      <w:bookmarkEnd w:id="498"/>
      <w:bookmarkEnd w:id="504"/>
    </w:tbl>
    <w:p w14:paraId="16A9560A">
      <w:pPr>
        <w:spacing w:line="360" w:lineRule="auto"/>
        <w:ind w:left="-105" w:right="-105" w:firstLine="480" w:firstLineChars="200"/>
        <w:rPr>
          <w:rFonts w:ascii="Times New Roman" w:hAnsi="Times New Roman"/>
          <w:color w:val="auto"/>
          <w:szCs w:val="21"/>
          <w:highlight w:val="none"/>
        </w:rPr>
      </w:pPr>
    </w:p>
    <w:p w14:paraId="4EAF62FD">
      <w:pPr>
        <w:spacing w:line="360" w:lineRule="auto"/>
        <w:ind w:left="-105" w:right="-105" w:firstLine="480"/>
        <w:rPr>
          <w:rFonts w:ascii="Times New Roman" w:hAnsi="Times New Roman"/>
          <w:color w:val="auto"/>
          <w:highlight w:val="none"/>
        </w:rPr>
        <w:sectPr>
          <w:headerReference r:id="rId25" w:type="default"/>
          <w:headerReference r:id="rId26"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bookmarkEnd w:id="486"/>
    <w:bookmarkEnd w:id="487"/>
    <w:bookmarkEnd w:id="488"/>
    <w:p w14:paraId="2A6B7261">
      <w:pPr>
        <w:pStyle w:val="4"/>
        <w:numPr>
          <w:ilvl w:val="1"/>
          <w:numId w:val="6"/>
        </w:numPr>
        <w:tabs>
          <w:tab w:val="left" w:pos="426"/>
        </w:tabs>
        <w:spacing w:before="120" w:beforeLines="50" w:after="120" w:afterLines="50" w:line="360" w:lineRule="auto"/>
        <w:ind w:left="-105" w:right="-105" w:firstLine="562"/>
        <w:rPr>
          <w:rFonts w:ascii="Times New Roman" w:eastAsia="宋体"/>
          <w:color w:val="auto"/>
          <w:sz w:val="28"/>
          <w:szCs w:val="28"/>
          <w:highlight w:val="none"/>
        </w:rPr>
      </w:pPr>
      <w:bookmarkStart w:id="505" w:name="_Toc781"/>
      <w:r>
        <w:rPr>
          <w:rFonts w:hint="eastAsia" w:ascii="Times New Roman" w:eastAsia="宋体"/>
          <w:color w:val="auto"/>
          <w:sz w:val="28"/>
          <w:szCs w:val="28"/>
          <w:highlight w:val="none"/>
        </w:rPr>
        <w:t>运行期环境治理与保护措施</w:t>
      </w:r>
      <w:bookmarkEnd w:id="505"/>
    </w:p>
    <w:p w14:paraId="0E96F02E">
      <w:pPr>
        <w:pStyle w:val="15"/>
        <w:spacing w:line="360" w:lineRule="auto"/>
        <w:ind w:left="-105" w:right="-105" w:firstLine="482" w:firstLineChars="200"/>
        <w:rPr>
          <w:rFonts w:eastAsia="宋体" w:cs="Times New Roman"/>
          <w:color w:val="auto"/>
          <w:sz w:val="24"/>
          <w:szCs w:val="21"/>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7.7</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r>
        <w:rPr>
          <w:rFonts w:hint="eastAsia" w:eastAsia="宋体" w:cs="Times New Roman"/>
          <w:color w:val="auto"/>
          <w:sz w:val="24"/>
          <w:szCs w:val="18"/>
          <w:highlight w:val="none"/>
        </w:rPr>
        <w:t>运行期环境治理与保护措施</w:t>
      </w:r>
    </w:p>
    <w:tbl>
      <w:tblPr>
        <w:tblStyle w:val="4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2"/>
        <w:gridCol w:w="548"/>
        <w:gridCol w:w="1758"/>
        <w:gridCol w:w="22"/>
        <w:gridCol w:w="1641"/>
        <w:gridCol w:w="1355"/>
        <w:gridCol w:w="1116"/>
        <w:gridCol w:w="1817"/>
        <w:gridCol w:w="703"/>
        <w:gridCol w:w="1252"/>
        <w:gridCol w:w="932"/>
        <w:gridCol w:w="2481"/>
      </w:tblGrid>
      <w:tr w14:paraId="3D4F9A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384" w:type="pct"/>
            <w:gridSpan w:val="2"/>
            <w:vMerge w:val="restart"/>
            <w:vAlign w:val="center"/>
          </w:tcPr>
          <w:p w14:paraId="4DF2E382">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类别</w:t>
            </w:r>
          </w:p>
          <w:p w14:paraId="7925B81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形式</w:t>
            </w:r>
          </w:p>
          <w:p w14:paraId="1F31B34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685" w:type="pct"/>
            <w:gridSpan w:val="4"/>
            <w:vAlign w:val="center"/>
          </w:tcPr>
          <w:p w14:paraId="7BFDB16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污染物（t/a）</w:t>
            </w:r>
          </w:p>
        </w:tc>
        <w:tc>
          <w:tcPr>
            <w:tcW w:w="1283" w:type="pct"/>
            <w:gridSpan w:val="3"/>
            <w:vAlign w:val="center"/>
          </w:tcPr>
          <w:p w14:paraId="557C3EC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捕集、处理（保护）工程措施</w:t>
            </w:r>
          </w:p>
        </w:tc>
        <w:tc>
          <w:tcPr>
            <w:tcW w:w="1646" w:type="pct"/>
            <w:gridSpan w:val="3"/>
            <w:vAlign w:val="center"/>
          </w:tcPr>
          <w:p w14:paraId="6B2211A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排放情况及有关要求</w:t>
            </w:r>
          </w:p>
        </w:tc>
      </w:tr>
      <w:tr w14:paraId="345E1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84" w:type="pct"/>
            <w:gridSpan w:val="2"/>
            <w:vMerge w:val="continue"/>
            <w:vAlign w:val="center"/>
          </w:tcPr>
          <w:p w14:paraId="497D45F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Align w:val="center"/>
          </w:tcPr>
          <w:p w14:paraId="4656534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产污序号及种类</w:t>
            </w:r>
          </w:p>
        </w:tc>
        <w:tc>
          <w:tcPr>
            <w:tcW w:w="579" w:type="pct"/>
            <w:vAlign w:val="center"/>
          </w:tcPr>
          <w:p w14:paraId="5B64270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名称</w:t>
            </w:r>
          </w:p>
        </w:tc>
        <w:tc>
          <w:tcPr>
            <w:tcW w:w="478" w:type="pct"/>
            <w:vAlign w:val="center"/>
          </w:tcPr>
          <w:p w14:paraId="4ED23B4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捕集（逃逸）量/产生量</w:t>
            </w:r>
          </w:p>
        </w:tc>
        <w:tc>
          <w:tcPr>
            <w:tcW w:w="393" w:type="pct"/>
            <w:vAlign w:val="center"/>
          </w:tcPr>
          <w:p w14:paraId="6A1B676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方式</w:t>
            </w:r>
          </w:p>
          <w:p w14:paraId="2855A5E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/效率%</w:t>
            </w:r>
          </w:p>
        </w:tc>
        <w:tc>
          <w:tcPr>
            <w:tcW w:w="641" w:type="pct"/>
            <w:vAlign w:val="center"/>
          </w:tcPr>
          <w:p w14:paraId="7B92DE4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主要设施、工艺、规模、能力等</w:t>
            </w:r>
          </w:p>
        </w:tc>
        <w:tc>
          <w:tcPr>
            <w:tcW w:w="248" w:type="pct"/>
            <w:vAlign w:val="center"/>
          </w:tcPr>
          <w:p w14:paraId="08C5330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去除率%</w:t>
            </w:r>
          </w:p>
        </w:tc>
        <w:tc>
          <w:tcPr>
            <w:tcW w:w="441" w:type="pct"/>
            <w:vAlign w:val="center"/>
          </w:tcPr>
          <w:p w14:paraId="3C177B9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排放（接管）量t/a</w:t>
            </w:r>
          </w:p>
        </w:tc>
        <w:tc>
          <w:tcPr>
            <w:tcW w:w="328" w:type="pct"/>
            <w:vAlign w:val="center"/>
          </w:tcPr>
          <w:p w14:paraId="5C5AC24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去向</w:t>
            </w:r>
          </w:p>
        </w:tc>
        <w:tc>
          <w:tcPr>
            <w:tcW w:w="875" w:type="pct"/>
            <w:vAlign w:val="center"/>
          </w:tcPr>
          <w:p w14:paraId="5B80CDF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执行标准</w:t>
            </w:r>
          </w:p>
          <w:p w14:paraId="45BA2AA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bCs/>
                <w:color w:val="auto"/>
                <w:highlight w:val="none"/>
              </w:rPr>
            </w:pPr>
            <w:r>
              <w:rPr>
                <w:rFonts w:ascii="Times New Roman" w:hAnsi="Times New Roman"/>
                <w:b/>
                <w:bCs/>
                <w:color w:val="auto"/>
                <w:highlight w:val="none"/>
              </w:rPr>
              <w:t>与要求</w:t>
            </w:r>
          </w:p>
        </w:tc>
      </w:tr>
      <w:tr w14:paraId="2A1DF1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restart"/>
            <w:vAlign w:val="center"/>
          </w:tcPr>
          <w:p w14:paraId="7973716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废</w:t>
            </w:r>
          </w:p>
          <w:p w14:paraId="44FA9C0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气</w:t>
            </w:r>
          </w:p>
        </w:tc>
        <w:tc>
          <w:tcPr>
            <w:tcW w:w="193" w:type="pct"/>
            <w:vMerge w:val="restart"/>
            <w:vAlign w:val="center"/>
          </w:tcPr>
          <w:p w14:paraId="43BFEEA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有组织</w:t>
            </w:r>
          </w:p>
        </w:tc>
        <w:tc>
          <w:tcPr>
            <w:tcW w:w="628" w:type="pct"/>
            <w:gridSpan w:val="2"/>
            <w:vAlign w:val="center"/>
          </w:tcPr>
          <w:p w14:paraId="0897646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混合、收缸废气</w:t>
            </w:r>
            <w:r>
              <w:rPr>
                <w:rFonts w:ascii="Times New Roman" w:hAnsi="Times New Roman"/>
                <w:color w:val="auto"/>
                <w:highlight w:val="none"/>
              </w:rPr>
              <w:t>（G1-1</w:t>
            </w:r>
            <w:r>
              <w:rPr>
                <w:rFonts w:hint="eastAsia" w:ascii="Times New Roman" w:hAnsi="Times New Roman"/>
                <w:color w:val="auto"/>
                <w:highlight w:val="none"/>
              </w:rPr>
              <w:t>、</w:t>
            </w:r>
            <w:r>
              <w:rPr>
                <w:rFonts w:ascii="Times New Roman" w:hAnsi="Times New Roman"/>
                <w:color w:val="auto"/>
                <w:highlight w:val="none"/>
              </w:rPr>
              <w:t>1-3）</w:t>
            </w:r>
          </w:p>
        </w:tc>
        <w:tc>
          <w:tcPr>
            <w:tcW w:w="579" w:type="pct"/>
            <w:vAlign w:val="center"/>
          </w:tcPr>
          <w:p w14:paraId="20C15392">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非甲烷总烃</w:t>
            </w:r>
          </w:p>
        </w:tc>
        <w:tc>
          <w:tcPr>
            <w:tcW w:w="478" w:type="pct"/>
            <w:vAlign w:val="center"/>
          </w:tcPr>
          <w:p w14:paraId="2643BC55">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1.1540</w:t>
            </w:r>
            <w:r>
              <w:rPr>
                <w:rFonts w:ascii="Times New Roman" w:hAnsi="Times New Roman"/>
                <w:color w:val="auto"/>
                <w:highlight w:val="none"/>
              </w:rPr>
              <w:t>/</w:t>
            </w:r>
            <w:r>
              <w:rPr>
                <w:rFonts w:hint="eastAsia" w:ascii="Times New Roman" w:hAnsi="Times New Roman"/>
                <w:color w:val="auto"/>
                <w:highlight w:val="none"/>
                <w:lang w:val="en-US" w:eastAsia="zh-CN"/>
              </w:rPr>
              <w:t>1.1775</w:t>
            </w:r>
          </w:p>
        </w:tc>
        <w:tc>
          <w:tcPr>
            <w:tcW w:w="393" w:type="pct"/>
            <w:vAlign w:val="center"/>
          </w:tcPr>
          <w:p w14:paraId="106A0228">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密闭收集/</w:t>
            </w:r>
            <w:r>
              <w:rPr>
                <w:rFonts w:hint="eastAsia" w:ascii="Times New Roman" w:hAnsi="Times New Roman"/>
                <w:color w:val="auto"/>
                <w:highlight w:val="none"/>
                <w:lang w:val="en-US" w:eastAsia="zh-CN"/>
              </w:rPr>
              <w:t>98</w:t>
            </w:r>
          </w:p>
        </w:tc>
        <w:tc>
          <w:tcPr>
            <w:tcW w:w="641" w:type="pct"/>
            <w:vAlign w:val="center"/>
          </w:tcPr>
          <w:p w14:paraId="1E34F31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风量合计</w:t>
            </w:r>
            <w:r>
              <w:rPr>
                <w:rFonts w:hint="eastAsia" w:ascii="Times New Roman" w:hAnsi="Times New Roman"/>
                <w:color w:val="auto"/>
                <w:highlight w:val="none"/>
              </w:rPr>
              <w:t>20</w:t>
            </w:r>
            <w:r>
              <w:rPr>
                <w:rFonts w:ascii="Times New Roman" w:hAnsi="Times New Roman"/>
                <w:color w:val="auto"/>
                <w:highlight w:val="none"/>
              </w:rPr>
              <w:t>000m</w:t>
            </w:r>
            <w:r>
              <w:rPr>
                <w:rFonts w:ascii="Times New Roman" w:hAnsi="Times New Roman"/>
                <w:color w:val="auto"/>
                <w:highlight w:val="none"/>
                <w:vertAlign w:val="superscript"/>
              </w:rPr>
              <w:t>3</w:t>
            </w:r>
            <w:r>
              <w:rPr>
                <w:rFonts w:ascii="Times New Roman" w:hAnsi="Times New Roman"/>
                <w:color w:val="auto"/>
                <w:highlight w:val="none"/>
              </w:rPr>
              <w:t>/h；废气经</w:t>
            </w:r>
            <w:r>
              <w:rPr>
                <w:rFonts w:hint="eastAsia" w:ascii="Times New Roman" w:hAnsi="Times New Roman"/>
                <w:color w:val="auto"/>
                <w:highlight w:val="none"/>
              </w:rPr>
              <w:t>“3级碱液喷淋+二级活性炭吸附”</w:t>
            </w:r>
            <w:r>
              <w:rPr>
                <w:rFonts w:ascii="Times New Roman" w:hAnsi="Times New Roman"/>
                <w:color w:val="auto"/>
                <w:highlight w:val="none"/>
              </w:rPr>
              <w:t>处理。</w:t>
            </w:r>
          </w:p>
        </w:tc>
        <w:tc>
          <w:tcPr>
            <w:tcW w:w="248" w:type="pct"/>
            <w:vAlign w:val="center"/>
          </w:tcPr>
          <w:p w14:paraId="1E8A5D2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9</w:t>
            </w:r>
            <w:r>
              <w:rPr>
                <w:rFonts w:hint="eastAsia" w:ascii="Times New Roman" w:hAnsi="Times New Roman"/>
                <w:color w:val="auto"/>
                <w:highlight w:val="none"/>
              </w:rPr>
              <w:t>0</w:t>
            </w:r>
          </w:p>
        </w:tc>
        <w:tc>
          <w:tcPr>
            <w:tcW w:w="441" w:type="pct"/>
            <w:vAlign w:val="center"/>
          </w:tcPr>
          <w:p w14:paraId="17319982">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0.1154</w:t>
            </w:r>
          </w:p>
        </w:tc>
        <w:tc>
          <w:tcPr>
            <w:tcW w:w="328" w:type="pct"/>
            <w:vAlign w:val="center"/>
          </w:tcPr>
          <w:p w14:paraId="3FC4F0A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DA005</w:t>
            </w:r>
          </w:p>
        </w:tc>
        <w:tc>
          <w:tcPr>
            <w:tcW w:w="875" w:type="pct"/>
            <w:vAlign w:val="center"/>
          </w:tcPr>
          <w:p w14:paraId="5DF33BFE">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非甲烷总烃执行《大气污染物综合排放标准》（DB32/4041-2021）表1标准</w:t>
            </w:r>
          </w:p>
        </w:tc>
      </w:tr>
      <w:tr w14:paraId="3A07BA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4140E8C2">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129FDC1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restart"/>
            <w:vAlign w:val="center"/>
          </w:tcPr>
          <w:p w14:paraId="4C9A507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实验</w:t>
            </w:r>
            <w:r>
              <w:rPr>
                <w:rFonts w:ascii="Times New Roman" w:hAnsi="Times New Roman"/>
                <w:color w:val="auto"/>
                <w:highlight w:val="none"/>
              </w:rPr>
              <w:t>废气（G1-</w:t>
            </w:r>
            <w:r>
              <w:rPr>
                <w:rFonts w:hint="eastAsia" w:ascii="Times New Roman" w:hAnsi="Times New Roman"/>
                <w:color w:val="auto"/>
                <w:highlight w:val="none"/>
              </w:rPr>
              <w:t>2</w:t>
            </w:r>
            <w:r>
              <w:rPr>
                <w:rFonts w:ascii="Times New Roman" w:hAnsi="Times New Roman"/>
                <w:color w:val="auto"/>
                <w:highlight w:val="none"/>
              </w:rPr>
              <w:t>）</w:t>
            </w:r>
          </w:p>
        </w:tc>
        <w:tc>
          <w:tcPr>
            <w:tcW w:w="579" w:type="pct"/>
            <w:vAlign w:val="center"/>
          </w:tcPr>
          <w:p w14:paraId="6233E63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非甲烷总烃</w:t>
            </w:r>
          </w:p>
        </w:tc>
        <w:tc>
          <w:tcPr>
            <w:tcW w:w="478" w:type="pct"/>
            <w:vAlign w:val="center"/>
          </w:tcPr>
          <w:p w14:paraId="17A3E12F">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rPr>
              <w:t>0.0</w:t>
            </w:r>
            <w:r>
              <w:rPr>
                <w:rFonts w:hint="eastAsia" w:ascii="Times New Roman" w:hAnsi="Times New Roman"/>
                <w:color w:val="auto"/>
                <w:highlight w:val="none"/>
                <w:lang w:val="en-US" w:eastAsia="zh-CN"/>
              </w:rPr>
              <w:t>062</w:t>
            </w:r>
            <w:r>
              <w:rPr>
                <w:rFonts w:hint="eastAsia" w:ascii="Times New Roman" w:hAnsi="Times New Roman"/>
                <w:color w:val="auto"/>
                <w:highlight w:val="none"/>
              </w:rPr>
              <w:t>/0.00</w:t>
            </w:r>
            <w:r>
              <w:rPr>
                <w:rFonts w:hint="eastAsia" w:ascii="Times New Roman" w:hAnsi="Times New Roman"/>
                <w:color w:val="auto"/>
                <w:highlight w:val="none"/>
                <w:lang w:val="en-US" w:eastAsia="zh-CN"/>
              </w:rPr>
              <w:t>67</w:t>
            </w:r>
          </w:p>
        </w:tc>
        <w:tc>
          <w:tcPr>
            <w:tcW w:w="393" w:type="pct"/>
            <w:vMerge w:val="restart"/>
            <w:vAlign w:val="center"/>
          </w:tcPr>
          <w:p w14:paraId="5C186E08">
            <w:pPr>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密闭收集</w:t>
            </w:r>
            <w:r>
              <w:rPr>
                <w:rFonts w:hint="eastAsia" w:ascii="Times New Roman" w:hAnsi="Times New Roman" w:cs="Times New Roman"/>
                <w:color w:val="auto"/>
                <w:sz w:val="21"/>
                <w:szCs w:val="21"/>
                <w:highlight w:val="none"/>
              </w:rPr>
              <w:t>、通风橱收集</w:t>
            </w: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0、100</w:t>
            </w:r>
          </w:p>
        </w:tc>
        <w:tc>
          <w:tcPr>
            <w:tcW w:w="641" w:type="pct"/>
            <w:vMerge w:val="restart"/>
            <w:vAlign w:val="center"/>
          </w:tcPr>
          <w:p w14:paraId="4BD767AC">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风量</w:t>
            </w:r>
            <w:r>
              <w:rPr>
                <w:rFonts w:hint="eastAsia" w:ascii="Times New Roman" w:hAnsi="Times New Roman" w:cs="Times New Roman"/>
                <w:color w:val="auto"/>
                <w:sz w:val="21"/>
                <w:szCs w:val="21"/>
                <w:highlight w:val="none"/>
                <w:lang w:val="en-US" w:eastAsia="zh-CN"/>
              </w:rPr>
              <w:t>40</w:t>
            </w:r>
            <w:r>
              <w:rPr>
                <w:rFonts w:ascii="Times New Roman" w:hAnsi="Times New Roman" w:cs="Times New Roman"/>
                <w:color w:val="auto"/>
                <w:sz w:val="21"/>
                <w:szCs w:val="21"/>
                <w:highlight w:val="none"/>
              </w:rPr>
              <w:t>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/h；废气经</w:t>
            </w:r>
            <w:r>
              <w:rPr>
                <w:rFonts w:hint="eastAsia" w:ascii="Times New Roman" w:hAnsi="Times New Roman" w:cs="Times New Roman"/>
                <w:color w:val="auto"/>
                <w:sz w:val="21"/>
                <w:szCs w:val="21"/>
                <w:highlight w:val="none"/>
              </w:rPr>
              <w:t>“二级活性炭吸附”</w:t>
            </w:r>
            <w:r>
              <w:rPr>
                <w:rFonts w:ascii="Times New Roman" w:hAnsi="Times New Roman" w:cs="Times New Roman"/>
                <w:color w:val="auto"/>
                <w:sz w:val="21"/>
                <w:szCs w:val="21"/>
                <w:highlight w:val="none"/>
              </w:rPr>
              <w:t>处理。</w:t>
            </w:r>
          </w:p>
        </w:tc>
        <w:tc>
          <w:tcPr>
            <w:tcW w:w="248" w:type="pct"/>
            <w:vAlign w:val="center"/>
          </w:tcPr>
          <w:p w14:paraId="4B831000">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w:t>
            </w:r>
          </w:p>
        </w:tc>
        <w:tc>
          <w:tcPr>
            <w:tcW w:w="441" w:type="pct"/>
            <w:vAlign w:val="center"/>
          </w:tcPr>
          <w:p w14:paraId="6906B03F">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0.0006</w:t>
            </w:r>
          </w:p>
        </w:tc>
        <w:tc>
          <w:tcPr>
            <w:tcW w:w="328" w:type="pct"/>
            <w:vMerge w:val="restart"/>
            <w:vAlign w:val="center"/>
          </w:tcPr>
          <w:p w14:paraId="20CDA7F2">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DA006</w:t>
            </w:r>
          </w:p>
        </w:tc>
        <w:tc>
          <w:tcPr>
            <w:tcW w:w="875" w:type="pct"/>
            <w:vMerge w:val="restart"/>
            <w:vAlign w:val="center"/>
          </w:tcPr>
          <w:p w14:paraId="5145D440">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氮氧化物</w:t>
            </w:r>
            <w:r>
              <w:rPr>
                <w:rFonts w:hint="eastAsia" w:ascii="Times New Roman" w:hAnsi="Times New Roman"/>
                <w:color w:val="auto"/>
                <w:sz w:val="21"/>
                <w:szCs w:val="21"/>
                <w:highlight w:val="none"/>
              </w:rPr>
              <w:t>执行《大气污染物综合排放标准》（DB32/4041-2021）表1标准</w:t>
            </w:r>
          </w:p>
        </w:tc>
      </w:tr>
      <w:tr w14:paraId="1AB923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77FCC17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13894FE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continue"/>
            <w:vAlign w:val="center"/>
          </w:tcPr>
          <w:p w14:paraId="74609567">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color w:val="auto"/>
                <w:highlight w:val="none"/>
              </w:rPr>
            </w:pPr>
          </w:p>
        </w:tc>
        <w:tc>
          <w:tcPr>
            <w:tcW w:w="579" w:type="pct"/>
            <w:vAlign w:val="center"/>
          </w:tcPr>
          <w:p w14:paraId="030FCB91">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氮氧化物</w:t>
            </w:r>
          </w:p>
        </w:tc>
        <w:tc>
          <w:tcPr>
            <w:tcW w:w="478" w:type="pct"/>
            <w:vAlign w:val="center"/>
          </w:tcPr>
          <w:p w14:paraId="631CBA12">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0.00297/0.003</w:t>
            </w:r>
          </w:p>
        </w:tc>
        <w:tc>
          <w:tcPr>
            <w:tcW w:w="393" w:type="pct"/>
            <w:vMerge w:val="continue"/>
            <w:vAlign w:val="center"/>
          </w:tcPr>
          <w:p w14:paraId="6F54AE8D">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41" w:type="pct"/>
            <w:vMerge w:val="continue"/>
            <w:vAlign w:val="center"/>
          </w:tcPr>
          <w:p w14:paraId="68C25407">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248" w:type="pct"/>
            <w:vAlign w:val="center"/>
          </w:tcPr>
          <w:p w14:paraId="4641A9C1">
            <w:pPr>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441" w:type="pct"/>
            <w:vAlign w:val="center"/>
          </w:tcPr>
          <w:p w14:paraId="1F112483">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等线"/>
                <w:color w:val="auto"/>
                <w:kern w:val="0"/>
                <w:highlight w:val="none"/>
                <w:lang w:val="en-US" w:eastAsia="zh-CN" w:bidi="ar"/>
              </w:rPr>
            </w:pPr>
            <w:r>
              <w:rPr>
                <w:rFonts w:hint="eastAsia" w:ascii="Times New Roman" w:hAnsi="Times New Roman" w:eastAsia="等线"/>
                <w:color w:val="auto"/>
                <w:kern w:val="0"/>
                <w:highlight w:val="none"/>
                <w:lang w:val="en-US" w:eastAsia="zh-CN" w:bidi="ar"/>
              </w:rPr>
              <w:t>0.0003</w:t>
            </w:r>
          </w:p>
        </w:tc>
        <w:tc>
          <w:tcPr>
            <w:tcW w:w="328" w:type="pct"/>
            <w:vMerge w:val="continue"/>
            <w:vAlign w:val="center"/>
          </w:tcPr>
          <w:p w14:paraId="52C39181">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s="Times New Roman"/>
                <w:color w:val="auto"/>
                <w:sz w:val="21"/>
                <w:szCs w:val="21"/>
                <w:highlight w:val="none"/>
              </w:rPr>
            </w:pPr>
          </w:p>
        </w:tc>
        <w:tc>
          <w:tcPr>
            <w:tcW w:w="875" w:type="pct"/>
            <w:vMerge w:val="continue"/>
            <w:vAlign w:val="center"/>
          </w:tcPr>
          <w:p w14:paraId="054EF838">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olor w:val="auto"/>
                <w:sz w:val="21"/>
                <w:szCs w:val="21"/>
                <w:highlight w:val="none"/>
              </w:rPr>
            </w:pPr>
          </w:p>
        </w:tc>
      </w:tr>
      <w:tr w14:paraId="03F209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282831F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restart"/>
            <w:vAlign w:val="center"/>
          </w:tcPr>
          <w:p w14:paraId="51E3CC9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无组织</w:t>
            </w:r>
          </w:p>
        </w:tc>
        <w:tc>
          <w:tcPr>
            <w:tcW w:w="628" w:type="pct"/>
            <w:gridSpan w:val="2"/>
            <w:vAlign w:val="center"/>
          </w:tcPr>
          <w:p w14:paraId="6B23F42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混合、收缸废气未捕集</w:t>
            </w:r>
            <w:r>
              <w:rPr>
                <w:rFonts w:ascii="Times New Roman" w:hAnsi="Times New Roman"/>
                <w:color w:val="auto"/>
                <w:highlight w:val="none"/>
              </w:rPr>
              <w:t>部分</w:t>
            </w:r>
          </w:p>
        </w:tc>
        <w:tc>
          <w:tcPr>
            <w:tcW w:w="579" w:type="pct"/>
            <w:vAlign w:val="center"/>
          </w:tcPr>
          <w:p w14:paraId="776C32D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非甲烷总烃</w:t>
            </w:r>
          </w:p>
        </w:tc>
        <w:tc>
          <w:tcPr>
            <w:tcW w:w="478" w:type="pct"/>
            <w:vAlign w:val="center"/>
          </w:tcPr>
          <w:p w14:paraId="3C4CC530">
            <w:pPr>
              <w:pStyle w:val="240"/>
              <w:pageBreakBefore w:val="0"/>
              <w:kinsoku/>
              <w:wordWrap/>
              <w:overflowPunct/>
              <w:topLinePunct w:val="0"/>
              <w:autoSpaceDE/>
              <w:autoSpaceDN/>
              <w:bidi w:val="0"/>
              <w:adjustRightInd w:val="0"/>
              <w:snapToGrid w:val="0"/>
              <w:ind w:left="0" w:right="0"/>
              <w:textAlignment w:val="auto"/>
              <w:rPr>
                <w:rStyle w:val="241"/>
                <w:rFonts w:ascii="Times New Roman" w:hAnsi="Times New Roman"/>
                <w:color w:val="auto"/>
                <w:highlight w:val="none"/>
              </w:rPr>
            </w:pPr>
            <w:r>
              <w:rPr>
                <w:rFonts w:hint="eastAsia" w:ascii="Times New Roman" w:hAnsi="Times New Roman"/>
                <w:color w:val="auto"/>
                <w:highlight w:val="none"/>
              </w:rPr>
              <w:t>0.0235</w:t>
            </w:r>
          </w:p>
        </w:tc>
        <w:tc>
          <w:tcPr>
            <w:tcW w:w="393" w:type="pct"/>
            <w:vAlign w:val="center"/>
          </w:tcPr>
          <w:p w14:paraId="66921A1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w:t>
            </w:r>
          </w:p>
        </w:tc>
        <w:tc>
          <w:tcPr>
            <w:tcW w:w="641" w:type="pct"/>
            <w:vAlign w:val="center"/>
          </w:tcPr>
          <w:p w14:paraId="222E4FF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车间通风</w:t>
            </w:r>
          </w:p>
        </w:tc>
        <w:tc>
          <w:tcPr>
            <w:tcW w:w="248" w:type="pct"/>
            <w:vAlign w:val="center"/>
          </w:tcPr>
          <w:p w14:paraId="38CCFF6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w:t>
            </w:r>
          </w:p>
        </w:tc>
        <w:tc>
          <w:tcPr>
            <w:tcW w:w="441" w:type="pct"/>
            <w:vAlign w:val="center"/>
          </w:tcPr>
          <w:p w14:paraId="0FC0E94E">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21"/>
                <w:highlight w:val="none"/>
              </w:rPr>
              <w:t>0.0235</w:t>
            </w:r>
          </w:p>
        </w:tc>
        <w:tc>
          <w:tcPr>
            <w:tcW w:w="328" w:type="pct"/>
            <w:vAlign w:val="center"/>
          </w:tcPr>
          <w:p w14:paraId="797D5E0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二工场</w:t>
            </w:r>
          </w:p>
        </w:tc>
        <w:tc>
          <w:tcPr>
            <w:tcW w:w="875" w:type="pct"/>
            <w:vAlign w:val="center"/>
          </w:tcPr>
          <w:p w14:paraId="6E82EBC6">
            <w:pPr>
              <w:pageBreakBefore w:val="0"/>
              <w:kinsoku/>
              <w:wordWrap/>
              <w:overflowPunct/>
              <w:topLinePunct w:val="0"/>
              <w:autoSpaceDE/>
              <w:autoSpaceDN/>
              <w:bidi w:val="0"/>
              <w:adjustRightInd w:val="0"/>
              <w:snapToGrid w:val="0"/>
              <w:ind w:left="0" w:right="0"/>
              <w:jc w:val="center"/>
              <w:textAlignment w:val="auto"/>
              <w:rPr>
                <w:rFonts w:ascii="Times New Roman" w:hAnsi="Times New Roman"/>
                <w:color w:val="auto"/>
                <w:highlight w:val="none"/>
              </w:rPr>
            </w:pPr>
            <w:r>
              <w:rPr>
                <w:rFonts w:hint="eastAsia" w:ascii="Times New Roman" w:hAnsi="Times New Roman"/>
                <w:color w:val="auto"/>
                <w:sz w:val="21"/>
                <w:szCs w:val="21"/>
                <w:highlight w:val="none"/>
              </w:rPr>
              <w:t>非甲烷总烃执行《大气污染物综合排放标准》（DB32/4041-2021）表3标准</w:t>
            </w:r>
          </w:p>
        </w:tc>
      </w:tr>
      <w:tr w14:paraId="444828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2BB3FDBA">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p>
        </w:tc>
        <w:tc>
          <w:tcPr>
            <w:tcW w:w="193" w:type="pct"/>
            <w:vMerge w:val="continue"/>
            <w:vAlign w:val="center"/>
          </w:tcPr>
          <w:p w14:paraId="46078DF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restart"/>
            <w:vAlign w:val="center"/>
          </w:tcPr>
          <w:p w14:paraId="2CFFE96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实验</w:t>
            </w:r>
            <w:r>
              <w:rPr>
                <w:rFonts w:ascii="Times New Roman" w:hAnsi="Times New Roman"/>
                <w:color w:val="auto"/>
                <w:highlight w:val="none"/>
              </w:rPr>
              <w:t>废气</w:t>
            </w:r>
            <w:r>
              <w:rPr>
                <w:rFonts w:hint="eastAsia" w:ascii="Times New Roman" w:hAnsi="Times New Roman"/>
                <w:color w:val="auto"/>
                <w:highlight w:val="none"/>
              </w:rPr>
              <w:t>未捕集</w:t>
            </w:r>
            <w:r>
              <w:rPr>
                <w:rFonts w:ascii="Times New Roman" w:hAnsi="Times New Roman"/>
                <w:color w:val="auto"/>
                <w:highlight w:val="none"/>
              </w:rPr>
              <w:t>部分</w:t>
            </w:r>
          </w:p>
        </w:tc>
        <w:tc>
          <w:tcPr>
            <w:tcW w:w="579" w:type="pct"/>
            <w:vAlign w:val="center"/>
          </w:tcPr>
          <w:p w14:paraId="4C75CD0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非甲烷总烃（含甲醇）</w:t>
            </w:r>
          </w:p>
        </w:tc>
        <w:tc>
          <w:tcPr>
            <w:tcW w:w="478" w:type="pct"/>
            <w:vAlign w:val="center"/>
          </w:tcPr>
          <w:p w14:paraId="4462273B">
            <w:pPr>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0.0013</w:t>
            </w:r>
          </w:p>
        </w:tc>
        <w:tc>
          <w:tcPr>
            <w:tcW w:w="393" w:type="pct"/>
            <w:vMerge w:val="restart"/>
            <w:vAlign w:val="center"/>
          </w:tcPr>
          <w:p w14:paraId="4330B47B">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41" w:type="pct"/>
            <w:vMerge w:val="restart"/>
            <w:vAlign w:val="center"/>
          </w:tcPr>
          <w:p w14:paraId="7E71537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实验室</w:t>
            </w:r>
            <w:r>
              <w:rPr>
                <w:rFonts w:ascii="Times New Roman" w:hAnsi="Times New Roman"/>
                <w:color w:val="auto"/>
                <w:highlight w:val="none"/>
              </w:rPr>
              <w:t>通风</w:t>
            </w:r>
          </w:p>
        </w:tc>
        <w:tc>
          <w:tcPr>
            <w:tcW w:w="248" w:type="pct"/>
            <w:vMerge w:val="restart"/>
            <w:vAlign w:val="center"/>
          </w:tcPr>
          <w:p w14:paraId="4FECCE27">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w:t>
            </w:r>
          </w:p>
        </w:tc>
        <w:tc>
          <w:tcPr>
            <w:tcW w:w="441" w:type="pct"/>
            <w:vAlign w:val="center"/>
          </w:tcPr>
          <w:p w14:paraId="4EB3E581">
            <w:pPr>
              <w:pageBreakBefore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0.0013</w:t>
            </w:r>
          </w:p>
        </w:tc>
        <w:tc>
          <w:tcPr>
            <w:tcW w:w="328" w:type="pct"/>
            <w:vMerge w:val="restart"/>
            <w:vAlign w:val="center"/>
          </w:tcPr>
          <w:p w14:paraId="0FE15DB5">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实验室</w:t>
            </w:r>
          </w:p>
        </w:tc>
        <w:tc>
          <w:tcPr>
            <w:tcW w:w="875" w:type="pct"/>
            <w:vMerge w:val="restart"/>
            <w:vAlign w:val="center"/>
          </w:tcPr>
          <w:p w14:paraId="25D01543">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非甲烷总烃</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氮氧化物、甲醇</w:t>
            </w:r>
            <w:r>
              <w:rPr>
                <w:rFonts w:hint="eastAsia" w:ascii="Times New Roman" w:hAnsi="Times New Roman"/>
                <w:color w:val="auto"/>
                <w:sz w:val="21"/>
                <w:szCs w:val="21"/>
                <w:highlight w:val="none"/>
              </w:rPr>
              <w:t>执行《大气污染物综合排放标准》（DB32/4041-2021）表3标准</w:t>
            </w:r>
          </w:p>
        </w:tc>
      </w:tr>
      <w:tr w14:paraId="6F5D79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1A95C9E8">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p>
        </w:tc>
        <w:tc>
          <w:tcPr>
            <w:tcW w:w="193" w:type="pct"/>
            <w:vMerge w:val="continue"/>
            <w:vAlign w:val="center"/>
          </w:tcPr>
          <w:p w14:paraId="3B0CFB3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continue"/>
            <w:vAlign w:val="center"/>
          </w:tcPr>
          <w:p w14:paraId="59597478">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color w:val="auto"/>
                <w:highlight w:val="none"/>
              </w:rPr>
            </w:pPr>
          </w:p>
        </w:tc>
        <w:tc>
          <w:tcPr>
            <w:tcW w:w="579" w:type="pct"/>
            <w:vAlign w:val="center"/>
          </w:tcPr>
          <w:p w14:paraId="38D82228">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氮氧化物</w:t>
            </w:r>
          </w:p>
        </w:tc>
        <w:tc>
          <w:tcPr>
            <w:tcW w:w="478" w:type="pct"/>
            <w:vAlign w:val="center"/>
          </w:tcPr>
          <w:p w14:paraId="08781CF1">
            <w:pPr>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0.00003</w:t>
            </w:r>
          </w:p>
        </w:tc>
        <w:tc>
          <w:tcPr>
            <w:tcW w:w="393" w:type="pct"/>
            <w:vMerge w:val="continue"/>
            <w:vAlign w:val="center"/>
          </w:tcPr>
          <w:p w14:paraId="1B7B7FE0">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41" w:type="pct"/>
            <w:vMerge w:val="continue"/>
            <w:vAlign w:val="center"/>
          </w:tcPr>
          <w:p w14:paraId="1CAEC8DC">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color w:val="auto"/>
                <w:highlight w:val="none"/>
              </w:rPr>
            </w:pPr>
          </w:p>
        </w:tc>
        <w:tc>
          <w:tcPr>
            <w:tcW w:w="248" w:type="pct"/>
            <w:vMerge w:val="continue"/>
            <w:vAlign w:val="center"/>
          </w:tcPr>
          <w:p w14:paraId="0BC82BF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441" w:type="pct"/>
            <w:vAlign w:val="center"/>
          </w:tcPr>
          <w:p w14:paraId="102830CD">
            <w:pPr>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328" w:type="pct"/>
            <w:vMerge w:val="continue"/>
            <w:vAlign w:val="center"/>
          </w:tcPr>
          <w:p w14:paraId="1AF83F67">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s="Times New Roman"/>
                <w:color w:val="auto"/>
                <w:sz w:val="21"/>
                <w:szCs w:val="21"/>
                <w:highlight w:val="none"/>
              </w:rPr>
            </w:pPr>
          </w:p>
        </w:tc>
        <w:tc>
          <w:tcPr>
            <w:tcW w:w="875" w:type="pct"/>
            <w:vMerge w:val="continue"/>
            <w:vAlign w:val="center"/>
          </w:tcPr>
          <w:p w14:paraId="7EF5B251">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olor w:val="auto"/>
                <w:sz w:val="21"/>
                <w:szCs w:val="21"/>
                <w:highlight w:val="none"/>
              </w:rPr>
            </w:pPr>
          </w:p>
        </w:tc>
      </w:tr>
      <w:tr w14:paraId="085245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0FA66ADF">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b/>
                <w:color w:val="auto"/>
                <w:sz w:val="21"/>
                <w:szCs w:val="21"/>
                <w:highlight w:val="none"/>
              </w:rPr>
            </w:pPr>
          </w:p>
        </w:tc>
        <w:tc>
          <w:tcPr>
            <w:tcW w:w="193" w:type="pct"/>
            <w:vMerge w:val="continue"/>
            <w:vAlign w:val="center"/>
          </w:tcPr>
          <w:p w14:paraId="03E6E8A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continue"/>
            <w:vAlign w:val="center"/>
          </w:tcPr>
          <w:p w14:paraId="34330BD8">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color w:val="auto"/>
                <w:highlight w:val="none"/>
              </w:rPr>
            </w:pPr>
          </w:p>
        </w:tc>
        <w:tc>
          <w:tcPr>
            <w:tcW w:w="579" w:type="pct"/>
            <w:vAlign w:val="center"/>
          </w:tcPr>
          <w:p w14:paraId="4B167385">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甲醇</w:t>
            </w:r>
          </w:p>
        </w:tc>
        <w:tc>
          <w:tcPr>
            <w:tcW w:w="478" w:type="pct"/>
            <w:vAlign w:val="center"/>
          </w:tcPr>
          <w:p w14:paraId="596F8AB2">
            <w:pPr>
              <w:pageBreakBefore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0.0008</w:t>
            </w:r>
          </w:p>
        </w:tc>
        <w:tc>
          <w:tcPr>
            <w:tcW w:w="393" w:type="pct"/>
            <w:vMerge w:val="continue"/>
            <w:vAlign w:val="center"/>
          </w:tcPr>
          <w:p w14:paraId="39064880">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641" w:type="pct"/>
            <w:vMerge w:val="continue"/>
            <w:vAlign w:val="center"/>
          </w:tcPr>
          <w:p w14:paraId="25B99374">
            <w:pPr>
              <w:pStyle w:val="240"/>
              <w:pageBreakBefore w:val="0"/>
              <w:kinsoku/>
              <w:wordWrap/>
              <w:overflowPunct/>
              <w:topLinePunct w:val="0"/>
              <w:autoSpaceDE/>
              <w:autoSpaceDN/>
              <w:bidi w:val="0"/>
              <w:adjustRightInd w:val="0"/>
              <w:snapToGrid w:val="0"/>
              <w:ind w:left="0" w:right="0"/>
              <w:textAlignment w:val="auto"/>
              <w:rPr>
                <w:rFonts w:hint="eastAsia" w:ascii="Times New Roman" w:hAnsi="Times New Roman"/>
                <w:color w:val="auto"/>
                <w:highlight w:val="none"/>
              </w:rPr>
            </w:pPr>
          </w:p>
        </w:tc>
        <w:tc>
          <w:tcPr>
            <w:tcW w:w="248" w:type="pct"/>
            <w:vMerge w:val="continue"/>
            <w:vAlign w:val="center"/>
          </w:tcPr>
          <w:p w14:paraId="7C1CF97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441" w:type="pct"/>
            <w:vAlign w:val="center"/>
          </w:tcPr>
          <w:p w14:paraId="544F5AC0">
            <w:pPr>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328" w:type="pct"/>
            <w:vMerge w:val="continue"/>
            <w:vAlign w:val="center"/>
          </w:tcPr>
          <w:p w14:paraId="051F7AA6">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s="Times New Roman"/>
                <w:color w:val="auto"/>
                <w:sz w:val="21"/>
                <w:szCs w:val="21"/>
                <w:highlight w:val="none"/>
              </w:rPr>
            </w:pPr>
          </w:p>
        </w:tc>
        <w:tc>
          <w:tcPr>
            <w:tcW w:w="875" w:type="pct"/>
            <w:vMerge w:val="continue"/>
            <w:vAlign w:val="center"/>
          </w:tcPr>
          <w:p w14:paraId="0087117E">
            <w:pPr>
              <w:pageBreakBefore w:val="0"/>
              <w:kinsoku/>
              <w:wordWrap/>
              <w:overflowPunct/>
              <w:topLinePunct w:val="0"/>
              <w:autoSpaceDE/>
              <w:autoSpaceDN/>
              <w:bidi w:val="0"/>
              <w:adjustRightInd w:val="0"/>
              <w:snapToGrid w:val="0"/>
              <w:ind w:left="0" w:right="0"/>
              <w:jc w:val="center"/>
              <w:textAlignment w:val="auto"/>
              <w:rPr>
                <w:rFonts w:hint="eastAsia" w:ascii="Times New Roman" w:hAnsi="Times New Roman"/>
                <w:color w:val="auto"/>
                <w:sz w:val="21"/>
                <w:szCs w:val="21"/>
                <w:highlight w:val="none"/>
              </w:rPr>
            </w:pPr>
          </w:p>
        </w:tc>
      </w:tr>
      <w:tr w14:paraId="06D9B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restart"/>
            <w:vAlign w:val="center"/>
          </w:tcPr>
          <w:p w14:paraId="6CE6A3E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废</w:t>
            </w:r>
          </w:p>
          <w:p w14:paraId="07A3C89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hint="eastAsia" w:ascii="Times New Roman" w:hAnsi="Times New Roman"/>
                <w:b/>
                <w:color w:val="auto"/>
                <w:highlight w:val="none"/>
              </w:rPr>
              <w:t>水</w:t>
            </w:r>
          </w:p>
        </w:tc>
        <w:tc>
          <w:tcPr>
            <w:tcW w:w="193" w:type="pct"/>
            <w:vMerge w:val="restart"/>
            <w:vAlign w:val="center"/>
          </w:tcPr>
          <w:p w14:paraId="1BAFE78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生产废水</w:t>
            </w:r>
          </w:p>
        </w:tc>
        <w:tc>
          <w:tcPr>
            <w:tcW w:w="628" w:type="pct"/>
            <w:gridSpan w:val="2"/>
            <w:vMerge w:val="restart"/>
            <w:vAlign w:val="center"/>
          </w:tcPr>
          <w:p w14:paraId="6B16603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制纯浓水、反冲洗水</w:t>
            </w:r>
            <w:r>
              <w:rPr>
                <w:rFonts w:ascii="Times New Roman" w:hAnsi="Times New Roman"/>
                <w:color w:val="auto"/>
                <w:highlight w:val="none"/>
                <w:lang w:bidi="zh-CN"/>
              </w:rPr>
              <w:t>（W</w:t>
            </w:r>
            <w:r>
              <w:rPr>
                <w:rFonts w:hint="eastAsia" w:ascii="Times New Roman" w:hAnsi="Times New Roman"/>
                <w:color w:val="auto"/>
                <w:highlight w:val="none"/>
                <w:lang w:bidi="zh-CN"/>
              </w:rPr>
              <w:t>2-</w:t>
            </w:r>
            <w:r>
              <w:rPr>
                <w:rFonts w:ascii="Times New Roman" w:hAnsi="Times New Roman"/>
                <w:color w:val="auto"/>
                <w:highlight w:val="none"/>
                <w:lang w:bidi="zh-CN"/>
              </w:rPr>
              <w:t>1、W</w:t>
            </w:r>
            <w:r>
              <w:rPr>
                <w:rFonts w:hint="eastAsia" w:ascii="Times New Roman" w:hAnsi="Times New Roman"/>
                <w:color w:val="auto"/>
                <w:highlight w:val="none"/>
                <w:lang w:bidi="zh-CN"/>
              </w:rPr>
              <w:t>2-2</w:t>
            </w:r>
            <w:r>
              <w:rPr>
                <w:rFonts w:ascii="Times New Roman" w:hAnsi="Times New Roman"/>
                <w:color w:val="auto"/>
                <w:highlight w:val="none"/>
                <w:lang w:bidi="zh-CN"/>
              </w:rPr>
              <w:t>）</w:t>
            </w:r>
          </w:p>
        </w:tc>
        <w:tc>
          <w:tcPr>
            <w:tcW w:w="579" w:type="pct"/>
            <w:vAlign w:val="center"/>
          </w:tcPr>
          <w:p w14:paraId="0C20705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lang w:bidi="zh-CN"/>
              </w:rPr>
              <w:t>水量</w:t>
            </w:r>
          </w:p>
        </w:tc>
        <w:tc>
          <w:tcPr>
            <w:tcW w:w="478" w:type="pct"/>
            <w:shd w:val="clear" w:color="auto" w:fill="auto"/>
            <w:vAlign w:val="center"/>
          </w:tcPr>
          <w:p w14:paraId="07D69564">
            <w:pPr>
              <w:pStyle w:val="24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12.5</w:t>
            </w:r>
          </w:p>
        </w:tc>
        <w:tc>
          <w:tcPr>
            <w:tcW w:w="393" w:type="pct"/>
            <w:vMerge w:val="restart"/>
            <w:shd w:val="clear" w:color="auto" w:fill="auto"/>
            <w:vAlign w:val="center"/>
          </w:tcPr>
          <w:p w14:paraId="56F689E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经专用管道收集后</w:t>
            </w:r>
            <w:r>
              <w:rPr>
                <w:rFonts w:hint="eastAsia" w:ascii="Times New Roman" w:hAnsi="Times New Roman"/>
                <w:color w:val="auto"/>
                <w:highlight w:val="none"/>
              </w:rPr>
              <w:t>回用于冲厕</w:t>
            </w:r>
          </w:p>
        </w:tc>
        <w:tc>
          <w:tcPr>
            <w:tcW w:w="641" w:type="pct"/>
            <w:vMerge w:val="restart"/>
            <w:shd w:val="clear" w:color="auto" w:fill="auto"/>
            <w:vAlign w:val="center"/>
          </w:tcPr>
          <w:p w14:paraId="58AC685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w:t>
            </w:r>
          </w:p>
        </w:tc>
        <w:tc>
          <w:tcPr>
            <w:tcW w:w="1018" w:type="pct"/>
            <w:gridSpan w:val="3"/>
            <w:vMerge w:val="restart"/>
            <w:shd w:val="clear" w:color="auto" w:fill="auto"/>
            <w:vAlign w:val="center"/>
          </w:tcPr>
          <w:p w14:paraId="46CDC08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回用于</w:t>
            </w:r>
            <w:r>
              <w:rPr>
                <w:rFonts w:hint="eastAsia" w:ascii="Times New Roman" w:hAnsi="Times New Roman"/>
                <w:color w:val="auto"/>
                <w:highlight w:val="none"/>
              </w:rPr>
              <w:t>冲厕</w:t>
            </w:r>
          </w:p>
        </w:tc>
        <w:tc>
          <w:tcPr>
            <w:tcW w:w="875" w:type="pct"/>
            <w:vMerge w:val="restart"/>
            <w:vAlign w:val="center"/>
          </w:tcPr>
          <w:p w14:paraId="6CCDB0D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w:t>
            </w:r>
          </w:p>
        </w:tc>
      </w:tr>
      <w:tr w14:paraId="6F01F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64B983A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229B9D3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continue"/>
            <w:vAlign w:val="center"/>
          </w:tcPr>
          <w:p w14:paraId="36BD8E1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579" w:type="pct"/>
            <w:vAlign w:val="center"/>
          </w:tcPr>
          <w:p w14:paraId="6EA8987D">
            <w:pPr>
              <w:pStyle w:val="242"/>
              <w:pageBreakBefore w:val="0"/>
              <w:kinsoku/>
              <w:wordWrap/>
              <w:overflowPunct/>
              <w:topLinePunct w:val="0"/>
              <w:autoSpaceDE/>
              <w:autoSpaceDN/>
              <w:bidi w:val="0"/>
              <w:snapToGrid w:val="0"/>
              <w:ind w:left="0" w:right="0"/>
              <w:textAlignment w:val="auto"/>
              <w:rPr>
                <w:rFonts w:ascii="Times New Roman" w:hAnsi="Times New Roman" w:cs="Times New Roman"/>
                <w:color w:val="auto"/>
                <w:highlight w:val="none"/>
              </w:rPr>
            </w:pPr>
            <w:r>
              <w:rPr>
                <w:rFonts w:ascii="Times New Roman" w:hAnsi="Times New Roman" w:cs="Times New Roman"/>
                <w:color w:val="auto"/>
                <w:highlight w:val="none"/>
                <w:lang w:bidi="zh-CN"/>
              </w:rPr>
              <w:t>COD</w:t>
            </w:r>
          </w:p>
        </w:tc>
        <w:tc>
          <w:tcPr>
            <w:tcW w:w="478" w:type="pct"/>
            <w:shd w:val="clear" w:color="auto" w:fill="auto"/>
            <w:vAlign w:val="center"/>
          </w:tcPr>
          <w:p w14:paraId="7D48D543">
            <w:pPr>
              <w:pageBreakBefore w:val="0"/>
              <w:kinsoku/>
              <w:wordWrap/>
              <w:overflowPunct/>
              <w:topLinePunct w:val="0"/>
              <w:autoSpaceDE/>
              <w:autoSpaceDN/>
              <w:bidi w:val="0"/>
              <w:ind w:left="0" w:right="0"/>
              <w:jc w:val="center"/>
              <w:textAlignment w:val="auto"/>
              <w:rPr>
                <w:rFonts w:ascii="Times New Roman" w:hAnsi="Times New Roman" w:cs="Times New Roman"/>
                <w:color w:val="auto"/>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rPr>
              <w:t>8</w:t>
            </w:r>
          </w:p>
        </w:tc>
        <w:tc>
          <w:tcPr>
            <w:tcW w:w="393" w:type="pct"/>
            <w:vMerge w:val="continue"/>
            <w:shd w:val="clear" w:color="auto" w:fill="auto"/>
            <w:vAlign w:val="center"/>
          </w:tcPr>
          <w:p w14:paraId="3AEE5A6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641" w:type="pct"/>
            <w:vMerge w:val="continue"/>
            <w:shd w:val="clear" w:color="auto" w:fill="auto"/>
            <w:vAlign w:val="center"/>
          </w:tcPr>
          <w:p w14:paraId="0D15F77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018" w:type="pct"/>
            <w:gridSpan w:val="3"/>
            <w:vMerge w:val="continue"/>
            <w:shd w:val="clear" w:color="auto" w:fill="auto"/>
            <w:vAlign w:val="center"/>
          </w:tcPr>
          <w:p w14:paraId="168ECC0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137BAF2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2CE6F6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42C3B3E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2989805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8" w:type="pct"/>
            <w:gridSpan w:val="2"/>
            <w:vMerge w:val="continue"/>
            <w:vAlign w:val="center"/>
          </w:tcPr>
          <w:p w14:paraId="2E840D6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579" w:type="pct"/>
            <w:vAlign w:val="center"/>
          </w:tcPr>
          <w:p w14:paraId="5E9B401D">
            <w:pPr>
              <w:pStyle w:val="242"/>
              <w:pageBreakBefore w:val="0"/>
              <w:kinsoku/>
              <w:wordWrap/>
              <w:overflowPunct/>
              <w:topLinePunct w:val="0"/>
              <w:autoSpaceDE/>
              <w:autoSpaceDN/>
              <w:bidi w:val="0"/>
              <w:snapToGrid w:val="0"/>
              <w:ind w:left="0" w:right="0"/>
              <w:textAlignment w:val="auto"/>
              <w:rPr>
                <w:rFonts w:ascii="Times New Roman" w:hAnsi="Times New Roman" w:cs="Times New Roman"/>
                <w:color w:val="auto"/>
                <w:highlight w:val="none"/>
              </w:rPr>
            </w:pPr>
            <w:r>
              <w:rPr>
                <w:rFonts w:ascii="Times New Roman" w:hAnsi="Times New Roman" w:cs="Times New Roman"/>
                <w:color w:val="auto"/>
                <w:highlight w:val="none"/>
                <w:lang w:bidi="zh-CN"/>
              </w:rPr>
              <w:t>SS</w:t>
            </w:r>
          </w:p>
        </w:tc>
        <w:tc>
          <w:tcPr>
            <w:tcW w:w="478" w:type="pct"/>
            <w:shd w:val="clear" w:color="auto" w:fill="auto"/>
            <w:vAlign w:val="center"/>
          </w:tcPr>
          <w:p w14:paraId="68212425">
            <w:pPr>
              <w:pageBreakBefore w:val="0"/>
              <w:kinsoku/>
              <w:wordWrap/>
              <w:overflowPunct/>
              <w:topLinePunct w:val="0"/>
              <w:autoSpaceDE/>
              <w:autoSpaceDN/>
              <w:bidi w:val="0"/>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04</w:t>
            </w:r>
          </w:p>
        </w:tc>
        <w:tc>
          <w:tcPr>
            <w:tcW w:w="393" w:type="pct"/>
            <w:vMerge w:val="continue"/>
            <w:shd w:val="clear" w:color="auto" w:fill="auto"/>
            <w:vAlign w:val="center"/>
          </w:tcPr>
          <w:p w14:paraId="2527D0E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641" w:type="pct"/>
            <w:vMerge w:val="continue"/>
            <w:shd w:val="clear" w:color="auto" w:fill="auto"/>
            <w:vAlign w:val="center"/>
          </w:tcPr>
          <w:p w14:paraId="29342F0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018" w:type="pct"/>
            <w:gridSpan w:val="3"/>
            <w:vMerge w:val="continue"/>
            <w:shd w:val="clear" w:color="auto" w:fill="auto"/>
            <w:vAlign w:val="center"/>
          </w:tcPr>
          <w:p w14:paraId="0CA9AFB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6D937E3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79BE86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restart"/>
            <w:vAlign w:val="center"/>
          </w:tcPr>
          <w:p w14:paraId="3F99469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固体废物</w:t>
            </w:r>
          </w:p>
        </w:tc>
        <w:tc>
          <w:tcPr>
            <w:tcW w:w="193" w:type="pct"/>
            <w:vMerge w:val="restart"/>
            <w:vAlign w:val="center"/>
          </w:tcPr>
          <w:p w14:paraId="7AE82DA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一</w:t>
            </w:r>
          </w:p>
          <w:p w14:paraId="149889B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般</w:t>
            </w:r>
          </w:p>
          <w:p w14:paraId="2EF3CF3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固</w:t>
            </w:r>
          </w:p>
          <w:p w14:paraId="4A1F2189">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废</w:t>
            </w:r>
          </w:p>
        </w:tc>
        <w:tc>
          <w:tcPr>
            <w:tcW w:w="1207" w:type="pct"/>
            <w:gridSpan w:val="3"/>
            <w:vAlign w:val="center"/>
          </w:tcPr>
          <w:p w14:paraId="41746190">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rPr>
              <w:t>S2-1废过滤介质</w:t>
            </w:r>
          </w:p>
        </w:tc>
        <w:tc>
          <w:tcPr>
            <w:tcW w:w="478" w:type="pct"/>
            <w:vAlign w:val="center"/>
          </w:tcPr>
          <w:p w14:paraId="7CA24FBA">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21"/>
                <w:highlight w:val="none"/>
              </w:rPr>
              <w:t>2</w:t>
            </w:r>
          </w:p>
        </w:tc>
        <w:tc>
          <w:tcPr>
            <w:tcW w:w="393" w:type="pct"/>
            <w:vMerge w:val="restart"/>
            <w:vAlign w:val="center"/>
          </w:tcPr>
          <w:p w14:paraId="79681A4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外售</w:t>
            </w:r>
          </w:p>
        </w:tc>
        <w:tc>
          <w:tcPr>
            <w:tcW w:w="1660" w:type="pct"/>
            <w:gridSpan w:val="4"/>
            <w:vMerge w:val="restart"/>
            <w:vAlign w:val="center"/>
          </w:tcPr>
          <w:p w14:paraId="3C74404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建</w:t>
            </w:r>
            <w:r>
              <w:rPr>
                <w:rFonts w:hint="eastAsia" w:ascii="Times New Roman" w:hAnsi="Times New Roman"/>
                <w:color w:val="auto"/>
                <w:highlight w:val="none"/>
              </w:rPr>
              <w:t>8</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的一般固废仓库，分类收集后外售给有关单位。</w:t>
            </w:r>
          </w:p>
        </w:tc>
        <w:tc>
          <w:tcPr>
            <w:tcW w:w="875" w:type="pct"/>
            <w:vMerge w:val="restart"/>
            <w:vAlign w:val="center"/>
          </w:tcPr>
          <w:p w14:paraId="774C78B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执行《一般工业固体废物贮存、处置场污染控制标准》(GB18599-2020)和《危险废物贮存污染控制标准》（GB18597-2023）</w:t>
            </w:r>
            <w:r>
              <w:rPr>
                <w:rFonts w:ascii="Times New Roman" w:hAnsi="Times New Roman"/>
                <w:bCs/>
                <w:color w:val="auto"/>
                <w:highlight w:val="none"/>
              </w:rPr>
              <w:t>和《</w:t>
            </w:r>
            <w:r>
              <w:rPr>
                <w:rFonts w:hint="eastAsia" w:ascii="Times New Roman" w:hAnsi="Times New Roman"/>
                <w:bCs/>
                <w:color w:val="auto"/>
                <w:highlight w:val="none"/>
              </w:rPr>
              <w:t>省生态环境厅关于印发&lt;江苏省固体废物全过程环境监管工作意见&gt;的通知</w:t>
            </w:r>
            <w:r>
              <w:rPr>
                <w:rFonts w:ascii="Times New Roman" w:hAnsi="Times New Roman"/>
                <w:bCs/>
                <w:color w:val="auto"/>
                <w:highlight w:val="none"/>
              </w:rPr>
              <w:t>》（</w:t>
            </w:r>
            <w:r>
              <w:rPr>
                <w:rFonts w:hint="eastAsia" w:ascii="Times New Roman" w:hAnsi="Times New Roman"/>
                <w:bCs/>
                <w:color w:val="auto"/>
                <w:highlight w:val="none"/>
              </w:rPr>
              <w:t>苏环办〔2024〕16号</w:t>
            </w:r>
            <w:r>
              <w:rPr>
                <w:rFonts w:ascii="Times New Roman" w:hAnsi="Times New Roman"/>
                <w:bCs/>
                <w:color w:val="auto"/>
                <w:highlight w:val="none"/>
              </w:rPr>
              <w:t>）文件要求</w:t>
            </w:r>
            <w:r>
              <w:rPr>
                <w:rFonts w:ascii="Times New Roman" w:hAnsi="Times New Roman"/>
                <w:color w:val="auto"/>
                <w:highlight w:val="none"/>
              </w:rPr>
              <w:t>。确保一般固废得到有效利用和安全处置，危险废物得到有效安全处置，并不产生二次污染。</w:t>
            </w:r>
          </w:p>
        </w:tc>
      </w:tr>
      <w:tr w14:paraId="5EEC56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7CCA153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53E96BB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207" w:type="pct"/>
            <w:gridSpan w:val="3"/>
            <w:vAlign w:val="center"/>
          </w:tcPr>
          <w:p w14:paraId="61654643">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rPr>
              <w:t>S2-2废活性炭</w:t>
            </w:r>
          </w:p>
        </w:tc>
        <w:tc>
          <w:tcPr>
            <w:tcW w:w="478" w:type="pct"/>
            <w:vAlign w:val="center"/>
          </w:tcPr>
          <w:p w14:paraId="15D522DF">
            <w:pPr>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393" w:type="pct"/>
            <w:vMerge w:val="continue"/>
            <w:vAlign w:val="center"/>
          </w:tcPr>
          <w:p w14:paraId="0780FC2E">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3B9B6D1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277DA55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20624D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0817A43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93" w:type="pct"/>
            <w:vMerge w:val="continue"/>
            <w:vAlign w:val="center"/>
          </w:tcPr>
          <w:p w14:paraId="696C1CF2">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1207" w:type="pct"/>
            <w:gridSpan w:val="3"/>
            <w:vAlign w:val="center"/>
          </w:tcPr>
          <w:p w14:paraId="64C5D935">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rPr>
              <w:t>S2-3废RO膜</w:t>
            </w:r>
          </w:p>
        </w:tc>
        <w:tc>
          <w:tcPr>
            <w:tcW w:w="478" w:type="pct"/>
            <w:vAlign w:val="center"/>
          </w:tcPr>
          <w:p w14:paraId="27F1FDD5">
            <w:pPr>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393" w:type="pct"/>
            <w:vMerge w:val="continue"/>
            <w:vAlign w:val="center"/>
          </w:tcPr>
          <w:p w14:paraId="744EED84">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36E630E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589E554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58878E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3379603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restart"/>
            <w:vAlign w:val="center"/>
          </w:tcPr>
          <w:p w14:paraId="4897CCF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危险废物</w:t>
            </w:r>
          </w:p>
        </w:tc>
        <w:tc>
          <w:tcPr>
            <w:tcW w:w="1207" w:type="pct"/>
            <w:gridSpan w:val="3"/>
            <w:vAlign w:val="center"/>
          </w:tcPr>
          <w:p w14:paraId="5B1F6173">
            <w:pPr>
              <w:pStyle w:val="98"/>
              <w:pageBreakBefore w:val="0"/>
              <w:kinsoku/>
              <w:wordWrap/>
              <w:overflowPunct/>
              <w:topLinePunct w:val="0"/>
              <w:autoSpaceDE/>
              <w:autoSpaceDN/>
              <w:bidi w:val="0"/>
              <w:adjustRightInd w:val="0"/>
              <w:snapToGrid w:val="0"/>
              <w:ind w:left="0" w:right="0"/>
              <w:textAlignment w:val="auto"/>
              <w:rPr>
                <w:color w:val="auto"/>
                <w:highlight w:val="none"/>
              </w:rPr>
            </w:pPr>
            <w:r>
              <w:rPr>
                <w:rFonts w:hint="eastAsia" w:ascii="宋体" w:hAnsi="宋体" w:eastAsia="宋体" w:cs="宋体"/>
                <w:color w:val="auto"/>
                <w:sz w:val="21"/>
                <w:szCs w:val="18"/>
                <w:highlight w:val="none"/>
                <w:lang w:val="en-US"/>
              </w:rPr>
              <w:t>废</w:t>
            </w:r>
            <w:r>
              <w:rPr>
                <w:rFonts w:hint="eastAsia"/>
                <w:color w:val="auto"/>
                <w:sz w:val="21"/>
                <w:szCs w:val="18"/>
                <w:highlight w:val="none"/>
                <w:lang w:val="en-US"/>
              </w:rPr>
              <w:t>滤芯</w:t>
            </w:r>
          </w:p>
        </w:tc>
        <w:tc>
          <w:tcPr>
            <w:tcW w:w="478" w:type="pct"/>
            <w:vAlign w:val="center"/>
          </w:tcPr>
          <w:p w14:paraId="68B6C40E">
            <w:pPr>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w:t>
            </w:r>
          </w:p>
        </w:tc>
        <w:tc>
          <w:tcPr>
            <w:tcW w:w="393" w:type="pct"/>
            <w:vMerge w:val="restart"/>
            <w:vAlign w:val="center"/>
          </w:tcPr>
          <w:p w14:paraId="23EAE7BE">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委外安全处置</w:t>
            </w:r>
          </w:p>
        </w:tc>
        <w:tc>
          <w:tcPr>
            <w:tcW w:w="1660" w:type="pct"/>
            <w:gridSpan w:val="4"/>
            <w:vMerge w:val="restart"/>
            <w:vAlign w:val="center"/>
          </w:tcPr>
          <w:p w14:paraId="1E7883B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建</w:t>
            </w:r>
            <w:r>
              <w:rPr>
                <w:rFonts w:hint="eastAsia" w:ascii="Times New Roman" w:hAnsi="Times New Roman"/>
                <w:color w:val="auto"/>
                <w:highlight w:val="none"/>
              </w:rPr>
              <w:t>50</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的危废暂存库</w:t>
            </w:r>
            <w:r>
              <w:rPr>
                <w:rFonts w:hint="eastAsia" w:ascii="Times New Roman" w:hAnsi="Times New Roman"/>
                <w:color w:val="auto"/>
                <w:highlight w:val="none"/>
                <w:lang w:val="en-US" w:eastAsia="zh-CN"/>
              </w:rPr>
              <w:t>和55m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vertAlign w:val="baseline"/>
                <w:lang w:val="en-US" w:eastAsia="zh-CN"/>
              </w:rPr>
              <w:t>废液储罐</w:t>
            </w:r>
            <w:r>
              <w:rPr>
                <w:rFonts w:ascii="Times New Roman" w:hAnsi="Times New Roman"/>
                <w:color w:val="auto"/>
                <w:highlight w:val="none"/>
              </w:rPr>
              <w:t>。委托有相应资质的单位实施安全处置。</w:t>
            </w:r>
          </w:p>
        </w:tc>
        <w:tc>
          <w:tcPr>
            <w:tcW w:w="875" w:type="pct"/>
            <w:vMerge w:val="continue"/>
            <w:vAlign w:val="center"/>
          </w:tcPr>
          <w:p w14:paraId="628F7937">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71BF13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5D3489D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22CA0EC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207" w:type="pct"/>
            <w:gridSpan w:val="3"/>
            <w:vAlign w:val="center"/>
          </w:tcPr>
          <w:p w14:paraId="4F81A152">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rPr>
              <w:t>实验废液</w:t>
            </w:r>
          </w:p>
        </w:tc>
        <w:tc>
          <w:tcPr>
            <w:tcW w:w="478" w:type="pct"/>
            <w:vAlign w:val="center"/>
          </w:tcPr>
          <w:p w14:paraId="04D5DC22">
            <w:pPr>
              <w:pageBreakBefore w:val="0"/>
              <w:kinsoku/>
              <w:wordWrap/>
              <w:overflowPunct/>
              <w:topLinePunct w:val="0"/>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c>
          <w:tcPr>
            <w:tcW w:w="393" w:type="pct"/>
            <w:vMerge w:val="continue"/>
            <w:vAlign w:val="center"/>
          </w:tcPr>
          <w:p w14:paraId="4A43C8B6">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3C96C63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2D84D13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787663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77DA2C3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5F7BE737">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207" w:type="pct"/>
            <w:gridSpan w:val="3"/>
            <w:vAlign w:val="center"/>
          </w:tcPr>
          <w:p w14:paraId="0B4E93DD">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rPr>
              <w:t>废实验耗材</w:t>
            </w:r>
          </w:p>
        </w:tc>
        <w:tc>
          <w:tcPr>
            <w:tcW w:w="478" w:type="pct"/>
            <w:vAlign w:val="center"/>
          </w:tcPr>
          <w:p w14:paraId="7421E9ED">
            <w:pPr>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w:t>
            </w:r>
          </w:p>
        </w:tc>
        <w:tc>
          <w:tcPr>
            <w:tcW w:w="393" w:type="pct"/>
            <w:vMerge w:val="continue"/>
            <w:vAlign w:val="center"/>
          </w:tcPr>
          <w:p w14:paraId="01F54C84">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2493DDC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1343D2D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076D28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085241A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72E8412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3421" w:type="dxa"/>
            <w:gridSpan w:val="3"/>
            <w:vAlign w:val="center"/>
          </w:tcPr>
          <w:p w14:paraId="28621D3B">
            <w:pPr>
              <w:keepNext w:val="0"/>
              <w:keepLines w:val="0"/>
              <w:pageBreakBefore w:val="0"/>
              <w:kinsoku/>
              <w:wordWrap/>
              <w:overflowPunct/>
              <w:topLinePunct w:val="0"/>
              <w:autoSpaceDE/>
              <w:autoSpaceDN/>
              <w:bidi w:val="0"/>
              <w:ind w:left="0" w:leftChars="0" w:right="0" w:rightChars="0"/>
              <w:jc w:val="center"/>
              <w:textAlignment w:val="auto"/>
              <w:rPr>
                <w:rFonts w:hint="eastAsia" w:ascii="Times New Roman" w:hAnsi="Times New Roman" w:eastAsia="宋体"/>
                <w:color w:val="auto"/>
                <w:highlight w:val="none"/>
                <w:lang w:eastAsia="zh-CN"/>
              </w:rPr>
            </w:pPr>
            <w:r>
              <w:rPr>
                <w:rFonts w:hint="eastAsia" w:ascii="Times New Roman" w:hAnsi="Times New Roman" w:cs="Times New Roman"/>
                <w:color w:val="auto"/>
                <w:sz w:val="21"/>
                <w:szCs w:val="18"/>
                <w:highlight w:val="none"/>
              </w:rPr>
              <w:t>废包装桶（瓶）</w:t>
            </w:r>
          </w:p>
        </w:tc>
        <w:tc>
          <w:tcPr>
            <w:tcW w:w="1355" w:type="dxa"/>
            <w:vAlign w:val="center"/>
          </w:tcPr>
          <w:p w14:paraId="3AA689C2">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7.79</w:t>
            </w:r>
          </w:p>
        </w:tc>
        <w:tc>
          <w:tcPr>
            <w:tcW w:w="393" w:type="pct"/>
            <w:vMerge w:val="continue"/>
            <w:vAlign w:val="center"/>
          </w:tcPr>
          <w:p w14:paraId="758B0807">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4765EF6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4CB0A30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0413B1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511DAB74">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4D744C27">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3421" w:type="dxa"/>
            <w:gridSpan w:val="3"/>
            <w:vAlign w:val="center"/>
          </w:tcPr>
          <w:p w14:paraId="106CE0A1">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olor w:val="auto"/>
                <w:highlight w:val="none"/>
              </w:rPr>
            </w:pPr>
            <w:r>
              <w:rPr>
                <w:rFonts w:hint="eastAsia" w:ascii="Times New Roman" w:hAnsi="Times New Roman" w:cs="Times New Roman"/>
                <w:color w:val="auto"/>
                <w:sz w:val="21"/>
                <w:szCs w:val="21"/>
                <w:highlight w:val="none"/>
              </w:rPr>
              <w:t>废包装袋</w:t>
            </w:r>
          </w:p>
        </w:tc>
        <w:tc>
          <w:tcPr>
            <w:tcW w:w="1355" w:type="dxa"/>
            <w:vAlign w:val="center"/>
          </w:tcPr>
          <w:p w14:paraId="4A4775F6">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w:t>
            </w:r>
          </w:p>
        </w:tc>
        <w:tc>
          <w:tcPr>
            <w:tcW w:w="393" w:type="pct"/>
            <w:vMerge w:val="continue"/>
            <w:vAlign w:val="center"/>
          </w:tcPr>
          <w:p w14:paraId="10E0BFE7">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62AE8FD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3AF46B4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11FC3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 w:type="pct"/>
            <w:vMerge w:val="continue"/>
            <w:vAlign w:val="center"/>
          </w:tcPr>
          <w:p w14:paraId="63DEED8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40D3540F">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3421" w:type="dxa"/>
            <w:gridSpan w:val="3"/>
            <w:vAlign w:val="center"/>
          </w:tcPr>
          <w:p w14:paraId="16182EAB">
            <w:pPr>
              <w:keepNext w:val="0"/>
              <w:keepLines w:val="0"/>
              <w:pageBreakBefore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24"/>
                <w:szCs w:val="24"/>
                <w:highlight w:val="none"/>
                <w:lang w:val="en-US" w:eastAsia="zh-CN" w:bidi="ar-SA"/>
              </w:rPr>
            </w:pPr>
            <w:r>
              <w:rPr>
                <w:rFonts w:hint="eastAsia" w:ascii="Times New Roman" w:hAnsi="Times New Roman" w:cs="Times New Roman"/>
                <w:color w:val="auto"/>
                <w:sz w:val="21"/>
                <w:szCs w:val="18"/>
                <w:highlight w:val="none"/>
              </w:rPr>
              <w:t>废活性炭</w:t>
            </w:r>
          </w:p>
        </w:tc>
        <w:tc>
          <w:tcPr>
            <w:tcW w:w="1355" w:type="dxa"/>
            <w:vAlign w:val="center"/>
          </w:tcPr>
          <w:p w14:paraId="7B6D8D1D">
            <w:pPr>
              <w:keepNext w:val="0"/>
              <w:keepLines w:val="0"/>
              <w:pageBreakBefore w:val="0"/>
              <w:kinsoku/>
              <w:wordWrap/>
              <w:overflowPunct/>
              <w:topLinePunct w:val="0"/>
              <w:autoSpaceDE/>
              <w:autoSpaceDN/>
              <w:bidi w:val="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10.4089</w:t>
            </w:r>
          </w:p>
        </w:tc>
        <w:tc>
          <w:tcPr>
            <w:tcW w:w="393" w:type="pct"/>
            <w:vMerge w:val="continue"/>
            <w:vAlign w:val="center"/>
          </w:tcPr>
          <w:p w14:paraId="6F9783EC">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62E238B3">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55C04A2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43C3D4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191" w:type="pct"/>
            <w:vMerge w:val="continue"/>
            <w:vAlign w:val="center"/>
          </w:tcPr>
          <w:p w14:paraId="1B26F8C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193" w:type="pct"/>
            <w:vMerge w:val="continue"/>
            <w:vAlign w:val="center"/>
          </w:tcPr>
          <w:p w14:paraId="1F6EF1E0">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3421" w:type="dxa"/>
            <w:gridSpan w:val="3"/>
            <w:vAlign w:val="center"/>
          </w:tcPr>
          <w:p w14:paraId="199A680E">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olor w:val="auto"/>
                <w:highlight w:val="none"/>
              </w:rPr>
            </w:pPr>
            <w:r>
              <w:rPr>
                <w:rFonts w:hint="eastAsia" w:ascii="Times New Roman" w:hAnsi="Times New Roman" w:cs="Times New Roman"/>
                <w:color w:val="auto"/>
                <w:sz w:val="21"/>
                <w:szCs w:val="18"/>
                <w:highlight w:val="none"/>
                <w:lang w:val="en-US" w:eastAsia="zh-CN"/>
              </w:rPr>
              <w:t>实验室清洗废水</w:t>
            </w:r>
          </w:p>
        </w:tc>
        <w:tc>
          <w:tcPr>
            <w:tcW w:w="1355" w:type="dxa"/>
            <w:vAlign w:val="center"/>
          </w:tcPr>
          <w:p w14:paraId="01045492">
            <w:pPr>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0.1</w:t>
            </w:r>
          </w:p>
        </w:tc>
        <w:tc>
          <w:tcPr>
            <w:tcW w:w="393" w:type="pct"/>
            <w:vMerge w:val="continue"/>
            <w:vAlign w:val="center"/>
          </w:tcPr>
          <w:p w14:paraId="42E748DA">
            <w:pPr>
              <w:pageBreakBefore w:val="0"/>
              <w:kinsoku/>
              <w:wordWrap/>
              <w:overflowPunct/>
              <w:topLinePunct w:val="0"/>
              <w:autoSpaceDE/>
              <w:autoSpaceDN/>
              <w:bidi w:val="0"/>
              <w:adjustRightInd w:val="0"/>
              <w:snapToGrid w:val="0"/>
              <w:ind w:left="0" w:right="0"/>
              <w:jc w:val="center"/>
              <w:textAlignment w:val="auto"/>
              <w:rPr>
                <w:rFonts w:ascii="Times New Roman" w:hAnsi="Times New Roman" w:cs="Times New Roman"/>
                <w:color w:val="auto"/>
                <w:sz w:val="21"/>
                <w:szCs w:val="21"/>
                <w:highlight w:val="none"/>
              </w:rPr>
            </w:pPr>
          </w:p>
        </w:tc>
        <w:tc>
          <w:tcPr>
            <w:tcW w:w="1660" w:type="pct"/>
            <w:gridSpan w:val="4"/>
            <w:vMerge w:val="continue"/>
            <w:vAlign w:val="center"/>
          </w:tcPr>
          <w:p w14:paraId="46AA8F4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c>
          <w:tcPr>
            <w:tcW w:w="875" w:type="pct"/>
            <w:vMerge w:val="continue"/>
            <w:vAlign w:val="center"/>
          </w:tcPr>
          <w:p w14:paraId="6BC83B66">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6C78D8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384" w:type="pct"/>
            <w:gridSpan w:val="2"/>
            <w:vMerge w:val="restart"/>
            <w:vAlign w:val="center"/>
          </w:tcPr>
          <w:p w14:paraId="7ECDF06E">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噪声</w:t>
            </w:r>
          </w:p>
        </w:tc>
        <w:tc>
          <w:tcPr>
            <w:tcW w:w="620" w:type="pct"/>
            <w:vAlign w:val="center"/>
          </w:tcPr>
          <w:p w14:paraId="19CCB367">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二工场</w:t>
            </w:r>
            <w:r>
              <w:rPr>
                <w:rFonts w:ascii="Times New Roman" w:hAnsi="Times New Roman"/>
                <w:color w:val="auto"/>
                <w:highlight w:val="none"/>
              </w:rPr>
              <w:t>噪声N（室</w:t>
            </w:r>
            <w:r>
              <w:rPr>
                <w:rFonts w:hint="eastAsia" w:ascii="Times New Roman" w:hAnsi="Times New Roman"/>
                <w:color w:val="auto"/>
                <w:highlight w:val="none"/>
              </w:rPr>
              <w:t>外</w:t>
            </w:r>
            <w:r>
              <w:rPr>
                <w:rFonts w:ascii="Times New Roman" w:hAnsi="Times New Roman"/>
                <w:color w:val="auto"/>
                <w:highlight w:val="none"/>
              </w:rPr>
              <w:t>）</w:t>
            </w:r>
          </w:p>
        </w:tc>
        <w:tc>
          <w:tcPr>
            <w:tcW w:w="1459" w:type="pct"/>
            <w:gridSpan w:val="4"/>
            <w:vAlign w:val="center"/>
          </w:tcPr>
          <w:p w14:paraId="2CB6C1D1">
            <w:pPr>
              <w:pageBreakBefore w:val="0"/>
              <w:kinsoku/>
              <w:wordWrap/>
              <w:overflowPunct/>
              <w:topLinePunct w:val="0"/>
              <w:autoSpaceDE/>
              <w:autoSpaceDN/>
              <w:bidi w:val="0"/>
              <w:ind w:left="0" w:right="0"/>
              <w:jc w:val="center"/>
              <w:textAlignment w:val="auto"/>
              <w:rPr>
                <w:rFonts w:ascii="Times New Roman" w:hAnsi="Times New Roman"/>
                <w:color w:val="auto"/>
                <w:highlight w:val="none"/>
              </w:rPr>
            </w:pPr>
            <w:r>
              <w:rPr>
                <w:rFonts w:hint="eastAsia" w:ascii="Times New Roman" w:hAnsi="Times New Roman" w:cs="Times New Roman"/>
                <w:color w:val="auto"/>
                <w:sz w:val="21"/>
                <w:szCs w:val="21"/>
                <w:highlight w:val="none"/>
              </w:rPr>
              <w:t>洁净室引风风机</w:t>
            </w:r>
          </w:p>
        </w:tc>
        <w:tc>
          <w:tcPr>
            <w:tcW w:w="1660" w:type="pct"/>
            <w:gridSpan w:val="4"/>
            <w:vAlign w:val="center"/>
          </w:tcPr>
          <w:p w14:paraId="1E25E8FB">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kern w:val="0"/>
                <w:highlight w:val="none"/>
              </w:rPr>
              <w:t>通过</w:t>
            </w:r>
            <w:r>
              <w:rPr>
                <w:rFonts w:hint="eastAsia" w:ascii="Times New Roman" w:hAnsi="Times New Roman"/>
                <w:color w:val="auto"/>
                <w:kern w:val="0"/>
                <w:highlight w:val="none"/>
                <w:lang w:val="en-US" w:eastAsia="zh-CN"/>
              </w:rPr>
              <w:t>减振</w:t>
            </w:r>
            <w:r>
              <w:rPr>
                <w:rFonts w:ascii="Times New Roman" w:hAnsi="Times New Roman"/>
                <w:color w:val="auto"/>
                <w:kern w:val="0"/>
                <w:highlight w:val="none"/>
              </w:rPr>
              <w:t>隔声，距离衰减</w:t>
            </w:r>
            <w:r>
              <w:rPr>
                <w:rFonts w:ascii="Times New Roman" w:hAnsi="Times New Roman"/>
                <w:color w:val="auto"/>
                <w:highlight w:val="none"/>
              </w:rPr>
              <w:t>措施降噪。</w:t>
            </w:r>
          </w:p>
        </w:tc>
        <w:tc>
          <w:tcPr>
            <w:tcW w:w="875" w:type="pct"/>
            <w:vMerge w:val="restart"/>
            <w:vAlign w:val="center"/>
          </w:tcPr>
          <w:p w14:paraId="7A1914A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执行《工业企业厂界环境噪声排放标准》（GB12348-2008）厂界外3类声环境功能区标准。</w:t>
            </w:r>
          </w:p>
        </w:tc>
      </w:tr>
      <w:tr w14:paraId="620032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84" w:type="pct"/>
            <w:gridSpan w:val="2"/>
            <w:vMerge w:val="continue"/>
            <w:vAlign w:val="center"/>
          </w:tcPr>
          <w:p w14:paraId="28AD5301">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p>
        </w:tc>
        <w:tc>
          <w:tcPr>
            <w:tcW w:w="620" w:type="pct"/>
            <w:vAlign w:val="center"/>
          </w:tcPr>
          <w:p w14:paraId="59F2C5F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hint="eastAsia" w:ascii="Times New Roman" w:hAnsi="Times New Roman"/>
                <w:color w:val="auto"/>
                <w:highlight w:val="none"/>
              </w:rPr>
              <w:t>实验楼</w:t>
            </w:r>
            <w:r>
              <w:rPr>
                <w:rFonts w:ascii="Times New Roman" w:hAnsi="Times New Roman"/>
                <w:color w:val="auto"/>
                <w:highlight w:val="none"/>
              </w:rPr>
              <w:t>噪声N（室</w:t>
            </w:r>
            <w:r>
              <w:rPr>
                <w:rFonts w:hint="eastAsia" w:ascii="Times New Roman" w:hAnsi="Times New Roman"/>
                <w:color w:val="auto"/>
                <w:highlight w:val="none"/>
              </w:rPr>
              <w:t>外</w:t>
            </w:r>
            <w:r>
              <w:rPr>
                <w:rFonts w:ascii="Times New Roman" w:hAnsi="Times New Roman"/>
                <w:color w:val="auto"/>
                <w:highlight w:val="none"/>
              </w:rPr>
              <w:t>）</w:t>
            </w:r>
          </w:p>
        </w:tc>
        <w:tc>
          <w:tcPr>
            <w:tcW w:w="1459" w:type="pct"/>
            <w:gridSpan w:val="4"/>
            <w:vAlign w:val="center"/>
          </w:tcPr>
          <w:p w14:paraId="21A8C034">
            <w:pPr>
              <w:pageBreakBefore w:val="0"/>
              <w:kinsoku/>
              <w:wordWrap/>
              <w:overflowPunct/>
              <w:topLinePunct w:val="0"/>
              <w:autoSpaceDE/>
              <w:autoSpaceDN/>
              <w:bidi w:val="0"/>
              <w:ind w:left="0" w:right="0"/>
              <w:jc w:val="center"/>
              <w:textAlignment w:val="auto"/>
              <w:rPr>
                <w:rFonts w:ascii="Times New Roman" w:hAnsi="Times New Roman"/>
                <w:snapToGrid w:val="0"/>
                <w:color w:val="auto"/>
                <w:highlight w:val="none"/>
              </w:rPr>
            </w:pPr>
            <w:r>
              <w:rPr>
                <w:rFonts w:hint="eastAsia" w:ascii="Times New Roman" w:hAnsi="Times New Roman" w:cs="Times New Roman"/>
                <w:color w:val="auto"/>
                <w:sz w:val="21"/>
                <w:szCs w:val="21"/>
                <w:highlight w:val="none"/>
              </w:rPr>
              <w:t>2套二级活性炭吸附</w:t>
            </w:r>
            <w:r>
              <w:rPr>
                <w:rFonts w:ascii="Times New Roman" w:hAnsi="Times New Roman" w:cs="Times New Roman"/>
                <w:color w:val="auto"/>
                <w:sz w:val="21"/>
                <w:szCs w:val="21"/>
                <w:highlight w:val="none"/>
              </w:rPr>
              <w:t>装置及配套风机</w:t>
            </w:r>
            <w:r>
              <w:rPr>
                <w:rFonts w:hint="eastAsia" w:ascii="Times New Roman" w:hAnsi="Times New Roman" w:cs="Times New Roman"/>
                <w:color w:val="auto"/>
                <w:sz w:val="21"/>
                <w:szCs w:val="21"/>
                <w:highlight w:val="none"/>
              </w:rPr>
              <w:t>（DA006）</w:t>
            </w:r>
          </w:p>
        </w:tc>
        <w:tc>
          <w:tcPr>
            <w:tcW w:w="1660" w:type="pct"/>
            <w:gridSpan w:val="4"/>
            <w:vAlign w:val="center"/>
          </w:tcPr>
          <w:p w14:paraId="7527F305">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kern w:val="0"/>
                <w:highlight w:val="none"/>
              </w:rPr>
              <w:t>通过</w:t>
            </w:r>
            <w:r>
              <w:rPr>
                <w:rFonts w:hint="eastAsia" w:ascii="Times New Roman" w:hAnsi="Times New Roman"/>
                <w:color w:val="auto"/>
                <w:kern w:val="0"/>
                <w:highlight w:val="none"/>
                <w:lang w:val="en-US" w:eastAsia="zh-CN"/>
              </w:rPr>
              <w:t>减振</w:t>
            </w:r>
            <w:r>
              <w:rPr>
                <w:rFonts w:ascii="Times New Roman" w:hAnsi="Times New Roman"/>
                <w:color w:val="auto"/>
                <w:kern w:val="0"/>
                <w:highlight w:val="none"/>
              </w:rPr>
              <w:t>隔声，距离衰减</w:t>
            </w:r>
            <w:r>
              <w:rPr>
                <w:rFonts w:ascii="Times New Roman" w:hAnsi="Times New Roman"/>
                <w:color w:val="auto"/>
                <w:highlight w:val="none"/>
              </w:rPr>
              <w:t>措施降噪。</w:t>
            </w:r>
          </w:p>
        </w:tc>
        <w:tc>
          <w:tcPr>
            <w:tcW w:w="875" w:type="pct"/>
            <w:vMerge w:val="continue"/>
            <w:vAlign w:val="center"/>
          </w:tcPr>
          <w:p w14:paraId="72DD877A">
            <w:pPr>
              <w:pStyle w:val="24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p>
        </w:tc>
      </w:tr>
      <w:tr w14:paraId="60ADE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84" w:type="pct"/>
            <w:gridSpan w:val="2"/>
            <w:vAlign w:val="center"/>
          </w:tcPr>
          <w:p w14:paraId="683B8A4C">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土壤与</w:t>
            </w:r>
          </w:p>
          <w:p w14:paraId="46E3BD28">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地下水</w:t>
            </w:r>
          </w:p>
        </w:tc>
        <w:tc>
          <w:tcPr>
            <w:tcW w:w="2079" w:type="pct"/>
            <w:gridSpan w:val="5"/>
            <w:vAlign w:val="center"/>
          </w:tcPr>
          <w:p w14:paraId="379A3214">
            <w:pPr>
              <w:keepNext/>
              <w:keepLines/>
              <w:pageBreakBefore w:val="0"/>
              <w:widowControl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重点防渗区为</w:t>
            </w:r>
            <w:r>
              <w:rPr>
                <w:rFonts w:hint="eastAsia"/>
                <w:color w:val="auto"/>
                <w:sz w:val="21"/>
                <w:szCs w:val="21"/>
                <w:highlight w:val="none"/>
              </w:rPr>
              <w:t>生产区、</w:t>
            </w:r>
            <w:r>
              <w:rPr>
                <w:rFonts w:hint="eastAsia"/>
                <w:color w:val="auto"/>
                <w:sz w:val="21"/>
                <w:szCs w:val="21"/>
                <w:highlight w:val="none"/>
                <w:lang w:eastAsia="zh-CN"/>
              </w:rPr>
              <w:t>危险品仓库</w:t>
            </w:r>
            <w:r>
              <w:rPr>
                <w:rFonts w:hint="eastAsia"/>
                <w:color w:val="auto"/>
                <w:sz w:val="21"/>
                <w:szCs w:val="21"/>
                <w:highlight w:val="none"/>
              </w:rPr>
              <w:t>、成品仓库、埋地柴油罐、废液储罐区、危废仓库、事故池、初期雨水收集池</w:t>
            </w:r>
            <w:r>
              <w:rPr>
                <w:color w:val="auto"/>
                <w:sz w:val="21"/>
                <w:szCs w:val="21"/>
                <w:highlight w:val="none"/>
              </w:rPr>
              <w:t>等，一般防渗区为</w:t>
            </w:r>
            <w:r>
              <w:rPr>
                <w:rFonts w:hint="eastAsia"/>
                <w:color w:val="auto"/>
                <w:sz w:val="21"/>
                <w:szCs w:val="21"/>
                <w:highlight w:val="none"/>
              </w:rPr>
              <w:t>实验楼、一般固废仓库、辅房</w:t>
            </w:r>
            <w:r>
              <w:rPr>
                <w:color w:val="auto"/>
                <w:sz w:val="21"/>
                <w:szCs w:val="21"/>
                <w:highlight w:val="none"/>
              </w:rPr>
              <w:t>等，并按有关规定、规范在平面图中做出标注。</w:t>
            </w:r>
          </w:p>
        </w:tc>
        <w:tc>
          <w:tcPr>
            <w:tcW w:w="889" w:type="pct"/>
            <w:gridSpan w:val="2"/>
            <w:vAlign w:val="center"/>
          </w:tcPr>
          <w:p w14:paraId="115A84F6">
            <w:pPr>
              <w:keepNext/>
              <w:keepLines/>
              <w:pageBreakBefore w:val="0"/>
              <w:widowControl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易污染区地面均做好防腐防渗处理。盛装强酸强碱和有机溶剂的场所，并要按有关规范建设防溢围堰。</w:t>
            </w:r>
          </w:p>
        </w:tc>
        <w:tc>
          <w:tcPr>
            <w:tcW w:w="1646" w:type="pct"/>
            <w:gridSpan w:val="3"/>
            <w:vAlign w:val="center"/>
          </w:tcPr>
          <w:p w14:paraId="481FDDC7">
            <w:pPr>
              <w:keepNext/>
              <w:keepLines/>
              <w:pageBreakBefore w:val="0"/>
              <w:widowControl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重点</w:t>
            </w:r>
            <w:r>
              <w:rPr>
                <w:rFonts w:ascii="Times New Roman" w:hAnsi="Times New Roman" w:cs="Times New Roman"/>
                <w:color w:val="auto"/>
                <w:sz w:val="21"/>
                <w:szCs w:val="21"/>
                <w:highlight w:val="none"/>
              </w:rPr>
              <w:t>防渗区：执行等效黏土层Mb≥6.0m，渗透系数≤10</w:t>
            </w:r>
            <w:r>
              <w:rPr>
                <w:rFonts w:ascii="Times New Roman" w:hAnsi="Times New Roman" w:cs="Times New Roman"/>
                <w:color w:val="auto"/>
                <w:sz w:val="21"/>
                <w:szCs w:val="21"/>
                <w:highlight w:val="none"/>
                <w:vertAlign w:val="superscript"/>
              </w:rPr>
              <w:t>-7</w:t>
            </w:r>
            <w:r>
              <w:rPr>
                <w:rFonts w:ascii="Times New Roman" w:hAnsi="Times New Roman" w:cs="Times New Roman"/>
                <w:color w:val="auto"/>
                <w:sz w:val="21"/>
                <w:szCs w:val="21"/>
                <w:highlight w:val="none"/>
              </w:rPr>
              <w:t>cm/s；一般防渗区：执行等效黏土层Mb≥1.5m，渗透系数≤10</w:t>
            </w:r>
            <w:r>
              <w:rPr>
                <w:rFonts w:ascii="Times New Roman" w:hAnsi="Times New Roman" w:cs="Times New Roman"/>
                <w:color w:val="auto"/>
                <w:sz w:val="21"/>
                <w:szCs w:val="21"/>
                <w:highlight w:val="none"/>
                <w:vertAlign w:val="superscript"/>
              </w:rPr>
              <w:t>-7</w:t>
            </w:r>
            <w:r>
              <w:rPr>
                <w:rFonts w:ascii="Times New Roman" w:hAnsi="Times New Roman" w:cs="Times New Roman"/>
                <w:color w:val="auto"/>
                <w:sz w:val="21"/>
                <w:szCs w:val="21"/>
                <w:highlight w:val="none"/>
              </w:rPr>
              <w:t>cm/s的规定。</w:t>
            </w:r>
          </w:p>
        </w:tc>
      </w:tr>
      <w:tr w14:paraId="492C47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84" w:type="pct"/>
            <w:gridSpan w:val="2"/>
            <w:vAlign w:val="center"/>
          </w:tcPr>
          <w:p w14:paraId="7C036D0D">
            <w:pPr>
              <w:pStyle w:val="240"/>
              <w:pageBreakBefore w:val="0"/>
              <w:kinsoku/>
              <w:wordWrap/>
              <w:overflowPunct/>
              <w:topLinePunct w:val="0"/>
              <w:autoSpaceDE/>
              <w:autoSpaceDN/>
              <w:bidi w:val="0"/>
              <w:adjustRightInd w:val="0"/>
              <w:snapToGrid w:val="0"/>
              <w:ind w:left="0" w:right="0"/>
              <w:textAlignment w:val="auto"/>
              <w:rPr>
                <w:rFonts w:ascii="Times New Roman" w:hAnsi="Times New Roman"/>
                <w:b/>
                <w:color w:val="auto"/>
                <w:highlight w:val="none"/>
              </w:rPr>
            </w:pPr>
            <w:r>
              <w:rPr>
                <w:rFonts w:ascii="Times New Roman" w:hAnsi="Times New Roman"/>
                <w:b/>
                <w:color w:val="auto"/>
                <w:highlight w:val="none"/>
              </w:rPr>
              <w:t>清污雨污分流</w:t>
            </w:r>
          </w:p>
        </w:tc>
        <w:tc>
          <w:tcPr>
            <w:tcW w:w="4615" w:type="pct"/>
            <w:gridSpan w:val="10"/>
            <w:vAlign w:val="center"/>
          </w:tcPr>
          <w:p w14:paraId="33643D8B">
            <w:pPr>
              <w:pageBreakBefore w:val="0"/>
              <w:kinsoku/>
              <w:wordWrap/>
              <w:overflowPunct/>
              <w:topLinePunct w:val="0"/>
              <w:autoSpaceDE/>
              <w:autoSpaceDN/>
              <w:bidi w:val="0"/>
              <w:adjustRightInd w:val="0"/>
              <w:snapToGrid w:val="0"/>
              <w:ind w:left="0" w:right="0"/>
              <w:jc w:val="center"/>
              <w:textAlignment w:val="auto"/>
              <w:rPr>
                <w:color w:val="auto"/>
                <w:sz w:val="21"/>
                <w:szCs w:val="21"/>
                <w:highlight w:val="none"/>
              </w:rPr>
            </w:pPr>
            <w:r>
              <w:rPr>
                <w:color w:val="auto"/>
                <w:sz w:val="21"/>
                <w:szCs w:val="21"/>
                <w:highlight w:val="none"/>
              </w:rPr>
              <w:t>厂区全面实行雨污分流、清污分流。建</w:t>
            </w:r>
            <w:r>
              <w:rPr>
                <w:rFonts w:ascii="Times New Roman" w:hAnsi="Times New Roman" w:cs="Times New Roman"/>
                <w:color w:val="auto"/>
                <w:sz w:val="21"/>
                <w:szCs w:val="21"/>
                <w:highlight w:val="none"/>
              </w:rPr>
              <w:t>设540m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的</w:t>
            </w:r>
            <w:r>
              <w:rPr>
                <w:color w:val="auto"/>
                <w:sz w:val="21"/>
                <w:szCs w:val="21"/>
                <w:highlight w:val="none"/>
              </w:rPr>
              <w:t>应急事故池</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380</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的初期雨水收集池</w:t>
            </w:r>
            <w:r>
              <w:rPr>
                <w:color w:val="auto"/>
                <w:sz w:val="21"/>
                <w:szCs w:val="21"/>
                <w:highlight w:val="none"/>
              </w:rPr>
              <w:t>。</w:t>
            </w:r>
          </w:p>
        </w:tc>
      </w:tr>
    </w:tbl>
    <w:p w14:paraId="46B6F207">
      <w:pPr>
        <w:ind w:left="-105" w:right="-105"/>
        <w:rPr>
          <w:color w:val="auto"/>
          <w:highlight w:val="none"/>
        </w:rPr>
      </w:pPr>
      <w:bookmarkStart w:id="506" w:name="_Toc139356220"/>
    </w:p>
    <w:p w14:paraId="1CDB216B">
      <w:pPr>
        <w:ind w:left="-105" w:right="-105"/>
        <w:rPr>
          <w:color w:val="auto"/>
          <w:highlight w:val="none"/>
        </w:rPr>
      </w:pPr>
    </w:p>
    <w:p w14:paraId="4869ADCF">
      <w:pPr>
        <w:pStyle w:val="2"/>
        <w:rPr>
          <w:color w:val="auto"/>
          <w:highlight w:val="none"/>
        </w:rPr>
      </w:pPr>
    </w:p>
    <w:p w14:paraId="0F2B8BC7">
      <w:pPr>
        <w:ind w:left="-105" w:right="-105"/>
        <w:rPr>
          <w:color w:val="auto"/>
          <w:highlight w:val="none"/>
        </w:rPr>
      </w:pPr>
    </w:p>
    <w:p w14:paraId="1C8B251A">
      <w:pPr>
        <w:pStyle w:val="4"/>
        <w:numPr>
          <w:ilvl w:val="1"/>
          <w:numId w:val="6"/>
        </w:numPr>
        <w:tabs>
          <w:tab w:val="left" w:pos="426"/>
        </w:tabs>
        <w:spacing w:before="120" w:beforeLines="50" w:line="360" w:lineRule="auto"/>
        <w:ind w:left="-105" w:right="-105" w:firstLine="562"/>
        <w:rPr>
          <w:rFonts w:ascii="Times New Roman" w:eastAsia="宋体"/>
          <w:color w:val="auto"/>
          <w:sz w:val="28"/>
          <w:szCs w:val="28"/>
          <w:highlight w:val="none"/>
        </w:rPr>
      </w:pPr>
      <w:bookmarkStart w:id="507" w:name="_Toc26495"/>
      <w:r>
        <w:rPr>
          <w:rFonts w:hint="eastAsia" w:ascii="Times New Roman" w:eastAsia="宋体"/>
          <w:color w:val="auto"/>
          <w:sz w:val="28"/>
          <w:szCs w:val="28"/>
          <w:highlight w:val="none"/>
        </w:rPr>
        <w:t>“三同时”验收一览表</w:t>
      </w:r>
      <w:bookmarkEnd w:id="506"/>
      <w:bookmarkEnd w:id="507"/>
    </w:p>
    <w:p w14:paraId="3372A1FE">
      <w:pPr>
        <w:ind w:left="-105" w:right="-105" w:firstLine="482"/>
        <w:jc w:val="center"/>
        <w:rPr>
          <w:rFonts w:ascii="Times New Roman" w:hAnsi="Times New Roman" w:cs="Times New Roman"/>
          <w:b/>
          <w:bCs/>
          <w:color w:val="auto"/>
          <w:highlight w:val="none"/>
        </w:rPr>
      </w:pPr>
      <w:r>
        <w:rPr>
          <w:rFonts w:ascii="Times New Roman" w:hAnsi="Times New Roman" w:cs="Times New Roman"/>
          <w:b/>
          <w:bCs/>
          <w:color w:val="auto"/>
          <w:szCs w:val="18"/>
          <w:highlight w:val="none"/>
        </w:rPr>
        <w:t>表</w:t>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STYLEREF 2 \s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7.8</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noBreakHyphen/>
      </w:r>
      <w:r>
        <w:rPr>
          <w:rFonts w:ascii="Times New Roman" w:hAnsi="Times New Roman" w:cs="Times New Roman"/>
          <w:b/>
          <w:bCs/>
          <w:color w:val="auto"/>
          <w:szCs w:val="18"/>
          <w:highlight w:val="none"/>
        </w:rPr>
        <w:fldChar w:fldCharType="begin"/>
      </w:r>
      <w:r>
        <w:rPr>
          <w:rFonts w:ascii="Times New Roman" w:hAnsi="Times New Roman" w:cs="Times New Roman"/>
          <w:b/>
          <w:bCs/>
          <w:color w:val="auto"/>
          <w:szCs w:val="18"/>
          <w:highlight w:val="none"/>
        </w:rPr>
        <w:instrText xml:space="preserve"> SEQ 表 \* ARABIC \s 2 </w:instrText>
      </w:r>
      <w:r>
        <w:rPr>
          <w:rFonts w:ascii="Times New Roman" w:hAnsi="Times New Roman" w:cs="Times New Roman"/>
          <w:b/>
          <w:bCs/>
          <w:color w:val="auto"/>
          <w:szCs w:val="18"/>
          <w:highlight w:val="none"/>
        </w:rPr>
        <w:fldChar w:fldCharType="separate"/>
      </w:r>
      <w:r>
        <w:rPr>
          <w:rFonts w:ascii="Times New Roman" w:hAnsi="Times New Roman" w:cs="Times New Roman"/>
          <w:b/>
          <w:bCs/>
          <w:color w:val="auto"/>
          <w:szCs w:val="18"/>
          <w:highlight w:val="none"/>
        </w:rPr>
        <w:t>1</w:t>
      </w:r>
      <w:r>
        <w:rPr>
          <w:rFonts w:ascii="Times New Roman" w:hAnsi="Times New Roman" w:cs="Times New Roman"/>
          <w:b/>
          <w:bCs/>
          <w:color w:val="auto"/>
          <w:szCs w:val="18"/>
          <w:highlight w:val="none"/>
        </w:rPr>
        <w:fldChar w:fldCharType="end"/>
      </w:r>
      <w:r>
        <w:rPr>
          <w:rFonts w:ascii="Times New Roman" w:hAnsi="Times New Roman" w:cs="Times New Roman"/>
          <w:b/>
          <w:bCs/>
          <w:color w:val="auto"/>
          <w:szCs w:val="18"/>
          <w:highlight w:val="none"/>
        </w:rPr>
        <w:t>本项目</w:t>
      </w:r>
      <w:r>
        <w:rPr>
          <w:rFonts w:hint="eastAsia" w:ascii="Times New Roman" w:hAnsi="Times New Roman" w:cs="Times New Roman"/>
          <w:b/>
          <w:bCs/>
          <w:color w:val="auto"/>
          <w:szCs w:val="18"/>
          <w:highlight w:val="none"/>
        </w:rPr>
        <w:t>“三同时”验收一览表</w:t>
      </w:r>
    </w:p>
    <w:tbl>
      <w:tblPr>
        <w:tblStyle w:val="45"/>
        <w:tblW w:w="1346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7"/>
        <w:gridCol w:w="528"/>
        <w:gridCol w:w="915"/>
        <w:gridCol w:w="1399"/>
        <w:gridCol w:w="1391"/>
        <w:gridCol w:w="1470"/>
        <w:gridCol w:w="825"/>
        <w:gridCol w:w="1695"/>
        <w:gridCol w:w="1020"/>
        <w:gridCol w:w="2906"/>
        <w:gridCol w:w="636"/>
      </w:tblGrid>
      <w:tr w14:paraId="0A0C0E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shd w:val="clear" w:color="auto" w:fill="auto"/>
            <w:vAlign w:val="center"/>
          </w:tcPr>
          <w:p w14:paraId="3BB0A60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项目名称</w:t>
            </w:r>
          </w:p>
        </w:tc>
        <w:tc>
          <w:tcPr>
            <w:tcW w:w="12785" w:type="dxa"/>
            <w:gridSpan w:val="10"/>
            <w:shd w:val="clear" w:color="auto" w:fill="auto"/>
            <w:vAlign w:val="center"/>
          </w:tcPr>
          <w:p w14:paraId="64F41CB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化药化工（无锡）有限公司年产剥离液800t项目</w:t>
            </w:r>
          </w:p>
        </w:tc>
      </w:tr>
      <w:tr w14:paraId="3147E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shd w:val="clear" w:color="auto" w:fill="auto"/>
            <w:vAlign w:val="center"/>
          </w:tcPr>
          <w:p w14:paraId="267CB34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类型</w:t>
            </w:r>
          </w:p>
        </w:tc>
        <w:tc>
          <w:tcPr>
            <w:tcW w:w="1443" w:type="dxa"/>
            <w:gridSpan w:val="2"/>
            <w:shd w:val="clear" w:color="auto" w:fill="auto"/>
            <w:vAlign w:val="center"/>
          </w:tcPr>
          <w:p w14:paraId="22F6543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污染源</w:t>
            </w:r>
          </w:p>
        </w:tc>
        <w:tc>
          <w:tcPr>
            <w:tcW w:w="1399" w:type="dxa"/>
            <w:shd w:val="clear" w:color="auto" w:fill="auto"/>
            <w:vAlign w:val="center"/>
          </w:tcPr>
          <w:p w14:paraId="27065CB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主要污染物</w:t>
            </w:r>
          </w:p>
        </w:tc>
        <w:tc>
          <w:tcPr>
            <w:tcW w:w="1391" w:type="dxa"/>
            <w:shd w:val="clear" w:color="auto" w:fill="auto"/>
            <w:vAlign w:val="center"/>
          </w:tcPr>
          <w:p w14:paraId="428E9D8A">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验收监测内容</w:t>
            </w:r>
          </w:p>
        </w:tc>
        <w:tc>
          <w:tcPr>
            <w:tcW w:w="1470" w:type="dxa"/>
            <w:shd w:val="clear" w:color="auto" w:fill="auto"/>
            <w:vAlign w:val="center"/>
          </w:tcPr>
          <w:p w14:paraId="47033FFA">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环保设施名称</w:t>
            </w:r>
          </w:p>
        </w:tc>
        <w:tc>
          <w:tcPr>
            <w:tcW w:w="825" w:type="dxa"/>
            <w:shd w:val="clear" w:color="auto" w:fill="auto"/>
            <w:vAlign w:val="center"/>
          </w:tcPr>
          <w:p w14:paraId="601666C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台/套</w:t>
            </w:r>
          </w:p>
        </w:tc>
        <w:tc>
          <w:tcPr>
            <w:tcW w:w="1695" w:type="dxa"/>
            <w:shd w:val="clear" w:color="auto" w:fill="auto"/>
            <w:vAlign w:val="center"/>
          </w:tcPr>
          <w:p w14:paraId="0878F05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设计处理能力</w:t>
            </w:r>
          </w:p>
        </w:tc>
        <w:tc>
          <w:tcPr>
            <w:tcW w:w="1020" w:type="dxa"/>
            <w:shd w:val="clear" w:color="auto" w:fill="auto"/>
            <w:vAlign w:val="center"/>
          </w:tcPr>
          <w:p w14:paraId="15613AEA">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环保投资(万元)</w:t>
            </w:r>
          </w:p>
        </w:tc>
        <w:tc>
          <w:tcPr>
            <w:tcW w:w="2906" w:type="dxa"/>
            <w:shd w:val="clear" w:color="auto" w:fill="auto"/>
            <w:vAlign w:val="center"/>
          </w:tcPr>
          <w:p w14:paraId="37783CD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预期效果</w:t>
            </w:r>
          </w:p>
        </w:tc>
        <w:tc>
          <w:tcPr>
            <w:tcW w:w="636" w:type="dxa"/>
            <w:shd w:val="clear" w:color="auto" w:fill="auto"/>
            <w:vAlign w:val="center"/>
          </w:tcPr>
          <w:p w14:paraId="1089C5A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进度</w:t>
            </w:r>
          </w:p>
        </w:tc>
      </w:tr>
      <w:tr w14:paraId="1BAE27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vMerge w:val="restart"/>
            <w:shd w:val="clear" w:color="auto" w:fill="auto"/>
            <w:vAlign w:val="center"/>
          </w:tcPr>
          <w:p w14:paraId="6D8241E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528" w:type="dxa"/>
            <w:vMerge w:val="restart"/>
            <w:shd w:val="clear" w:color="auto" w:fill="auto"/>
            <w:vAlign w:val="center"/>
          </w:tcPr>
          <w:p w14:paraId="4E9BEC3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有组织</w:t>
            </w:r>
          </w:p>
        </w:tc>
        <w:tc>
          <w:tcPr>
            <w:tcW w:w="915" w:type="dxa"/>
            <w:shd w:val="clear" w:color="auto" w:fill="auto"/>
            <w:vAlign w:val="center"/>
          </w:tcPr>
          <w:p w14:paraId="49DDAD1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混合、收缸废气</w:t>
            </w:r>
          </w:p>
        </w:tc>
        <w:tc>
          <w:tcPr>
            <w:tcW w:w="1399" w:type="dxa"/>
            <w:shd w:val="clear" w:color="auto" w:fill="auto"/>
            <w:vAlign w:val="center"/>
          </w:tcPr>
          <w:p w14:paraId="3680C5E1">
            <w:pPr>
              <w:pStyle w:val="240"/>
              <w:keepNext w:val="0"/>
              <w:keepLines w:val="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非甲烷总烃</w:t>
            </w:r>
          </w:p>
        </w:tc>
        <w:tc>
          <w:tcPr>
            <w:tcW w:w="1391" w:type="dxa"/>
            <w:vMerge w:val="restart"/>
            <w:shd w:val="clear" w:color="auto" w:fill="auto"/>
            <w:vAlign w:val="center"/>
          </w:tcPr>
          <w:p w14:paraId="6954B31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烟气流速、烟气温度、氧含量、烟气含湿量</w:t>
            </w:r>
          </w:p>
        </w:tc>
        <w:tc>
          <w:tcPr>
            <w:tcW w:w="1470" w:type="dxa"/>
            <w:tcBorders>
              <w:bottom w:val="single" w:color="auto" w:sz="4" w:space="0"/>
            </w:tcBorders>
            <w:shd w:val="clear" w:color="auto" w:fill="auto"/>
            <w:vAlign w:val="center"/>
          </w:tcPr>
          <w:p w14:paraId="56B912F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3级碱液喷淋+二级活性炭吸附，20米高排气筒DA005</w:t>
            </w:r>
          </w:p>
        </w:tc>
        <w:tc>
          <w:tcPr>
            <w:tcW w:w="825" w:type="dxa"/>
            <w:tcBorders>
              <w:bottom w:val="single" w:color="auto" w:sz="4" w:space="0"/>
            </w:tcBorders>
            <w:shd w:val="clear" w:color="auto" w:fill="auto"/>
            <w:vAlign w:val="center"/>
          </w:tcPr>
          <w:p w14:paraId="7B5D088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695" w:type="dxa"/>
            <w:tcBorders>
              <w:bottom w:val="single" w:color="auto" w:sz="4" w:space="0"/>
            </w:tcBorders>
            <w:shd w:val="clear" w:color="auto" w:fill="auto"/>
            <w:vAlign w:val="center"/>
          </w:tcPr>
          <w:p w14:paraId="1A2CDE4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设计风量20000m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/h，收集率</w:t>
            </w:r>
            <w:r>
              <w:rPr>
                <w:rFonts w:hint="eastAsia" w:ascii="Times New Roman" w:hAnsi="Times New Roman" w:cs="Times New Roman"/>
                <w:color w:val="auto"/>
                <w:sz w:val="21"/>
                <w:szCs w:val="21"/>
                <w:highlight w:val="none"/>
                <w:lang w:val="en-US" w:eastAsia="zh-CN"/>
              </w:rPr>
              <w:t>98</w:t>
            </w:r>
            <w:r>
              <w:rPr>
                <w:rFonts w:ascii="Times New Roman" w:hAnsi="Times New Roman" w:cs="Times New Roman"/>
                <w:color w:val="auto"/>
                <w:sz w:val="21"/>
                <w:szCs w:val="21"/>
                <w:highlight w:val="none"/>
              </w:rPr>
              <w:t>%，处理率90%</w:t>
            </w:r>
          </w:p>
        </w:tc>
        <w:tc>
          <w:tcPr>
            <w:tcW w:w="1020" w:type="dxa"/>
            <w:tcBorders>
              <w:bottom w:val="single" w:color="auto" w:sz="4" w:space="0"/>
            </w:tcBorders>
            <w:shd w:val="clear" w:color="auto" w:fill="auto"/>
            <w:vAlign w:val="center"/>
          </w:tcPr>
          <w:p w14:paraId="5703116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2906" w:type="dxa"/>
            <w:vMerge w:val="restart"/>
            <w:shd w:val="clear" w:color="auto" w:fill="auto"/>
            <w:vAlign w:val="center"/>
          </w:tcPr>
          <w:p w14:paraId="19C7A4E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非甲烷总烃执行《大气污染物综合排放标准》（DB32/4041-2021）表1标准限值</w:t>
            </w:r>
          </w:p>
        </w:tc>
        <w:tc>
          <w:tcPr>
            <w:tcW w:w="636" w:type="dxa"/>
            <w:vMerge w:val="restart"/>
            <w:shd w:val="clear" w:color="auto" w:fill="auto"/>
            <w:vAlign w:val="center"/>
          </w:tcPr>
          <w:p w14:paraId="219236B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与建设项目主体工程同时设计、同时开工、同时建成运行</w:t>
            </w:r>
          </w:p>
        </w:tc>
      </w:tr>
      <w:tr w14:paraId="38ED6C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vMerge w:val="continue"/>
            <w:vAlign w:val="center"/>
          </w:tcPr>
          <w:p w14:paraId="11F926F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528" w:type="dxa"/>
            <w:vMerge w:val="continue"/>
            <w:vAlign w:val="center"/>
          </w:tcPr>
          <w:p w14:paraId="5BD72ED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915" w:type="dxa"/>
            <w:shd w:val="clear" w:color="auto" w:fill="auto"/>
            <w:vAlign w:val="center"/>
          </w:tcPr>
          <w:p w14:paraId="14C3771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实验废气</w:t>
            </w:r>
          </w:p>
        </w:tc>
        <w:tc>
          <w:tcPr>
            <w:tcW w:w="1399" w:type="dxa"/>
            <w:shd w:val="clear" w:color="auto" w:fill="auto"/>
            <w:vAlign w:val="center"/>
          </w:tcPr>
          <w:p w14:paraId="550174A1">
            <w:pPr>
              <w:pStyle w:val="240"/>
              <w:keepNext w:val="0"/>
              <w:keepLines w:val="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非甲烷总烃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氮氧化物</w:t>
            </w:r>
          </w:p>
        </w:tc>
        <w:tc>
          <w:tcPr>
            <w:tcW w:w="1391" w:type="dxa"/>
            <w:vMerge w:val="continue"/>
            <w:vAlign w:val="center"/>
          </w:tcPr>
          <w:p w14:paraId="38B982C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470" w:type="dxa"/>
            <w:tcBorders>
              <w:top w:val="single" w:color="auto" w:sz="4" w:space="0"/>
            </w:tcBorders>
            <w:vAlign w:val="center"/>
          </w:tcPr>
          <w:p w14:paraId="49E4021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二级活性炭吸附，15米高排气筒DA006</w:t>
            </w:r>
          </w:p>
        </w:tc>
        <w:tc>
          <w:tcPr>
            <w:tcW w:w="825" w:type="dxa"/>
            <w:tcBorders>
              <w:top w:val="single" w:color="auto" w:sz="4" w:space="0"/>
            </w:tcBorders>
            <w:vAlign w:val="center"/>
          </w:tcPr>
          <w:p w14:paraId="544189E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695" w:type="dxa"/>
            <w:tcBorders>
              <w:top w:val="single" w:color="auto" w:sz="4" w:space="0"/>
            </w:tcBorders>
            <w:vAlign w:val="center"/>
          </w:tcPr>
          <w:p w14:paraId="37B6A1C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设计风量</w:t>
            </w:r>
            <w:r>
              <w:rPr>
                <w:rFonts w:hint="eastAsia" w:ascii="Times New Roman" w:hAnsi="Times New Roman" w:cs="Times New Roman"/>
                <w:color w:val="auto"/>
                <w:sz w:val="21"/>
                <w:szCs w:val="21"/>
                <w:highlight w:val="none"/>
                <w:lang w:val="en-US" w:eastAsia="zh-CN"/>
              </w:rPr>
              <w:t>40</w:t>
            </w:r>
            <w:r>
              <w:rPr>
                <w:rFonts w:ascii="Times New Roman" w:hAnsi="Times New Roman" w:cs="Times New Roman"/>
                <w:color w:val="auto"/>
                <w:sz w:val="21"/>
                <w:szCs w:val="21"/>
                <w:highlight w:val="none"/>
              </w:rPr>
              <w:t>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1800m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ascii="Times New Roman" w:hAnsi="Times New Roman" w:cs="Times New Roman"/>
                <w:color w:val="auto"/>
                <w:sz w:val="21"/>
                <w:szCs w:val="21"/>
                <w:highlight w:val="none"/>
              </w:rPr>
              <w:t>，收集率</w:t>
            </w:r>
            <w:r>
              <w:rPr>
                <w:rFonts w:hint="eastAsia" w:ascii="Times New Roman" w:hAnsi="Times New Roman" w:cs="Times New Roman"/>
                <w:color w:val="auto"/>
                <w:sz w:val="21"/>
                <w:szCs w:val="21"/>
                <w:highlight w:val="none"/>
                <w:lang w:val="en-US" w:eastAsia="zh-CN"/>
              </w:rPr>
              <w:t>90</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100%</w:t>
            </w:r>
            <w:r>
              <w:rPr>
                <w:rFonts w:ascii="Times New Roman" w:hAnsi="Times New Roman" w:cs="Times New Roman"/>
                <w:color w:val="auto"/>
                <w:sz w:val="21"/>
                <w:szCs w:val="21"/>
                <w:highlight w:val="none"/>
              </w:rPr>
              <w:t>，处理率90%</w:t>
            </w:r>
          </w:p>
        </w:tc>
        <w:tc>
          <w:tcPr>
            <w:tcW w:w="1020" w:type="dxa"/>
            <w:tcBorders>
              <w:top w:val="single" w:color="auto" w:sz="4" w:space="0"/>
            </w:tcBorders>
            <w:vAlign w:val="center"/>
          </w:tcPr>
          <w:p w14:paraId="64CBE8D2">
            <w:pPr>
              <w:keepNext w:val="0"/>
              <w:keepLines w:val="0"/>
              <w:pageBreakBefore w:val="0"/>
              <w:kinsoku/>
              <w:wordWrap/>
              <w:overflowPunct/>
              <w:topLinePunct w:val="0"/>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906" w:type="dxa"/>
            <w:vMerge w:val="continue"/>
            <w:vAlign w:val="center"/>
          </w:tcPr>
          <w:p w14:paraId="4BA002FF">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2FF61155">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19E81E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vMerge w:val="continue"/>
            <w:vAlign w:val="center"/>
          </w:tcPr>
          <w:p w14:paraId="47EC3AF2">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528" w:type="dxa"/>
            <w:vMerge w:val="restart"/>
            <w:shd w:val="clear" w:color="auto" w:fill="auto"/>
            <w:vAlign w:val="center"/>
          </w:tcPr>
          <w:p w14:paraId="39F03D9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无组织</w:t>
            </w:r>
          </w:p>
        </w:tc>
        <w:tc>
          <w:tcPr>
            <w:tcW w:w="915" w:type="dxa"/>
            <w:shd w:val="clear" w:color="auto" w:fill="auto"/>
            <w:vAlign w:val="center"/>
          </w:tcPr>
          <w:p w14:paraId="1AF4884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混合、收缸废气</w:t>
            </w:r>
          </w:p>
        </w:tc>
        <w:tc>
          <w:tcPr>
            <w:tcW w:w="1399" w:type="dxa"/>
            <w:shd w:val="clear" w:color="auto" w:fill="auto"/>
            <w:vAlign w:val="center"/>
          </w:tcPr>
          <w:p w14:paraId="36F4FB63">
            <w:pPr>
              <w:pStyle w:val="240"/>
              <w:keepNext w:val="0"/>
              <w:keepLines w:val="0"/>
              <w:pageBreakBefore w:val="0"/>
              <w:kinsoku/>
              <w:wordWrap/>
              <w:overflowPunct/>
              <w:topLinePunct w:val="0"/>
              <w:autoSpaceDE/>
              <w:autoSpaceDN/>
              <w:bidi w:val="0"/>
              <w:adjustRightInd w:val="0"/>
              <w:snapToGrid w:val="0"/>
              <w:ind w:left="0" w:right="0"/>
              <w:textAlignment w:val="auto"/>
              <w:rPr>
                <w:rFonts w:ascii="Times New Roman" w:hAnsi="Times New Roman"/>
                <w:color w:val="auto"/>
                <w:highlight w:val="none"/>
              </w:rPr>
            </w:pPr>
            <w:r>
              <w:rPr>
                <w:rFonts w:ascii="Times New Roman" w:hAnsi="Times New Roman"/>
                <w:color w:val="auto"/>
                <w:highlight w:val="none"/>
              </w:rPr>
              <w:t>非甲烷总烃</w:t>
            </w:r>
          </w:p>
        </w:tc>
        <w:tc>
          <w:tcPr>
            <w:tcW w:w="1391" w:type="dxa"/>
            <w:vMerge w:val="restart"/>
            <w:shd w:val="clear" w:color="auto" w:fill="auto"/>
            <w:vAlign w:val="center"/>
          </w:tcPr>
          <w:p w14:paraId="3A03BDF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温度、湿度、风速、风向</w:t>
            </w:r>
          </w:p>
        </w:tc>
        <w:tc>
          <w:tcPr>
            <w:tcW w:w="1470" w:type="dxa"/>
            <w:shd w:val="clear" w:color="auto" w:fill="auto"/>
            <w:vAlign w:val="center"/>
          </w:tcPr>
          <w:p w14:paraId="126B1E1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加强通风</w:t>
            </w:r>
          </w:p>
        </w:tc>
        <w:tc>
          <w:tcPr>
            <w:tcW w:w="825" w:type="dxa"/>
            <w:shd w:val="clear" w:color="auto" w:fill="auto"/>
            <w:vAlign w:val="center"/>
          </w:tcPr>
          <w:p w14:paraId="10EE507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3426EC1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0D628AB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vMerge w:val="restart"/>
            <w:shd w:val="clear" w:color="auto" w:fill="auto"/>
            <w:vAlign w:val="center"/>
          </w:tcPr>
          <w:p w14:paraId="2376ED7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厂界达到《大气污染物综合排放标准》（DB32/4041-2021)表3中标准；厂区内挥发性有机物执行《大气污染物综合排放标准》（DB32/4041-2021)表2中标准限值要求</w:t>
            </w:r>
          </w:p>
        </w:tc>
        <w:tc>
          <w:tcPr>
            <w:tcW w:w="636" w:type="dxa"/>
            <w:vMerge w:val="continue"/>
            <w:vAlign w:val="center"/>
          </w:tcPr>
          <w:p w14:paraId="6DB0EDFA">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626267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677" w:type="dxa"/>
            <w:vMerge w:val="continue"/>
            <w:vAlign w:val="center"/>
          </w:tcPr>
          <w:p w14:paraId="0E3943B0">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528" w:type="dxa"/>
            <w:vMerge w:val="continue"/>
            <w:vAlign w:val="center"/>
          </w:tcPr>
          <w:p w14:paraId="4BC9D4E6">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915" w:type="dxa"/>
            <w:shd w:val="clear" w:color="auto" w:fill="auto"/>
            <w:vAlign w:val="center"/>
          </w:tcPr>
          <w:p w14:paraId="2DF9C34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实验废气</w:t>
            </w:r>
          </w:p>
        </w:tc>
        <w:tc>
          <w:tcPr>
            <w:tcW w:w="1399" w:type="dxa"/>
            <w:shd w:val="clear" w:color="auto" w:fill="auto"/>
            <w:vAlign w:val="center"/>
          </w:tcPr>
          <w:p w14:paraId="3E3851F6">
            <w:pPr>
              <w:pStyle w:val="240"/>
              <w:keepNext w:val="0"/>
              <w:keepLines w:val="0"/>
              <w:pageBreakBefore w:val="0"/>
              <w:kinsoku/>
              <w:wordWrap/>
              <w:overflowPunct/>
              <w:topLinePunct w:val="0"/>
              <w:autoSpaceDE/>
              <w:autoSpaceDN/>
              <w:bidi w:val="0"/>
              <w:adjustRightInd w:val="0"/>
              <w:snapToGrid w:val="0"/>
              <w:ind w:left="0" w:right="0"/>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非甲烷总烃（含甲醇）</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氮氧化物、甲醇</w:t>
            </w:r>
          </w:p>
        </w:tc>
        <w:tc>
          <w:tcPr>
            <w:tcW w:w="1391" w:type="dxa"/>
            <w:vMerge w:val="continue"/>
            <w:vAlign w:val="center"/>
          </w:tcPr>
          <w:p w14:paraId="48D2C911">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470" w:type="dxa"/>
            <w:shd w:val="clear" w:color="auto" w:fill="auto"/>
            <w:vAlign w:val="center"/>
          </w:tcPr>
          <w:p w14:paraId="5959EA8A">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加强通风</w:t>
            </w:r>
          </w:p>
        </w:tc>
        <w:tc>
          <w:tcPr>
            <w:tcW w:w="825" w:type="dxa"/>
            <w:shd w:val="clear" w:color="auto" w:fill="auto"/>
            <w:vAlign w:val="center"/>
          </w:tcPr>
          <w:p w14:paraId="7230F44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173041F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0BD4823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vMerge w:val="continue"/>
            <w:vAlign w:val="center"/>
          </w:tcPr>
          <w:p w14:paraId="68AEC30A">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46CA539E">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0EC9F8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677" w:type="dxa"/>
            <w:shd w:val="clear" w:color="auto" w:fill="auto"/>
            <w:vAlign w:val="center"/>
          </w:tcPr>
          <w:p w14:paraId="5E3F9E6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w:t>
            </w:r>
          </w:p>
        </w:tc>
        <w:tc>
          <w:tcPr>
            <w:tcW w:w="1443" w:type="dxa"/>
            <w:gridSpan w:val="2"/>
            <w:shd w:val="clear" w:color="auto" w:fill="auto"/>
            <w:vAlign w:val="center"/>
          </w:tcPr>
          <w:p w14:paraId="5D24709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99" w:type="dxa"/>
            <w:shd w:val="clear" w:color="auto" w:fill="auto"/>
            <w:vAlign w:val="center"/>
          </w:tcPr>
          <w:p w14:paraId="2D10C27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91" w:type="dxa"/>
            <w:shd w:val="clear" w:color="auto" w:fill="auto"/>
            <w:vAlign w:val="center"/>
          </w:tcPr>
          <w:p w14:paraId="2935ABE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70" w:type="dxa"/>
            <w:shd w:val="clear" w:color="auto" w:fill="auto"/>
            <w:vAlign w:val="center"/>
          </w:tcPr>
          <w:p w14:paraId="1B34506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25" w:type="dxa"/>
            <w:shd w:val="clear" w:color="auto" w:fill="auto"/>
            <w:vAlign w:val="center"/>
          </w:tcPr>
          <w:p w14:paraId="786EC1F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6E1DAE8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122D675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556B27A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36" w:type="dxa"/>
            <w:vMerge w:val="continue"/>
            <w:vAlign w:val="center"/>
          </w:tcPr>
          <w:p w14:paraId="53D6529D">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579BAC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shd w:val="clear" w:color="auto" w:fill="auto"/>
            <w:vAlign w:val="center"/>
          </w:tcPr>
          <w:p w14:paraId="71DB45E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1443" w:type="dxa"/>
            <w:gridSpan w:val="2"/>
            <w:shd w:val="clear" w:color="auto" w:fill="auto"/>
            <w:vAlign w:val="center"/>
          </w:tcPr>
          <w:p w14:paraId="23853EB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设备噪声</w:t>
            </w:r>
          </w:p>
        </w:tc>
        <w:tc>
          <w:tcPr>
            <w:tcW w:w="1399" w:type="dxa"/>
            <w:shd w:val="clear" w:color="auto" w:fill="auto"/>
            <w:vAlign w:val="center"/>
          </w:tcPr>
          <w:p w14:paraId="2A2C26F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2861" w:type="dxa"/>
            <w:gridSpan w:val="2"/>
            <w:shd w:val="clear" w:color="auto" w:fill="auto"/>
            <w:vAlign w:val="center"/>
          </w:tcPr>
          <w:p w14:paraId="11055D1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安装减振垫，风机安装隔声罩，基础减振，距离衰减</w:t>
            </w:r>
          </w:p>
        </w:tc>
        <w:tc>
          <w:tcPr>
            <w:tcW w:w="825" w:type="dxa"/>
            <w:shd w:val="clear" w:color="auto" w:fill="auto"/>
            <w:vAlign w:val="center"/>
          </w:tcPr>
          <w:p w14:paraId="3D7B012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若干</w:t>
            </w:r>
          </w:p>
        </w:tc>
        <w:tc>
          <w:tcPr>
            <w:tcW w:w="1695" w:type="dxa"/>
            <w:shd w:val="clear" w:color="auto" w:fill="auto"/>
            <w:vAlign w:val="center"/>
          </w:tcPr>
          <w:p w14:paraId="1723575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降噪25dB(A)</w:t>
            </w:r>
          </w:p>
        </w:tc>
        <w:tc>
          <w:tcPr>
            <w:tcW w:w="1020" w:type="dxa"/>
            <w:shd w:val="clear" w:color="auto" w:fill="auto"/>
            <w:vAlign w:val="center"/>
          </w:tcPr>
          <w:p w14:paraId="00E5FAF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30D0071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hint="eastAsia"/>
                <w:color w:val="auto"/>
                <w:sz w:val="21"/>
                <w:szCs w:val="21"/>
                <w:highlight w:val="none"/>
                <w:lang w:val="en-US" w:eastAsia="zh-CN"/>
              </w:rPr>
              <w:t>厂界噪声</w:t>
            </w:r>
            <w:r>
              <w:rPr>
                <w:rFonts w:ascii="Times New Roman" w:hAnsi="Times New Roman" w:cs="Times New Roman"/>
                <w:color w:val="auto"/>
                <w:sz w:val="21"/>
                <w:szCs w:val="21"/>
                <w:highlight w:val="none"/>
              </w:rPr>
              <w:t>达到《工业企业厂界环境噪声排放标准》(GB12348-2008)中的3类标准</w:t>
            </w:r>
          </w:p>
        </w:tc>
        <w:tc>
          <w:tcPr>
            <w:tcW w:w="636" w:type="dxa"/>
            <w:vMerge w:val="continue"/>
            <w:vAlign w:val="center"/>
          </w:tcPr>
          <w:p w14:paraId="257D0A4F">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07E0C3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7" w:type="dxa"/>
            <w:vMerge w:val="restart"/>
            <w:shd w:val="clear" w:color="auto" w:fill="auto"/>
            <w:vAlign w:val="center"/>
          </w:tcPr>
          <w:p w14:paraId="565490A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w:t>
            </w:r>
          </w:p>
        </w:tc>
        <w:tc>
          <w:tcPr>
            <w:tcW w:w="1443" w:type="dxa"/>
            <w:gridSpan w:val="2"/>
            <w:vMerge w:val="restart"/>
            <w:shd w:val="clear" w:color="auto" w:fill="auto"/>
            <w:vAlign w:val="center"/>
          </w:tcPr>
          <w:p w14:paraId="71F2650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车间</w:t>
            </w:r>
          </w:p>
        </w:tc>
        <w:tc>
          <w:tcPr>
            <w:tcW w:w="1399" w:type="dxa"/>
            <w:shd w:val="clear" w:color="auto" w:fill="auto"/>
            <w:vAlign w:val="center"/>
          </w:tcPr>
          <w:p w14:paraId="682D78D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一般工业固废</w:t>
            </w:r>
          </w:p>
        </w:tc>
        <w:tc>
          <w:tcPr>
            <w:tcW w:w="2861" w:type="dxa"/>
            <w:gridSpan w:val="2"/>
            <w:shd w:val="clear" w:color="auto" w:fill="auto"/>
            <w:vAlign w:val="center"/>
          </w:tcPr>
          <w:p w14:paraId="44DFB49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一般固废仓库</w:t>
            </w:r>
          </w:p>
        </w:tc>
        <w:tc>
          <w:tcPr>
            <w:tcW w:w="825" w:type="dxa"/>
            <w:shd w:val="clear" w:color="auto" w:fill="auto"/>
            <w:vAlign w:val="center"/>
          </w:tcPr>
          <w:p w14:paraId="088D5EF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8m</w:t>
            </w:r>
            <w:r>
              <w:rPr>
                <w:rFonts w:ascii="Times New Roman" w:hAnsi="Times New Roman" w:cs="Times New Roman"/>
                <w:color w:val="auto"/>
                <w:sz w:val="21"/>
                <w:szCs w:val="21"/>
                <w:highlight w:val="none"/>
                <w:vertAlign w:val="superscript"/>
              </w:rPr>
              <w:t>2</w:t>
            </w:r>
          </w:p>
        </w:tc>
        <w:tc>
          <w:tcPr>
            <w:tcW w:w="1695" w:type="dxa"/>
            <w:vMerge w:val="restart"/>
            <w:shd w:val="clear" w:color="auto" w:fill="auto"/>
            <w:vAlign w:val="center"/>
          </w:tcPr>
          <w:p w14:paraId="6F48B6A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零排放</w:t>
            </w:r>
          </w:p>
        </w:tc>
        <w:tc>
          <w:tcPr>
            <w:tcW w:w="1020" w:type="dxa"/>
            <w:vMerge w:val="restart"/>
            <w:shd w:val="clear" w:color="auto" w:fill="auto"/>
            <w:vAlign w:val="center"/>
          </w:tcPr>
          <w:p w14:paraId="23B96C0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vMerge w:val="restart"/>
            <w:shd w:val="clear" w:color="auto" w:fill="auto"/>
            <w:vAlign w:val="center"/>
          </w:tcPr>
          <w:p w14:paraId="3FD4502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固废达到“零排放”，危险固废的暂存场所执行《危险废物贮存污染控制标准》(GB18597-2023)；一般固废的暂存执行一般工业固体废物贮存和填埋污染控制标准（GB18599-2020）</w:t>
            </w:r>
          </w:p>
        </w:tc>
        <w:tc>
          <w:tcPr>
            <w:tcW w:w="636" w:type="dxa"/>
            <w:vMerge w:val="continue"/>
            <w:vAlign w:val="center"/>
          </w:tcPr>
          <w:p w14:paraId="3379A380">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00BB74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677" w:type="dxa"/>
            <w:vMerge w:val="continue"/>
            <w:vAlign w:val="center"/>
          </w:tcPr>
          <w:p w14:paraId="5C721F70">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443" w:type="dxa"/>
            <w:gridSpan w:val="2"/>
            <w:vMerge w:val="continue"/>
            <w:vAlign w:val="center"/>
          </w:tcPr>
          <w:p w14:paraId="65F97070">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399" w:type="dxa"/>
            <w:vMerge w:val="restart"/>
            <w:shd w:val="clear" w:color="auto" w:fill="auto"/>
            <w:vAlign w:val="center"/>
          </w:tcPr>
          <w:p w14:paraId="30FF5C8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危险废物</w:t>
            </w:r>
          </w:p>
        </w:tc>
        <w:tc>
          <w:tcPr>
            <w:tcW w:w="2861" w:type="dxa"/>
            <w:gridSpan w:val="2"/>
            <w:shd w:val="clear" w:color="auto" w:fill="auto"/>
            <w:vAlign w:val="center"/>
          </w:tcPr>
          <w:p w14:paraId="249246D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危废仓库</w:t>
            </w:r>
          </w:p>
        </w:tc>
        <w:tc>
          <w:tcPr>
            <w:tcW w:w="825" w:type="dxa"/>
            <w:shd w:val="clear" w:color="auto" w:fill="auto"/>
            <w:vAlign w:val="center"/>
          </w:tcPr>
          <w:p w14:paraId="6241D74B">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50m</w:t>
            </w:r>
            <w:r>
              <w:rPr>
                <w:rFonts w:ascii="Times New Roman" w:hAnsi="Times New Roman" w:cs="Times New Roman"/>
                <w:color w:val="auto"/>
                <w:sz w:val="21"/>
                <w:szCs w:val="21"/>
                <w:highlight w:val="none"/>
                <w:vertAlign w:val="superscript"/>
              </w:rPr>
              <w:t>2</w:t>
            </w:r>
          </w:p>
        </w:tc>
        <w:tc>
          <w:tcPr>
            <w:tcW w:w="1695" w:type="dxa"/>
            <w:vMerge w:val="continue"/>
            <w:vAlign w:val="center"/>
          </w:tcPr>
          <w:p w14:paraId="70B79476">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020" w:type="dxa"/>
            <w:vMerge w:val="continue"/>
            <w:vAlign w:val="center"/>
          </w:tcPr>
          <w:p w14:paraId="7DB63C2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906" w:type="dxa"/>
            <w:vMerge w:val="continue"/>
            <w:vAlign w:val="center"/>
          </w:tcPr>
          <w:p w14:paraId="585C9D59">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4F4FE0A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58E0C4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677" w:type="dxa"/>
            <w:vMerge w:val="continue"/>
            <w:vAlign w:val="center"/>
          </w:tcPr>
          <w:p w14:paraId="24208945">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443" w:type="dxa"/>
            <w:gridSpan w:val="2"/>
            <w:vMerge w:val="continue"/>
            <w:vAlign w:val="center"/>
          </w:tcPr>
          <w:p w14:paraId="20674565">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399" w:type="dxa"/>
            <w:vMerge w:val="continue"/>
            <w:vAlign w:val="center"/>
          </w:tcPr>
          <w:p w14:paraId="71DA77C3">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861" w:type="dxa"/>
            <w:gridSpan w:val="2"/>
            <w:shd w:val="clear" w:color="auto" w:fill="auto"/>
            <w:vAlign w:val="center"/>
          </w:tcPr>
          <w:p w14:paraId="4DB24B8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废液储罐</w:t>
            </w:r>
          </w:p>
        </w:tc>
        <w:tc>
          <w:tcPr>
            <w:tcW w:w="825" w:type="dxa"/>
            <w:shd w:val="clear" w:color="auto" w:fill="auto"/>
            <w:vAlign w:val="center"/>
          </w:tcPr>
          <w:p w14:paraId="36CBB3E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55m</w:t>
            </w:r>
            <w:r>
              <w:rPr>
                <w:rFonts w:ascii="Times New Roman" w:hAnsi="Times New Roman" w:cs="Times New Roman"/>
                <w:color w:val="auto"/>
                <w:sz w:val="21"/>
                <w:szCs w:val="21"/>
                <w:highlight w:val="none"/>
                <w:vertAlign w:val="superscript"/>
              </w:rPr>
              <w:t>3</w:t>
            </w:r>
          </w:p>
        </w:tc>
        <w:tc>
          <w:tcPr>
            <w:tcW w:w="1695" w:type="dxa"/>
            <w:vMerge w:val="continue"/>
            <w:vAlign w:val="center"/>
          </w:tcPr>
          <w:p w14:paraId="333E8252">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1020" w:type="dxa"/>
            <w:vMerge w:val="continue"/>
            <w:vAlign w:val="center"/>
          </w:tcPr>
          <w:p w14:paraId="327F7554">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906" w:type="dxa"/>
            <w:vMerge w:val="continue"/>
            <w:vAlign w:val="center"/>
          </w:tcPr>
          <w:p w14:paraId="0A82C1E4">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61EBBB59">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3BDAA5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519" w:type="dxa"/>
            <w:gridSpan w:val="4"/>
            <w:shd w:val="clear" w:color="auto" w:fill="auto"/>
            <w:vAlign w:val="center"/>
          </w:tcPr>
          <w:p w14:paraId="2A4DA20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环境管理（机构、监测能力等）</w:t>
            </w:r>
          </w:p>
        </w:tc>
        <w:tc>
          <w:tcPr>
            <w:tcW w:w="2861" w:type="dxa"/>
            <w:gridSpan w:val="2"/>
            <w:shd w:val="clear" w:color="auto" w:fill="auto"/>
            <w:vAlign w:val="center"/>
          </w:tcPr>
          <w:p w14:paraId="02324E0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25" w:type="dxa"/>
            <w:shd w:val="clear" w:color="auto" w:fill="auto"/>
            <w:vAlign w:val="center"/>
          </w:tcPr>
          <w:p w14:paraId="0D0F114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635C033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415A7C4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5F57FCC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36" w:type="dxa"/>
            <w:vMerge w:val="continue"/>
            <w:vAlign w:val="center"/>
          </w:tcPr>
          <w:p w14:paraId="584C29FA">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208E1E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shd w:val="clear" w:color="auto" w:fill="auto"/>
            <w:vAlign w:val="center"/>
          </w:tcPr>
          <w:p w14:paraId="18E24B8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污水、雨水</w:t>
            </w:r>
          </w:p>
        </w:tc>
        <w:tc>
          <w:tcPr>
            <w:tcW w:w="2861" w:type="dxa"/>
            <w:gridSpan w:val="2"/>
            <w:shd w:val="clear" w:color="auto" w:fill="auto"/>
            <w:vAlign w:val="center"/>
          </w:tcPr>
          <w:p w14:paraId="39523CD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雨、污管网</w:t>
            </w:r>
          </w:p>
        </w:tc>
        <w:tc>
          <w:tcPr>
            <w:tcW w:w="825" w:type="dxa"/>
            <w:shd w:val="clear" w:color="auto" w:fill="auto"/>
            <w:vAlign w:val="center"/>
          </w:tcPr>
          <w:p w14:paraId="477DF15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31EDD36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1CE46AF0">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4524FED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雨污分流</w:t>
            </w:r>
          </w:p>
        </w:tc>
        <w:tc>
          <w:tcPr>
            <w:tcW w:w="636" w:type="dxa"/>
            <w:vMerge w:val="continue"/>
            <w:vAlign w:val="center"/>
          </w:tcPr>
          <w:p w14:paraId="66976348">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01EF11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shd w:val="clear" w:color="auto" w:fill="auto"/>
            <w:vAlign w:val="center"/>
          </w:tcPr>
          <w:p w14:paraId="22BD9B0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排污口规范化设置</w:t>
            </w:r>
          </w:p>
        </w:tc>
        <w:tc>
          <w:tcPr>
            <w:tcW w:w="2861" w:type="dxa"/>
            <w:gridSpan w:val="2"/>
            <w:shd w:val="clear" w:color="auto" w:fill="auto"/>
            <w:vAlign w:val="center"/>
          </w:tcPr>
          <w:p w14:paraId="315DC77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明渠、采样平台等</w:t>
            </w:r>
          </w:p>
        </w:tc>
        <w:tc>
          <w:tcPr>
            <w:tcW w:w="825" w:type="dxa"/>
            <w:shd w:val="clear" w:color="auto" w:fill="auto"/>
            <w:vAlign w:val="center"/>
          </w:tcPr>
          <w:p w14:paraId="2D27FAB5">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5E4DD0E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13BDA92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505D130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36" w:type="dxa"/>
            <w:vMerge w:val="continue"/>
            <w:vAlign w:val="center"/>
          </w:tcPr>
          <w:p w14:paraId="7A697678">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52757F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519" w:type="dxa"/>
            <w:gridSpan w:val="4"/>
            <w:vMerge w:val="restart"/>
            <w:shd w:val="clear" w:color="auto" w:fill="auto"/>
            <w:vAlign w:val="center"/>
          </w:tcPr>
          <w:p w14:paraId="47FECB2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环境风险防范措施</w:t>
            </w:r>
          </w:p>
        </w:tc>
        <w:tc>
          <w:tcPr>
            <w:tcW w:w="2861" w:type="dxa"/>
            <w:gridSpan w:val="2"/>
            <w:shd w:val="clear" w:color="auto" w:fill="auto"/>
            <w:vAlign w:val="center"/>
          </w:tcPr>
          <w:p w14:paraId="76ECA92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应急物资</w:t>
            </w:r>
          </w:p>
        </w:tc>
        <w:tc>
          <w:tcPr>
            <w:tcW w:w="825" w:type="dxa"/>
            <w:shd w:val="clear" w:color="auto" w:fill="auto"/>
            <w:vAlign w:val="center"/>
          </w:tcPr>
          <w:p w14:paraId="76C2FF43">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若干</w:t>
            </w:r>
          </w:p>
        </w:tc>
        <w:tc>
          <w:tcPr>
            <w:tcW w:w="1695" w:type="dxa"/>
            <w:shd w:val="clear" w:color="auto" w:fill="auto"/>
            <w:vAlign w:val="center"/>
          </w:tcPr>
          <w:p w14:paraId="04CAEAAD">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vMerge w:val="restart"/>
            <w:shd w:val="clear" w:color="auto" w:fill="auto"/>
            <w:vAlign w:val="center"/>
          </w:tcPr>
          <w:p w14:paraId="26C31EB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vMerge w:val="restart"/>
            <w:shd w:val="clear" w:color="auto" w:fill="auto"/>
            <w:vAlign w:val="center"/>
          </w:tcPr>
          <w:p w14:paraId="2A1F4D4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企业环境风险可控</w:t>
            </w:r>
          </w:p>
        </w:tc>
        <w:tc>
          <w:tcPr>
            <w:tcW w:w="636" w:type="dxa"/>
            <w:vMerge w:val="continue"/>
            <w:vAlign w:val="center"/>
          </w:tcPr>
          <w:p w14:paraId="19198E92">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2FFCEA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continue"/>
            <w:vAlign w:val="center"/>
          </w:tcPr>
          <w:p w14:paraId="0AC09F40">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861" w:type="dxa"/>
            <w:gridSpan w:val="2"/>
            <w:shd w:val="clear" w:color="auto" w:fill="auto"/>
            <w:vAlign w:val="center"/>
          </w:tcPr>
          <w:p w14:paraId="30B06BE8">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雨水切断阀</w:t>
            </w:r>
          </w:p>
        </w:tc>
        <w:tc>
          <w:tcPr>
            <w:tcW w:w="825" w:type="dxa"/>
            <w:shd w:val="clear" w:color="auto" w:fill="auto"/>
            <w:vAlign w:val="center"/>
          </w:tcPr>
          <w:p w14:paraId="505F0BF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1个</w:t>
            </w:r>
          </w:p>
        </w:tc>
        <w:tc>
          <w:tcPr>
            <w:tcW w:w="1695" w:type="dxa"/>
            <w:shd w:val="clear" w:color="auto" w:fill="auto"/>
            <w:vAlign w:val="center"/>
          </w:tcPr>
          <w:p w14:paraId="133DA38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vMerge w:val="continue"/>
            <w:vAlign w:val="center"/>
          </w:tcPr>
          <w:p w14:paraId="13BDFFB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906" w:type="dxa"/>
            <w:vMerge w:val="continue"/>
            <w:vAlign w:val="center"/>
          </w:tcPr>
          <w:p w14:paraId="16C1D05C">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075A356F">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6AF738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519" w:type="dxa"/>
            <w:gridSpan w:val="4"/>
            <w:vMerge w:val="continue"/>
            <w:vAlign w:val="center"/>
          </w:tcPr>
          <w:p w14:paraId="6D773AA9">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861" w:type="dxa"/>
            <w:gridSpan w:val="2"/>
            <w:shd w:val="clear" w:color="auto" w:fill="auto"/>
            <w:vAlign w:val="center"/>
          </w:tcPr>
          <w:p w14:paraId="27BD84B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应急事故池</w:t>
            </w:r>
          </w:p>
        </w:tc>
        <w:tc>
          <w:tcPr>
            <w:tcW w:w="825" w:type="dxa"/>
            <w:shd w:val="clear" w:color="auto" w:fill="auto"/>
            <w:vAlign w:val="center"/>
          </w:tcPr>
          <w:p w14:paraId="2E69185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540m</w:t>
            </w:r>
            <w:r>
              <w:rPr>
                <w:rFonts w:ascii="Times New Roman" w:hAnsi="Times New Roman" w:cs="Times New Roman"/>
                <w:color w:val="auto"/>
                <w:sz w:val="21"/>
                <w:szCs w:val="21"/>
                <w:highlight w:val="none"/>
                <w:vertAlign w:val="superscript"/>
              </w:rPr>
              <w:t>3</w:t>
            </w:r>
          </w:p>
        </w:tc>
        <w:tc>
          <w:tcPr>
            <w:tcW w:w="1695" w:type="dxa"/>
            <w:shd w:val="clear" w:color="auto" w:fill="auto"/>
            <w:vAlign w:val="center"/>
          </w:tcPr>
          <w:p w14:paraId="2E9CEBBE">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vMerge w:val="continue"/>
            <w:vAlign w:val="center"/>
          </w:tcPr>
          <w:p w14:paraId="3E2E87CD">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906" w:type="dxa"/>
            <w:vMerge w:val="continue"/>
            <w:vAlign w:val="center"/>
          </w:tcPr>
          <w:p w14:paraId="05482B56">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18C7DDA1">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292B2D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continue"/>
            <w:vAlign w:val="center"/>
          </w:tcPr>
          <w:p w14:paraId="6135AA11">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861" w:type="dxa"/>
            <w:gridSpan w:val="2"/>
            <w:shd w:val="clear" w:color="auto" w:fill="auto"/>
            <w:vAlign w:val="center"/>
          </w:tcPr>
          <w:p w14:paraId="63BF9953">
            <w:pPr>
              <w:keepNext w:val="0"/>
              <w:keepLines w:val="0"/>
              <w:pageBreakBefore w:val="0"/>
              <w:kinsoku/>
              <w:wordWrap/>
              <w:overflowPunct/>
              <w:topLinePunct w:val="0"/>
              <w:autoSpaceDE/>
              <w:autoSpaceDN/>
              <w:bidi w:val="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初期雨水收集池</w:t>
            </w:r>
          </w:p>
        </w:tc>
        <w:tc>
          <w:tcPr>
            <w:tcW w:w="825" w:type="dxa"/>
            <w:shd w:val="clear" w:color="auto" w:fill="auto"/>
            <w:vAlign w:val="center"/>
          </w:tcPr>
          <w:p w14:paraId="6A968050">
            <w:pPr>
              <w:keepNext w:val="0"/>
              <w:keepLines w:val="0"/>
              <w:pageBreakBefore w:val="0"/>
              <w:kinsoku/>
              <w:wordWrap/>
              <w:overflowPunct/>
              <w:topLinePunct w:val="0"/>
              <w:autoSpaceDE/>
              <w:autoSpaceDN/>
              <w:bidi w:val="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380m</w:t>
            </w:r>
            <w:r>
              <w:rPr>
                <w:rFonts w:hint="eastAsia" w:ascii="Times New Roman" w:hAnsi="Times New Roman" w:cs="Times New Roman"/>
                <w:color w:val="auto"/>
                <w:sz w:val="21"/>
                <w:szCs w:val="21"/>
                <w:highlight w:val="none"/>
                <w:vertAlign w:val="superscript"/>
                <w:lang w:val="en-US" w:eastAsia="zh-CN"/>
              </w:rPr>
              <w:t>3</w:t>
            </w:r>
          </w:p>
        </w:tc>
        <w:tc>
          <w:tcPr>
            <w:tcW w:w="1695" w:type="dxa"/>
            <w:shd w:val="clear" w:color="auto" w:fill="auto"/>
            <w:vAlign w:val="center"/>
          </w:tcPr>
          <w:p w14:paraId="461D053D">
            <w:pPr>
              <w:keepNext w:val="0"/>
              <w:keepLines w:val="0"/>
              <w:pageBreakBefore w:val="0"/>
              <w:kinsoku/>
              <w:wordWrap/>
              <w:overflowPunct/>
              <w:topLinePunct w:val="0"/>
              <w:autoSpaceDE/>
              <w:autoSpaceDN/>
              <w:bidi w:val="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20" w:type="dxa"/>
            <w:vMerge w:val="continue"/>
            <w:vAlign w:val="center"/>
          </w:tcPr>
          <w:p w14:paraId="41E73F9A">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2906" w:type="dxa"/>
            <w:vMerge w:val="continue"/>
            <w:vAlign w:val="center"/>
          </w:tcPr>
          <w:p w14:paraId="3903B992">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636" w:type="dxa"/>
            <w:vMerge w:val="continue"/>
            <w:vAlign w:val="center"/>
          </w:tcPr>
          <w:p w14:paraId="5A35353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3A2D05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519" w:type="dxa"/>
            <w:gridSpan w:val="4"/>
            <w:shd w:val="clear" w:color="auto" w:fill="auto"/>
            <w:vAlign w:val="center"/>
          </w:tcPr>
          <w:p w14:paraId="2D64023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日常检测费</w:t>
            </w:r>
          </w:p>
        </w:tc>
        <w:tc>
          <w:tcPr>
            <w:tcW w:w="2861" w:type="dxa"/>
            <w:gridSpan w:val="2"/>
            <w:shd w:val="clear" w:color="auto" w:fill="auto"/>
            <w:vAlign w:val="center"/>
          </w:tcPr>
          <w:p w14:paraId="007CB809">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大气、水、噪声等监测</w:t>
            </w:r>
          </w:p>
        </w:tc>
        <w:tc>
          <w:tcPr>
            <w:tcW w:w="825" w:type="dxa"/>
            <w:shd w:val="clear" w:color="auto" w:fill="auto"/>
            <w:vAlign w:val="center"/>
          </w:tcPr>
          <w:p w14:paraId="1A8F0EC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95" w:type="dxa"/>
            <w:shd w:val="clear" w:color="auto" w:fill="auto"/>
            <w:vAlign w:val="center"/>
          </w:tcPr>
          <w:p w14:paraId="703F3B9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20" w:type="dxa"/>
            <w:shd w:val="clear" w:color="auto" w:fill="auto"/>
            <w:vAlign w:val="center"/>
          </w:tcPr>
          <w:p w14:paraId="6FC52207">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906" w:type="dxa"/>
            <w:shd w:val="clear" w:color="auto" w:fill="auto"/>
            <w:vAlign w:val="center"/>
          </w:tcPr>
          <w:p w14:paraId="20A4E412">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36" w:type="dxa"/>
            <w:vMerge w:val="continue"/>
            <w:vAlign w:val="center"/>
          </w:tcPr>
          <w:p w14:paraId="7514471B">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r>
      <w:tr w14:paraId="5F3FA6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shd w:val="clear" w:color="auto" w:fill="auto"/>
            <w:vAlign w:val="center"/>
          </w:tcPr>
          <w:p w14:paraId="757D5911">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大气环境防护距离</w:t>
            </w:r>
          </w:p>
        </w:tc>
        <w:tc>
          <w:tcPr>
            <w:tcW w:w="9943" w:type="dxa"/>
            <w:gridSpan w:val="7"/>
            <w:shd w:val="clear" w:color="auto" w:fill="auto"/>
            <w:vAlign w:val="center"/>
          </w:tcPr>
          <w:p w14:paraId="66257B44">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本项目不需要设置大气环境防护距离。</w:t>
            </w:r>
            <w:r>
              <w:rPr>
                <w:rFonts w:hint="eastAsia" w:ascii="Times New Roman" w:hAnsi="Times New Roman" w:eastAsia="宋体" w:cs="Times New Roman"/>
                <w:color w:val="auto"/>
                <w:sz w:val="21"/>
                <w:szCs w:val="21"/>
                <w:highlight w:val="none"/>
                <w:lang w:val="en-US" w:eastAsia="zh-CN"/>
              </w:rPr>
              <w:t>企业</w:t>
            </w:r>
            <w:r>
              <w:rPr>
                <w:rFonts w:hint="default" w:ascii="Times New Roman" w:hAnsi="Times New Roman" w:eastAsia="宋体" w:cs="Times New Roman"/>
                <w:color w:val="auto"/>
                <w:sz w:val="21"/>
                <w:szCs w:val="21"/>
                <w:highlight w:val="none"/>
              </w:rPr>
              <w:t>卫生防护距离为环氧丙烯酸树脂收罐车间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一工场车间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、丙烯酸酯组成物收罐车间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二工场车间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100米、</w:t>
            </w:r>
            <w:r>
              <w:rPr>
                <w:rFonts w:hint="eastAsia" w:ascii="Times New Roman" w:hAnsi="Times New Roman" w:eastAsia="宋体" w:cs="Times New Roman"/>
                <w:color w:val="auto"/>
                <w:sz w:val="21"/>
                <w:szCs w:val="21"/>
                <w:highlight w:val="none"/>
                <w:lang w:val="en-US" w:eastAsia="zh-CN"/>
              </w:rPr>
              <w:t>实验室</w:t>
            </w:r>
            <w:r>
              <w:rPr>
                <w:rFonts w:hint="default" w:ascii="Times New Roman" w:hAnsi="Times New Roman" w:eastAsia="宋体" w:cs="Times New Roman"/>
                <w:color w:val="auto"/>
                <w:sz w:val="21"/>
                <w:szCs w:val="21"/>
                <w:highlight w:val="none"/>
              </w:rPr>
              <w:t>外</w:t>
            </w:r>
            <w:r>
              <w:rPr>
                <w:rFonts w:hint="eastAsia" w:ascii="Times New Roman" w:hAnsi="Times New Roman" w:eastAsia="宋体" w:cs="Times New Roman"/>
                <w:color w:val="auto"/>
                <w:sz w:val="21"/>
                <w:szCs w:val="21"/>
                <w:highlight w:val="none"/>
                <w:lang w:val="en-US" w:eastAsia="zh-CN"/>
              </w:rPr>
              <w:t>100米</w:t>
            </w:r>
            <w:r>
              <w:rPr>
                <w:rFonts w:hint="default" w:ascii="Times New Roman" w:hAnsi="Times New Roman" w:eastAsia="宋体" w:cs="Times New Roman"/>
                <w:color w:val="auto"/>
                <w:sz w:val="21"/>
                <w:szCs w:val="21"/>
                <w:highlight w:val="none"/>
              </w:rPr>
              <w:t>包络线围成的范围。</w:t>
            </w:r>
          </w:p>
        </w:tc>
      </w:tr>
      <w:tr w14:paraId="60C819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restart"/>
            <w:shd w:val="clear" w:color="auto" w:fill="auto"/>
            <w:vAlign w:val="center"/>
          </w:tcPr>
          <w:p w14:paraId="0D6BF45F">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总量平衡具体方案</w:t>
            </w:r>
          </w:p>
        </w:tc>
        <w:tc>
          <w:tcPr>
            <w:tcW w:w="9943" w:type="dxa"/>
            <w:gridSpan w:val="7"/>
            <w:shd w:val="clear" w:color="auto" w:fill="auto"/>
            <w:vAlign w:val="center"/>
          </w:tcPr>
          <w:p w14:paraId="0E4FBE93">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本项目选址位于“双控区”和“太湖流域”，项目所在地属于太湖流域水污染防治三级保护区。总量控制指标为：</w:t>
            </w:r>
          </w:p>
        </w:tc>
      </w:tr>
      <w:tr w14:paraId="6594D1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continue"/>
            <w:vAlign w:val="center"/>
          </w:tcPr>
          <w:p w14:paraId="4ABEAF83">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9943" w:type="dxa"/>
            <w:gridSpan w:val="7"/>
            <w:shd w:val="clear" w:color="auto" w:fill="auto"/>
            <w:vAlign w:val="center"/>
          </w:tcPr>
          <w:p w14:paraId="28213FD0">
            <w:pPr>
              <w:keepNext w:val="0"/>
              <w:keepLines w:val="0"/>
              <w:pageBreakBefore w:val="0"/>
              <w:numPr>
                <w:ilvl w:val="0"/>
                <w:numId w:val="35"/>
              </w:numPr>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大气污染物：</w:t>
            </w:r>
          </w:p>
          <w:p w14:paraId="72B1121B">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有组织：（本项目）非甲烷总烃</w:t>
            </w:r>
            <w:r>
              <w:rPr>
                <w:rFonts w:hint="eastAsia" w:ascii="Times New Roman" w:hAnsi="Times New Roman" w:cs="Times New Roman"/>
                <w:color w:val="auto"/>
                <w:sz w:val="21"/>
                <w:szCs w:val="21"/>
                <w:highlight w:val="none"/>
                <w:lang w:val="en-US" w:eastAsia="zh-CN"/>
              </w:rPr>
              <w:t>0.116</w:t>
            </w:r>
            <w:r>
              <w:rPr>
                <w:rFonts w:ascii="Times New Roman" w:hAnsi="Times New Roman"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氮氧化物0.0003t/a</w:t>
            </w:r>
            <w:r>
              <w:rPr>
                <w:rFonts w:ascii="Times New Roman" w:hAnsi="Times New Roman" w:cs="Times New Roman"/>
                <w:color w:val="auto"/>
                <w:sz w:val="21"/>
                <w:szCs w:val="21"/>
                <w:highlight w:val="none"/>
              </w:rPr>
              <w:t>；（全厂）非甲烷总烃</w:t>
            </w:r>
            <w:r>
              <w:rPr>
                <w:rFonts w:hint="eastAsia" w:ascii="Times New Roman" w:hAnsi="Times New Roman" w:cs="Times New Roman"/>
                <w:color w:val="auto"/>
                <w:sz w:val="21"/>
                <w:szCs w:val="21"/>
                <w:highlight w:val="none"/>
                <w:lang w:val="en-US" w:eastAsia="zh-CN"/>
              </w:rPr>
              <w:t>1.90916</w:t>
            </w:r>
            <w:r>
              <w:rPr>
                <w:rFonts w:ascii="Times New Roman" w:hAnsi="Times New Roman"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氮氧化物0.0003t/a</w:t>
            </w:r>
            <w:r>
              <w:rPr>
                <w:rFonts w:ascii="Times New Roman" w:hAnsi="Times New Roman" w:cs="Times New Roman"/>
                <w:color w:val="auto"/>
                <w:sz w:val="21"/>
                <w:szCs w:val="21"/>
                <w:highlight w:val="none"/>
              </w:rPr>
              <w:t>。</w:t>
            </w:r>
          </w:p>
          <w:p w14:paraId="43F672CB">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无组织：（本项目）非甲烷总烃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含甲醇</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0.0248</w:t>
            </w:r>
            <w:r>
              <w:rPr>
                <w:rFonts w:ascii="Times New Roman" w:hAnsi="Times New Roman"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氮氧化物0.00003t/a、甲醇0.0008t/a</w:t>
            </w:r>
            <w:r>
              <w:rPr>
                <w:rFonts w:ascii="Times New Roman" w:hAnsi="Times New Roman" w:cs="Times New Roman"/>
                <w:color w:val="auto"/>
                <w:sz w:val="21"/>
                <w:szCs w:val="21"/>
                <w:highlight w:val="none"/>
              </w:rPr>
              <w:t>；（全厂）非甲烷总烃（含甲醇）</w:t>
            </w:r>
            <w:r>
              <w:rPr>
                <w:rFonts w:hint="eastAsia" w:ascii="Times New Roman" w:hAnsi="Times New Roman" w:cs="Times New Roman"/>
                <w:color w:val="auto"/>
                <w:sz w:val="21"/>
                <w:szCs w:val="21"/>
                <w:highlight w:val="none"/>
                <w:lang w:val="en-US" w:eastAsia="zh-CN"/>
              </w:rPr>
              <w:t>0.04955</w:t>
            </w:r>
            <w:r>
              <w:rPr>
                <w:rFonts w:ascii="Times New Roman" w:hAnsi="Times New Roman"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氮氧化物0.00003t/a、甲醇0.0008t/a</w:t>
            </w:r>
            <w:r>
              <w:rPr>
                <w:rFonts w:ascii="Times New Roman" w:hAnsi="Times New Roman" w:cs="Times New Roman"/>
                <w:color w:val="auto"/>
                <w:sz w:val="21"/>
                <w:szCs w:val="21"/>
                <w:highlight w:val="none"/>
              </w:rPr>
              <w:t>。</w:t>
            </w:r>
          </w:p>
          <w:p w14:paraId="76A3AA08">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在原已审批项目和无锡市锡山区范围内平衡。</w:t>
            </w:r>
          </w:p>
        </w:tc>
      </w:tr>
      <w:tr w14:paraId="76B2FB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continue"/>
            <w:vAlign w:val="center"/>
          </w:tcPr>
          <w:p w14:paraId="156803F8">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9943" w:type="dxa"/>
            <w:gridSpan w:val="7"/>
            <w:shd w:val="clear" w:color="auto" w:fill="auto"/>
            <w:vAlign w:val="center"/>
          </w:tcPr>
          <w:p w14:paraId="624480C0">
            <w:pPr>
              <w:keepNext w:val="0"/>
              <w:keepLines w:val="0"/>
              <w:pageBreakBefore w:val="0"/>
              <w:numPr>
                <w:ilvl w:val="0"/>
                <w:numId w:val="35"/>
              </w:numPr>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水污染物：</w:t>
            </w:r>
          </w:p>
          <w:p w14:paraId="502E6819">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接管水量：3800t/a，各污染物的接管考核量：COD：0.5t/a、SS：0.248t/a、氨氮：0.06t/a、总氮：0.1188t/a、总磷：0.004t/a。</w:t>
            </w:r>
          </w:p>
          <w:p w14:paraId="302A64C3">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水污染物接管无锡市锡山云林污水处理有限公司处理，水污染物总量在无锡市锡山云林污水处理有限公司内平衡。</w:t>
            </w:r>
          </w:p>
        </w:tc>
      </w:tr>
      <w:tr w14:paraId="168FCF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vMerge w:val="continue"/>
            <w:vAlign w:val="center"/>
          </w:tcPr>
          <w:p w14:paraId="48CB16DF">
            <w:pPr>
              <w:keepNext w:val="0"/>
              <w:keepLines w:val="0"/>
              <w:pageBreakBefore w:val="0"/>
              <w:kinsoku/>
              <w:wordWrap/>
              <w:overflowPunct/>
              <w:topLinePunct w:val="0"/>
              <w:autoSpaceDE/>
              <w:autoSpaceDN/>
              <w:bidi w:val="0"/>
              <w:ind w:left="0" w:right="0"/>
              <w:textAlignment w:val="auto"/>
              <w:rPr>
                <w:rFonts w:ascii="Times New Roman" w:hAnsi="Times New Roman" w:cs="Times New Roman"/>
                <w:color w:val="auto"/>
                <w:sz w:val="21"/>
                <w:szCs w:val="21"/>
                <w:highlight w:val="none"/>
              </w:rPr>
            </w:pPr>
          </w:p>
        </w:tc>
        <w:tc>
          <w:tcPr>
            <w:tcW w:w="9943" w:type="dxa"/>
            <w:gridSpan w:val="7"/>
            <w:shd w:val="clear" w:color="auto" w:fill="auto"/>
            <w:vAlign w:val="center"/>
          </w:tcPr>
          <w:p w14:paraId="6856845B">
            <w:pPr>
              <w:keepNext w:val="0"/>
              <w:keepLines w:val="0"/>
              <w:pageBreakBefore w:val="0"/>
              <w:numPr>
                <w:ilvl w:val="0"/>
                <w:numId w:val="35"/>
              </w:numPr>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固体废物</w:t>
            </w:r>
          </w:p>
          <w:p w14:paraId="08932C91">
            <w:pPr>
              <w:keepNext w:val="0"/>
              <w:keepLines w:val="0"/>
              <w:pageBreakBefore w:val="0"/>
              <w:kinsoku/>
              <w:wordWrap/>
              <w:overflowPunct/>
              <w:topLinePunct w:val="0"/>
              <w:autoSpaceDE/>
              <w:autoSpaceDN/>
              <w:bidi w:val="0"/>
              <w:ind w:left="0" w:right="0"/>
              <w:jc w:val="both"/>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零</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排放。</w:t>
            </w:r>
          </w:p>
        </w:tc>
      </w:tr>
      <w:tr w14:paraId="425BC4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9" w:type="dxa"/>
            <w:gridSpan w:val="4"/>
            <w:shd w:val="clear" w:color="auto" w:fill="auto"/>
            <w:vAlign w:val="center"/>
          </w:tcPr>
          <w:p w14:paraId="43324996">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合计</w:t>
            </w:r>
          </w:p>
        </w:tc>
        <w:tc>
          <w:tcPr>
            <w:tcW w:w="9943" w:type="dxa"/>
            <w:gridSpan w:val="7"/>
            <w:shd w:val="clear" w:color="auto" w:fill="auto"/>
            <w:vAlign w:val="center"/>
          </w:tcPr>
          <w:p w14:paraId="61E6A71C">
            <w:pPr>
              <w:keepNext w:val="0"/>
              <w:keepLines w:val="0"/>
              <w:pageBreakBefore w:val="0"/>
              <w:kinsoku/>
              <w:wordWrap/>
              <w:overflowPunct/>
              <w:topLinePunct w:val="0"/>
              <w:autoSpaceDE/>
              <w:autoSpaceDN/>
              <w:bidi w:val="0"/>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环保投资</w:t>
            </w:r>
            <w:r>
              <w:rPr>
                <w:rFonts w:hint="eastAsia" w:ascii="Times New Roman" w:hAnsi="Times New Roman" w:cs="Times New Roman"/>
                <w:color w:val="auto"/>
                <w:sz w:val="21"/>
                <w:szCs w:val="21"/>
                <w:highlight w:val="none"/>
                <w:lang w:val="en-US" w:eastAsia="zh-CN"/>
              </w:rPr>
              <w:t>15</w:t>
            </w:r>
            <w:r>
              <w:rPr>
                <w:rFonts w:ascii="Times New Roman" w:hAnsi="Times New Roman" w:cs="Times New Roman"/>
                <w:color w:val="auto"/>
                <w:sz w:val="21"/>
                <w:szCs w:val="21"/>
                <w:highlight w:val="none"/>
              </w:rPr>
              <w:t>万元</w:t>
            </w:r>
          </w:p>
        </w:tc>
      </w:tr>
    </w:tbl>
    <w:p w14:paraId="459B730F">
      <w:pPr>
        <w:spacing w:line="360" w:lineRule="auto"/>
        <w:ind w:left="-105" w:right="-105"/>
        <w:rPr>
          <w:rFonts w:ascii="Times New Roman" w:hAnsi="Times New Roman"/>
          <w:color w:val="auto"/>
          <w:szCs w:val="22"/>
          <w:highlight w:val="none"/>
        </w:rPr>
      </w:pPr>
      <w:bookmarkStart w:id="508" w:name="_Toc15942"/>
    </w:p>
    <w:p w14:paraId="59A82F64">
      <w:pPr>
        <w:spacing w:line="360" w:lineRule="auto"/>
        <w:ind w:left="-105" w:right="-105"/>
        <w:rPr>
          <w:rFonts w:ascii="Times New Roman" w:hAnsi="Times New Roman"/>
          <w:color w:val="auto"/>
          <w:szCs w:val="22"/>
          <w:highlight w:val="none"/>
        </w:rPr>
        <w:sectPr>
          <w:pgSz w:w="16838" w:h="11906" w:orient="landscape"/>
          <w:pgMar w:top="1701" w:right="1440" w:bottom="1701" w:left="1440" w:header="851" w:footer="851" w:gutter="0"/>
          <w:pgBorders>
            <w:top w:val="none" w:sz="0" w:space="0"/>
            <w:left w:val="none" w:sz="0" w:space="0"/>
            <w:bottom w:val="none" w:sz="0" w:space="0"/>
            <w:right w:val="none" w:sz="0" w:space="0"/>
          </w:pgBorders>
          <w:cols w:space="720" w:num="1"/>
          <w:docGrid w:linePitch="498" w:charSpace="-2336"/>
        </w:sectPr>
      </w:pPr>
    </w:p>
    <w:bookmarkEnd w:id="508"/>
    <w:p w14:paraId="2EDF21D4">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509" w:name="_Toc60653608"/>
      <w:bookmarkStart w:id="510" w:name="_Toc14490"/>
      <w:bookmarkStart w:id="511" w:name="_Toc5852"/>
      <w:r>
        <w:rPr>
          <w:rFonts w:ascii="Times New Roman" w:eastAsia="宋体"/>
          <w:color w:val="auto"/>
          <w:sz w:val="32"/>
          <w:szCs w:val="32"/>
          <w:highlight w:val="none"/>
        </w:rPr>
        <w:t>环境影响经济损益分析</w:t>
      </w:r>
      <w:bookmarkEnd w:id="509"/>
      <w:bookmarkEnd w:id="510"/>
      <w:bookmarkEnd w:id="511"/>
    </w:p>
    <w:p w14:paraId="5B9353B3">
      <w:pPr>
        <w:pStyle w:val="97"/>
        <w:autoSpaceDE w:val="0"/>
        <w:autoSpaceDN w:val="0"/>
        <w:spacing w:line="360" w:lineRule="auto"/>
        <w:ind w:left="-105" w:right="-105" w:firstLine="480"/>
        <w:rPr>
          <w:rFonts w:eastAsia="宋体"/>
          <w:color w:val="auto"/>
          <w:sz w:val="24"/>
          <w:szCs w:val="22"/>
          <w:highlight w:val="none"/>
        </w:rPr>
      </w:pPr>
      <w:r>
        <w:rPr>
          <w:rFonts w:hint="eastAsia" w:eastAsia="宋体"/>
          <w:color w:val="auto"/>
          <w:sz w:val="24"/>
          <w:szCs w:val="22"/>
          <w:highlight w:val="none"/>
        </w:rPr>
        <w:t>环境经济损益分析是从经济学的角度来分析、预测工程建设项目的环境损益，是环境影响评价的重要环节之一，其工作内容是确保环保措施的项目内容，通过统计分析环保措施投入的资金及环保投资占工程总投资的比例，环保设施的运转费用，削减污染物量的情况，综合利用的效益等，说明建设项目环保措施的可行性和环保投资的合理性，其主要任务是衡量建设项目投入的环保投资所能获得的环保效果，从经济角度采用价值形式分析环境对人类经济活动的适宜性，分析人类开发活动对环境的影响，对项目建设造成的环境影响进行技术、经济评价分析，最终实现经济效益、社会效益和环境效益的统一。</w:t>
      </w:r>
    </w:p>
    <w:p w14:paraId="4554314C">
      <w:pPr>
        <w:pStyle w:val="4"/>
        <w:numPr>
          <w:ilvl w:val="1"/>
          <w:numId w:val="0"/>
        </w:numPr>
        <w:tabs>
          <w:tab w:val="left" w:pos="426"/>
        </w:tabs>
        <w:spacing w:before="120" w:beforeLines="50" w:line="360" w:lineRule="auto"/>
        <w:ind w:right="-105"/>
        <w:rPr>
          <w:rFonts w:ascii="Times New Roman" w:eastAsia="宋体"/>
          <w:color w:val="auto"/>
          <w:sz w:val="28"/>
          <w:szCs w:val="28"/>
          <w:highlight w:val="none"/>
        </w:rPr>
      </w:pPr>
      <w:bookmarkStart w:id="512" w:name="_Toc60653609"/>
      <w:bookmarkStart w:id="513" w:name="_Toc11296"/>
      <w:bookmarkStart w:id="514" w:name="_Toc17416"/>
      <w:r>
        <w:rPr>
          <w:rFonts w:hint="eastAsia" w:ascii="Times New Roman" w:eastAsia="宋体"/>
          <w:color w:val="auto"/>
          <w:sz w:val="28"/>
          <w:szCs w:val="28"/>
          <w:highlight w:val="none"/>
        </w:rPr>
        <w:t>8.1</w:t>
      </w:r>
      <w:r>
        <w:rPr>
          <w:rFonts w:ascii="Times New Roman" w:eastAsia="宋体"/>
          <w:color w:val="auto"/>
          <w:sz w:val="28"/>
          <w:szCs w:val="28"/>
          <w:highlight w:val="none"/>
        </w:rPr>
        <w:t>经济效益分析</w:t>
      </w:r>
      <w:bookmarkEnd w:id="512"/>
      <w:bookmarkEnd w:id="513"/>
      <w:bookmarkEnd w:id="514"/>
    </w:p>
    <w:p w14:paraId="15C57243">
      <w:pPr>
        <w:spacing w:line="360" w:lineRule="auto"/>
        <w:ind w:left="-105" w:right="-105" w:firstLine="480" w:firstLineChars="200"/>
        <w:rPr>
          <w:rFonts w:ascii="Times New Roman" w:hAnsi="Times New Roman"/>
          <w:color w:val="auto"/>
          <w:szCs w:val="22"/>
          <w:highlight w:val="none"/>
        </w:rPr>
      </w:pPr>
      <w:r>
        <w:rPr>
          <w:rFonts w:ascii="Times New Roman" w:hAnsi="Times New Roman" w:cs="Times New Roman"/>
          <w:color w:val="auto"/>
          <w:szCs w:val="22"/>
          <w:highlight w:val="none"/>
        </w:rPr>
        <w:t>本项目拟投资</w:t>
      </w:r>
      <w:r>
        <w:rPr>
          <w:rFonts w:hint="eastAsia" w:ascii="Times New Roman" w:hAnsi="Times New Roman" w:cs="Times New Roman"/>
          <w:color w:val="auto"/>
          <w:szCs w:val="22"/>
          <w:highlight w:val="none"/>
          <w:lang w:val="en-US" w:eastAsia="zh-CN"/>
        </w:rPr>
        <w:t>1</w:t>
      </w:r>
      <w:r>
        <w:rPr>
          <w:rFonts w:ascii="Times New Roman" w:hAnsi="Times New Roman" w:cs="Times New Roman"/>
          <w:color w:val="auto"/>
          <w:szCs w:val="22"/>
          <w:highlight w:val="none"/>
        </w:rPr>
        <w:t>000万元</w:t>
      </w:r>
      <w:r>
        <w:rPr>
          <w:rFonts w:ascii="Times New Roman" w:hAnsi="Times New Roman" w:cs="Times New Roman"/>
          <w:color w:val="auto"/>
          <w:szCs w:val="22"/>
          <w:highlight w:val="none"/>
        </w:rPr>
        <w:t>，公司生产的</w:t>
      </w:r>
      <w:r>
        <w:rPr>
          <w:rFonts w:hint="eastAsia" w:ascii="Times New Roman" w:hAnsi="Times New Roman" w:cs="Times New Roman"/>
          <w:color w:val="auto"/>
          <w:szCs w:val="22"/>
          <w:highlight w:val="none"/>
        </w:rPr>
        <w:t>剥离液</w:t>
      </w:r>
      <w:r>
        <w:rPr>
          <w:rFonts w:ascii="Times New Roman" w:hAnsi="Times New Roman" w:cs="Times New Roman"/>
          <w:color w:val="auto"/>
          <w:szCs w:val="22"/>
          <w:highlight w:val="none"/>
        </w:rPr>
        <w:t>主要供应对象包括</w:t>
      </w:r>
      <w:r>
        <w:rPr>
          <w:rFonts w:hint="eastAsia" w:ascii="Times New Roman" w:hAnsi="Times New Roman" w:cs="Times New Roman"/>
          <w:color w:val="auto"/>
          <w:szCs w:val="22"/>
          <w:highlight w:val="none"/>
        </w:rPr>
        <w:t>索尼半导体、铠侠（前东芝）、日亚化学、STMicroelectronics等众多半导体厂商</w:t>
      </w:r>
      <w:r>
        <w:rPr>
          <w:rFonts w:ascii="Times New Roman" w:hAnsi="Times New Roman" w:cs="Times New Roman"/>
          <w:color w:val="auto"/>
          <w:szCs w:val="22"/>
          <w:highlight w:val="none"/>
        </w:rPr>
        <w:t>。具有较好的经济效益，在市场上具有较大的竞争力。</w:t>
      </w:r>
    </w:p>
    <w:p w14:paraId="16074B8D">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根据本项目的可行性研究报告，项目经济效益情况见</w:t>
      </w:r>
      <w:r>
        <w:rPr>
          <w:rFonts w:ascii="Times New Roman" w:hAnsi="Times New Roman"/>
          <w:color w:val="auto"/>
          <w:szCs w:val="22"/>
          <w:highlight w:val="none"/>
        </w:rPr>
        <w:fldChar w:fldCharType="begin"/>
      </w:r>
      <w:r>
        <w:rPr>
          <w:rFonts w:ascii="Times New Roman" w:hAnsi="Times New Roman"/>
          <w:color w:val="auto"/>
          <w:szCs w:val="22"/>
          <w:highlight w:val="none"/>
        </w:rPr>
        <w:instrText xml:space="preserve"> REF _Ref40986524 \h  \* MERGEFORMAT </w:instrText>
      </w:r>
      <w:r>
        <w:rPr>
          <w:rFonts w:ascii="Times New Roman" w:hAnsi="Times New Roman"/>
          <w:color w:val="auto"/>
          <w:szCs w:val="22"/>
          <w:highlight w:val="none"/>
        </w:rPr>
        <w:fldChar w:fldCharType="separate"/>
      </w:r>
      <w:r>
        <w:rPr>
          <w:rFonts w:ascii="Times New Roman" w:hAnsi="Times New Roman"/>
          <w:color w:val="auto"/>
          <w:szCs w:val="22"/>
          <w:highlight w:val="none"/>
        </w:rPr>
        <w:t>表8.1</w:t>
      </w:r>
      <w:r>
        <w:rPr>
          <w:rFonts w:ascii="Times New Roman" w:hAnsi="Times New Roman"/>
          <w:color w:val="auto"/>
          <w:szCs w:val="22"/>
          <w:highlight w:val="none"/>
        </w:rPr>
        <w:noBreakHyphen/>
      </w:r>
      <w:r>
        <w:rPr>
          <w:rFonts w:ascii="Times New Roman" w:hAnsi="Times New Roman"/>
          <w:color w:val="auto"/>
          <w:szCs w:val="22"/>
          <w:highlight w:val="none"/>
        </w:rPr>
        <w:t>1</w:t>
      </w:r>
      <w:r>
        <w:rPr>
          <w:rFonts w:ascii="Times New Roman" w:hAnsi="Times New Roman"/>
          <w:color w:val="auto"/>
          <w:szCs w:val="22"/>
          <w:highlight w:val="none"/>
        </w:rPr>
        <w:fldChar w:fldCharType="end"/>
      </w:r>
      <w:r>
        <w:rPr>
          <w:rFonts w:ascii="Times New Roman" w:hAnsi="Times New Roman"/>
          <w:color w:val="auto"/>
          <w:szCs w:val="22"/>
          <w:highlight w:val="none"/>
        </w:rPr>
        <w:t>。由</w:t>
      </w:r>
      <w:r>
        <w:rPr>
          <w:rFonts w:ascii="Times New Roman" w:hAnsi="Times New Roman"/>
          <w:color w:val="auto"/>
          <w:szCs w:val="22"/>
          <w:highlight w:val="none"/>
        </w:rPr>
        <w:fldChar w:fldCharType="begin"/>
      </w:r>
      <w:r>
        <w:rPr>
          <w:rFonts w:ascii="Times New Roman" w:hAnsi="Times New Roman"/>
          <w:color w:val="auto"/>
          <w:szCs w:val="22"/>
          <w:highlight w:val="none"/>
        </w:rPr>
        <w:instrText xml:space="preserve"> REF _Ref40986524 \h  \* MERGEFORMAT </w:instrText>
      </w:r>
      <w:r>
        <w:rPr>
          <w:rFonts w:ascii="Times New Roman" w:hAnsi="Times New Roman"/>
          <w:color w:val="auto"/>
          <w:szCs w:val="22"/>
          <w:highlight w:val="none"/>
        </w:rPr>
        <w:fldChar w:fldCharType="separate"/>
      </w:r>
      <w:r>
        <w:rPr>
          <w:rFonts w:ascii="Times New Roman" w:hAnsi="Times New Roman"/>
          <w:color w:val="auto"/>
          <w:szCs w:val="22"/>
          <w:highlight w:val="none"/>
        </w:rPr>
        <w:t>表8.1</w:t>
      </w:r>
      <w:r>
        <w:rPr>
          <w:rFonts w:ascii="Times New Roman" w:hAnsi="Times New Roman"/>
          <w:color w:val="auto"/>
          <w:szCs w:val="22"/>
          <w:highlight w:val="none"/>
        </w:rPr>
        <w:noBreakHyphen/>
      </w:r>
      <w:r>
        <w:rPr>
          <w:rFonts w:ascii="Times New Roman" w:hAnsi="Times New Roman"/>
          <w:color w:val="auto"/>
          <w:szCs w:val="22"/>
          <w:highlight w:val="none"/>
        </w:rPr>
        <w:t>1</w:t>
      </w:r>
      <w:r>
        <w:rPr>
          <w:rFonts w:ascii="Times New Roman" w:hAnsi="Times New Roman"/>
          <w:color w:val="auto"/>
          <w:szCs w:val="22"/>
          <w:highlight w:val="none"/>
        </w:rPr>
        <w:fldChar w:fldCharType="end"/>
      </w:r>
      <w:r>
        <w:rPr>
          <w:rFonts w:ascii="Times New Roman" w:hAnsi="Times New Roman"/>
          <w:color w:val="auto"/>
          <w:szCs w:val="22"/>
          <w:highlight w:val="none"/>
        </w:rPr>
        <w:t>分析可知，各项财务盈利性指标均达到较高水平，工程收益率较高，具有较好经济效益。</w:t>
      </w:r>
    </w:p>
    <w:p w14:paraId="333D58BB">
      <w:pPr>
        <w:pStyle w:val="15"/>
        <w:spacing w:line="360" w:lineRule="auto"/>
        <w:ind w:left="-105" w:right="-105" w:firstLine="482"/>
        <w:rPr>
          <w:rFonts w:eastAsia="宋体" w:cs="Times New Roman"/>
          <w:color w:val="auto"/>
          <w:sz w:val="24"/>
          <w:szCs w:val="18"/>
          <w:highlight w:val="none"/>
        </w:rPr>
      </w:pPr>
      <w:bookmarkStart w:id="515" w:name="_Ref40986524"/>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8.1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515"/>
      <w:r>
        <w:rPr>
          <w:rFonts w:eastAsia="宋体" w:cs="Times New Roman"/>
          <w:bCs/>
          <w:color w:val="auto"/>
          <w:sz w:val="24"/>
          <w:szCs w:val="18"/>
          <w:highlight w:val="none"/>
        </w:rPr>
        <w:t>本项目经济效益一览表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047"/>
        <w:gridCol w:w="1741"/>
        <w:gridCol w:w="1536"/>
        <w:gridCol w:w="1561"/>
      </w:tblGrid>
      <w:tr w14:paraId="1BC37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479" w:type="pct"/>
            <w:tcBorders>
              <w:top w:val="single" w:color="auto" w:sz="12" w:space="0"/>
              <w:left w:val="nil"/>
              <w:bottom w:val="single" w:color="auto" w:sz="4" w:space="0"/>
              <w:right w:val="single" w:color="auto" w:sz="4" w:space="0"/>
            </w:tcBorders>
            <w:vAlign w:val="center"/>
          </w:tcPr>
          <w:p w14:paraId="46F6BFCD">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747" w:type="pct"/>
            <w:tcBorders>
              <w:top w:val="single" w:color="auto" w:sz="12" w:space="0"/>
              <w:left w:val="single" w:color="auto" w:sz="4" w:space="0"/>
              <w:bottom w:val="single" w:color="auto" w:sz="4" w:space="0"/>
              <w:right w:val="single" w:color="auto" w:sz="4" w:space="0"/>
            </w:tcBorders>
            <w:vAlign w:val="center"/>
          </w:tcPr>
          <w:p w14:paraId="79889344">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项目名称</w:t>
            </w:r>
          </w:p>
        </w:tc>
        <w:tc>
          <w:tcPr>
            <w:tcW w:w="998" w:type="pct"/>
            <w:tcBorders>
              <w:top w:val="single" w:color="auto" w:sz="12" w:space="0"/>
              <w:left w:val="single" w:color="auto" w:sz="4" w:space="0"/>
              <w:bottom w:val="single" w:color="auto" w:sz="4" w:space="0"/>
              <w:right w:val="single" w:color="auto" w:sz="4" w:space="0"/>
            </w:tcBorders>
            <w:vAlign w:val="center"/>
          </w:tcPr>
          <w:p w14:paraId="4C750B58">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单位</w:t>
            </w:r>
          </w:p>
        </w:tc>
        <w:tc>
          <w:tcPr>
            <w:tcW w:w="881" w:type="pct"/>
            <w:tcBorders>
              <w:top w:val="single" w:color="auto" w:sz="12" w:space="0"/>
              <w:left w:val="single" w:color="auto" w:sz="4" w:space="0"/>
              <w:bottom w:val="single" w:color="auto" w:sz="4" w:space="0"/>
              <w:right w:val="single" w:color="auto" w:sz="4" w:space="0"/>
            </w:tcBorders>
            <w:vAlign w:val="center"/>
          </w:tcPr>
          <w:p w14:paraId="3DCE28C2">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数量</w:t>
            </w:r>
          </w:p>
        </w:tc>
        <w:tc>
          <w:tcPr>
            <w:tcW w:w="895" w:type="pct"/>
            <w:tcBorders>
              <w:top w:val="single" w:color="auto" w:sz="12" w:space="0"/>
              <w:left w:val="single" w:color="auto" w:sz="4" w:space="0"/>
              <w:bottom w:val="single" w:color="auto" w:sz="4" w:space="0"/>
              <w:right w:val="nil"/>
            </w:tcBorders>
            <w:vAlign w:val="center"/>
          </w:tcPr>
          <w:p w14:paraId="5E1D6594">
            <w:pPr>
              <w:ind w:left="-105" w:right="-105"/>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备注</w:t>
            </w:r>
          </w:p>
        </w:tc>
      </w:tr>
      <w:tr w14:paraId="63EC6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5F0CEBDC">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7989F933">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项目总投资</w:t>
            </w:r>
          </w:p>
        </w:tc>
        <w:tc>
          <w:tcPr>
            <w:tcW w:w="998" w:type="pct"/>
            <w:tcBorders>
              <w:top w:val="single" w:color="auto" w:sz="4" w:space="0"/>
              <w:left w:val="single" w:color="auto" w:sz="4" w:space="0"/>
              <w:bottom w:val="single" w:color="auto" w:sz="4" w:space="0"/>
              <w:right w:val="single" w:color="auto" w:sz="4" w:space="0"/>
            </w:tcBorders>
            <w:vAlign w:val="center"/>
          </w:tcPr>
          <w:p w14:paraId="1721A3A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881" w:type="pct"/>
            <w:tcBorders>
              <w:top w:val="single" w:color="auto" w:sz="4" w:space="0"/>
              <w:left w:val="single" w:color="auto" w:sz="4" w:space="0"/>
              <w:bottom w:val="single" w:color="auto" w:sz="4" w:space="0"/>
              <w:right w:val="single" w:color="auto" w:sz="4" w:space="0"/>
            </w:tcBorders>
            <w:vAlign w:val="center"/>
          </w:tcPr>
          <w:p w14:paraId="316E3274">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w:t>
            </w:r>
          </w:p>
        </w:tc>
        <w:tc>
          <w:tcPr>
            <w:tcW w:w="895" w:type="pct"/>
            <w:tcBorders>
              <w:top w:val="single" w:color="auto" w:sz="4" w:space="0"/>
              <w:left w:val="single" w:color="auto" w:sz="4" w:space="0"/>
              <w:bottom w:val="single" w:color="auto" w:sz="4" w:space="0"/>
              <w:right w:val="nil"/>
            </w:tcBorders>
            <w:vAlign w:val="center"/>
          </w:tcPr>
          <w:p w14:paraId="7DA6B908">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r w14:paraId="0FB6B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4206F89E">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45E8EE95">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年营业收入</w:t>
            </w:r>
          </w:p>
        </w:tc>
        <w:tc>
          <w:tcPr>
            <w:tcW w:w="998" w:type="pct"/>
            <w:tcBorders>
              <w:top w:val="single" w:color="auto" w:sz="4" w:space="0"/>
              <w:left w:val="single" w:color="auto" w:sz="4" w:space="0"/>
              <w:bottom w:val="single" w:color="auto" w:sz="4" w:space="0"/>
              <w:right w:val="single" w:color="auto" w:sz="4" w:space="0"/>
            </w:tcBorders>
            <w:vAlign w:val="center"/>
          </w:tcPr>
          <w:p w14:paraId="4848DEB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881" w:type="pct"/>
            <w:tcBorders>
              <w:top w:val="single" w:color="auto" w:sz="4" w:space="0"/>
              <w:left w:val="single" w:color="auto" w:sz="4" w:space="0"/>
              <w:bottom w:val="single" w:color="auto" w:sz="4" w:space="0"/>
              <w:right w:val="single" w:color="auto" w:sz="4" w:space="0"/>
            </w:tcBorders>
            <w:vAlign w:val="center"/>
          </w:tcPr>
          <w:p w14:paraId="02AABE8F">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1500</w:t>
            </w:r>
          </w:p>
        </w:tc>
        <w:tc>
          <w:tcPr>
            <w:tcW w:w="895" w:type="pct"/>
            <w:tcBorders>
              <w:top w:val="single" w:color="auto" w:sz="4" w:space="0"/>
              <w:left w:val="single" w:color="auto" w:sz="4" w:space="0"/>
              <w:bottom w:val="single" w:color="auto" w:sz="4" w:space="0"/>
              <w:right w:val="nil"/>
            </w:tcBorders>
            <w:vAlign w:val="center"/>
          </w:tcPr>
          <w:p w14:paraId="60BF1C4B">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达产年</w:t>
            </w:r>
          </w:p>
        </w:tc>
      </w:tr>
      <w:tr w14:paraId="155DD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30ADD077">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1BE25716">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年利润总额</w:t>
            </w:r>
          </w:p>
        </w:tc>
        <w:tc>
          <w:tcPr>
            <w:tcW w:w="998" w:type="pct"/>
            <w:tcBorders>
              <w:top w:val="single" w:color="auto" w:sz="4" w:space="0"/>
              <w:left w:val="single" w:color="auto" w:sz="4" w:space="0"/>
              <w:bottom w:val="single" w:color="auto" w:sz="4" w:space="0"/>
              <w:right w:val="single" w:color="auto" w:sz="4" w:space="0"/>
            </w:tcBorders>
            <w:vAlign w:val="center"/>
          </w:tcPr>
          <w:p w14:paraId="5C36EB9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881" w:type="pct"/>
            <w:tcBorders>
              <w:top w:val="single" w:color="auto" w:sz="4" w:space="0"/>
              <w:left w:val="single" w:color="auto" w:sz="4" w:space="0"/>
              <w:bottom w:val="single" w:color="auto" w:sz="4" w:space="0"/>
              <w:right w:val="single" w:color="auto" w:sz="4" w:space="0"/>
            </w:tcBorders>
            <w:vAlign w:val="center"/>
          </w:tcPr>
          <w:p w14:paraId="4D9A574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350</w:t>
            </w:r>
          </w:p>
        </w:tc>
        <w:tc>
          <w:tcPr>
            <w:tcW w:w="895" w:type="pct"/>
            <w:tcBorders>
              <w:top w:val="single" w:color="auto" w:sz="4" w:space="0"/>
              <w:left w:val="single" w:color="auto" w:sz="4" w:space="0"/>
              <w:bottom w:val="single" w:color="auto" w:sz="4" w:space="0"/>
              <w:right w:val="nil"/>
            </w:tcBorders>
            <w:vAlign w:val="center"/>
          </w:tcPr>
          <w:p w14:paraId="6040C3A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达产年</w:t>
            </w:r>
          </w:p>
        </w:tc>
      </w:tr>
      <w:tr w14:paraId="05E0C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7B025982">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17FCC70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年所得税</w:t>
            </w:r>
          </w:p>
        </w:tc>
        <w:tc>
          <w:tcPr>
            <w:tcW w:w="998" w:type="pct"/>
            <w:tcBorders>
              <w:top w:val="single" w:color="auto" w:sz="4" w:space="0"/>
              <w:left w:val="single" w:color="auto" w:sz="4" w:space="0"/>
              <w:bottom w:val="single" w:color="auto" w:sz="4" w:space="0"/>
              <w:right w:val="single" w:color="auto" w:sz="4" w:space="0"/>
            </w:tcBorders>
            <w:vAlign w:val="center"/>
          </w:tcPr>
          <w:p w14:paraId="74AB4E2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881" w:type="pct"/>
            <w:tcBorders>
              <w:top w:val="single" w:color="auto" w:sz="4" w:space="0"/>
              <w:left w:val="single" w:color="auto" w:sz="4" w:space="0"/>
              <w:bottom w:val="single" w:color="auto" w:sz="4" w:space="0"/>
              <w:right w:val="single" w:color="auto" w:sz="4" w:space="0"/>
            </w:tcBorders>
            <w:vAlign w:val="center"/>
          </w:tcPr>
          <w:p w14:paraId="1944C007">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0.09</w:t>
            </w:r>
          </w:p>
        </w:tc>
        <w:tc>
          <w:tcPr>
            <w:tcW w:w="895" w:type="pct"/>
            <w:tcBorders>
              <w:top w:val="single" w:color="auto" w:sz="4" w:space="0"/>
              <w:left w:val="single" w:color="auto" w:sz="4" w:space="0"/>
              <w:bottom w:val="single" w:color="auto" w:sz="4" w:space="0"/>
              <w:right w:val="nil"/>
            </w:tcBorders>
            <w:vAlign w:val="center"/>
          </w:tcPr>
          <w:p w14:paraId="77E79639">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达产年</w:t>
            </w:r>
          </w:p>
        </w:tc>
      </w:tr>
      <w:tr w14:paraId="56CBC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006EBF3B">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5AB56148">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年净利润</w:t>
            </w:r>
          </w:p>
        </w:tc>
        <w:tc>
          <w:tcPr>
            <w:tcW w:w="998" w:type="pct"/>
            <w:tcBorders>
              <w:top w:val="single" w:color="auto" w:sz="4" w:space="0"/>
              <w:left w:val="single" w:color="auto" w:sz="4" w:space="0"/>
              <w:bottom w:val="single" w:color="auto" w:sz="4" w:space="0"/>
              <w:right w:val="single" w:color="auto" w:sz="4" w:space="0"/>
            </w:tcBorders>
            <w:vAlign w:val="center"/>
          </w:tcPr>
          <w:p w14:paraId="0CE4CEDC">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881" w:type="pct"/>
            <w:tcBorders>
              <w:top w:val="single" w:color="auto" w:sz="4" w:space="0"/>
              <w:left w:val="single" w:color="auto" w:sz="4" w:space="0"/>
              <w:bottom w:val="single" w:color="auto" w:sz="4" w:space="0"/>
              <w:right w:val="single" w:color="auto" w:sz="4" w:space="0"/>
            </w:tcBorders>
            <w:vAlign w:val="center"/>
          </w:tcPr>
          <w:p w14:paraId="2C6A841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260</w:t>
            </w:r>
          </w:p>
        </w:tc>
        <w:tc>
          <w:tcPr>
            <w:tcW w:w="895" w:type="pct"/>
            <w:tcBorders>
              <w:top w:val="single" w:color="auto" w:sz="4" w:space="0"/>
              <w:left w:val="single" w:color="auto" w:sz="4" w:space="0"/>
              <w:bottom w:val="single" w:color="auto" w:sz="4" w:space="0"/>
              <w:right w:val="nil"/>
            </w:tcBorders>
            <w:vAlign w:val="center"/>
          </w:tcPr>
          <w:p w14:paraId="70887DC4">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达产年</w:t>
            </w:r>
          </w:p>
        </w:tc>
      </w:tr>
      <w:tr w14:paraId="3056D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4" w:space="0"/>
              <w:right w:val="single" w:color="auto" w:sz="4" w:space="0"/>
            </w:tcBorders>
            <w:vAlign w:val="center"/>
          </w:tcPr>
          <w:p w14:paraId="42C55F45">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4" w:space="0"/>
              <w:right w:val="single" w:color="auto" w:sz="4" w:space="0"/>
            </w:tcBorders>
            <w:vAlign w:val="center"/>
          </w:tcPr>
          <w:p w14:paraId="2726992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内部收益率（全部投资，税后）</w:t>
            </w:r>
          </w:p>
        </w:tc>
        <w:tc>
          <w:tcPr>
            <w:tcW w:w="998" w:type="pct"/>
            <w:tcBorders>
              <w:top w:val="single" w:color="auto" w:sz="4" w:space="0"/>
              <w:left w:val="single" w:color="auto" w:sz="4" w:space="0"/>
              <w:bottom w:val="single" w:color="auto" w:sz="4" w:space="0"/>
              <w:right w:val="single" w:color="auto" w:sz="4" w:space="0"/>
            </w:tcBorders>
            <w:vAlign w:val="center"/>
          </w:tcPr>
          <w:p w14:paraId="19E11870">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A125D36">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29</w:t>
            </w:r>
          </w:p>
        </w:tc>
        <w:tc>
          <w:tcPr>
            <w:tcW w:w="895" w:type="pct"/>
            <w:tcBorders>
              <w:top w:val="single" w:color="auto" w:sz="4" w:space="0"/>
              <w:left w:val="single" w:color="auto" w:sz="4" w:space="0"/>
              <w:bottom w:val="single" w:color="auto" w:sz="4" w:space="0"/>
              <w:right w:val="nil"/>
            </w:tcBorders>
            <w:vAlign w:val="center"/>
          </w:tcPr>
          <w:p w14:paraId="22A3CDDA">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w:t>
            </w:r>
          </w:p>
        </w:tc>
      </w:tr>
      <w:tr w14:paraId="4B8F6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9" w:type="pct"/>
            <w:tcBorders>
              <w:top w:val="single" w:color="auto" w:sz="4" w:space="0"/>
              <w:left w:val="nil"/>
              <w:bottom w:val="single" w:color="auto" w:sz="12" w:space="0"/>
              <w:right w:val="single" w:color="auto" w:sz="4" w:space="0"/>
            </w:tcBorders>
            <w:vAlign w:val="center"/>
          </w:tcPr>
          <w:p w14:paraId="6802B75C">
            <w:pPr>
              <w:pStyle w:val="97"/>
              <w:widowControl/>
              <w:numPr>
                <w:ilvl w:val="0"/>
                <w:numId w:val="36"/>
              </w:numPr>
              <w:ind w:left="-105" w:right="-105" w:firstLineChars="0"/>
              <w:jc w:val="center"/>
              <w:rPr>
                <w:rFonts w:eastAsia="宋体"/>
                <w:color w:val="auto"/>
                <w:kern w:val="0"/>
                <w:sz w:val="21"/>
                <w:szCs w:val="21"/>
                <w:highlight w:val="none"/>
              </w:rPr>
            </w:pPr>
          </w:p>
        </w:tc>
        <w:tc>
          <w:tcPr>
            <w:tcW w:w="1747" w:type="pct"/>
            <w:tcBorders>
              <w:top w:val="single" w:color="auto" w:sz="4" w:space="0"/>
              <w:left w:val="single" w:color="auto" w:sz="4" w:space="0"/>
              <w:bottom w:val="single" w:color="auto" w:sz="12" w:space="0"/>
              <w:right w:val="single" w:color="auto" w:sz="4" w:space="0"/>
            </w:tcBorders>
            <w:vAlign w:val="center"/>
          </w:tcPr>
          <w:p w14:paraId="06B65DD7">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投资回收期（含建设期，税后）</w:t>
            </w:r>
          </w:p>
        </w:tc>
        <w:tc>
          <w:tcPr>
            <w:tcW w:w="998" w:type="pct"/>
            <w:tcBorders>
              <w:top w:val="single" w:color="auto" w:sz="4" w:space="0"/>
              <w:left w:val="single" w:color="auto" w:sz="4" w:space="0"/>
              <w:bottom w:val="single" w:color="auto" w:sz="12" w:space="0"/>
              <w:right w:val="single" w:color="auto" w:sz="4" w:space="0"/>
            </w:tcBorders>
            <w:vAlign w:val="center"/>
          </w:tcPr>
          <w:p w14:paraId="0778A4EE">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年</w:t>
            </w:r>
          </w:p>
        </w:tc>
        <w:tc>
          <w:tcPr>
            <w:tcW w:w="881" w:type="pct"/>
            <w:tcBorders>
              <w:top w:val="single" w:color="auto" w:sz="4" w:space="0"/>
              <w:left w:val="single" w:color="auto" w:sz="4" w:space="0"/>
              <w:bottom w:val="single" w:color="auto" w:sz="12" w:space="0"/>
              <w:right w:val="single" w:color="auto" w:sz="4" w:space="0"/>
            </w:tcBorders>
            <w:vAlign w:val="center"/>
          </w:tcPr>
          <w:p w14:paraId="68A829DC">
            <w:pPr>
              <w:ind w:left="-105" w:right="-105"/>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4.2</w:t>
            </w:r>
          </w:p>
        </w:tc>
        <w:tc>
          <w:tcPr>
            <w:tcW w:w="895" w:type="pct"/>
            <w:tcBorders>
              <w:top w:val="single" w:color="auto" w:sz="4" w:space="0"/>
              <w:left w:val="single" w:color="auto" w:sz="4" w:space="0"/>
              <w:bottom w:val="single" w:color="auto" w:sz="12" w:space="0"/>
              <w:right w:val="nil"/>
            </w:tcBorders>
            <w:vAlign w:val="center"/>
          </w:tcPr>
          <w:p w14:paraId="01FF266A">
            <w:pPr>
              <w:ind w:left="-105" w:right="-105"/>
              <w:jc w:val="center"/>
              <w:rPr>
                <w:rFonts w:ascii="Times New Roman" w:hAnsi="Times New Roman"/>
                <w:color w:val="auto"/>
                <w:sz w:val="21"/>
                <w:szCs w:val="21"/>
                <w:highlight w:val="none"/>
              </w:rPr>
            </w:pPr>
            <w:r>
              <w:rPr>
                <w:rFonts w:ascii="Times New Roman" w:hAnsi="Times New Roman"/>
                <w:color w:val="auto"/>
                <w:sz w:val="21"/>
                <w:szCs w:val="21"/>
                <w:highlight w:val="none"/>
              </w:rPr>
              <w:t>静态</w:t>
            </w:r>
          </w:p>
        </w:tc>
      </w:tr>
    </w:tbl>
    <w:p w14:paraId="2FD7478F">
      <w:pPr>
        <w:pStyle w:val="4"/>
        <w:numPr>
          <w:ilvl w:val="1"/>
          <w:numId w:val="0"/>
        </w:numPr>
        <w:tabs>
          <w:tab w:val="left" w:pos="426"/>
        </w:tabs>
        <w:spacing w:before="120" w:beforeLines="50" w:line="360" w:lineRule="auto"/>
        <w:ind w:right="-105"/>
        <w:rPr>
          <w:rFonts w:ascii="Times New Roman" w:eastAsia="宋体"/>
          <w:color w:val="auto"/>
          <w:sz w:val="28"/>
          <w:szCs w:val="28"/>
          <w:highlight w:val="none"/>
        </w:rPr>
      </w:pPr>
      <w:bookmarkStart w:id="516" w:name="_Toc1052"/>
      <w:bookmarkStart w:id="517" w:name="_Toc13944"/>
      <w:bookmarkStart w:id="518" w:name="_Toc60653610"/>
      <w:r>
        <w:rPr>
          <w:rFonts w:hint="eastAsia" w:ascii="Times New Roman" w:eastAsia="宋体"/>
          <w:color w:val="auto"/>
          <w:sz w:val="28"/>
          <w:szCs w:val="28"/>
          <w:highlight w:val="none"/>
        </w:rPr>
        <w:t>8.2环境效益</w:t>
      </w:r>
      <w:bookmarkEnd w:id="516"/>
      <w:bookmarkEnd w:id="517"/>
      <w:bookmarkEnd w:id="518"/>
    </w:p>
    <w:p w14:paraId="48D6056E">
      <w:pPr>
        <w:pStyle w:val="5"/>
        <w:keepLines w:val="0"/>
        <w:numPr>
          <w:ilvl w:val="2"/>
          <w:numId w:val="0"/>
        </w:numPr>
        <w:tabs>
          <w:tab w:val="left" w:pos="567"/>
          <w:tab w:val="left" w:pos="709"/>
        </w:tabs>
        <w:spacing w:before="120" w:beforeLines="50" w:after="0" w:line="360" w:lineRule="auto"/>
        <w:ind w:right="-105"/>
        <w:rPr>
          <w:rFonts w:eastAsia="宋体"/>
          <w:color w:val="auto"/>
          <w:sz w:val="28"/>
          <w:szCs w:val="28"/>
          <w:highlight w:val="none"/>
        </w:rPr>
      </w:pPr>
      <w:bookmarkStart w:id="519" w:name="_Toc60653611"/>
      <w:r>
        <w:rPr>
          <w:rFonts w:hint="eastAsia" w:eastAsia="宋体"/>
          <w:color w:val="auto"/>
          <w:sz w:val="28"/>
          <w:szCs w:val="28"/>
          <w:highlight w:val="none"/>
        </w:rPr>
        <w:t>8.2.1</w:t>
      </w:r>
      <w:r>
        <w:rPr>
          <w:rFonts w:eastAsia="宋体"/>
          <w:color w:val="auto"/>
          <w:sz w:val="28"/>
          <w:szCs w:val="28"/>
          <w:highlight w:val="none"/>
        </w:rPr>
        <w:t>环保投资估算</w:t>
      </w:r>
      <w:bookmarkEnd w:id="519"/>
    </w:p>
    <w:p w14:paraId="34C286AE">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拟建项目在环保方面的投入约</w:t>
      </w:r>
      <w:r>
        <w:rPr>
          <w:rFonts w:hint="eastAsia" w:ascii="Times New Roman" w:hAnsi="Times New Roman"/>
          <w:color w:val="auto"/>
          <w:szCs w:val="22"/>
          <w:highlight w:val="none"/>
          <w:lang w:val="en-US" w:eastAsia="zh-CN"/>
        </w:rPr>
        <w:t>15</w:t>
      </w:r>
      <w:r>
        <w:rPr>
          <w:rFonts w:ascii="Times New Roman" w:hAnsi="Times New Roman"/>
          <w:color w:val="auto"/>
          <w:szCs w:val="22"/>
          <w:highlight w:val="none"/>
        </w:rPr>
        <w:t>万元，主要为废气治理设施，经估算环保投资见</w:t>
      </w:r>
      <w:r>
        <w:rPr>
          <w:rFonts w:ascii="Times New Roman" w:hAnsi="Times New Roman"/>
          <w:color w:val="auto"/>
          <w:szCs w:val="22"/>
          <w:highlight w:val="none"/>
        </w:rPr>
        <w:fldChar w:fldCharType="begin"/>
      </w:r>
      <w:r>
        <w:rPr>
          <w:rFonts w:ascii="Times New Roman" w:hAnsi="Times New Roman"/>
          <w:color w:val="auto"/>
          <w:szCs w:val="22"/>
          <w:highlight w:val="none"/>
        </w:rPr>
        <w:instrText xml:space="preserve"> REF _Ref40986681 \h  \* MERGEFORMAT </w:instrText>
      </w:r>
      <w:r>
        <w:rPr>
          <w:rFonts w:ascii="Times New Roman" w:hAnsi="Times New Roman"/>
          <w:color w:val="auto"/>
          <w:szCs w:val="22"/>
          <w:highlight w:val="none"/>
        </w:rPr>
        <w:fldChar w:fldCharType="separate"/>
      </w:r>
      <w:r>
        <w:rPr>
          <w:rFonts w:ascii="Times New Roman" w:hAnsi="Times New Roman"/>
          <w:color w:val="auto"/>
          <w:szCs w:val="22"/>
          <w:highlight w:val="none"/>
        </w:rPr>
        <w:t>表8.2</w:t>
      </w:r>
      <w:r>
        <w:rPr>
          <w:rFonts w:ascii="Times New Roman" w:hAnsi="Times New Roman"/>
          <w:color w:val="auto"/>
          <w:szCs w:val="22"/>
          <w:highlight w:val="none"/>
        </w:rPr>
        <w:noBreakHyphen/>
      </w:r>
      <w:r>
        <w:rPr>
          <w:rFonts w:ascii="Times New Roman" w:hAnsi="Times New Roman"/>
          <w:color w:val="auto"/>
          <w:szCs w:val="22"/>
          <w:highlight w:val="none"/>
        </w:rPr>
        <w:t>1</w:t>
      </w:r>
      <w:r>
        <w:rPr>
          <w:rFonts w:ascii="Times New Roman" w:hAnsi="Times New Roman"/>
          <w:color w:val="auto"/>
          <w:szCs w:val="22"/>
          <w:highlight w:val="none"/>
        </w:rPr>
        <w:fldChar w:fldCharType="end"/>
      </w:r>
      <w:r>
        <w:rPr>
          <w:rFonts w:ascii="Times New Roman" w:hAnsi="Times New Roman"/>
          <w:color w:val="auto"/>
          <w:szCs w:val="22"/>
          <w:highlight w:val="none"/>
        </w:rPr>
        <w:t>。</w:t>
      </w:r>
    </w:p>
    <w:p w14:paraId="61768DE5">
      <w:pPr>
        <w:pStyle w:val="15"/>
        <w:spacing w:line="360" w:lineRule="auto"/>
        <w:ind w:left="-105" w:right="-105" w:firstLine="482"/>
        <w:rPr>
          <w:rFonts w:eastAsia="宋体" w:cs="Times New Roman"/>
          <w:color w:val="auto"/>
          <w:sz w:val="24"/>
          <w:szCs w:val="18"/>
          <w:highlight w:val="none"/>
        </w:rPr>
      </w:pPr>
      <w:bookmarkStart w:id="520" w:name="_Ref40986681"/>
    </w:p>
    <w:p w14:paraId="438C2B45">
      <w:pPr>
        <w:pStyle w:val="15"/>
        <w:spacing w:line="360" w:lineRule="auto"/>
        <w:ind w:left="-105" w:right="-105" w:firstLine="482"/>
        <w:rPr>
          <w:rFonts w:eastAsia="宋体" w:cs="Times New Roman"/>
          <w:bCs/>
          <w:color w:val="auto"/>
          <w:sz w:val="24"/>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8.2</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1</w:t>
      </w:r>
      <w:r>
        <w:rPr>
          <w:rFonts w:eastAsia="宋体" w:cs="Times New Roman"/>
          <w:color w:val="auto"/>
          <w:sz w:val="24"/>
          <w:szCs w:val="18"/>
          <w:highlight w:val="none"/>
        </w:rPr>
        <w:fldChar w:fldCharType="end"/>
      </w:r>
      <w:bookmarkEnd w:id="520"/>
      <w:r>
        <w:rPr>
          <w:rFonts w:eastAsia="宋体" w:cs="Times New Roman"/>
          <w:bCs/>
          <w:color w:val="auto"/>
          <w:sz w:val="24"/>
          <w:highlight w:val="none"/>
        </w:rPr>
        <w:t>项目环保投资估算表</w:t>
      </w:r>
    </w:p>
    <w:tbl>
      <w:tblPr>
        <w:tblStyle w:val="45"/>
        <w:tblW w:w="5000" w:type="pct"/>
        <w:tblInd w:w="10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870"/>
        <w:gridCol w:w="2936"/>
        <w:gridCol w:w="2187"/>
      </w:tblGrid>
      <w:tr w14:paraId="420C1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12" w:space="0"/>
              <w:left w:val="nil"/>
              <w:bottom w:val="single" w:color="auto" w:sz="4" w:space="0"/>
              <w:right w:val="single" w:color="auto" w:sz="4" w:space="0"/>
            </w:tcBorders>
            <w:vAlign w:val="center"/>
          </w:tcPr>
          <w:p w14:paraId="0007A536">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序号</w:t>
            </w:r>
          </w:p>
        </w:tc>
        <w:tc>
          <w:tcPr>
            <w:tcW w:w="5591" w:type="dxa"/>
            <w:gridSpan w:val="2"/>
            <w:tcBorders>
              <w:top w:val="single" w:color="auto" w:sz="12" w:space="0"/>
              <w:left w:val="single" w:color="auto" w:sz="4" w:space="0"/>
              <w:bottom w:val="single" w:color="auto" w:sz="4" w:space="0"/>
              <w:right w:val="single" w:color="auto" w:sz="4" w:space="0"/>
            </w:tcBorders>
            <w:vAlign w:val="center"/>
          </w:tcPr>
          <w:p w14:paraId="6EAE4562">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投资项目</w:t>
            </w:r>
          </w:p>
        </w:tc>
        <w:tc>
          <w:tcPr>
            <w:tcW w:w="2106" w:type="dxa"/>
            <w:tcBorders>
              <w:top w:val="single" w:color="auto" w:sz="12" w:space="0"/>
              <w:left w:val="single" w:color="auto" w:sz="4" w:space="0"/>
              <w:bottom w:val="single" w:color="auto" w:sz="4" w:space="0"/>
              <w:right w:val="nil"/>
            </w:tcBorders>
            <w:vAlign w:val="center"/>
          </w:tcPr>
          <w:p w14:paraId="191F9680">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投资金额（万元）</w:t>
            </w:r>
          </w:p>
        </w:tc>
      </w:tr>
      <w:tr w14:paraId="2E4F1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6DA7E34F">
            <w:pPr>
              <w:pStyle w:val="97"/>
              <w:numPr>
                <w:ilvl w:val="0"/>
                <w:numId w:val="37"/>
              </w:numPr>
              <w:ind w:left="-105" w:right="-105" w:firstLineChars="0"/>
              <w:jc w:val="center"/>
              <w:rPr>
                <w:rFonts w:eastAsia="宋体"/>
                <w:color w:val="auto"/>
                <w:sz w:val="21"/>
                <w:szCs w:val="21"/>
                <w:highlight w:val="none"/>
              </w:rPr>
            </w:pPr>
          </w:p>
        </w:tc>
        <w:tc>
          <w:tcPr>
            <w:tcW w:w="2764" w:type="dxa"/>
            <w:tcBorders>
              <w:top w:val="single" w:color="auto" w:sz="4" w:space="0"/>
              <w:left w:val="single" w:color="auto" w:sz="4" w:space="0"/>
              <w:bottom w:val="single" w:color="auto" w:sz="4" w:space="0"/>
              <w:right w:val="single" w:color="auto" w:sz="4" w:space="0"/>
            </w:tcBorders>
            <w:vAlign w:val="center"/>
          </w:tcPr>
          <w:p w14:paraId="0D1C8E88">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车间工艺废气治理装置</w:t>
            </w:r>
          </w:p>
        </w:tc>
        <w:tc>
          <w:tcPr>
            <w:tcW w:w="2827" w:type="dxa"/>
            <w:tcBorders>
              <w:top w:val="single" w:color="auto" w:sz="4" w:space="0"/>
              <w:left w:val="single" w:color="auto" w:sz="4" w:space="0"/>
              <w:bottom w:val="single" w:color="auto" w:sz="4" w:space="0"/>
              <w:right w:val="single" w:color="auto" w:sz="4" w:space="0"/>
            </w:tcBorders>
            <w:vAlign w:val="center"/>
          </w:tcPr>
          <w:p w14:paraId="17CCFD59">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废气处理装置</w:t>
            </w:r>
            <w:r>
              <w:rPr>
                <w:rFonts w:hint="eastAsia" w:ascii="Times New Roman" w:hAnsi="Times New Roman" w:cs="Times New Roman"/>
                <w:color w:val="auto"/>
                <w:sz w:val="21"/>
                <w:szCs w:val="21"/>
                <w:highlight w:val="none"/>
              </w:rPr>
              <w:t>：管道</w:t>
            </w:r>
            <w:r>
              <w:rPr>
                <w:rFonts w:ascii="Times New Roman" w:hAnsi="Times New Roman" w:cs="Times New Roman"/>
                <w:color w:val="auto"/>
                <w:sz w:val="21"/>
                <w:szCs w:val="21"/>
                <w:highlight w:val="none"/>
              </w:rPr>
              <w:t>等</w:t>
            </w:r>
          </w:p>
        </w:tc>
        <w:tc>
          <w:tcPr>
            <w:tcW w:w="2106" w:type="dxa"/>
            <w:tcBorders>
              <w:top w:val="single" w:color="auto" w:sz="4" w:space="0"/>
              <w:left w:val="single" w:color="auto" w:sz="4" w:space="0"/>
              <w:bottom w:val="single" w:color="auto" w:sz="4" w:space="0"/>
              <w:right w:val="nil"/>
            </w:tcBorders>
            <w:vAlign w:val="center"/>
          </w:tcPr>
          <w:p w14:paraId="683F39DD">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r w14:paraId="20439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55BCFBCE">
            <w:pPr>
              <w:pStyle w:val="97"/>
              <w:numPr>
                <w:ilvl w:val="0"/>
                <w:numId w:val="37"/>
              </w:numPr>
              <w:ind w:left="-105" w:right="-105" w:firstLineChars="0"/>
              <w:jc w:val="center"/>
              <w:rPr>
                <w:rFonts w:eastAsia="宋体"/>
                <w:color w:val="auto"/>
                <w:sz w:val="21"/>
                <w:szCs w:val="21"/>
                <w:highlight w:val="none"/>
              </w:rPr>
            </w:pPr>
          </w:p>
        </w:tc>
        <w:tc>
          <w:tcPr>
            <w:tcW w:w="2764" w:type="dxa"/>
            <w:tcBorders>
              <w:top w:val="single" w:color="auto" w:sz="4" w:space="0"/>
              <w:left w:val="single" w:color="auto" w:sz="4" w:space="0"/>
              <w:bottom w:val="single" w:color="auto" w:sz="4" w:space="0"/>
              <w:right w:val="single" w:color="auto" w:sz="4" w:space="0"/>
            </w:tcBorders>
            <w:vAlign w:val="center"/>
          </w:tcPr>
          <w:p w14:paraId="0C59939E">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废水处理系统</w:t>
            </w:r>
          </w:p>
        </w:tc>
        <w:tc>
          <w:tcPr>
            <w:tcW w:w="2827" w:type="dxa"/>
            <w:tcBorders>
              <w:top w:val="single" w:color="auto" w:sz="4" w:space="0"/>
              <w:left w:val="single" w:color="auto" w:sz="4" w:space="0"/>
              <w:bottom w:val="single" w:color="auto" w:sz="4" w:space="0"/>
              <w:right w:val="single" w:color="auto" w:sz="4" w:space="0"/>
            </w:tcBorders>
            <w:vAlign w:val="center"/>
          </w:tcPr>
          <w:p w14:paraId="5060A3B1">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106" w:type="dxa"/>
            <w:tcBorders>
              <w:top w:val="single" w:color="auto" w:sz="4" w:space="0"/>
              <w:left w:val="single" w:color="auto" w:sz="4" w:space="0"/>
              <w:bottom w:val="single" w:color="auto" w:sz="4" w:space="0"/>
              <w:right w:val="nil"/>
            </w:tcBorders>
            <w:vAlign w:val="center"/>
          </w:tcPr>
          <w:p w14:paraId="15D6E2B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BCAB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7DA3CD54">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66893706">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设置减震、隔声、消音等噪声防治装置</w:t>
            </w:r>
          </w:p>
        </w:tc>
        <w:tc>
          <w:tcPr>
            <w:tcW w:w="2106" w:type="dxa"/>
            <w:tcBorders>
              <w:top w:val="single" w:color="auto" w:sz="4" w:space="0"/>
              <w:left w:val="single" w:color="auto" w:sz="4" w:space="0"/>
              <w:bottom w:val="single" w:color="auto" w:sz="4" w:space="0"/>
              <w:right w:val="nil"/>
            </w:tcBorders>
            <w:vAlign w:val="center"/>
          </w:tcPr>
          <w:p w14:paraId="24584679">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22F5F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1610F9BC">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4A8B364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雨、污水管网</w:t>
            </w:r>
          </w:p>
        </w:tc>
        <w:tc>
          <w:tcPr>
            <w:tcW w:w="2106" w:type="dxa"/>
            <w:tcBorders>
              <w:top w:val="single" w:color="auto" w:sz="4" w:space="0"/>
              <w:left w:val="single" w:color="auto" w:sz="4" w:space="0"/>
              <w:bottom w:val="single" w:color="auto" w:sz="4" w:space="0"/>
              <w:right w:val="nil"/>
            </w:tcBorders>
            <w:vAlign w:val="center"/>
          </w:tcPr>
          <w:p w14:paraId="0CEF503D">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7C044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40B7859A">
            <w:pPr>
              <w:pStyle w:val="97"/>
              <w:numPr>
                <w:ilvl w:val="0"/>
                <w:numId w:val="37"/>
              </w:numPr>
              <w:ind w:left="-105" w:right="-105" w:firstLineChars="0"/>
              <w:jc w:val="center"/>
              <w:rPr>
                <w:rFonts w:eastAsia="宋体"/>
                <w:color w:val="auto"/>
                <w:sz w:val="21"/>
                <w:szCs w:val="21"/>
                <w:highlight w:val="none"/>
              </w:rPr>
            </w:pPr>
          </w:p>
        </w:tc>
        <w:tc>
          <w:tcPr>
            <w:tcW w:w="2764" w:type="dxa"/>
            <w:tcBorders>
              <w:top w:val="single" w:color="auto" w:sz="4" w:space="0"/>
              <w:left w:val="single" w:color="auto" w:sz="4" w:space="0"/>
              <w:bottom w:val="single" w:color="auto" w:sz="4" w:space="0"/>
              <w:right w:val="single" w:color="auto" w:sz="4" w:space="0"/>
            </w:tcBorders>
            <w:vAlign w:val="center"/>
          </w:tcPr>
          <w:p w14:paraId="1098144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危险化学品贮存设施</w:t>
            </w:r>
          </w:p>
        </w:tc>
        <w:tc>
          <w:tcPr>
            <w:tcW w:w="2827" w:type="dxa"/>
            <w:tcBorders>
              <w:top w:val="single" w:color="auto" w:sz="4" w:space="0"/>
              <w:left w:val="single" w:color="auto" w:sz="4" w:space="0"/>
              <w:bottom w:val="single" w:color="auto" w:sz="4" w:space="0"/>
              <w:right w:val="single" w:color="auto" w:sz="4" w:space="0"/>
            </w:tcBorders>
            <w:vAlign w:val="center"/>
          </w:tcPr>
          <w:p w14:paraId="77F0F48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106" w:type="dxa"/>
            <w:vMerge w:val="restart"/>
            <w:tcBorders>
              <w:top w:val="single" w:color="auto" w:sz="4" w:space="0"/>
              <w:left w:val="single" w:color="auto" w:sz="4" w:space="0"/>
              <w:right w:val="nil"/>
            </w:tcBorders>
            <w:vAlign w:val="center"/>
          </w:tcPr>
          <w:p w14:paraId="37481C86">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B561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23D721B3">
            <w:pPr>
              <w:pStyle w:val="97"/>
              <w:numPr>
                <w:ilvl w:val="0"/>
                <w:numId w:val="37"/>
              </w:numPr>
              <w:ind w:left="-105" w:right="-105" w:firstLineChars="0"/>
              <w:jc w:val="center"/>
              <w:rPr>
                <w:rFonts w:eastAsia="宋体"/>
                <w:color w:val="auto"/>
                <w:sz w:val="21"/>
                <w:szCs w:val="21"/>
                <w:highlight w:val="none"/>
              </w:rPr>
            </w:pPr>
          </w:p>
        </w:tc>
        <w:tc>
          <w:tcPr>
            <w:tcW w:w="2764" w:type="dxa"/>
            <w:tcBorders>
              <w:top w:val="single" w:color="auto" w:sz="4" w:space="0"/>
              <w:left w:val="single" w:color="auto" w:sz="4" w:space="0"/>
              <w:bottom w:val="single" w:color="auto" w:sz="4" w:space="0"/>
              <w:right w:val="single" w:color="auto" w:sz="4" w:space="0"/>
            </w:tcBorders>
            <w:vAlign w:val="center"/>
          </w:tcPr>
          <w:p w14:paraId="7E42FC3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固废废物贮存设施</w:t>
            </w:r>
          </w:p>
        </w:tc>
        <w:tc>
          <w:tcPr>
            <w:tcW w:w="2827" w:type="dxa"/>
            <w:tcBorders>
              <w:top w:val="single" w:color="auto" w:sz="4" w:space="0"/>
              <w:left w:val="single" w:color="auto" w:sz="4" w:space="0"/>
              <w:bottom w:val="single" w:color="auto" w:sz="4" w:space="0"/>
              <w:right w:val="single" w:color="auto" w:sz="4" w:space="0"/>
            </w:tcBorders>
            <w:vAlign w:val="center"/>
          </w:tcPr>
          <w:p w14:paraId="1F191EEB">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2106" w:type="dxa"/>
            <w:vMerge w:val="continue"/>
            <w:tcBorders>
              <w:left w:val="single" w:color="auto" w:sz="4" w:space="0"/>
              <w:bottom w:val="single" w:color="auto" w:sz="4" w:space="0"/>
              <w:right w:val="nil"/>
            </w:tcBorders>
            <w:vAlign w:val="center"/>
          </w:tcPr>
          <w:p w14:paraId="445A5A69">
            <w:pPr>
              <w:ind w:left="-105" w:right="-105"/>
              <w:jc w:val="center"/>
              <w:rPr>
                <w:rFonts w:ascii="Times New Roman" w:hAnsi="Times New Roman" w:cs="Times New Roman"/>
                <w:color w:val="auto"/>
                <w:sz w:val="21"/>
                <w:szCs w:val="21"/>
                <w:highlight w:val="none"/>
              </w:rPr>
            </w:pPr>
          </w:p>
        </w:tc>
      </w:tr>
      <w:tr w14:paraId="1A237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28373878">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362AC6EA">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环境风险应急措施</w:t>
            </w:r>
          </w:p>
        </w:tc>
        <w:tc>
          <w:tcPr>
            <w:tcW w:w="2106" w:type="dxa"/>
            <w:tcBorders>
              <w:left w:val="single" w:color="auto" w:sz="4" w:space="0"/>
              <w:bottom w:val="single" w:color="auto" w:sz="4" w:space="0"/>
              <w:right w:val="nil"/>
            </w:tcBorders>
            <w:vAlign w:val="center"/>
          </w:tcPr>
          <w:p w14:paraId="74B43D9C">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52E66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46912EF4">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1AE2EA64">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日常检测费</w:t>
            </w:r>
          </w:p>
        </w:tc>
        <w:tc>
          <w:tcPr>
            <w:tcW w:w="2106" w:type="dxa"/>
            <w:tcBorders>
              <w:top w:val="single" w:color="auto" w:sz="4" w:space="0"/>
              <w:left w:val="single" w:color="auto" w:sz="4" w:space="0"/>
              <w:bottom w:val="single" w:color="auto" w:sz="4" w:space="0"/>
              <w:right w:val="nil"/>
            </w:tcBorders>
            <w:vAlign w:val="center"/>
          </w:tcPr>
          <w:p w14:paraId="26910E0E">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0573C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2C75D578">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24246E9F">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环保投资合计</w:t>
            </w:r>
          </w:p>
        </w:tc>
        <w:tc>
          <w:tcPr>
            <w:tcW w:w="2106" w:type="dxa"/>
            <w:tcBorders>
              <w:top w:val="single" w:color="auto" w:sz="4" w:space="0"/>
              <w:left w:val="single" w:color="auto" w:sz="4" w:space="0"/>
              <w:bottom w:val="single" w:color="auto" w:sz="4" w:space="0"/>
              <w:right w:val="nil"/>
            </w:tcBorders>
            <w:vAlign w:val="center"/>
          </w:tcPr>
          <w:p w14:paraId="30512E7A">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r w14:paraId="30793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4" w:space="0"/>
              <w:right w:val="single" w:color="auto" w:sz="4" w:space="0"/>
            </w:tcBorders>
            <w:vAlign w:val="center"/>
          </w:tcPr>
          <w:p w14:paraId="292D617F">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4" w:space="0"/>
              <w:right w:val="single" w:color="auto" w:sz="4" w:space="0"/>
            </w:tcBorders>
            <w:vAlign w:val="center"/>
          </w:tcPr>
          <w:p w14:paraId="3091F347">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总投资</w:t>
            </w:r>
          </w:p>
        </w:tc>
        <w:tc>
          <w:tcPr>
            <w:tcW w:w="2106" w:type="dxa"/>
            <w:tcBorders>
              <w:top w:val="single" w:color="auto" w:sz="4" w:space="0"/>
              <w:left w:val="single" w:color="auto" w:sz="4" w:space="0"/>
              <w:bottom w:val="single" w:color="auto" w:sz="4" w:space="0"/>
              <w:right w:val="nil"/>
            </w:tcBorders>
            <w:vAlign w:val="center"/>
          </w:tcPr>
          <w:p w14:paraId="25EE0433">
            <w:pPr>
              <w:ind w:left="-105" w:right="-105"/>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000</w:t>
            </w:r>
          </w:p>
        </w:tc>
      </w:tr>
      <w:tr w14:paraId="6B30D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tcBorders>
              <w:top w:val="single" w:color="auto" w:sz="4" w:space="0"/>
              <w:left w:val="nil"/>
              <w:bottom w:val="single" w:color="auto" w:sz="12" w:space="0"/>
              <w:right w:val="single" w:color="auto" w:sz="4" w:space="0"/>
            </w:tcBorders>
            <w:vAlign w:val="center"/>
          </w:tcPr>
          <w:p w14:paraId="31314B57">
            <w:pPr>
              <w:pStyle w:val="97"/>
              <w:numPr>
                <w:ilvl w:val="0"/>
                <w:numId w:val="37"/>
              </w:numPr>
              <w:ind w:left="-105" w:right="-105" w:firstLineChars="0"/>
              <w:jc w:val="center"/>
              <w:rPr>
                <w:rFonts w:eastAsia="宋体"/>
                <w:color w:val="auto"/>
                <w:sz w:val="21"/>
                <w:szCs w:val="21"/>
                <w:highlight w:val="none"/>
              </w:rPr>
            </w:pPr>
          </w:p>
        </w:tc>
        <w:tc>
          <w:tcPr>
            <w:tcW w:w="5591" w:type="dxa"/>
            <w:gridSpan w:val="2"/>
            <w:tcBorders>
              <w:top w:val="single" w:color="auto" w:sz="4" w:space="0"/>
              <w:left w:val="single" w:color="auto" w:sz="4" w:space="0"/>
              <w:bottom w:val="single" w:color="auto" w:sz="12" w:space="0"/>
              <w:right w:val="single" w:color="auto" w:sz="4" w:space="0"/>
            </w:tcBorders>
            <w:vAlign w:val="center"/>
          </w:tcPr>
          <w:p w14:paraId="2D469031">
            <w:pPr>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占比例（%）</w:t>
            </w:r>
          </w:p>
        </w:tc>
        <w:tc>
          <w:tcPr>
            <w:tcW w:w="2106" w:type="dxa"/>
            <w:tcBorders>
              <w:top w:val="single" w:color="auto" w:sz="4" w:space="0"/>
              <w:left w:val="single" w:color="auto" w:sz="4" w:space="0"/>
              <w:bottom w:val="single" w:color="auto" w:sz="12" w:space="0"/>
              <w:right w:val="nil"/>
            </w:tcBorders>
            <w:vAlign w:val="center"/>
          </w:tcPr>
          <w:p w14:paraId="31DF640A">
            <w:pPr>
              <w:ind w:left="-105" w:right="-105"/>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bl>
    <w:p w14:paraId="2A7EBD77">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由表可见，</w:t>
      </w:r>
      <w:r>
        <w:rPr>
          <w:rFonts w:hint="eastAsia" w:ascii="Times New Roman" w:hAnsi="Times New Roman"/>
          <w:color w:val="auto"/>
          <w:szCs w:val="22"/>
          <w:highlight w:val="none"/>
        </w:rPr>
        <w:t>本</w:t>
      </w:r>
      <w:r>
        <w:rPr>
          <w:rFonts w:ascii="Times New Roman" w:hAnsi="Times New Roman"/>
          <w:color w:val="auto"/>
          <w:szCs w:val="22"/>
          <w:highlight w:val="none"/>
        </w:rPr>
        <w:t>项目总投资为</w:t>
      </w:r>
      <w:r>
        <w:rPr>
          <w:rFonts w:hint="eastAsia" w:ascii="Times New Roman" w:hAnsi="Times New Roman"/>
          <w:color w:val="auto"/>
          <w:szCs w:val="22"/>
          <w:highlight w:val="none"/>
        </w:rPr>
        <w:t>1000</w:t>
      </w:r>
      <w:r>
        <w:rPr>
          <w:rFonts w:ascii="Times New Roman" w:hAnsi="Times New Roman"/>
          <w:color w:val="auto"/>
          <w:szCs w:val="22"/>
          <w:highlight w:val="none"/>
        </w:rPr>
        <w:t>万元，其中环保投资</w:t>
      </w:r>
      <w:r>
        <w:rPr>
          <w:rFonts w:hint="eastAsia" w:ascii="Times New Roman" w:hAnsi="Times New Roman"/>
          <w:color w:val="auto"/>
          <w:szCs w:val="22"/>
          <w:highlight w:val="none"/>
          <w:lang w:val="en-US" w:eastAsia="zh-CN"/>
        </w:rPr>
        <w:t>15</w:t>
      </w:r>
      <w:r>
        <w:rPr>
          <w:rFonts w:ascii="Times New Roman" w:hAnsi="Times New Roman"/>
          <w:color w:val="auto"/>
          <w:szCs w:val="22"/>
          <w:highlight w:val="none"/>
        </w:rPr>
        <w:t>万元，环保投资占总投资的比例为</w:t>
      </w:r>
      <w:r>
        <w:rPr>
          <w:rFonts w:hint="eastAsia" w:ascii="Times New Roman" w:hAnsi="Times New Roman"/>
          <w:color w:val="auto"/>
          <w:szCs w:val="22"/>
          <w:highlight w:val="none"/>
          <w:lang w:val="en-US" w:eastAsia="zh-CN"/>
        </w:rPr>
        <w:t>1.5</w:t>
      </w:r>
      <w:r>
        <w:rPr>
          <w:rFonts w:ascii="Times New Roman" w:hAnsi="Times New Roman"/>
          <w:color w:val="auto"/>
          <w:szCs w:val="22"/>
          <w:highlight w:val="none"/>
        </w:rPr>
        <w:t>%。通过一系列环保投资建</w:t>
      </w:r>
      <w:r>
        <w:rPr>
          <w:rFonts w:ascii="Times New Roman" w:hAnsi="Times New Roman"/>
          <w:color w:val="auto"/>
          <w:szCs w:val="22"/>
          <w:highlight w:val="none"/>
        </w:rPr>
        <w:t>设，加强了工程的硬件设施，全面控制了项目的产污和排污，有效地防止了周围环境污染和影响，也达到保设施与主体工程同时设计、同时施工、同时投产使用的要求，应该说投资比例比较适宜。</w:t>
      </w:r>
    </w:p>
    <w:p w14:paraId="5A70C87C">
      <w:pPr>
        <w:pStyle w:val="5"/>
        <w:keepLines w:val="0"/>
        <w:numPr>
          <w:ilvl w:val="0"/>
          <w:numId w:val="0"/>
        </w:numPr>
        <w:tabs>
          <w:tab w:val="left" w:pos="-567"/>
          <w:tab w:val="left" w:pos="567"/>
          <w:tab w:val="left" w:pos="709"/>
        </w:tabs>
        <w:spacing w:before="120" w:beforeLines="50" w:after="0" w:line="360" w:lineRule="auto"/>
        <w:ind w:left="420" w:right="-105" w:hanging="420"/>
        <w:rPr>
          <w:rFonts w:eastAsia="宋体"/>
          <w:color w:val="auto"/>
          <w:sz w:val="28"/>
          <w:szCs w:val="28"/>
          <w:highlight w:val="none"/>
        </w:rPr>
      </w:pPr>
      <w:bookmarkStart w:id="521" w:name="_Toc60653612"/>
      <w:r>
        <w:rPr>
          <w:rFonts w:eastAsia="宋体"/>
          <w:color w:val="auto"/>
          <w:sz w:val="28"/>
          <w:szCs w:val="28"/>
          <w:highlight w:val="none"/>
        </w:rPr>
        <w:t>8.2.2环境损益分析</w:t>
      </w:r>
      <w:bookmarkEnd w:id="521"/>
    </w:p>
    <w:p w14:paraId="5A4F49B6">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该项目拟投资建设的各项污染治理措施能有效地削减污染物排放量，可将其环境影响降至较低水平，具有较好的环境效益。同时，企业的污染防治不仅是投资污染防治设施，更重要的是培养员工的环境保护意识，做好危废处置、资源回收等工作。在生产工艺上，采用清洁生产工艺，从源头预防污染产生，并做好污染的末端处理。</w:t>
      </w:r>
    </w:p>
    <w:p w14:paraId="2E20D54F">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本项目生产废水零排放，</w:t>
      </w:r>
      <w:r>
        <w:rPr>
          <w:rFonts w:hint="eastAsia" w:ascii="Times New Roman" w:hAnsi="Times New Roman"/>
          <w:color w:val="auto"/>
          <w:szCs w:val="22"/>
          <w:highlight w:val="none"/>
        </w:rPr>
        <w:t>生活污水经化粪池预处理后与15分钟初期雨水一起进入经无锡先进化药化工有限公司处理达标后接入无锡市锡山云林污水处理有限公司</w:t>
      </w:r>
      <w:r>
        <w:rPr>
          <w:rFonts w:ascii="Times New Roman" w:hAnsi="Times New Roman"/>
          <w:color w:val="auto"/>
          <w:szCs w:val="22"/>
          <w:highlight w:val="none"/>
        </w:rPr>
        <w:t>；并采取了较为完善可靠的废气治理措施，经严格采取废气处理措施后，废气对环境的影响、对敏感目标的影响可控；本项目固体废物全部得到妥善处置，实现零排放。上述各项措施可使排入周围环境的污染物大大降低，具有明显的环境效益。</w:t>
      </w:r>
    </w:p>
    <w:p w14:paraId="3E23C015">
      <w:pPr>
        <w:pStyle w:val="4"/>
        <w:numPr>
          <w:ilvl w:val="1"/>
          <w:numId w:val="0"/>
        </w:numPr>
        <w:tabs>
          <w:tab w:val="left" w:pos="426"/>
        </w:tabs>
        <w:spacing w:before="120" w:beforeLines="50" w:line="360" w:lineRule="auto"/>
        <w:ind w:right="-105"/>
        <w:rPr>
          <w:rFonts w:ascii="Times New Roman" w:eastAsia="宋体"/>
          <w:color w:val="auto"/>
          <w:sz w:val="28"/>
          <w:szCs w:val="28"/>
          <w:highlight w:val="none"/>
        </w:rPr>
      </w:pPr>
      <w:bookmarkStart w:id="522" w:name="_Toc23654"/>
      <w:bookmarkStart w:id="523" w:name="_Toc60653613"/>
      <w:r>
        <w:rPr>
          <w:rFonts w:hint="eastAsia" w:ascii="Times New Roman" w:eastAsia="宋体"/>
          <w:color w:val="auto"/>
          <w:sz w:val="28"/>
          <w:szCs w:val="28"/>
          <w:highlight w:val="none"/>
        </w:rPr>
        <w:t>8.3社会效益</w:t>
      </w:r>
      <w:bookmarkEnd w:id="522"/>
      <w:bookmarkEnd w:id="523"/>
    </w:p>
    <w:p w14:paraId="6B1123FE">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项目的建设为周围农民群众创造多个产业工人就业机会，客观上促进了农村剩余劳动力就业，提升了其技术水平，加快了农民向产业工人转化的进程。项目通过吸收附近居民从事工业化社会生产，提高了居民收入，改善了人民生活，同时也起到了促进就业，维护社会稳定的作用。项目建成后，该区域将由农村自然经济社会逐步向工业转变，相应的社会生活环境也必将随之发生深刻的变化，参与相关产业就业的劳动收入成为农村主要经济来源之一等。</w:t>
      </w:r>
    </w:p>
    <w:p w14:paraId="4BE6CB22">
      <w:pPr>
        <w:spacing w:line="360" w:lineRule="auto"/>
        <w:ind w:left="-105" w:right="-105" w:firstLine="480" w:firstLineChars="200"/>
        <w:rPr>
          <w:rFonts w:ascii="Times New Roman" w:hAnsi="Times New Roman"/>
          <w:color w:val="auto"/>
          <w:szCs w:val="22"/>
          <w:highlight w:val="none"/>
        </w:rPr>
      </w:pPr>
    </w:p>
    <w:p w14:paraId="63FD1D3F">
      <w:pPr>
        <w:spacing w:line="360" w:lineRule="auto"/>
        <w:ind w:left="-105" w:right="-105" w:firstLine="480" w:firstLineChars="200"/>
        <w:rPr>
          <w:rFonts w:ascii="Times New Roman" w:hAnsi="Times New Roman"/>
          <w:color w:val="auto"/>
          <w:highlight w:val="none"/>
        </w:rPr>
        <w:sectPr>
          <w:headerReference r:id="rId27" w:type="default"/>
          <w:headerReference r:id="rId28"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p>
    <w:p w14:paraId="4B6A8CCB">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524" w:name="_Toc60653614"/>
      <w:bookmarkStart w:id="525" w:name="_Toc173"/>
      <w:bookmarkStart w:id="526" w:name="_Toc11075"/>
      <w:r>
        <w:rPr>
          <w:rFonts w:hint="eastAsia" w:ascii="Times New Roman" w:eastAsia="宋体"/>
          <w:color w:val="auto"/>
          <w:sz w:val="32"/>
          <w:szCs w:val="32"/>
          <w:highlight w:val="none"/>
        </w:rPr>
        <w:t>环境管理与环境监测</w:t>
      </w:r>
      <w:bookmarkEnd w:id="524"/>
      <w:bookmarkEnd w:id="525"/>
      <w:bookmarkEnd w:id="526"/>
    </w:p>
    <w:p w14:paraId="3B6391DF">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环境保护是一项基本国策，环境管理也应该是企业管理工作的重要组成部分。加强环境管理工作，配备专业环保技术人员，准确、及时地对项目运行过程中产生的污染情况进行监测，对控制和防治环境污染，节约资源，促进可持续发展，提高经济和环境效益具有重要意义。对于扩建项目而言，加强环境管理工作的有效途径是设立专门机构，落实岗位职责，制定环境管理和监测计划，配备环境监测仪器设备，对项目的产污和排污情况进行监控。</w:t>
      </w:r>
    </w:p>
    <w:p w14:paraId="3C9A68D5">
      <w:pPr>
        <w:pStyle w:val="4"/>
        <w:numPr>
          <w:ilvl w:val="1"/>
          <w:numId w:val="0"/>
        </w:numPr>
        <w:tabs>
          <w:tab w:val="left" w:pos="360"/>
          <w:tab w:val="left" w:pos="426"/>
        </w:tabs>
        <w:spacing w:before="120" w:beforeLines="50" w:line="360" w:lineRule="auto"/>
        <w:ind w:right="-105"/>
        <w:rPr>
          <w:rFonts w:ascii="Times New Roman" w:eastAsia="宋体"/>
          <w:color w:val="auto"/>
          <w:sz w:val="28"/>
          <w:szCs w:val="28"/>
          <w:highlight w:val="none"/>
        </w:rPr>
      </w:pPr>
      <w:bookmarkStart w:id="527" w:name="_Toc60653615"/>
      <w:bookmarkStart w:id="528" w:name="_Toc25296"/>
      <w:bookmarkStart w:id="529" w:name="_Toc1302"/>
      <w:r>
        <w:rPr>
          <w:rFonts w:hint="eastAsia" w:ascii="Times New Roman" w:eastAsia="宋体"/>
          <w:color w:val="auto"/>
          <w:sz w:val="28"/>
          <w:szCs w:val="28"/>
          <w:highlight w:val="none"/>
        </w:rPr>
        <w:t>9.1</w:t>
      </w:r>
      <w:r>
        <w:rPr>
          <w:rFonts w:ascii="Times New Roman" w:eastAsia="宋体"/>
          <w:color w:val="auto"/>
          <w:sz w:val="28"/>
          <w:szCs w:val="28"/>
          <w:highlight w:val="none"/>
        </w:rPr>
        <w:t>污染物排放清单及总量控制</w:t>
      </w:r>
      <w:bookmarkEnd w:id="527"/>
      <w:bookmarkEnd w:id="528"/>
    </w:p>
    <w:p w14:paraId="7699FF85">
      <w:pPr>
        <w:pStyle w:val="5"/>
        <w:keepLines w:val="0"/>
        <w:numPr>
          <w:ilvl w:val="2"/>
          <w:numId w:val="0"/>
        </w:numPr>
        <w:tabs>
          <w:tab w:val="left" w:pos="567"/>
          <w:tab w:val="left" w:pos="709"/>
        </w:tabs>
        <w:spacing w:before="120" w:beforeLines="50" w:after="0" w:line="360" w:lineRule="auto"/>
        <w:ind w:right="-105"/>
        <w:rPr>
          <w:rFonts w:eastAsia="宋体"/>
          <w:color w:val="auto"/>
          <w:sz w:val="28"/>
          <w:szCs w:val="28"/>
          <w:highlight w:val="none"/>
        </w:rPr>
      </w:pPr>
      <w:bookmarkStart w:id="530" w:name="_Toc60653616"/>
      <w:r>
        <w:rPr>
          <w:rFonts w:hint="eastAsia" w:eastAsia="宋体"/>
          <w:color w:val="auto"/>
          <w:sz w:val="28"/>
          <w:szCs w:val="28"/>
          <w:highlight w:val="none"/>
        </w:rPr>
        <w:t>9.1.1</w:t>
      </w:r>
      <w:r>
        <w:rPr>
          <w:rFonts w:eastAsia="宋体"/>
          <w:color w:val="auto"/>
          <w:sz w:val="28"/>
          <w:szCs w:val="28"/>
          <w:highlight w:val="none"/>
        </w:rPr>
        <w:t>污染物排放清单</w:t>
      </w:r>
      <w:bookmarkEnd w:id="530"/>
    </w:p>
    <w:p w14:paraId="1C09D9C1">
      <w:pPr>
        <w:spacing w:line="360" w:lineRule="auto"/>
        <w:ind w:left="-105" w:right="-105" w:firstLine="480" w:firstLineChars="200"/>
        <w:rPr>
          <w:rFonts w:ascii="Times New Roman" w:hAnsi="Times New Roman"/>
          <w:color w:val="auto"/>
          <w:szCs w:val="22"/>
          <w:highlight w:val="none"/>
        </w:rPr>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r>
        <w:rPr>
          <w:rFonts w:ascii="Times New Roman" w:hAnsi="Times New Roman" w:cs="Times New Roman"/>
          <w:color w:val="auto"/>
          <w:highlight w:val="none"/>
        </w:rPr>
        <w:t>建项目生产运行阶段产生的主要污染物来源为工艺废气、本项目产生固体废物和相关设备噪声等。本项目生产过程中原辅材料必须选择无毒或微毒物质，从而从源头上控制污染物的产生。同时建设单位应按申报的工程组成和原辅材料组分要求进行生产，严格落实各项环境保护措施、环境风险防范措施和环境监测，减少污染物的排放量，应严格执行</w:t>
      </w:r>
      <w:r>
        <w:rPr>
          <w:rFonts w:hint="eastAsia" w:ascii="Times New Roman" w:hAnsi="Times New Roman" w:cs="Times New Roman"/>
          <w:color w:val="auto"/>
          <w:highlight w:val="none"/>
        </w:rPr>
        <w:t>“</w:t>
      </w:r>
      <w:r>
        <w:rPr>
          <w:rFonts w:ascii="Times New Roman" w:hAnsi="Times New Roman" w:cs="Times New Roman"/>
          <w:color w:val="auto"/>
          <w:highlight w:val="none"/>
        </w:rPr>
        <w:t>三同时</w:t>
      </w:r>
      <w:r>
        <w:rPr>
          <w:rFonts w:hint="eastAsia" w:ascii="Times New Roman" w:hAnsi="Times New Roman" w:cs="Times New Roman"/>
          <w:color w:val="auto"/>
          <w:highlight w:val="none"/>
        </w:rPr>
        <w:t>”</w:t>
      </w:r>
      <w:r>
        <w:rPr>
          <w:rFonts w:ascii="Times New Roman" w:hAnsi="Times New Roman" w:cs="Times New Roman"/>
          <w:color w:val="auto"/>
          <w:highlight w:val="none"/>
        </w:rPr>
        <w:t>制度，确保各环境保护措施能够和生产工艺“同时设计、同时施工、同时投产使用”。在此基础上，通过本项目工程分析，</w:t>
      </w:r>
      <w:r>
        <w:rPr>
          <w:rFonts w:ascii="Times New Roman" w:hAnsi="Times New Roman" w:cs="Times New Roman"/>
          <w:color w:val="auto"/>
          <w:szCs w:val="22"/>
          <w:highlight w:val="none"/>
        </w:rPr>
        <w:t>本项目实施后污染物排放清单及排放管理要求如下表</w:t>
      </w:r>
      <w:r>
        <w:rPr>
          <w:rFonts w:hint="eastAsia" w:ascii="Times New Roman" w:hAnsi="Times New Roman"/>
          <w:color w:val="auto"/>
          <w:szCs w:val="22"/>
          <w:highlight w:val="none"/>
        </w:rPr>
        <w:t>。</w:t>
      </w:r>
    </w:p>
    <w:p w14:paraId="10D07BC2">
      <w:pPr>
        <w:pStyle w:val="15"/>
        <w:ind w:left="-105" w:right="-105" w:firstLine="482"/>
        <w:rPr>
          <w:rFonts w:cs="Times New Roman"/>
          <w:color w:val="auto"/>
          <w:sz w:val="32"/>
          <w:szCs w:val="21"/>
          <w:highlight w:val="none"/>
        </w:rPr>
      </w:pPr>
      <w:r>
        <w:rPr>
          <w:rFonts w:eastAsia="宋体" w:cs="Times New Roman"/>
          <w:color w:val="auto"/>
          <w:sz w:val="24"/>
          <w:szCs w:val="24"/>
          <w:highlight w:val="none"/>
          <w:lang w:val="zh-CN" w:bidi="zh-CN"/>
        </w:rPr>
        <w:t>表</w:t>
      </w:r>
      <w:r>
        <w:rPr>
          <w:rFonts w:eastAsia="宋体" w:cs="Times New Roman"/>
          <w:color w:val="auto"/>
          <w:sz w:val="24"/>
          <w:szCs w:val="24"/>
          <w:highlight w:val="none"/>
          <w:lang w:val="zh-CN" w:bidi="zh-CN"/>
        </w:rPr>
        <w:fldChar w:fldCharType="begin"/>
      </w:r>
      <w:r>
        <w:rPr>
          <w:rFonts w:eastAsia="宋体" w:cs="Times New Roman"/>
          <w:color w:val="auto"/>
          <w:sz w:val="24"/>
          <w:szCs w:val="24"/>
          <w:highlight w:val="none"/>
          <w:lang w:val="zh-CN" w:bidi="zh-CN"/>
        </w:rPr>
        <w:instrText xml:space="preserve"> STYLEREF 2 \s </w:instrText>
      </w:r>
      <w:r>
        <w:rPr>
          <w:rFonts w:eastAsia="宋体" w:cs="Times New Roman"/>
          <w:color w:val="auto"/>
          <w:sz w:val="24"/>
          <w:szCs w:val="24"/>
          <w:highlight w:val="none"/>
          <w:lang w:val="zh-CN" w:bidi="zh-CN"/>
        </w:rPr>
        <w:fldChar w:fldCharType="separate"/>
      </w:r>
      <w:r>
        <w:rPr>
          <w:rFonts w:eastAsia="宋体" w:cs="Times New Roman"/>
          <w:color w:val="auto"/>
          <w:sz w:val="24"/>
          <w:szCs w:val="24"/>
          <w:highlight w:val="none"/>
          <w:lang w:val="zh-CN" w:bidi="zh-CN"/>
        </w:rPr>
        <w:t>9.1</w:t>
      </w:r>
      <w:r>
        <w:rPr>
          <w:rFonts w:eastAsia="宋体" w:cs="Times New Roman"/>
          <w:color w:val="auto"/>
          <w:sz w:val="24"/>
          <w:szCs w:val="24"/>
          <w:highlight w:val="none"/>
          <w:lang w:val="zh-CN" w:bidi="zh-CN"/>
        </w:rPr>
        <w:fldChar w:fldCharType="end"/>
      </w:r>
      <w:r>
        <w:rPr>
          <w:rFonts w:eastAsia="宋体" w:cs="Times New Roman"/>
          <w:color w:val="auto"/>
          <w:sz w:val="24"/>
          <w:szCs w:val="24"/>
          <w:highlight w:val="none"/>
          <w:lang w:val="zh-CN" w:bidi="zh-CN"/>
        </w:rPr>
        <w:noBreakHyphen/>
      </w:r>
      <w:r>
        <w:rPr>
          <w:rFonts w:eastAsia="宋体" w:cs="Times New Roman"/>
          <w:color w:val="auto"/>
          <w:sz w:val="24"/>
          <w:szCs w:val="24"/>
          <w:highlight w:val="none"/>
          <w:lang w:val="zh-CN" w:bidi="zh-CN"/>
        </w:rPr>
        <w:fldChar w:fldCharType="begin"/>
      </w:r>
      <w:r>
        <w:rPr>
          <w:rFonts w:eastAsia="宋体" w:cs="Times New Roman"/>
          <w:color w:val="auto"/>
          <w:sz w:val="24"/>
          <w:szCs w:val="24"/>
          <w:highlight w:val="none"/>
          <w:lang w:val="zh-CN" w:bidi="zh-CN"/>
        </w:rPr>
        <w:instrText xml:space="preserve"> SEQ 表 \* ARABIC \s 2 </w:instrText>
      </w:r>
      <w:r>
        <w:rPr>
          <w:rFonts w:eastAsia="宋体" w:cs="Times New Roman"/>
          <w:color w:val="auto"/>
          <w:sz w:val="24"/>
          <w:szCs w:val="24"/>
          <w:highlight w:val="none"/>
          <w:lang w:val="zh-CN" w:bidi="zh-CN"/>
        </w:rPr>
        <w:fldChar w:fldCharType="separate"/>
      </w:r>
      <w:r>
        <w:rPr>
          <w:rFonts w:eastAsia="宋体" w:cs="Times New Roman"/>
          <w:color w:val="auto"/>
          <w:sz w:val="24"/>
          <w:szCs w:val="24"/>
          <w:highlight w:val="none"/>
          <w:lang w:val="zh-CN" w:bidi="zh-CN"/>
        </w:rPr>
        <w:t>1</w:t>
      </w:r>
      <w:r>
        <w:rPr>
          <w:rFonts w:eastAsia="宋体" w:cs="Times New Roman"/>
          <w:color w:val="auto"/>
          <w:sz w:val="24"/>
          <w:szCs w:val="24"/>
          <w:highlight w:val="none"/>
          <w:lang w:val="zh-CN" w:bidi="zh-CN"/>
        </w:rPr>
        <w:fldChar w:fldCharType="end"/>
      </w:r>
      <w:r>
        <w:rPr>
          <w:rFonts w:eastAsia="宋体" w:cs="Times New Roman"/>
          <w:color w:val="auto"/>
          <w:sz w:val="24"/>
          <w:szCs w:val="24"/>
          <w:highlight w:val="none"/>
          <w:lang w:val="zh-CN" w:bidi="zh-CN"/>
        </w:rPr>
        <w:t>运营期污染物排放清单及管理要求</w:t>
      </w:r>
    </w:p>
    <w:tbl>
      <w:tblPr>
        <w:tblStyle w:val="45"/>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30"/>
        <w:gridCol w:w="1185"/>
        <w:gridCol w:w="1349"/>
        <w:gridCol w:w="1342"/>
        <w:gridCol w:w="1424"/>
        <w:gridCol w:w="1299"/>
        <w:gridCol w:w="1279"/>
        <w:gridCol w:w="851"/>
        <w:gridCol w:w="1835"/>
        <w:gridCol w:w="2480"/>
      </w:tblGrid>
      <w:tr w14:paraId="42660E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2315" w:type="dxa"/>
            <w:gridSpan w:val="2"/>
            <w:vAlign w:val="center"/>
          </w:tcPr>
          <w:p w14:paraId="78D41EE5">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污染物来源</w:t>
            </w:r>
          </w:p>
        </w:tc>
        <w:tc>
          <w:tcPr>
            <w:tcW w:w="1349" w:type="dxa"/>
            <w:vAlign w:val="center"/>
          </w:tcPr>
          <w:p w14:paraId="6201DAD5">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拟采取的环境保护措施</w:t>
            </w:r>
          </w:p>
        </w:tc>
        <w:tc>
          <w:tcPr>
            <w:tcW w:w="1342" w:type="dxa"/>
            <w:vAlign w:val="center"/>
          </w:tcPr>
          <w:p w14:paraId="48313C44">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主要运行参数</w:t>
            </w:r>
          </w:p>
        </w:tc>
        <w:tc>
          <w:tcPr>
            <w:tcW w:w="1424" w:type="dxa"/>
            <w:vAlign w:val="center"/>
          </w:tcPr>
          <w:p w14:paraId="7D4C9322">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污染物种类</w:t>
            </w:r>
          </w:p>
        </w:tc>
        <w:tc>
          <w:tcPr>
            <w:tcW w:w="1299" w:type="dxa"/>
            <w:vAlign w:val="center"/>
          </w:tcPr>
          <w:p w14:paraId="04DBD35F">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排放浓度（mg/m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1279" w:type="dxa"/>
            <w:vAlign w:val="center"/>
          </w:tcPr>
          <w:p w14:paraId="7AE11BC7">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排放量（t/a）</w:t>
            </w:r>
          </w:p>
        </w:tc>
        <w:tc>
          <w:tcPr>
            <w:tcW w:w="851" w:type="dxa"/>
            <w:vAlign w:val="center"/>
          </w:tcPr>
          <w:p w14:paraId="2A140A20">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排放时段</w:t>
            </w:r>
          </w:p>
        </w:tc>
        <w:tc>
          <w:tcPr>
            <w:tcW w:w="1835" w:type="dxa"/>
            <w:vAlign w:val="center"/>
          </w:tcPr>
          <w:p w14:paraId="5A6138F4">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排污口信息</w:t>
            </w:r>
          </w:p>
        </w:tc>
        <w:tc>
          <w:tcPr>
            <w:tcW w:w="2480" w:type="dxa"/>
            <w:vAlign w:val="center"/>
          </w:tcPr>
          <w:p w14:paraId="1062F179">
            <w:pPr>
              <w:keepNext w:val="0"/>
              <w:keepLines w:val="0"/>
              <w:pageBreakBefore w:val="0"/>
              <w:kinsoku/>
              <w:wordWrap/>
              <w:overflowPunct/>
              <w:topLinePunct w:val="0"/>
              <w:autoSpaceDE/>
              <w:autoSpaceDN/>
              <w:bidi w:val="0"/>
              <w:ind w:left="0" w:right="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执行标准</w:t>
            </w:r>
          </w:p>
        </w:tc>
      </w:tr>
      <w:tr w14:paraId="67FF352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130" w:type="dxa"/>
            <w:vMerge w:val="restart"/>
            <w:vAlign w:val="center"/>
          </w:tcPr>
          <w:p w14:paraId="7CD44593">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废气（有组织）</w:t>
            </w:r>
          </w:p>
        </w:tc>
        <w:tc>
          <w:tcPr>
            <w:tcW w:w="1185" w:type="dxa"/>
            <w:vAlign w:val="center"/>
          </w:tcPr>
          <w:p w14:paraId="46B0E34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混合、收缸</w:t>
            </w:r>
          </w:p>
        </w:tc>
        <w:tc>
          <w:tcPr>
            <w:tcW w:w="1349" w:type="dxa"/>
            <w:vAlign w:val="center"/>
          </w:tcPr>
          <w:p w14:paraId="6D604E8D">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3级碱液喷淋+二级活性炭吸附</w:t>
            </w:r>
          </w:p>
        </w:tc>
        <w:tc>
          <w:tcPr>
            <w:tcW w:w="1342" w:type="dxa"/>
            <w:vAlign w:val="center"/>
          </w:tcPr>
          <w:p w14:paraId="05CB6A9D">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风机风量：2</w:t>
            </w:r>
            <w:r>
              <w:rPr>
                <w:rFonts w:hint="eastAsia" w:ascii="Times New Roman" w:hAnsi="Times New Roman" w:cs="Times New Roman"/>
                <w:color w:val="auto"/>
                <w:sz w:val="21"/>
                <w:szCs w:val="21"/>
                <w:highlight w:val="none"/>
              </w:rPr>
              <w:t>0</w:t>
            </w:r>
            <w:r>
              <w:rPr>
                <w:rFonts w:ascii="Times New Roman" w:hAnsi="Times New Roman" w:cs="Times New Roman"/>
                <w:color w:val="auto"/>
                <w:sz w:val="21"/>
                <w:szCs w:val="21"/>
                <w:highlight w:val="none"/>
              </w:rPr>
              <w:t>000m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424" w:type="dxa"/>
            <w:vAlign w:val="center"/>
          </w:tcPr>
          <w:p w14:paraId="0BB8D3BD">
            <w:pPr>
              <w:pStyle w:val="240"/>
              <w:keepNext w:val="0"/>
              <w:keepLines w:val="0"/>
              <w:pageBreakBefore w:val="0"/>
              <w:kinsoku/>
              <w:wordWrap/>
              <w:overflowPunct/>
              <w:topLinePunct w:val="0"/>
              <w:autoSpaceDE/>
              <w:autoSpaceDN/>
              <w:bidi w:val="0"/>
              <w:adjustRightInd w:val="0"/>
              <w:snapToGrid w:val="0"/>
              <w:ind w:left="0" w:right="0"/>
              <w:rPr>
                <w:rFonts w:ascii="Times New Roman" w:hAnsi="Times New Roman"/>
                <w:color w:val="auto"/>
                <w:highlight w:val="none"/>
              </w:rPr>
            </w:pPr>
            <w:r>
              <w:rPr>
                <w:rFonts w:hint="eastAsia" w:ascii="Times New Roman" w:hAnsi="Times New Roman"/>
                <w:color w:val="auto"/>
                <w:highlight w:val="none"/>
              </w:rPr>
              <w:t>非甲烷总烃</w:t>
            </w:r>
          </w:p>
        </w:tc>
        <w:tc>
          <w:tcPr>
            <w:tcW w:w="1299" w:type="dxa"/>
            <w:vAlign w:val="center"/>
          </w:tcPr>
          <w:p w14:paraId="423C8E11">
            <w:pPr>
              <w:keepNext w:val="0"/>
              <w:keepLines w:val="0"/>
              <w:pageBreakBefore w:val="0"/>
              <w:widowControl/>
              <w:suppressLineNumbers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2.8849</w:t>
            </w:r>
          </w:p>
        </w:tc>
        <w:tc>
          <w:tcPr>
            <w:tcW w:w="1279" w:type="dxa"/>
            <w:vAlign w:val="center"/>
          </w:tcPr>
          <w:p w14:paraId="56A33E65">
            <w:pPr>
              <w:keepNext w:val="0"/>
              <w:keepLines w:val="0"/>
              <w:pageBreakBefore w:val="0"/>
              <w:widowControl/>
              <w:suppressLineNumbers w:val="0"/>
              <w:kinsoku/>
              <w:wordWrap/>
              <w:overflowPunct/>
              <w:topLinePunct w:val="0"/>
              <w:autoSpaceDE/>
              <w:autoSpaceDN/>
              <w:bidi w:val="0"/>
              <w:ind w:left="0" w:right="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0.1154</w:t>
            </w:r>
          </w:p>
        </w:tc>
        <w:tc>
          <w:tcPr>
            <w:tcW w:w="851" w:type="dxa"/>
            <w:vAlign w:val="center"/>
          </w:tcPr>
          <w:p w14:paraId="7664FF01">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连续排放</w:t>
            </w:r>
          </w:p>
        </w:tc>
        <w:tc>
          <w:tcPr>
            <w:tcW w:w="1835" w:type="dxa"/>
            <w:vAlign w:val="center"/>
          </w:tcPr>
          <w:p w14:paraId="2D88E966">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DA005</w:t>
            </w:r>
            <w:r>
              <w:rPr>
                <w:rFonts w:ascii="Times New Roman" w:hAnsi="Times New Roman" w:cs="Times New Roman"/>
                <w:color w:val="auto"/>
                <w:sz w:val="21"/>
                <w:szCs w:val="21"/>
                <w:highlight w:val="none"/>
              </w:rPr>
              <w:t>：H=</w:t>
            </w:r>
            <w:r>
              <w:rPr>
                <w:rFonts w:hint="eastAsia" w:ascii="Times New Roman" w:hAnsi="Times New Roman" w:cs="Times New Roman"/>
                <w:color w:val="auto"/>
                <w:sz w:val="21"/>
                <w:szCs w:val="21"/>
                <w:highlight w:val="none"/>
              </w:rPr>
              <w:t>20</w:t>
            </w:r>
            <w:r>
              <w:rPr>
                <w:rFonts w:ascii="Times New Roman" w:hAnsi="Times New Roman" w:cs="Times New Roman"/>
                <w:color w:val="auto"/>
                <w:sz w:val="21"/>
                <w:szCs w:val="21"/>
                <w:highlight w:val="none"/>
              </w:rPr>
              <w:t>m，R=0.</w:t>
            </w:r>
            <w:r>
              <w:rPr>
                <w:rFonts w:hint="eastAsia" w:ascii="Times New Roman" w:hAnsi="Times New Roman" w:cs="Times New Roman"/>
                <w:color w:val="auto"/>
                <w:sz w:val="21"/>
                <w:szCs w:val="21"/>
                <w:highlight w:val="none"/>
              </w:rPr>
              <w:t>7</w:t>
            </w:r>
          </w:p>
        </w:tc>
        <w:tc>
          <w:tcPr>
            <w:tcW w:w="2480" w:type="dxa"/>
            <w:vAlign w:val="center"/>
          </w:tcPr>
          <w:p w14:paraId="739C6091">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非甲烷总烃执行《大气污染物综合排放标准》（DB32/4041-2021）表1标准限值</w:t>
            </w:r>
          </w:p>
        </w:tc>
      </w:tr>
      <w:tr w14:paraId="1AD82E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130" w:type="dxa"/>
            <w:vMerge w:val="continue"/>
            <w:vAlign w:val="center"/>
          </w:tcPr>
          <w:p w14:paraId="7B278203">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185" w:type="dxa"/>
            <w:vMerge w:val="restart"/>
            <w:vAlign w:val="center"/>
          </w:tcPr>
          <w:p w14:paraId="242ADB4E">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取样检测</w:t>
            </w:r>
          </w:p>
        </w:tc>
        <w:tc>
          <w:tcPr>
            <w:tcW w:w="1349" w:type="dxa"/>
            <w:vMerge w:val="restart"/>
            <w:vAlign w:val="center"/>
          </w:tcPr>
          <w:p w14:paraId="28E76BB9">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二级活性炭吸附</w:t>
            </w:r>
          </w:p>
        </w:tc>
        <w:tc>
          <w:tcPr>
            <w:tcW w:w="1342" w:type="dxa"/>
            <w:vMerge w:val="restart"/>
            <w:vAlign w:val="center"/>
          </w:tcPr>
          <w:p w14:paraId="1D66874F">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风机风量：</w:t>
            </w:r>
            <w:r>
              <w:rPr>
                <w:rFonts w:hint="eastAsia" w:ascii="Times New Roman" w:hAnsi="Times New Roman" w:cs="Times New Roman"/>
                <w:color w:val="auto"/>
                <w:sz w:val="21"/>
                <w:szCs w:val="21"/>
                <w:highlight w:val="none"/>
                <w:lang w:val="en-US" w:eastAsia="zh-CN"/>
              </w:rPr>
              <w:t>40</w:t>
            </w:r>
            <w:r>
              <w:rPr>
                <w:rFonts w:ascii="Times New Roman" w:hAnsi="Times New Roman" w:cs="Times New Roman"/>
                <w:color w:val="auto"/>
                <w:sz w:val="21"/>
                <w:szCs w:val="21"/>
                <w:highlight w:val="none"/>
              </w:rPr>
              <w:t>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424" w:type="dxa"/>
            <w:vAlign w:val="center"/>
          </w:tcPr>
          <w:p w14:paraId="181A30F0">
            <w:pPr>
              <w:pStyle w:val="240"/>
              <w:keepNext w:val="0"/>
              <w:keepLines w:val="0"/>
              <w:pageBreakBefore w:val="0"/>
              <w:kinsoku/>
              <w:wordWrap/>
              <w:overflowPunct/>
              <w:topLinePunct w:val="0"/>
              <w:autoSpaceDE/>
              <w:autoSpaceDN/>
              <w:bidi w:val="0"/>
              <w:adjustRightInd w:val="0"/>
              <w:snapToGrid w:val="0"/>
              <w:ind w:left="0" w:right="0"/>
              <w:rPr>
                <w:rFonts w:hint="eastAsia" w:ascii="Times New Roman" w:hAnsi="Times New Roman" w:eastAsia="宋体"/>
                <w:color w:val="auto"/>
                <w:highlight w:val="none"/>
                <w:lang w:eastAsia="zh-CN"/>
              </w:rPr>
            </w:pPr>
            <w:r>
              <w:rPr>
                <w:rFonts w:hint="eastAsia" w:ascii="Times New Roman" w:hAnsi="Times New Roman"/>
                <w:color w:val="auto"/>
                <w:highlight w:val="none"/>
              </w:rPr>
              <w:t>非甲烷总烃</w:t>
            </w:r>
          </w:p>
        </w:tc>
        <w:tc>
          <w:tcPr>
            <w:tcW w:w="1299" w:type="dxa"/>
            <w:vAlign w:val="center"/>
          </w:tcPr>
          <w:p w14:paraId="7E150AB2">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0.3086</w:t>
            </w:r>
          </w:p>
        </w:tc>
        <w:tc>
          <w:tcPr>
            <w:tcW w:w="1279" w:type="dxa"/>
            <w:vAlign w:val="center"/>
          </w:tcPr>
          <w:p w14:paraId="471A3E97">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0.0006</w:t>
            </w:r>
          </w:p>
        </w:tc>
        <w:tc>
          <w:tcPr>
            <w:tcW w:w="851" w:type="dxa"/>
            <w:vMerge w:val="restart"/>
            <w:vAlign w:val="center"/>
          </w:tcPr>
          <w:p w14:paraId="6EB88B84">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间断</w:t>
            </w:r>
            <w:r>
              <w:rPr>
                <w:rFonts w:ascii="Times New Roman" w:hAnsi="Times New Roman" w:cs="Times New Roman"/>
                <w:color w:val="auto"/>
                <w:sz w:val="21"/>
                <w:szCs w:val="21"/>
                <w:highlight w:val="none"/>
              </w:rPr>
              <w:t>排放</w:t>
            </w:r>
          </w:p>
        </w:tc>
        <w:tc>
          <w:tcPr>
            <w:tcW w:w="1835" w:type="dxa"/>
            <w:vMerge w:val="restart"/>
            <w:vAlign w:val="center"/>
          </w:tcPr>
          <w:p w14:paraId="29307E5D">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DA006</w:t>
            </w:r>
            <w:r>
              <w:rPr>
                <w:rFonts w:ascii="Times New Roman" w:hAnsi="Times New Roman" w:cs="Times New Roman"/>
                <w:color w:val="auto"/>
                <w:sz w:val="21"/>
                <w:szCs w:val="21"/>
                <w:highlight w:val="none"/>
              </w:rPr>
              <w:t>：H=15m，R=0.3</w:t>
            </w:r>
            <w:r>
              <w:rPr>
                <w:rFonts w:hint="eastAsia" w:ascii="Times New Roman" w:hAnsi="Times New Roman" w:cs="Times New Roman"/>
                <w:color w:val="auto"/>
                <w:sz w:val="21"/>
                <w:szCs w:val="21"/>
                <w:highlight w:val="none"/>
              </w:rPr>
              <w:t>2</w:t>
            </w:r>
          </w:p>
        </w:tc>
        <w:tc>
          <w:tcPr>
            <w:tcW w:w="2480" w:type="dxa"/>
            <w:vMerge w:val="restart"/>
            <w:vAlign w:val="center"/>
          </w:tcPr>
          <w:p w14:paraId="7574FBE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w:t>
            </w:r>
            <w:r>
              <w:rPr>
                <w:rFonts w:ascii="Times New Roman" w:hAnsi="Times New Roman" w:cs="Times New Roman"/>
                <w:color w:val="auto"/>
                <w:sz w:val="21"/>
                <w:szCs w:val="21"/>
                <w:highlight w:val="none"/>
              </w:rPr>
              <w:t>执行《大气污染物综合排放标准》（DB32/4041-2021）表1标准限值</w:t>
            </w:r>
          </w:p>
        </w:tc>
      </w:tr>
      <w:tr w14:paraId="51A216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130" w:type="dxa"/>
            <w:vMerge w:val="continue"/>
            <w:vAlign w:val="center"/>
          </w:tcPr>
          <w:p w14:paraId="3ABE2317">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185" w:type="dxa"/>
            <w:vMerge w:val="continue"/>
            <w:vAlign w:val="center"/>
          </w:tcPr>
          <w:p w14:paraId="6C8697D8">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349" w:type="dxa"/>
            <w:vMerge w:val="continue"/>
            <w:vAlign w:val="center"/>
          </w:tcPr>
          <w:p w14:paraId="42035CE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342" w:type="dxa"/>
            <w:vMerge w:val="continue"/>
            <w:vAlign w:val="center"/>
          </w:tcPr>
          <w:p w14:paraId="74564835">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424" w:type="dxa"/>
            <w:vAlign w:val="center"/>
          </w:tcPr>
          <w:p w14:paraId="6A441615">
            <w:pPr>
              <w:pStyle w:val="240"/>
              <w:keepNext w:val="0"/>
              <w:keepLines w:val="0"/>
              <w:pageBreakBefore w:val="0"/>
              <w:kinsoku/>
              <w:wordWrap/>
              <w:overflowPunct/>
              <w:topLinePunct w:val="0"/>
              <w:autoSpaceDE/>
              <w:autoSpaceDN/>
              <w:bidi w:val="0"/>
              <w:adjustRightInd w:val="0"/>
              <w:snapToGrid w:val="0"/>
              <w:ind w:left="0" w:right="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氮氧化物</w:t>
            </w:r>
          </w:p>
        </w:tc>
        <w:tc>
          <w:tcPr>
            <w:tcW w:w="1299" w:type="dxa"/>
            <w:vAlign w:val="center"/>
          </w:tcPr>
          <w:p w14:paraId="3CDC589E">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0.1485</w:t>
            </w:r>
          </w:p>
        </w:tc>
        <w:tc>
          <w:tcPr>
            <w:tcW w:w="1279" w:type="dxa"/>
            <w:vAlign w:val="center"/>
          </w:tcPr>
          <w:p w14:paraId="6FA19988">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ascii="Times New Roman" w:hAnsi="Times New Roman" w:cs="Times New Roman"/>
                <w:color w:val="auto"/>
                <w:sz w:val="21"/>
                <w:szCs w:val="21"/>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0.0003</w:t>
            </w:r>
          </w:p>
        </w:tc>
        <w:tc>
          <w:tcPr>
            <w:tcW w:w="851" w:type="dxa"/>
            <w:vMerge w:val="continue"/>
            <w:vAlign w:val="center"/>
          </w:tcPr>
          <w:p w14:paraId="3B1B07F5">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1835" w:type="dxa"/>
            <w:vMerge w:val="continue"/>
            <w:vAlign w:val="center"/>
          </w:tcPr>
          <w:p w14:paraId="15933E08">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2480" w:type="dxa"/>
            <w:vMerge w:val="continue"/>
            <w:vAlign w:val="center"/>
          </w:tcPr>
          <w:p w14:paraId="2014CAD0">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r>
      <w:tr w14:paraId="339D48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2" w:hRule="atLeast"/>
        </w:trPr>
        <w:tc>
          <w:tcPr>
            <w:tcW w:w="1130" w:type="dxa"/>
            <w:vMerge w:val="restart"/>
            <w:vAlign w:val="center"/>
          </w:tcPr>
          <w:p w14:paraId="736AD070">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废气（无组织）</w:t>
            </w:r>
          </w:p>
        </w:tc>
        <w:tc>
          <w:tcPr>
            <w:tcW w:w="1185" w:type="dxa"/>
            <w:vAlign w:val="center"/>
          </w:tcPr>
          <w:p w14:paraId="42F353C5">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二工场</w:t>
            </w:r>
          </w:p>
        </w:tc>
        <w:tc>
          <w:tcPr>
            <w:tcW w:w="1349" w:type="dxa"/>
            <w:vAlign w:val="center"/>
          </w:tcPr>
          <w:p w14:paraId="47834E9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42" w:type="dxa"/>
            <w:vAlign w:val="center"/>
          </w:tcPr>
          <w:p w14:paraId="64EEF2D0">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24" w:type="dxa"/>
            <w:tcBorders>
              <w:bottom w:val="single" w:color="auto" w:sz="4" w:space="0"/>
            </w:tcBorders>
            <w:vAlign w:val="center"/>
          </w:tcPr>
          <w:p w14:paraId="3F6C20B4">
            <w:pPr>
              <w:pStyle w:val="240"/>
              <w:keepNext w:val="0"/>
              <w:keepLines w:val="0"/>
              <w:pageBreakBefore w:val="0"/>
              <w:kinsoku/>
              <w:wordWrap/>
              <w:overflowPunct/>
              <w:topLinePunct w:val="0"/>
              <w:autoSpaceDE/>
              <w:autoSpaceDN/>
              <w:bidi w:val="0"/>
              <w:adjustRightInd w:val="0"/>
              <w:snapToGrid w:val="0"/>
              <w:ind w:left="0" w:right="0"/>
              <w:rPr>
                <w:rFonts w:ascii="Times New Roman" w:hAnsi="Times New Roman"/>
                <w:color w:val="auto"/>
                <w:highlight w:val="none"/>
              </w:rPr>
            </w:pPr>
            <w:r>
              <w:rPr>
                <w:rFonts w:hint="eastAsia" w:ascii="Times New Roman" w:hAnsi="Times New Roman"/>
                <w:color w:val="auto"/>
                <w:highlight w:val="none"/>
              </w:rPr>
              <w:t>非甲烷总烃</w:t>
            </w:r>
          </w:p>
        </w:tc>
        <w:tc>
          <w:tcPr>
            <w:tcW w:w="1299" w:type="dxa"/>
            <w:tcBorders>
              <w:bottom w:val="single" w:color="auto" w:sz="4" w:space="0"/>
            </w:tcBorders>
            <w:vAlign w:val="center"/>
          </w:tcPr>
          <w:p w14:paraId="759284A9">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79" w:type="dxa"/>
            <w:tcBorders>
              <w:bottom w:val="single" w:color="auto" w:sz="4" w:space="0"/>
            </w:tcBorders>
            <w:vAlign w:val="center"/>
          </w:tcPr>
          <w:p w14:paraId="6ECF68AD">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0.0235</w:t>
            </w:r>
          </w:p>
        </w:tc>
        <w:tc>
          <w:tcPr>
            <w:tcW w:w="851" w:type="dxa"/>
            <w:vAlign w:val="center"/>
          </w:tcPr>
          <w:p w14:paraId="162A0398">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连续排放</w:t>
            </w:r>
          </w:p>
        </w:tc>
        <w:tc>
          <w:tcPr>
            <w:tcW w:w="1835" w:type="dxa"/>
            <w:vAlign w:val="center"/>
          </w:tcPr>
          <w:p w14:paraId="182C012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21*30*12.4</w:t>
            </w:r>
          </w:p>
        </w:tc>
        <w:tc>
          <w:tcPr>
            <w:tcW w:w="2480" w:type="dxa"/>
            <w:vAlign w:val="center"/>
          </w:tcPr>
          <w:p w14:paraId="340B3527">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非甲烷总烃执行《大气污染物综合排放标准》（DB32/4041-2021）表</w:t>
            </w:r>
            <w:r>
              <w:rPr>
                <w:rFonts w:hint="eastAsia" w:ascii="Times New Roman" w:hAnsi="Times New Roman" w:cs="Times New Roman"/>
                <w:color w:val="auto"/>
                <w:sz w:val="21"/>
                <w:szCs w:val="21"/>
                <w:highlight w:val="none"/>
              </w:rPr>
              <w:t>3</w:t>
            </w:r>
            <w:r>
              <w:rPr>
                <w:rFonts w:ascii="Times New Roman" w:hAnsi="Times New Roman" w:cs="Times New Roman"/>
                <w:color w:val="auto"/>
                <w:sz w:val="21"/>
                <w:szCs w:val="21"/>
                <w:highlight w:val="none"/>
              </w:rPr>
              <w:t>标准限值</w:t>
            </w:r>
          </w:p>
        </w:tc>
      </w:tr>
      <w:tr w14:paraId="491649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4" w:hRule="atLeast"/>
        </w:trPr>
        <w:tc>
          <w:tcPr>
            <w:tcW w:w="1130" w:type="dxa"/>
            <w:vMerge w:val="continue"/>
            <w:vAlign w:val="center"/>
          </w:tcPr>
          <w:p w14:paraId="54C72BD4">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185" w:type="dxa"/>
            <w:vMerge w:val="restart"/>
            <w:vAlign w:val="center"/>
          </w:tcPr>
          <w:p w14:paraId="0B02D009">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实验楼</w:t>
            </w:r>
          </w:p>
        </w:tc>
        <w:tc>
          <w:tcPr>
            <w:tcW w:w="1349" w:type="dxa"/>
            <w:vMerge w:val="restart"/>
            <w:vAlign w:val="center"/>
          </w:tcPr>
          <w:p w14:paraId="50FE13E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42" w:type="dxa"/>
            <w:vMerge w:val="restart"/>
            <w:vAlign w:val="center"/>
          </w:tcPr>
          <w:p w14:paraId="16A14433">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24" w:type="dxa"/>
            <w:tcBorders>
              <w:bottom w:val="single" w:color="auto" w:sz="4" w:space="0"/>
            </w:tcBorders>
            <w:vAlign w:val="center"/>
          </w:tcPr>
          <w:p w14:paraId="29D90687">
            <w:pPr>
              <w:pStyle w:val="240"/>
              <w:keepNext w:val="0"/>
              <w:keepLines w:val="0"/>
              <w:pageBreakBefore w:val="0"/>
              <w:kinsoku/>
              <w:wordWrap/>
              <w:overflowPunct/>
              <w:topLinePunct w:val="0"/>
              <w:autoSpaceDE/>
              <w:autoSpaceDN/>
              <w:bidi w:val="0"/>
              <w:adjustRightInd w:val="0"/>
              <w:snapToGrid w:val="0"/>
              <w:ind w:left="0" w:right="0"/>
              <w:rPr>
                <w:rFonts w:ascii="Times New Roman" w:hAnsi="Times New Roman"/>
                <w:color w:val="auto"/>
                <w:highlight w:val="none"/>
              </w:rPr>
            </w:pPr>
            <w:r>
              <w:rPr>
                <w:rFonts w:hint="eastAsia" w:ascii="Times New Roman" w:hAnsi="Times New Roman"/>
                <w:color w:val="auto"/>
                <w:highlight w:val="none"/>
              </w:rPr>
              <w:t>非甲烷总烃（含甲醇）</w:t>
            </w:r>
          </w:p>
        </w:tc>
        <w:tc>
          <w:tcPr>
            <w:tcW w:w="1299" w:type="dxa"/>
            <w:vMerge w:val="restart"/>
            <w:vAlign w:val="center"/>
          </w:tcPr>
          <w:p w14:paraId="7DB1111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79" w:type="dxa"/>
            <w:tcBorders>
              <w:bottom w:val="single" w:color="auto" w:sz="4" w:space="0"/>
            </w:tcBorders>
            <w:vAlign w:val="center"/>
          </w:tcPr>
          <w:p w14:paraId="3AA0179B">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rPr>
              <w:t>3</w:t>
            </w:r>
          </w:p>
        </w:tc>
        <w:tc>
          <w:tcPr>
            <w:tcW w:w="851" w:type="dxa"/>
            <w:vMerge w:val="restart"/>
            <w:vAlign w:val="center"/>
          </w:tcPr>
          <w:p w14:paraId="5B149318">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间断</w:t>
            </w:r>
            <w:r>
              <w:rPr>
                <w:rFonts w:ascii="Times New Roman" w:hAnsi="Times New Roman" w:cs="Times New Roman"/>
                <w:color w:val="auto"/>
                <w:sz w:val="21"/>
                <w:szCs w:val="21"/>
                <w:highlight w:val="none"/>
              </w:rPr>
              <w:t>排放</w:t>
            </w:r>
          </w:p>
        </w:tc>
        <w:tc>
          <w:tcPr>
            <w:tcW w:w="1835" w:type="dxa"/>
            <w:vMerge w:val="restart"/>
            <w:vAlign w:val="center"/>
          </w:tcPr>
          <w:p w14:paraId="2F387CFF">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29*12*8.7</w:t>
            </w:r>
          </w:p>
        </w:tc>
        <w:tc>
          <w:tcPr>
            <w:tcW w:w="2480" w:type="dxa"/>
            <w:vMerge w:val="restart"/>
            <w:vAlign w:val="center"/>
          </w:tcPr>
          <w:p w14:paraId="66A365E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氮氧化物、甲醇</w:t>
            </w:r>
            <w:r>
              <w:rPr>
                <w:rFonts w:ascii="Times New Roman" w:hAnsi="Times New Roman" w:cs="Times New Roman"/>
                <w:color w:val="auto"/>
                <w:sz w:val="21"/>
                <w:szCs w:val="21"/>
                <w:highlight w:val="none"/>
              </w:rPr>
              <w:t>执行《大气污染物综合排放标准》（DB32/4041-2021）表</w:t>
            </w:r>
            <w:r>
              <w:rPr>
                <w:rFonts w:hint="eastAsia" w:ascii="Times New Roman" w:hAnsi="Times New Roman" w:cs="Times New Roman"/>
                <w:color w:val="auto"/>
                <w:sz w:val="21"/>
                <w:szCs w:val="21"/>
                <w:highlight w:val="none"/>
              </w:rPr>
              <w:t>3</w:t>
            </w:r>
            <w:r>
              <w:rPr>
                <w:rFonts w:ascii="Times New Roman" w:hAnsi="Times New Roman" w:cs="Times New Roman"/>
                <w:color w:val="auto"/>
                <w:sz w:val="21"/>
                <w:szCs w:val="21"/>
                <w:highlight w:val="none"/>
              </w:rPr>
              <w:t>标准限值</w:t>
            </w:r>
          </w:p>
        </w:tc>
      </w:tr>
      <w:tr w14:paraId="5BBD00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4" w:hRule="atLeast"/>
        </w:trPr>
        <w:tc>
          <w:tcPr>
            <w:tcW w:w="1130" w:type="dxa"/>
            <w:vMerge w:val="continue"/>
            <w:vAlign w:val="center"/>
          </w:tcPr>
          <w:p w14:paraId="3F7CBE0C">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185" w:type="dxa"/>
            <w:vMerge w:val="continue"/>
            <w:vAlign w:val="center"/>
          </w:tcPr>
          <w:p w14:paraId="29D18566">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1349" w:type="dxa"/>
            <w:vMerge w:val="continue"/>
            <w:vAlign w:val="center"/>
          </w:tcPr>
          <w:p w14:paraId="22D47F9F">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342" w:type="dxa"/>
            <w:vMerge w:val="continue"/>
            <w:vAlign w:val="center"/>
          </w:tcPr>
          <w:p w14:paraId="6C281C24">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424" w:type="dxa"/>
            <w:tcBorders>
              <w:bottom w:val="single" w:color="auto" w:sz="4" w:space="0"/>
            </w:tcBorders>
            <w:vAlign w:val="center"/>
          </w:tcPr>
          <w:p w14:paraId="023BAF4A">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highlight w:val="none"/>
              </w:rPr>
            </w:pPr>
            <w:r>
              <w:rPr>
                <w:rFonts w:hint="eastAsia" w:ascii="Times New Roman" w:hAnsi="Times New Roman" w:cs="Times New Roman"/>
                <w:color w:val="auto"/>
                <w:sz w:val="21"/>
                <w:szCs w:val="21"/>
                <w:highlight w:val="none"/>
                <w:lang w:val="en-US" w:eastAsia="zh-CN"/>
              </w:rPr>
              <w:t>氮氧化物</w:t>
            </w:r>
          </w:p>
        </w:tc>
        <w:tc>
          <w:tcPr>
            <w:tcW w:w="1299" w:type="dxa"/>
            <w:vMerge w:val="continue"/>
            <w:vAlign w:val="center"/>
          </w:tcPr>
          <w:p w14:paraId="5708A1CB">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279" w:type="dxa"/>
            <w:tcBorders>
              <w:bottom w:val="single" w:color="auto" w:sz="4" w:space="0"/>
            </w:tcBorders>
            <w:vAlign w:val="center"/>
          </w:tcPr>
          <w:p w14:paraId="7B47A7B8">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851" w:type="dxa"/>
            <w:vMerge w:val="continue"/>
            <w:vAlign w:val="center"/>
          </w:tcPr>
          <w:p w14:paraId="74541F5B">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1835" w:type="dxa"/>
            <w:vMerge w:val="continue"/>
            <w:vAlign w:val="center"/>
          </w:tcPr>
          <w:p w14:paraId="7DB98E21">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2480" w:type="dxa"/>
            <w:vMerge w:val="continue"/>
            <w:vAlign w:val="center"/>
          </w:tcPr>
          <w:p w14:paraId="3B310B2E">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r>
      <w:tr w14:paraId="28C2CF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4" w:hRule="atLeast"/>
        </w:trPr>
        <w:tc>
          <w:tcPr>
            <w:tcW w:w="1130" w:type="dxa"/>
            <w:vMerge w:val="continue"/>
            <w:vAlign w:val="center"/>
          </w:tcPr>
          <w:p w14:paraId="0F718FE9">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185" w:type="dxa"/>
            <w:vMerge w:val="continue"/>
            <w:vAlign w:val="center"/>
          </w:tcPr>
          <w:p w14:paraId="28650CD9">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1349" w:type="dxa"/>
            <w:vMerge w:val="continue"/>
            <w:vAlign w:val="center"/>
          </w:tcPr>
          <w:p w14:paraId="0C1130F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342" w:type="dxa"/>
            <w:vMerge w:val="continue"/>
            <w:vAlign w:val="center"/>
          </w:tcPr>
          <w:p w14:paraId="4F4B425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424" w:type="dxa"/>
            <w:tcBorders>
              <w:bottom w:val="single" w:color="auto" w:sz="4" w:space="0"/>
            </w:tcBorders>
            <w:vAlign w:val="center"/>
          </w:tcPr>
          <w:p w14:paraId="55E4DA6E">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highlight w:val="none"/>
              </w:rPr>
            </w:pPr>
            <w:r>
              <w:rPr>
                <w:rFonts w:hint="eastAsia" w:ascii="Times New Roman" w:hAnsi="Times New Roman"/>
                <w:color w:val="auto"/>
                <w:sz w:val="21"/>
                <w:szCs w:val="21"/>
                <w:highlight w:val="none"/>
              </w:rPr>
              <w:t>甲醇</w:t>
            </w:r>
          </w:p>
        </w:tc>
        <w:tc>
          <w:tcPr>
            <w:tcW w:w="1299" w:type="dxa"/>
            <w:vMerge w:val="continue"/>
            <w:tcBorders>
              <w:bottom w:val="single" w:color="auto" w:sz="4" w:space="0"/>
            </w:tcBorders>
            <w:vAlign w:val="center"/>
          </w:tcPr>
          <w:p w14:paraId="63A37177">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c>
          <w:tcPr>
            <w:tcW w:w="1279" w:type="dxa"/>
            <w:tcBorders>
              <w:bottom w:val="single" w:color="auto" w:sz="4" w:space="0"/>
            </w:tcBorders>
            <w:vAlign w:val="center"/>
          </w:tcPr>
          <w:p w14:paraId="7EA6D9FB">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851" w:type="dxa"/>
            <w:vMerge w:val="continue"/>
            <w:vAlign w:val="center"/>
          </w:tcPr>
          <w:p w14:paraId="3B683758">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1835" w:type="dxa"/>
            <w:vMerge w:val="continue"/>
            <w:vAlign w:val="center"/>
          </w:tcPr>
          <w:p w14:paraId="2D8CF4CF">
            <w:pPr>
              <w:keepNext w:val="0"/>
              <w:keepLines w:val="0"/>
              <w:pageBreakBefore w:val="0"/>
              <w:kinsoku/>
              <w:wordWrap/>
              <w:overflowPunct/>
              <w:topLinePunct w:val="0"/>
              <w:autoSpaceDE/>
              <w:autoSpaceDN/>
              <w:bidi w:val="0"/>
              <w:ind w:left="0" w:right="0"/>
              <w:jc w:val="center"/>
              <w:rPr>
                <w:rFonts w:hint="eastAsia" w:ascii="Times New Roman" w:hAnsi="Times New Roman" w:cs="Times New Roman"/>
                <w:color w:val="auto"/>
                <w:sz w:val="21"/>
                <w:szCs w:val="21"/>
                <w:highlight w:val="none"/>
              </w:rPr>
            </w:pPr>
          </w:p>
        </w:tc>
        <w:tc>
          <w:tcPr>
            <w:tcW w:w="2480" w:type="dxa"/>
            <w:vMerge w:val="continue"/>
            <w:vAlign w:val="center"/>
          </w:tcPr>
          <w:p w14:paraId="3C9ABCFB">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p>
        </w:tc>
      </w:tr>
      <w:tr w14:paraId="0CEAD2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130" w:type="dxa"/>
            <w:vAlign w:val="center"/>
          </w:tcPr>
          <w:p w14:paraId="1D9DA892">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w:t>
            </w:r>
          </w:p>
        </w:tc>
        <w:tc>
          <w:tcPr>
            <w:tcW w:w="1185" w:type="dxa"/>
            <w:vAlign w:val="center"/>
          </w:tcPr>
          <w:p w14:paraId="2210C921">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49" w:type="dxa"/>
            <w:vAlign w:val="center"/>
          </w:tcPr>
          <w:p w14:paraId="1E42DDCC">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342" w:type="dxa"/>
            <w:vAlign w:val="center"/>
          </w:tcPr>
          <w:p w14:paraId="1B4F0A21">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424" w:type="dxa"/>
            <w:vAlign w:val="center"/>
          </w:tcPr>
          <w:p w14:paraId="5A8257B4">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99" w:type="dxa"/>
            <w:vAlign w:val="center"/>
          </w:tcPr>
          <w:p w14:paraId="4325555C">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279" w:type="dxa"/>
            <w:vAlign w:val="center"/>
          </w:tcPr>
          <w:p w14:paraId="028B944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51" w:type="dxa"/>
            <w:vAlign w:val="center"/>
          </w:tcPr>
          <w:p w14:paraId="4FCC3F47">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835" w:type="dxa"/>
            <w:vAlign w:val="center"/>
          </w:tcPr>
          <w:p w14:paraId="1E0D158A">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2480" w:type="dxa"/>
            <w:vAlign w:val="center"/>
          </w:tcPr>
          <w:p w14:paraId="4EB706DE">
            <w:pPr>
              <w:keepNext w:val="0"/>
              <w:keepLines w:val="0"/>
              <w:pageBreakBefore w:val="0"/>
              <w:kinsoku/>
              <w:wordWrap/>
              <w:overflowPunct/>
              <w:topLinePunct w:val="0"/>
              <w:autoSpaceDE/>
              <w:autoSpaceDN/>
              <w:bidi w:val="0"/>
              <w:ind w:left="0" w:right="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14:paraId="2E477D0F">
      <w:pPr>
        <w:spacing w:line="360" w:lineRule="auto"/>
        <w:ind w:left="-105" w:right="-105"/>
        <w:rPr>
          <w:rFonts w:ascii="Times New Roman" w:hAnsi="Times New Roman"/>
          <w:color w:val="auto"/>
          <w:szCs w:val="22"/>
          <w:highlight w:val="none"/>
        </w:rPr>
      </w:pPr>
    </w:p>
    <w:p w14:paraId="5E79F252">
      <w:pPr>
        <w:spacing w:line="360" w:lineRule="auto"/>
        <w:ind w:left="-105" w:right="-105" w:firstLine="480" w:firstLineChars="200"/>
        <w:rPr>
          <w:rFonts w:ascii="Times New Roman" w:hAnsi="Times New Roman"/>
          <w:color w:val="auto"/>
          <w:szCs w:val="22"/>
          <w:highlight w:val="none"/>
        </w:rPr>
        <w:sectPr>
          <w:pgSz w:w="16838" w:h="11906" w:orient="landscape"/>
          <w:pgMar w:top="1701" w:right="1440" w:bottom="1701" w:left="1440" w:header="851" w:footer="851" w:gutter="0"/>
          <w:pgBorders>
            <w:top w:val="none" w:sz="0" w:space="0"/>
            <w:left w:val="none" w:sz="0" w:space="0"/>
            <w:bottom w:val="none" w:sz="0" w:space="0"/>
            <w:right w:val="none" w:sz="0" w:space="0"/>
          </w:pgBorders>
          <w:cols w:space="720" w:num="1"/>
          <w:docGrid w:linePitch="498" w:charSpace="-2336"/>
        </w:sectPr>
      </w:pPr>
    </w:p>
    <w:p w14:paraId="34214427">
      <w:pPr>
        <w:pStyle w:val="5"/>
        <w:keepLines w:val="0"/>
        <w:numPr>
          <w:ilvl w:val="2"/>
          <w:numId w:val="0"/>
        </w:numPr>
        <w:tabs>
          <w:tab w:val="left" w:pos="567"/>
          <w:tab w:val="left" w:pos="709"/>
        </w:tabs>
        <w:spacing w:before="120" w:beforeLines="50" w:after="0" w:line="360" w:lineRule="auto"/>
        <w:ind w:right="-105"/>
        <w:rPr>
          <w:rFonts w:eastAsia="宋体"/>
          <w:color w:val="auto"/>
          <w:sz w:val="28"/>
          <w:szCs w:val="28"/>
          <w:highlight w:val="none"/>
        </w:rPr>
      </w:pPr>
      <w:bookmarkStart w:id="531" w:name="_Toc60653617"/>
      <w:r>
        <w:rPr>
          <w:rFonts w:hint="eastAsia" w:eastAsia="宋体"/>
          <w:color w:val="auto"/>
          <w:sz w:val="28"/>
          <w:szCs w:val="28"/>
          <w:highlight w:val="none"/>
        </w:rPr>
        <w:t>9.1.2</w:t>
      </w:r>
      <w:r>
        <w:rPr>
          <w:rFonts w:eastAsia="宋体"/>
          <w:color w:val="auto"/>
          <w:sz w:val="28"/>
          <w:szCs w:val="28"/>
          <w:highlight w:val="none"/>
        </w:rPr>
        <w:t>污染物总量控制</w:t>
      </w:r>
      <w:bookmarkEnd w:id="531"/>
    </w:p>
    <w:p w14:paraId="355A6D15">
      <w:pPr>
        <w:pStyle w:val="20"/>
        <w:spacing w:line="360" w:lineRule="auto"/>
        <w:ind w:left="-105" w:right="-105" w:firstLine="480" w:firstLineChars="200"/>
        <w:rPr>
          <w:color w:val="auto"/>
          <w:sz w:val="22"/>
          <w:szCs w:val="22"/>
          <w:highlight w:val="none"/>
        </w:rPr>
      </w:pPr>
      <w:r>
        <w:rPr>
          <w:rFonts w:hint="eastAsia"/>
          <w:color w:val="auto"/>
          <w:sz w:val="24"/>
          <w:szCs w:val="24"/>
          <w:highlight w:val="none"/>
        </w:rPr>
        <w:t>本项目建成后，全厂污染物</w:t>
      </w:r>
      <w:r>
        <w:rPr>
          <w:rFonts w:hint="eastAsia" w:ascii="Times New Roman" w:hAnsi="Times New Roman"/>
          <w:color w:val="auto"/>
          <w:sz w:val="24"/>
          <w:szCs w:val="24"/>
          <w:highlight w:val="none"/>
        </w:rPr>
        <w:t>“</w:t>
      </w:r>
      <w:r>
        <w:rPr>
          <w:rFonts w:hint="eastAsia"/>
          <w:color w:val="auto"/>
          <w:sz w:val="24"/>
          <w:szCs w:val="24"/>
          <w:highlight w:val="none"/>
        </w:rPr>
        <w:t>三本帐</w:t>
      </w:r>
      <w:r>
        <w:rPr>
          <w:rFonts w:hint="eastAsia" w:ascii="Times New Roman" w:hAnsi="Times New Roman"/>
          <w:color w:val="auto"/>
          <w:sz w:val="24"/>
          <w:szCs w:val="24"/>
          <w:highlight w:val="none"/>
        </w:rPr>
        <w:t>”</w:t>
      </w:r>
      <w:r>
        <w:rPr>
          <w:rFonts w:hint="eastAsia"/>
          <w:color w:val="auto"/>
          <w:sz w:val="24"/>
          <w:szCs w:val="24"/>
          <w:highlight w:val="none"/>
        </w:rPr>
        <w:t>核算情况见下表。</w:t>
      </w:r>
    </w:p>
    <w:p w14:paraId="7A898803">
      <w:pPr>
        <w:pStyle w:val="15"/>
        <w:ind w:left="-105" w:right="-105" w:firstLine="482"/>
        <w:rPr>
          <w:rFonts w:eastAsia="宋体" w:cs="Times New Roman"/>
          <w:color w:val="auto"/>
          <w:sz w:val="24"/>
          <w:szCs w:val="18"/>
          <w:highlight w:val="none"/>
        </w:rPr>
      </w:pPr>
      <w:r>
        <w:rPr>
          <w:rFonts w:eastAsia="宋体" w:cs="Times New Roman"/>
          <w:color w:val="auto"/>
          <w:sz w:val="24"/>
          <w:szCs w:val="18"/>
          <w:highlight w:val="none"/>
        </w:rPr>
        <w:t>表</w:t>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STYLEREF 2 \s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9.1</w:t>
      </w:r>
      <w:r>
        <w:rPr>
          <w:rFonts w:eastAsia="宋体" w:cs="Times New Roman"/>
          <w:color w:val="auto"/>
          <w:sz w:val="24"/>
          <w:szCs w:val="18"/>
          <w:highlight w:val="none"/>
        </w:rPr>
        <w:fldChar w:fldCharType="end"/>
      </w:r>
      <w:r>
        <w:rPr>
          <w:rFonts w:eastAsia="宋体" w:cs="Times New Roman"/>
          <w:color w:val="auto"/>
          <w:sz w:val="24"/>
          <w:szCs w:val="18"/>
          <w:highlight w:val="none"/>
        </w:rPr>
        <w:noBreakHyphen/>
      </w:r>
      <w:r>
        <w:rPr>
          <w:rFonts w:eastAsia="宋体" w:cs="Times New Roman"/>
          <w:color w:val="auto"/>
          <w:sz w:val="24"/>
          <w:szCs w:val="18"/>
          <w:highlight w:val="none"/>
        </w:rPr>
        <w:fldChar w:fldCharType="begin"/>
      </w:r>
      <w:r>
        <w:rPr>
          <w:rFonts w:eastAsia="宋体" w:cs="Times New Roman"/>
          <w:color w:val="auto"/>
          <w:sz w:val="24"/>
          <w:szCs w:val="18"/>
          <w:highlight w:val="none"/>
        </w:rPr>
        <w:instrText xml:space="preserve"> SEQ 表 \* ARABIC \s 2 </w:instrText>
      </w:r>
      <w:r>
        <w:rPr>
          <w:rFonts w:eastAsia="宋体" w:cs="Times New Roman"/>
          <w:color w:val="auto"/>
          <w:sz w:val="24"/>
          <w:szCs w:val="18"/>
          <w:highlight w:val="none"/>
        </w:rPr>
        <w:fldChar w:fldCharType="separate"/>
      </w:r>
      <w:r>
        <w:rPr>
          <w:rFonts w:eastAsia="宋体" w:cs="Times New Roman"/>
          <w:color w:val="auto"/>
          <w:sz w:val="24"/>
          <w:szCs w:val="18"/>
          <w:highlight w:val="none"/>
        </w:rPr>
        <w:t>2</w:t>
      </w:r>
      <w:r>
        <w:rPr>
          <w:rFonts w:eastAsia="宋体" w:cs="Times New Roman"/>
          <w:color w:val="auto"/>
          <w:sz w:val="24"/>
          <w:szCs w:val="18"/>
          <w:highlight w:val="none"/>
        </w:rPr>
        <w:fldChar w:fldCharType="end"/>
      </w:r>
      <w:r>
        <w:rPr>
          <w:rFonts w:eastAsia="宋体" w:cs="Times New Roman"/>
          <w:color w:val="auto"/>
          <w:sz w:val="24"/>
          <w:szCs w:val="18"/>
          <w:highlight w:val="none"/>
        </w:rPr>
        <w:t>污染物排放量汇总</w:t>
      </w:r>
      <w:r>
        <w:rPr>
          <w:rFonts w:eastAsia="宋体" w:cs="Times New Roman"/>
          <w:color w:val="auto"/>
          <w:sz w:val="24"/>
          <w:szCs w:val="18"/>
          <w:highlight w:val="none"/>
        </w:rPr>
        <w:tab/>
      </w:r>
      <w:r>
        <w:rPr>
          <w:rFonts w:eastAsia="宋体" w:cs="Times New Roman"/>
          <w:color w:val="auto"/>
          <w:sz w:val="24"/>
          <w:szCs w:val="18"/>
          <w:highlight w:val="none"/>
        </w:rPr>
        <w:t>单位：t/a</w:t>
      </w:r>
    </w:p>
    <w:tbl>
      <w:tblPr>
        <w:tblStyle w:val="45"/>
        <w:tblW w:w="136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732"/>
        <w:gridCol w:w="1111"/>
        <w:gridCol w:w="1417"/>
        <w:gridCol w:w="1418"/>
        <w:gridCol w:w="1181"/>
        <w:gridCol w:w="1181"/>
        <w:gridCol w:w="1182"/>
        <w:gridCol w:w="1559"/>
        <w:gridCol w:w="1559"/>
        <w:gridCol w:w="1098"/>
        <w:gridCol w:w="1261"/>
      </w:tblGrid>
      <w:tr w14:paraId="79F19A9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273" w:hRule="atLeast"/>
          <w:jc w:val="center"/>
        </w:trPr>
        <w:tc>
          <w:tcPr>
            <w:tcW w:w="1843" w:type="dxa"/>
            <w:gridSpan w:val="2"/>
            <w:vMerge w:val="restart"/>
            <w:vAlign w:val="center"/>
          </w:tcPr>
          <w:p w14:paraId="31A14FC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污染物名称</w:t>
            </w:r>
          </w:p>
        </w:tc>
        <w:tc>
          <w:tcPr>
            <w:tcW w:w="1417" w:type="dxa"/>
            <w:vMerge w:val="restart"/>
            <w:vAlign w:val="center"/>
          </w:tcPr>
          <w:p w14:paraId="3E673AD7">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环评批复量</w:t>
            </w:r>
            <w:r>
              <w:rPr>
                <w:rFonts w:ascii="Times New Roman" w:hAnsi="Times New Roman" w:eastAsia="宋体"/>
                <w:b/>
                <w:bCs/>
                <w:color w:val="auto"/>
                <w:sz w:val="21"/>
                <w:szCs w:val="21"/>
                <w:highlight w:val="none"/>
              </w:rPr>
              <w:t>量</w:t>
            </w:r>
          </w:p>
        </w:tc>
        <w:tc>
          <w:tcPr>
            <w:tcW w:w="1418" w:type="dxa"/>
            <w:vMerge w:val="restart"/>
            <w:vAlign w:val="center"/>
          </w:tcPr>
          <w:p w14:paraId="04C6A64B">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现有项目排放量*</w:t>
            </w:r>
          </w:p>
        </w:tc>
        <w:tc>
          <w:tcPr>
            <w:tcW w:w="3544" w:type="dxa"/>
            <w:gridSpan w:val="3"/>
            <w:vAlign w:val="center"/>
          </w:tcPr>
          <w:p w14:paraId="5977C006">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扩</w:t>
            </w:r>
            <w:r>
              <w:rPr>
                <w:rFonts w:ascii="Times New Roman" w:hAnsi="Times New Roman" w:eastAsia="宋体"/>
                <w:b/>
                <w:bCs/>
                <w:color w:val="auto"/>
                <w:sz w:val="21"/>
                <w:szCs w:val="21"/>
                <w:highlight w:val="none"/>
              </w:rPr>
              <w:t>建项目</w:t>
            </w:r>
          </w:p>
        </w:tc>
        <w:tc>
          <w:tcPr>
            <w:tcW w:w="1559" w:type="dxa"/>
            <w:vMerge w:val="restart"/>
            <w:vAlign w:val="center"/>
          </w:tcPr>
          <w:p w14:paraId="015AC08B">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以新带老削减量</w:t>
            </w:r>
          </w:p>
        </w:tc>
        <w:tc>
          <w:tcPr>
            <w:tcW w:w="1559" w:type="dxa"/>
            <w:vMerge w:val="restart"/>
            <w:vAlign w:val="center"/>
          </w:tcPr>
          <w:p w14:paraId="47DD46DF">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全厂排放量</w:t>
            </w:r>
          </w:p>
        </w:tc>
        <w:tc>
          <w:tcPr>
            <w:tcW w:w="1098" w:type="dxa"/>
            <w:vMerge w:val="restart"/>
            <w:vAlign w:val="center"/>
          </w:tcPr>
          <w:p w14:paraId="7517508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排放增减量</w:t>
            </w:r>
          </w:p>
        </w:tc>
        <w:tc>
          <w:tcPr>
            <w:tcW w:w="1261" w:type="dxa"/>
            <w:vMerge w:val="restart"/>
            <w:vAlign w:val="center"/>
          </w:tcPr>
          <w:p w14:paraId="212F8DEC">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排放去向</w:t>
            </w:r>
          </w:p>
        </w:tc>
      </w:tr>
      <w:tr w14:paraId="0BB3129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77" w:hRule="atLeast"/>
          <w:jc w:val="center"/>
        </w:trPr>
        <w:tc>
          <w:tcPr>
            <w:tcW w:w="1843" w:type="dxa"/>
            <w:gridSpan w:val="2"/>
            <w:vMerge w:val="continue"/>
            <w:vAlign w:val="center"/>
          </w:tcPr>
          <w:p w14:paraId="0389FD64">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c>
          <w:tcPr>
            <w:tcW w:w="1417" w:type="dxa"/>
            <w:vMerge w:val="continue"/>
            <w:vAlign w:val="center"/>
          </w:tcPr>
          <w:p w14:paraId="130622EE">
            <w:pPr>
              <w:pStyle w:val="118"/>
              <w:keepNext w:val="0"/>
              <w:keepLines w:val="0"/>
              <w:pageBreakBefore w:val="0"/>
              <w:kinsoku/>
              <w:wordWrap/>
              <w:overflowPunct/>
              <w:topLinePunct w:val="0"/>
              <w:autoSpaceDE/>
              <w:autoSpaceDN/>
              <w:bidi w:val="0"/>
              <w:adjustRightInd/>
              <w:snapToGrid/>
              <w:ind w:left="0" w:right="0"/>
              <w:rPr>
                <w:rFonts w:ascii="Times New Roman" w:hAnsi="Times New Roman"/>
                <w:b/>
                <w:bCs/>
                <w:color w:val="auto"/>
                <w:sz w:val="21"/>
                <w:szCs w:val="21"/>
                <w:highlight w:val="none"/>
              </w:rPr>
            </w:pPr>
          </w:p>
        </w:tc>
        <w:tc>
          <w:tcPr>
            <w:tcW w:w="1418" w:type="dxa"/>
            <w:vMerge w:val="continue"/>
            <w:vAlign w:val="center"/>
          </w:tcPr>
          <w:p w14:paraId="25824410">
            <w:pPr>
              <w:pStyle w:val="118"/>
              <w:keepNext w:val="0"/>
              <w:keepLines w:val="0"/>
              <w:pageBreakBefore w:val="0"/>
              <w:kinsoku/>
              <w:wordWrap/>
              <w:overflowPunct/>
              <w:topLinePunct w:val="0"/>
              <w:autoSpaceDE/>
              <w:autoSpaceDN/>
              <w:bidi w:val="0"/>
              <w:adjustRightInd/>
              <w:snapToGrid/>
              <w:ind w:left="0" w:right="0"/>
              <w:rPr>
                <w:rFonts w:ascii="Times New Roman" w:hAnsi="Times New Roman"/>
                <w:b/>
                <w:bCs/>
                <w:color w:val="auto"/>
                <w:sz w:val="21"/>
                <w:szCs w:val="21"/>
                <w:highlight w:val="none"/>
              </w:rPr>
            </w:pPr>
          </w:p>
        </w:tc>
        <w:tc>
          <w:tcPr>
            <w:tcW w:w="1181" w:type="dxa"/>
            <w:vAlign w:val="center"/>
          </w:tcPr>
          <w:p w14:paraId="656510A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产生量</w:t>
            </w:r>
          </w:p>
        </w:tc>
        <w:tc>
          <w:tcPr>
            <w:tcW w:w="1181" w:type="dxa"/>
            <w:vAlign w:val="center"/>
          </w:tcPr>
          <w:p w14:paraId="673660EC">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削减量</w:t>
            </w:r>
          </w:p>
        </w:tc>
        <w:tc>
          <w:tcPr>
            <w:tcW w:w="1182" w:type="dxa"/>
            <w:vAlign w:val="center"/>
          </w:tcPr>
          <w:p w14:paraId="028C4DEC">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排放量</w:t>
            </w:r>
          </w:p>
        </w:tc>
        <w:tc>
          <w:tcPr>
            <w:tcW w:w="1559" w:type="dxa"/>
            <w:vMerge w:val="continue"/>
            <w:vAlign w:val="center"/>
          </w:tcPr>
          <w:p w14:paraId="5BA10CD7">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c>
          <w:tcPr>
            <w:tcW w:w="1559" w:type="dxa"/>
            <w:vMerge w:val="continue"/>
            <w:vAlign w:val="center"/>
          </w:tcPr>
          <w:p w14:paraId="50FD2C2F">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c>
          <w:tcPr>
            <w:tcW w:w="1098" w:type="dxa"/>
            <w:vMerge w:val="continue"/>
            <w:vAlign w:val="center"/>
          </w:tcPr>
          <w:p w14:paraId="2B6B0B4C">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c>
          <w:tcPr>
            <w:tcW w:w="1261" w:type="dxa"/>
            <w:vMerge w:val="continue"/>
            <w:vAlign w:val="center"/>
          </w:tcPr>
          <w:p w14:paraId="1DD1C8D1">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r>
      <w:tr w14:paraId="3D51204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406" w:hRule="atLeast"/>
          <w:jc w:val="center"/>
        </w:trPr>
        <w:tc>
          <w:tcPr>
            <w:tcW w:w="732" w:type="dxa"/>
            <w:vMerge w:val="restart"/>
            <w:vAlign w:val="center"/>
          </w:tcPr>
          <w:p w14:paraId="3B16E83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有组织废气</w:t>
            </w:r>
          </w:p>
        </w:tc>
        <w:tc>
          <w:tcPr>
            <w:tcW w:w="1111" w:type="dxa"/>
            <w:vAlign w:val="center"/>
          </w:tcPr>
          <w:p w14:paraId="4CF96F0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1417" w:type="dxa"/>
            <w:vAlign w:val="center"/>
          </w:tcPr>
          <w:p w14:paraId="6DC4FE05">
            <w:pPr>
              <w:pStyle w:val="118"/>
              <w:keepNext w:val="0"/>
              <w:keepLines w:val="0"/>
              <w:pageBreakBefore w:val="0"/>
              <w:kinsoku/>
              <w:wordWrap/>
              <w:overflowPunct/>
              <w:topLinePunct w:val="0"/>
              <w:autoSpaceDE/>
              <w:autoSpaceDN/>
              <w:bidi w:val="0"/>
              <w:adjustRightInd/>
              <w:snapToGrid/>
              <w:ind w:left="0" w:right="0"/>
              <w:rPr>
                <w:rFonts w:ascii="Times New Roman" w:hAnsi="Times New Roman"/>
                <w:color w:val="auto"/>
                <w:sz w:val="21"/>
                <w:szCs w:val="21"/>
                <w:highlight w:val="none"/>
              </w:rPr>
            </w:pPr>
            <w:r>
              <w:rPr>
                <w:rFonts w:hint="eastAsia" w:ascii="Times New Roman" w:hAnsi="Times New Roman"/>
                <w:color w:val="auto"/>
                <w:sz w:val="21"/>
                <w:szCs w:val="21"/>
                <w:highlight w:val="none"/>
              </w:rPr>
              <w:t>0.667</w:t>
            </w:r>
          </w:p>
        </w:tc>
        <w:tc>
          <w:tcPr>
            <w:tcW w:w="1418" w:type="dxa"/>
            <w:vAlign w:val="center"/>
          </w:tcPr>
          <w:p w14:paraId="798217A5">
            <w:pPr>
              <w:pStyle w:val="118"/>
              <w:keepNext w:val="0"/>
              <w:keepLines w:val="0"/>
              <w:pageBreakBefore w:val="0"/>
              <w:kinsoku/>
              <w:wordWrap/>
              <w:overflowPunct/>
              <w:topLinePunct w:val="0"/>
              <w:autoSpaceDE/>
              <w:autoSpaceDN/>
              <w:bidi w:val="0"/>
              <w:adjustRightInd/>
              <w:snapToGrid/>
              <w:ind w:left="0" w:right="0"/>
              <w:rPr>
                <w:rFonts w:ascii="Times New Roman" w:hAnsi="Times New Roman"/>
                <w:color w:val="auto"/>
                <w:sz w:val="21"/>
                <w:szCs w:val="21"/>
                <w:highlight w:val="none"/>
              </w:rPr>
            </w:pPr>
            <w:r>
              <w:rPr>
                <w:rFonts w:hint="eastAsia" w:ascii="Times New Roman" w:hAnsi="Times New Roman"/>
                <w:color w:val="auto"/>
                <w:sz w:val="21"/>
                <w:szCs w:val="21"/>
                <w:highlight w:val="none"/>
              </w:rPr>
              <w:t>1.9924</w:t>
            </w:r>
          </w:p>
        </w:tc>
        <w:tc>
          <w:tcPr>
            <w:tcW w:w="1181" w:type="dxa"/>
            <w:vAlign w:val="center"/>
          </w:tcPr>
          <w:p w14:paraId="4303A8DA">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等线"/>
                <w:color w:val="auto"/>
                <w:sz w:val="21"/>
                <w:szCs w:val="21"/>
                <w:highlight w:val="none"/>
                <w:lang w:val="en-US" w:eastAsia="zh-CN"/>
              </w:rPr>
            </w:pPr>
            <w:r>
              <w:rPr>
                <w:rFonts w:hint="eastAsia" w:ascii="Times New Roman" w:hAnsi="Times New Roman" w:eastAsia="等线"/>
                <w:color w:val="auto"/>
                <w:sz w:val="21"/>
                <w:szCs w:val="21"/>
                <w:highlight w:val="none"/>
                <w:lang w:val="en-US" w:eastAsia="zh-CN"/>
              </w:rPr>
              <w:t>1.1602</w:t>
            </w:r>
          </w:p>
        </w:tc>
        <w:tc>
          <w:tcPr>
            <w:tcW w:w="1181" w:type="dxa"/>
            <w:vAlign w:val="center"/>
          </w:tcPr>
          <w:p w14:paraId="74F60DD1">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等线"/>
                <w:color w:val="auto"/>
                <w:sz w:val="21"/>
                <w:szCs w:val="21"/>
                <w:highlight w:val="none"/>
                <w:lang w:val="en-US" w:eastAsia="zh-CN"/>
              </w:rPr>
            </w:pPr>
            <w:r>
              <w:rPr>
                <w:rFonts w:hint="eastAsia" w:ascii="Times New Roman" w:hAnsi="Times New Roman" w:eastAsia="等线"/>
                <w:color w:val="auto"/>
                <w:sz w:val="21"/>
                <w:szCs w:val="21"/>
                <w:highlight w:val="none"/>
                <w:lang w:val="en-US" w:eastAsia="zh-CN"/>
              </w:rPr>
              <w:t>1.0442</w:t>
            </w:r>
          </w:p>
        </w:tc>
        <w:tc>
          <w:tcPr>
            <w:tcW w:w="1182" w:type="dxa"/>
            <w:vAlign w:val="center"/>
          </w:tcPr>
          <w:p w14:paraId="7758194C">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0.1160</w:t>
            </w:r>
          </w:p>
        </w:tc>
        <w:tc>
          <w:tcPr>
            <w:tcW w:w="1559" w:type="dxa"/>
            <w:vAlign w:val="center"/>
          </w:tcPr>
          <w:p w14:paraId="52698B60">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0.19924</w:t>
            </w:r>
          </w:p>
        </w:tc>
        <w:tc>
          <w:tcPr>
            <w:tcW w:w="1559" w:type="dxa"/>
            <w:vAlign w:val="center"/>
          </w:tcPr>
          <w:p w14:paraId="4FF97B95">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lang w:val="en-US" w:eastAsia="zh-CN"/>
              </w:rPr>
              <w:t>1.90916</w:t>
            </w:r>
          </w:p>
        </w:tc>
        <w:tc>
          <w:tcPr>
            <w:tcW w:w="1098" w:type="dxa"/>
            <w:vAlign w:val="center"/>
          </w:tcPr>
          <w:p w14:paraId="46A1F609">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ascii="Times New Roman" w:hAnsi="Times New Roman" w:eastAsia="宋体"/>
                <w:color w:val="auto"/>
                <w:sz w:val="21"/>
                <w:szCs w:val="21"/>
                <w:highlight w:val="none"/>
              </w:rPr>
            </w:pPr>
            <w:r>
              <w:rPr>
                <w:rFonts w:hint="eastAsia" w:ascii="Times New Roman" w:hAnsi="Times New Roman" w:cs="Times New Roman"/>
                <w:color w:val="auto"/>
                <w:sz w:val="21"/>
                <w:szCs w:val="21"/>
                <w:highlight w:val="none"/>
                <w:lang w:val="en-US" w:eastAsia="zh-CN"/>
              </w:rPr>
              <w:t>-0.08324</w:t>
            </w:r>
          </w:p>
        </w:tc>
        <w:tc>
          <w:tcPr>
            <w:tcW w:w="1261" w:type="dxa"/>
            <w:vMerge w:val="restart"/>
            <w:vAlign w:val="center"/>
          </w:tcPr>
          <w:p w14:paraId="401AC11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大气环境</w:t>
            </w:r>
          </w:p>
        </w:tc>
      </w:tr>
      <w:tr w14:paraId="7B35C63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406" w:hRule="atLeast"/>
          <w:jc w:val="center"/>
        </w:trPr>
        <w:tc>
          <w:tcPr>
            <w:tcW w:w="732" w:type="dxa"/>
            <w:vMerge w:val="continue"/>
            <w:vAlign w:val="center"/>
          </w:tcPr>
          <w:p w14:paraId="6E1280D9">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1111" w:type="dxa"/>
            <w:vAlign w:val="center"/>
          </w:tcPr>
          <w:p w14:paraId="420D19DD">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氮氧化物</w:t>
            </w:r>
          </w:p>
        </w:tc>
        <w:tc>
          <w:tcPr>
            <w:tcW w:w="1417" w:type="dxa"/>
            <w:vAlign w:val="center"/>
          </w:tcPr>
          <w:p w14:paraId="0CF8C16D">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1418" w:type="dxa"/>
            <w:vAlign w:val="center"/>
          </w:tcPr>
          <w:p w14:paraId="724308BB">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1181" w:type="dxa"/>
            <w:vAlign w:val="center"/>
          </w:tcPr>
          <w:p w14:paraId="6F8688BA">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等线"/>
                <w:color w:val="auto"/>
                <w:sz w:val="21"/>
                <w:szCs w:val="21"/>
                <w:highlight w:val="none"/>
                <w:lang w:val="en-US" w:eastAsia="zh-CN"/>
              </w:rPr>
            </w:pPr>
            <w:r>
              <w:rPr>
                <w:rFonts w:hint="eastAsia" w:ascii="Times New Roman" w:hAnsi="Times New Roman" w:eastAsia="等线"/>
                <w:color w:val="auto"/>
                <w:sz w:val="21"/>
                <w:szCs w:val="21"/>
                <w:highlight w:val="none"/>
                <w:lang w:val="en-US" w:eastAsia="zh-CN"/>
              </w:rPr>
              <w:t>0.00297</w:t>
            </w:r>
          </w:p>
        </w:tc>
        <w:tc>
          <w:tcPr>
            <w:tcW w:w="1181" w:type="dxa"/>
            <w:vAlign w:val="center"/>
          </w:tcPr>
          <w:p w14:paraId="38CB0844">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等线"/>
                <w:color w:val="auto"/>
                <w:sz w:val="21"/>
                <w:szCs w:val="21"/>
                <w:highlight w:val="none"/>
                <w:lang w:val="en-US" w:eastAsia="zh-CN"/>
              </w:rPr>
            </w:pPr>
            <w:r>
              <w:rPr>
                <w:rFonts w:hint="eastAsia" w:ascii="Times New Roman" w:hAnsi="Times New Roman" w:eastAsia="等线"/>
                <w:color w:val="auto"/>
                <w:sz w:val="21"/>
                <w:szCs w:val="21"/>
                <w:highlight w:val="none"/>
                <w:lang w:val="en-US" w:eastAsia="zh-CN"/>
              </w:rPr>
              <w:t>0.00267</w:t>
            </w:r>
          </w:p>
        </w:tc>
        <w:tc>
          <w:tcPr>
            <w:tcW w:w="1182" w:type="dxa"/>
            <w:vAlign w:val="center"/>
          </w:tcPr>
          <w:p w14:paraId="6CD67511">
            <w:pPr>
              <w:keepNext w:val="0"/>
              <w:keepLines w:val="0"/>
              <w:pageBreakBefore w:val="0"/>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0.0003</w:t>
            </w:r>
          </w:p>
        </w:tc>
        <w:tc>
          <w:tcPr>
            <w:tcW w:w="1559" w:type="dxa"/>
            <w:vAlign w:val="center"/>
          </w:tcPr>
          <w:p w14:paraId="29BB8B3B">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559" w:type="dxa"/>
            <w:vAlign w:val="center"/>
          </w:tcPr>
          <w:p w14:paraId="289FCAD5">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eastAsia" w:ascii="Times New Roman" w:hAnsi="Times New Roman" w:eastAsia="等线" w:cs="Times New Roman"/>
                <w:color w:val="auto"/>
                <w:sz w:val="21"/>
                <w:szCs w:val="21"/>
                <w:highlight w:val="none"/>
                <w:lang w:val="en-US" w:eastAsia="zh-CN" w:bidi="ar"/>
              </w:rPr>
              <w:t>0.0003</w:t>
            </w:r>
          </w:p>
        </w:tc>
        <w:tc>
          <w:tcPr>
            <w:tcW w:w="1098" w:type="dxa"/>
            <w:vAlign w:val="center"/>
          </w:tcPr>
          <w:p w14:paraId="459B6D08">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hint="eastAsia" w:ascii="Times New Roman" w:hAnsi="Times New Roman" w:eastAsia="宋体"/>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+0.0003</w:t>
            </w:r>
          </w:p>
        </w:tc>
        <w:tc>
          <w:tcPr>
            <w:tcW w:w="1261" w:type="dxa"/>
            <w:vMerge w:val="continue"/>
            <w:vAlign w:val="center"/>
          </w:tcPr>
          <w:p w14:paraId="65ADCAE1">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r>
      <w:tr w14:paraId="35861A9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406" w:hRule="atLeast"/>
          <w:jc w:val="center"/>
        </w:trPr>
        <w:tc>
          <w:tcPr>
            <w:tcW w:w="732" w:type="dxa"/>
            <w:vMerge w:val="restart"/>
            <w:vAlign w:val="center"/>
          </w:tcPr>
          <w:p w14:paraId="2C264BF7">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无组织废气</w:t>
            </w:r>
          </w:p>
        </w:tc>
        <w:tc>
          <w:tcPr>
            <w:tcW w:w="1111" w:type="dxa"/>
            <w:vAlign w:val="center"/>
          </w:tcPr>
          <w:p w14:paraId="08D1E80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非甲烷总烃（含甲醇）</w:t>
            </w:r>
          </w:p>
        </w:tc>
        <w:tc>
          <w:tcPr>
            <w:tcW w:w="1417" w:type="dxa"/>
            <w:vAlign w:val="center"/>
          </w:tcPr>
          <w:p w14:paraId="636FE6B4">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w:t>
            </w:r>
          </w:p>
        </w:tc>
        <w:tc>
          <w:tcPr>
            <w:tcW w:w="1418" w:type="dxa"/>
            <w:vAlign w:val="center"/>
          </w:tcPr>
          <w:p w14:paraId="6ACE964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0.0275</w:t>
            </w:r>
          </w:p>
        </w:tc>
        <w:tc>
          <w:tcPr>
            <w:tcW w:w="1181" w:type="dxa"/>
            <w:vAlign w:val="center"/>
          </w:tcPr>
          <w:p w14:paraId="16D50CF3">
            <w:pPr>
              <w:keepNext w:val="0"/>
              <w:keepLines w:val="0"/>
              <w:pageBreakBefore w:val="0"/>
              <w:widowControl/>
              <w:kinsoku/>
              <w:wordWrap/>
              <w:overflowPunct/>
              <w:topLinePunct w:val="0"/>
              <w:autoSpaceDE/>
              <w:autoSpaceDN/>
              <w:bidi w:val="0"/>
              <w:adjustRightInd/>
              <w:snapToGrid/>
              <w:ind w:left="0" w:leftChars="0" w:right="0" w:rightChars="0"/>
              <w:jc w:val="center"/>
              <w:rPr>
                <w:color w:val="auto"/>
                <w:sz w:val="21"/>
                <w:szCs w:val="21"/>
                <w:highlight w:val="none"/>
              </w:rPr>
            </w:pPr>
            <w:r>
              <w:rPr>
                <w:rFonts w:hint="eastAsia" w:ascii="Times New Roman" w:hAnsi="Times New Roman" w:cs="Times New Roman"/>
                <w:color w:val="auto"/>
                <w:sz w:val="21"/>
                <w:szCs w:val="21"/>
                <w:highlight w:val="none"/>
                <w:lang w:val="en-US" w:eastAsia="zh-CN"/>
              </w:rPr>
              <w:t>0.0248</w:t>
            </w:r>
          </w:p>
        </w:tc>
        <w:tc>
          <w:tcPr>
            <w:tcW w:w="1181" w:type="dxa"/>
            <w:vAlign w:val="center"/>
          </w:tcPr>
          <w:p w14:paraId="7697C841">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182" w:type="dxa"/>
            <w:vAlign w:val="center"/>
          </w:tcPr>
          <w:p w14:paraId="111B7200">
            <w:pPr>
              <w:keepNext w:val="0"/>
              <w:keepLines w:val="0"/>
              <w:pageBreakBefore w:val="0"/>
              <w:widowControl/>
              <w:kinsoku/>
              <w:wordWrap/>
              <w:overflowPunct/>
              <w:topLinePunct w:val="0"/>
              <w:autoSpaceDE/>
              <w:autoSpaceDN/>
              <w:bidi w:val="0"/>
              <w:adjustRightInd/>
              <w:snapToGrid/>
              <w:ind w:left="0" w:leftChars="0" w:right="0" w:rightChars="0"/>
              <w:jc w:val="center"/>
              <w:rPr>
                <w:color w:val="auto"/>
                <w:sz w:val="21"/>
                <w:szCs w:val="21"/>
                <w:highlight w:val="none"/>
              </w:rPr>
            </w:pPr>
            <w:r>
              <w:rPr>
                <w:rFonts w:hint="eastAsia" w:ascii="Times New Roman" w:hAnsi="Times New Roman" w:cs="Times New Roman"/>
                <w:color w:val="auto"/>
                <w:sz w:val="21"/>
                <w:szCs w:val="21"/>
                <w:highlight w:val="none"/>
                <w:lang w:val="en-US" w:eastAsia="zh-CN"/>
              </w:rPr>
              <w:t>0.0248</w:t>
            </w:r>
          </w:p>
        </w:tc>
        <w:tc>
          <w:tcPr>
            <w:tcW w:w="1559" w:type="dxa"/>
            <w:vAlign w:val="center"/>
          </w:tcPr>
          <w:p w14:paraId="28F1526A">
            <w:pPr>
              <w:pStyle w:val="118"/>
              <w:keepNext w:val="0"/>
              <w:keepLines w:val="0"/>
              <w:pageBreakBefore w:val="0"/>
              <w:kinsoku/>
              <w:wordWrap/>
              <w:overflowPunct/>
              <w:topLinePunct w:val="0"/>
              <w:autoSpaceDE/>
              <w:autoSpaceDN/>
              <w:bidi w:val="0"/>
              <w:adjustRightInd/>
              <w:snapToGrid/>
              <w:ind w:left="0" w:right="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0.00275</w:t>
            </w:r>
          </w:p>
        </w:tc>
        <w:tc>
          <w:tcPr>
            <w:tcW w:w="1559" w:type="dxa"/>
            <w:vAlign w:val="center"/>
          </w:tcPr>
          <w:p w14:paraId="6592C169">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color w:val="auto"/>
                <w:sz w:val="21"/>
                <w:szCs w:val="21"/>
                <w:highlight w:val="none"/>
              </w:rPr>
            </w:pPr>
            <w:r>
              <w:rPr>
                <w:rFonts w:hint="eastAsia" w:ascii="Times New Roman" w:hAnsi="Times New Roman" w:cs="Times New Roman"/>
                <w:color w:val="auto"/>
                <w:sz w:val="21"/>
                <w:szCs w:val="21"/>
                <w:highlight w:val="none"/>
                <w:lang w:val="en-US" w:eastAsia="zh-CN"/>
              </w:rPr>
              <w:t>0.04955</w:t>
            </w:r>
          </w:p>
        </w:tc>
        <w:tc>
          <w:tcPr>
            <w:tcW w:w="1098" w:type="dxa"/>
            <w:vAlign w:val="center"/>
          </w:tcPr>
          <w:p w14:paraId="57331593">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color w:val="auto"/>
                <w:sz w:val="21"/>
                <w:szCs w:val="21"/>
                <w:highlight w:val="none"/>
              </w:rPr>
            </w:pPr>
            <w:r>
              <w:rPr>
                <w:rFonts w:hint="eastAsia" w:ascii="Times New Roman" w:hAnsi="Times New Roman" w:cs="Times New Roman"/>
                <w:color w:val="auto"/>
                <w:sz w:val="21"/>
                <w:szCs w:val="21"/>
                <w:highlight w:val="none"/>
                <w:lang w:val="en-US" w:eastAsia="zh-CN"/>
              </w:rPr>
              <w:t>+0.02205</w:t>
            </w:r>
          </w:p>
        </w:tc>
        <w:tc>
          <w:tcPr>
            <w:tcW w:w="1261" w:type="dxa"/>
            <w:vMerge w:val="continue"/>
            <w:vAlign w:val="center"/>
          </w:tcPr>
          <w:p w14:paraId="16C8E491">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00C9DD9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406" w:hRule="atLeast"/>
          <w:jc w:val="center"/>
        </w:trPr>
        <w:tc>
          <w:tcPr>
            <w:tcW w:w="732" w:type="dxa"/>
            <w:vMerge w:val="continue"/>
            <w:vAlign w:val="center"/>
          </w:tcPr>
          <w:p w14:paraId="12C58CF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1111" w:type="dxa"/>
            <w:vAlign w:val="center"/>
          </w:tcPr>
          <w:p w14:paraId="5043130E">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氮氧化物</w:t>
            </w:r>
          </w:p>
        </w:tc>
        <w:tc>
          <w:tcPr>
            <w:tcW w:w="1417" w:type="dxa"/>
            <w:vAlign w:val="center"/>
          </w:tcPr>
          <w:p w14:paraId="1EDE2C1E">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418" w:type="dxa"/>
            <w:vAlign w:val="center"/>
          </w:tcPr>
          <w:p w14:paraId="71AB2EFC">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181" w:type="dxa"/>
            <w:vAlign w:val="center"/>
          </w:tcPr>
          <w:p w14:paraId="0A23592A">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1181" w:type="dxa"/>
            <w:vAlign w:val="center"/>
          </w:tcPr>
          <w:p w14:paraId="52A28CB8">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182" w:type="dxa"/>
            <w:vAlign w:val="center"/>
          </w:tcPr>
          <w:p w14:paraId="5F8267AC">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0.00003</w:t>
            </w:r>
          </w:p>
        </w:tc>
        <w:tc>
          <w:tcPr>
            <w:tcW w:w="1559" w:type="dxa"/>
            <w:vAlign w:val="center"/>
          </w:tcPr>
          <w:p w14:paraId="3707C654">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559" w:type="dxa"/>
            <w:vAlign w:val="center"/>
          </w:tcPr>
          <w:p w14:paraId="381D3CA1">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eastAsia" w:ascii="Times New Roman" w:hAnsi="Times New Roman" w:eastAsia="等线" w:cs="Times New Roman"/>
                <w:color w:val="auto"/>
                <w:sz w:val="21"/>
                <w:szCs w:val="21"/>
                <w:highlight w:val="none"/>
                <w:lang w:val="en-US" w:eastAsia="zh-CN" w:bidi="ar"/>
              </w:rPr>
              <w:t>0.00003</w:t>
            </w:r>
          </w:p>
        </w:tc>
        <w:tc>
          <w:tcPr>
            <w:tcW w:w="1098" w:type="dxa"/>
            <w:vAlign w:val="center"/>
          </w:tcPr>
          <w:p w14:paraId="2A009B44">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hint="eastAsia"/>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+0.00003</w:t>
            </w:r>
          </w:p>
        </w:tc>
        <w:tc>
          <w:tcPr>
            <w:tcW w:w="1261" w:type="dxa"/>
            <w:vMerge w:val="continue"/>
            <w:vAlign w:val="center"/>
          </w:tcPr>
          <w:p w14:paraId="495F7961">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3B16207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406" w:hRule="atLeast"/>
          <w:jc w:val="center"/>
        </w:trPr>
        <w:tc>
          <w:tcPr>
            <w:tcW w:w="732" w:type="dxa"/>
            <w:vMerge w:val="continue"/>
            <w:vAlign w:val="center"/>
          </w:tcPr>
          <w:p w14:paraId="084ED1F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p>
        </w:tc>
        <w:tc>
          <w:tcPr>
            <w:tcW w:w="1111" w:type="dxa"/>
            <w:vAlign w:val="center"/>
          </w:tcPr>
          <w:p w14:paraId="17E26B15">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甲醇</w:t>
            </w:r>
          </w:p>
        </w:tc>
        <w:tc>
          <w:tcPr>
            <w:tcW w:w="1417" w:type="dxa"/>
            <w:vAlign w:val="center"/>
          </w:tcPr>
          <w:p w14:paraId="17B19F57">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418" w:type="dxa"/>
            <w:vAlign w:val="center"/>
          </w:tcPr>
          <w:p w14:paraId="0DC28F71">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181" w:type="dxa"/>
            <w:vAlign w:val="center"/>
          </w:tcPr>
          <w:p w14:paraId="53C78C55">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1181" w:type="dxa"/>
            <w:vAlign w:val="center"/>
          </w:tcPr>
          <w:p w14:paraId="0C27854F">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182" w:type="dxa"/>
            <w:vAlign w:val="center"/>
          </w:tcPr>
          <w:p w14:paraId="3CEA3551">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0.0008</w:t>
            </w:r>
          </w:p>
        </w:tc>
        <w:tc>
          <w:tcPr>
            <w:tcW w:w="1559" w:type="dxa"/>
            <w:vAlign w:val="center"/>
          </w:tcPr>
          <w:p w14:paraId="54AF4424">
            <w:pPr>
              <w:pStyle w:val="118"/>
              <w:keepNext w:val="0"/>
              <w:keepLines w:val="0"/>
              <w:pageBreakBefore w:val="0"/>
              <w:kinsoku/>
              <w:wordWrap/>
              <w:overflowPunct/>
              <w:topLinePunct w:val="0"/>
              <w:autoSpaceDE/>
              <w:autoSpaceDN/>
              <w:bidi w:val="0"/>
              <w:adjustRightInd/>
              <w:snapToGrid/>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1559" w:type="dxa"/>
            <w:vAlign w:val="center"/>
          </w:tcPr>
          <w:p w14:paraId="3AF4A9C3">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ascii="Times New Roman" w:hAnsi="Times New Roman" w:eastAsia="等线" w:cs="Times New Roman"/>
                <w:color w:val="auto"/>
                <w:sz w:val="21"/>
                <w:szCs w:val="21"/>
                <w:highlight w:val="none"/>
                <w:lang w:bidi="ar"/>
              </w:rPr>
            </w:pPr>
            <w:r>
              <w:rPr>
                <w:rFonts w:hint="eastAsia" w:ascii="Times New Roman" w:hAnsi="Times New Roman" w:eastAsia="等线" w:cs="Times New Roman"/>
                <w:color w:val="auto"/>
                <w:sz w:val="21"/>
                <w:szCs w:val="21"/>
                <w:highlight w:val="none"/>
                <w:lang w:val="en-US" w:eastAsia="zh-CN" w:bidi="ar"/>
              </w:rPr>
              <w:t>0.0008</w:t>
            </w:r>
          </w:p>
        </w:tc>
        <w:tc>
          <w:tcPr>
            <w:tcW w:w="1098" w:type="dxa"/>
            <w:vAlign w:val="center"/>
          </w:tcPr>
          <w:p w14:paraId="27F628FE">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hint="eastAsia"/>
                <w:color w:val="auto"/>
                <w:sz w:val="21"/>
                <w:szCs w:val="21"/>
                <w:highlight w:val="none"/>
              </w:rPr>
            </w:pPr>
            <w:r>
              <w:rPr>
                <w:rFonts w:hint="eastAsia" w:ascii="Times New Roman" w:hAnsi="Times New Roman" w:eastAsia="等线" w:cs="Times New Roman"/>
                <w:color w:val="auto"/>
                <w:sz w:val="21"/>
                <w:szCs w:val="21"/>
                <w:highlight w:val="none"/>
                <w:lang w:val="en-US" w:eastAsia="zh-CN" w:bidi="ar"/>
              </w:rPr>
              <w:t>+0.0008</w:t>
            </w:r>
          </w:p>
        </w:tc>
        <w:tc>
          <w:tcPr>
            <w:tcW w:w="1261" w:type="dxa"/>
            <w:vMerge w:val="continue"/>
            <w:vAlign w:val="center"/>
          </w:tcPr>
          <w:p w14:paraId="03FE0F9E">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6B811CA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3" w:hRule="atLeast"/>
          <w:jc w:val="center"/>
        </w:trPr>
        <w:tc>
          <w:tcPr>
            <w:tcW w:w="732" w:type="dxa"/>
            <w:vMerge w:val="restart"/>
            <w:vAlign w:val="center"/>
          </w:tcPr>
          <w:p w14:paraId="1F3026BB">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接管生活污水</w:t>
            </w:r>
          </w:p>
        </w:tc>
        <w:tc>
          <w:tcPr>
            <w:tcW w:w="1111" w:type="dxa"/>
            <w:vAlign w:val="center"/>
          </w:tcPr>
          <w:p w14:paraId="4481895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废</w:t>
            </w:r>
            <w:r>
              <w:rPr>
                <w:rFonts w:ascii="Times New Roman" w:hAnsi="Times New Roman" w:eastAsia="宋体"/>
                <w:color w:val="auto"/>
                <w:sz w:val="21"/>
                <w:szCs w:val="21"/>
                <w:highlight w:val="none"/>
              </w:rPr>
              <w:t>水量</w:t>
            </w:r>
          </w:p>
        </w:tc>
        <w:tc>
          <w:tcPr>
            <w:tcW w:w="1417" w:type="dxa"/>
            <w:vAlign w:val="center"/>
          </w:tcPr>
          <w:p w14:paraId="391E138D">
            <w:pPr>
              <w:pStyle w:val="118"/>
              <w:keepNext w:val="0"/>
              <w:keepLines w:val="0"/>
              <w:pageBreakBefore w:val="0"/>
              <w:kinsoku/>
              <w:wordWrap/>
              <w:overflowPunct/>
              <w:topLinePunct w:val="0"/>
              <w:autoSpaceDE/>
              <w:autoSpaceDN/>
              <w:bidi w:val="0"/>
              <w:adjustRightInd/>
              <w:snapToGrid/>
              <w:ind w:left="0" w:right="0"/>
              <w:rPr>
                <w:rFonts w:ascii="Times New Roman" w:hAnsi="Times New Roman"/>
                <w:color w:val="auto"/>
                <w:sz w:val="21"/>
                <w:szCs w:val="21"/>
                <w:highlight w:val="none"/>
              </w:rPr>
            </w:pPr>
            <w:r>
              <w:rPr>
                <w:rFonts w:hint="eastAsia" w:ascii="Times New Roman" w:hAnsi="Times New Roman"/>
                <w:color w:val="auto"/>
                <w:sz w:val="21"/>
                <w:szCs w:val="21"/>
                <w:highlight w:val="none"/>
              </w:rPr>
              <w:t>4300</w:t>
            </w:r>
          </w:p>
        </w:tc>
        <w:tc>
          <w:tcPr>
            <w:tcW w:w="1418" w:type="dxa"/>
            <w:vAlign w:val="center"/>
          </w:tcPr>
          <w:p w14:paraId="667D4E2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3800</w:t>
            </w:r>
          </w:p>
        </w:tc>
        <w:tc>
          <w:tcPr>
            <w:tcW w:w="1181" w:type="dxa"/>
            <w:vAlign w:val="center"/>
          </w:tcPr>
          <w:p w14:paraId="654A016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53C93DE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00C26793">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496E41A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69CBDB14">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3800</w:t>
            </w:r>
          </w:p>
        </w:tc>
        <w:tc>
          <w:tcPr>
            <w:tcW w:w="1098" w:type="dxa"/>
            <w:vAlign w:val="center"/>
          </w:tcPr>
          <w:p w14:paraId="1182AEF4">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restart"/>
            <w:vAlign w:val="center"/>
          </w:tcPr>
          <w:p w14:paraId="43CC1B5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经无锡先进化药化工有限公司处理达标后接入无锡市锡山云林污水处理有限公司</w:t>
            </w:r>
          </w:p>
        </w:tc>
      </w:tr>
      <w:tr w14:paraId="4C6EEA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4" w:hRule="atLeast"/>
          <w:jc w:val="center"/>
        </w:trPr>
        <w:tc>
          <w:tcPr>
            <w:tcW w:w="732" w:type="dxa"/>
            <w:vMerge w:val="continue"/>
            <w:vAlign w:val="center"/>
          </w:tcPr>
          <w:p w14:paraId="0E23D6FA">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0151698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COD</w:t>
            </w:r>
          </w:p>
        </w:tc>
        <w:tc>
          <w:tcPr>
            <w:tcW w:w="1417" w:type="dxa"/>
            <w:vAlign w:val="center"/>
          </w:tcPr>
          <w:p w14:paraId="0D0FBC38">
            <w:pPr>
              <w:pStyle w:val="118"/>
              <w:keepNext w:val="0"/>
              <w:keepLines w:val="0"/>
              <w:pageBreakBefore w:val="0"/>
              <w:kinsoku/>
              <w:wordWrap/>
              <w:overflowPunct/>
              <w:topLinePunct w:val="0"/>
              <w:autoSpaceDE/>
              <w:autoSpaceDN/>
              <w:bidi w:val="0"/>
              <w:adjustRightInd/>
              <w:snapToGrid/>
              <w:ind w:left="0" w:right="0"/>
              <w:rPr>
                <w:rFonts w:ascii="Times New Roman" w:hAnsi="Times New Roman"/>
                <w:color w:val="auto"/>
                <w:sz w:val="21"/>
                <w:szCs w:val="21"/>
                <w:highlight w:val="none"/>
              </w:rPr>
            </w:pPr>
            <w:r>
              <w:rPr>
                <w:rFonts w:hint="eastAsia" w:ascii="Times New Roman" w:hAnsi="Times New Roman"/>
                <w:color w:val="auto"/>
                <w:sz w:val="21"/>
                <w:szCs w:val="21"/>
                <w:highlight w:val="none"/>
              </w:rPr>
              <w:t>0.65</w:t>
            </w:r>
          </w:p>
        </w:tc>
        <w:tc>
          <w:tcPr>
            <w:tcW w:w="1418" w:type="dxa"/>
            <w:vAlign w:val="center"/>
          </w:tcPr>
          <w:p w14:paraId="7DE5D4C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0.5</w:t>
            </w:r>
          </w:p>
        </w:tc>
        <w:tc>
          <w:tcPr>
            <w:tcW w:w="1181" w:type="dxa"/>
            <w:vAlign w:val="center"/>
          </w:tcPr>
          <w:p w14:paraId="0A030B27">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603F315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12B52BD6">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7F146C9F">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64F06DC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0.5</w:t>
            </w:r>
          </w:p>
        </w:tc>
        <w:tc>
          <w:tcPr>
            <w:tcW w:w="1098" w:type="dxa"/>
            <w:vAlign w:val="center"/>
          </w:tcPr>
          <w:p w14:paraId="53F1069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7A721FE1">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173A45B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3" w:hRule="atLeast"/>
          <w:jc w:val="center"/>
        </w:trPr>
        <w:tc>
          <w:tcPr>
            <w:tcW w:w="732" w:type="dxa"/>
            <w:vMerge w:val="continue"/>
            <w:vAlign w:val="center"/>
          </w:tcPr>
          <w:p w14:paraId="12550DF4">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3BB4897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SS</w:t>
            </w:r>
          </w:p>
        </w:tc>
        <w:tc>
          <w:tcPr>
            <w:tcW w:w="1417" w:type="dxa"/>
            <w:vAlign w:val="center"/>
          </w:tcPr>
          <w:p w14:paraId="2D74E2B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15"/>
                <w:highlight w:val="none"/>
              </w:rPr>
              <w:t>0.268</w:t>
            </w:r>
          </w:p>
        </w:tc>
        <w:tc>
          <w:tcPr>
            <w:tcW w:w="1418" w:type="dxa"/>
            <w:vAlign w:val="center"/>
          </w:tcPr>
          <w:p w14:paraId="4E2DEC1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0.248</w:t>
            </w:r>
          </w:p>
        </w:tc>
        <w:tc>
          <w:tcPr>
            <w:tcW w:w="1181" w:type="dxa"/>
            <w:vAlign w:val="center"/>
          </w:tcPr>
          <w:p w14:paraId="25E4ABFD">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3FE1D340">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1CC16F40">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5B855BD3">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52330F91">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0.248</w:t>
            </w:r>
          </w:p>
        </w:tc>
        <w:tc>
          <w:tcPr>
            <w:tcW w:w="1098" w:type="dxa"/>
            <w:vAlign w:val="center"/>
          </w:tcPr>
          <w:p w14:paraId="6E75DA4D">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78C00843">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4BE5851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4" w:hRule="atLeast"/>
          <w:jc w:val="center"/>
        </w:trPr>
        <w:tc>
          <w:tcPr>
            <w:tcW w:w="732" w:type="dxa"/>
            <w:vMerge w:val="continue"/>
            <w:vAlign w:val="center"/>
          </w:tcPr>
          <w:p w14:paraId="75F7329A">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1BE397B8">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ascii="Times New Roman" w:hAnsi="Times New Roman" w:eastAsia="宋体"/>
                <w:color w:val="auto"/>
                <w:sz w:val="21"/>
                <w:szCs w:val="21"/>
                <w:highlight w:val="none"/>
              </w:rPr>
              <w:t>-N</w:t>
            </w:r>
          </w:p>
        </w:tc>
        <w:tc>
          <w:tcPr>
            <w:tcW w:w="1417" w:type="dxa"/>
            <w:vAlign w:val="center"/>
          </w:tcPr>
          <w:p w14:paraId="6EDFB922">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15"/>
                <w:highlight w:val="none"/>
              </w:rPr>
              <w:t>0.06</w:t>
            </w:r>
          </w:p>
        </w:tc>
        <w:tc>
          <w:tcPr>
            <w:tcW w:w="1418" w:type="dxa"/>
            <w:vAlign w:val="center"/>
          </w:tcPr>
          <w:p w14:paraId="52991EAE">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0.06</w:t>
            </w:r>
          </w:p>
        </w:tc>
        <w:tc>
          <w:tcPr>
            <w:tcW w:w="1181" w:type="dxa"/>
            <w:vAlign w:val="center"/>
          </w:tcPr>
          <w:p w14:paraId="6480E016">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1F2DEE0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45C83E33">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6225063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1926E40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0.06</w:t>
            </w:r>
          </w:p>
        </w:tc>
        <w:tc>
          <w:tcPr>
            <w:tcW w:w="1098" w:type="dxa"/>
            <w:vAlign w:val="center"/>
          </w:tcPr>
          <w:p w14:paraId="2CF0D83D">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6F4CBA81">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5236123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3" w:hRule="atLeast"/>
          <w:jc w:val="center"/>
        </w:trPr>
        <w:tc>
          <w:tcPr>
            <w:tcW w:w="732" w:type="dxa"/>
            <w:vMerge w:val="continue"/>
            <w:vAlign w:val="center"/>
          </w:tcPr>
          <w:p w14:paraId="25C96B24">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2276BCC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TP</w:t>
            </w:r>
          </w:p>
        </w:tc>
        <w:tc>
          <w:tcPr>
            <w:tcW w:w="1417" w:type="dxa"/>
            <w:vAlign w:val="center"/>
          </w:tcPr>
          <w:p w14:paraId="05F4B7D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15"/>
                <w:highlight w:val="none"/>
              </w:rPr>
              <w:t>0.004</w:t>
            </w:r>
          </w:p>
        </w:tc>
        <w:tc>
          <w:tcPr>
            <w:tcW w:w="1418" w:type="dxa"/>
            <w:vAlign w:val="center"/>
          </w:tcPr>
          <w:p w14:paraId="2A4F72CE">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0.004</w:t>
            </w:r>
          </w:p>
        </w:tc>
        <w:tc>
          <w:tcPr>
            <w:tcW w:w="1181" w:type="dxa"/>
            <w:vAlign w:val="center"/>
          </w:tcPr>
          <w:p w14:paraId="2EB833FE">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249F370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6CA926D5">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279FAF52">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3745BA5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0.004</w:t>
            </w:r>
          </w:p>
        </w:tc>
        <w:tc>
          <w:tcPr>
            <w:tcW w:w="1098" w:type="dxa"/>
            <w:vAlign w:val="center"/>
          </w:tcPr>
          <w:p w14:paraId="59404EEA">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4DA9381E">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4DB6F1C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4" w:hRule="atLeast"/>
          <w:jc w:val="center"/>
        </w:trPr>
        <w:tc>
          <w:tcPr>
            <w:tcW w:w="732" w:type="dxa"/>
            <w:vMerge w:val="continue"/>
            <w:vAlign w:val="center"/>
          </w:tcPr>
          <w:p w14:paraId="3C135682">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51911EE3">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TN</w:t>
            </w:r>
          </w:p>
        </w:tc>
        <w:tc>
          <w:tcPr>
            <w:tcW w:w="1417" w:type="dxa"/>
            <w:vAlign w:val="center"/>
          </w:tcPr>
          <w:p w14:paraId="7458910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15"/>
                <w:highlight w:val="none"/>
              </w:rPr>
              <w:t>0.1188</w:t>
            </w:r>
          </w:p>
        </w:tc>
        <w:tc>
          <w:tcPr>
            <w:tcW w:w="1418" w:type="dxa"/>
            <w:vAlign w:val="center"/>
          </w:tcPr>
          <w:p w14:paraId="27C18BFC">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0.1188</w:t>
            </w:r>
          </w:p>
        </w:tc>
        <w:tc>
          <w:tcPr>
            <w:tcW w:w="1181" w:type="dxa"/>
            <w:vAlign w:val="center"/>
          </w:tcPr>
          <w:p w14:paraId="44484FDE">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517B3EE7">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6BD0D6BC">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684FB53B">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7D41B5B9">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0.1188</w:t>
            </w:r>
          </w:p>
        </w:tc>
        <w:tc>
          <w:tcPr>
            <w:tcW w:w="1098" w:type="dxa"/>
            <w:vAlign w:val="center"/>
          </w:tcPr>
          <w:p w14:paraId="33E9FA3F">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6BF9A553">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0FAE994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4" w:hRule="atLeast"/>
          <w:jc w:val="center"/>
        </w:trPr>
        <w:tc>
          <w:tcPr>
            <w:tcW w:w="732" w:type="dxa"/>
            <w:vMerge w:val="continue"/>
            <w:vAlign w:val="center"/>
          </w:tcPr>
          <w:p w14:paraId="3C52D537">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0959A677">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石油类</w:t>
            </w:r>
          </w:p>
        </w:tc>
        <w:tc>
          <w:tcPr>
            <w:tcW w:w="1417" w:type="dxa"/>
            <w:vAlign w:val="center"/>
          </w:tcPr>
          <w:p w14:paraId="5108306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s="Times New Roman"/>
                <w:color w:val="auto"/>
                <w:sz w:val="21"/>
                <w:szCs w:val="15"/>
                <w:highlight w:val="none"/>
              </w:rPr>
              <w:t>0.0135</w:t>
            </w:r>
          </w:p>
        </w:tc>
        <w:tc>
          <w:tcPr>
            <w:tcW w:w="1418" w:type="dxa"/>
            <w:vAlign w:val="center"/>
          </w:tcPr>
          <w:p w14:paraId="40209944">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w:t>
            </w:r>
          </w:p>
        </w:tc>
        <w:tc>
          <w:tcPr>
            <w:tcW w:w="1181" w:type="dxa"/>
            <w:vAlign w:val="center"/>
          </w:tcPr>
          <w:p w14:paraId="6AFB030B">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181" w:type="dxa"/>
            <w:vAlign w:val="center"/>
          </w:tcPr>
          <w:p w14:paraId="7984B4E4">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182" w:type="dxa"/>
            <w:vAlign w:val="center"/>
          </w:tcPr>
          <w:p w14:paraId="34136E3A">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2E1161A6">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559" w:type="dxa"/>
            <w:vAlign w:val="center"/>
          </w:tcPr>
          <w:p w14:paraId="3B327015">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18"/>
                <w:highlight w:val="none"/>
              </w:rPr>
            </w:pPr>
            <w:r>
              <w:rPr>
                <w:rFonts w:hint="eastAsia" w:ascii="Times New Roman" w:hAnsi="Times New Roman" w:cs="Times New Roman"/>
                <w:color w:val="auto"/>
                <w:sz w:val="21"/>
                <w:szCs w:val="15"/>
                <w:highlight w:val="none"/>
              </w:rPr>
              <w:t>0</w:t>
            </w:r>
          </w:p>
        </w:tc>
        <w:tc>
          <w:tcPr>
            <w:tcW w:w="1098" w:type="dxa"/>
            <w:vAlign w:val="center"/>
          </w:tcPr>
          <w:p w14:paraId="2A25AED8">
            <w:pPr>
              <w:keepNext w:val="0"/>
              <w:keepLines w:val="0"/>
              <w:pageBreakBefore w:val="0"/>
              <w:kinsoku/>
              <w:wordWrap/>
              <w:overflowPunct/>
              <w:topLinePunct w:val="0"/>
              <w:autoSpaceDE/>
              <w:autoSpaceDN/>
              <w:bidi w:val="0"/>
              <w:adjustRightInd/>
              <w:snapToGrid/>
              <w:ind w:left="0" w:right="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w:t>
            </w:r>
          </w:p>
        </w:tc>
        <w:tc>
          <w:tcPr>
            <w:tcW w:w="1261" w:type="dxa"/>
            <w:vMerge w:val="continue"/>
            <w:vAlign w:val="center"/>
          </w:tcPr>
          <w:p w14:paraId="0AF8CFCE">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r>
      <w:tr w14:paraId="45024E2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547" w:hRule="atLeast"/>
          <w:jc w:val="center"/>
        </w:trPr>
        <w:tc>
          <w:tcPr>
            <w:tcW w:w="732" w:type="dxa"/>
            <w:vMerge w:val="restart"/>
            <w:vAlign w:val="center"/>
          </w:tcPr>
          <w:p w14:paraId="31FFDDB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固废</w:t>
            </w:r>
          </w:p>
        </w:tc>
        <w:tc>
          <w:tcPr>
            <w:tcW w:w="1111" w:type="dxa"/>
            <w:vAlign w:val="center"/>
          </w:tcPr>
          <w:p w14:paraId="72E0F990">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污染物类别</w:t>
            </w:r>
          </w:p>
        </w:tc>
        <w:tc>
          <w:tcPr>
            <w:tcW w:w="1417" w:type="dxa"/>
            <w:vAlign w:val="center"/>
          </w:tcPr>
          <w:p w14:paraId="146A685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环评批复量</w:t>
            </w:r>
            <w:r>
              <w:rPr>
                <w:rFonts w:ascii="Times New Roman" w:hAnsi="Times New Roman" w:eastAsia="宋体"/>
                <w:b/>
                <w:bCs/>
                <w:color w:val="auto"/>
                <w:sz w:val="21"/>
                <w:szCs w:val="21"/>
                <w:highlight w:val="none"/>
              </w:rPr>
              <w:t>量</w:t>
            </w:r>
          </w:p>
        </w:tc>
        <w:tc>
          <w:tcPr>
            <w:tcW w:w="1418" w:type="dxa"/>
            <w:vAlign w:val="center"/>
          </w:tcPr>
          <w:p w14:paraId="4D87B976">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现有项目排放量*</w:t>
            </w:r>
          </w:p>
        </w:tc>
        <w:tc>
          <w:tcPr>
            <w:tcW w:w="1181" w:type="dxa"/>
            <w:vAlign w:val="center"/>
          </w:tcPr>
          <w:p w14:paraId="1B86B16C">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产生量</w:t>
            </w:r>
          </w:p>
        </w:tc>
        <w:tc>
          <w:tcPr>
            <w:tcW w:w="1181" w:type="dxa"/>
            <w:vAlign w:val="center"/>
          </w:tcPr>
          <w:p w14:paraId="43B89FE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处理处置量</w:t>
            </w:r>
          </w:p>
        </w:tc>
        <w:tc>
          <w:tcPr>
            <w:tcW w:w="1182" w:type="dxa"/>
            <w:vAlign w:val="center"/>
          </w:tcPr>
          <w:p w14:paraId="60B5186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综合利用量</w:t>
            </w:r>
          </w:p>
        </w:tc>
        <w:tc>
          <w:tcPr>
            <w:tcW w:w="1559" w:type="dxa"/>
            <w:vAlign w:val="center"/>
          </w:tcPr>
          <w:p w14:paraId="30FBCAA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外排量</w:t>
            </w:r>
          </w:p>
        </w:tc>
        <w:tc>
          <w:tcPr>
            <w:tcW w:w="1559" w:type="dxa"/>
            <w:vAlign w:val="center"/>
          </w:tcPr>
          <w:p w14:paraId="7948834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全厂排放量</w:t>
            </w:r>
          </w:p>
        </w:tc>
        <w:tc>
          <w:tcPr>
            <w:tcW w:w="1098" w:type="dxa"/>
            <w:vAlign w:val="center"/>
          </w:tcPr>
          <w:p w14:paraId="7A3DEED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增减量</w:t>
            </w:r>
          </w:p>
        </w:tc>
        <w:tc>
          <w:tcPr>
            <w:tcW w:w="1261" w:type="dxa"/>
            <w:vMerge w:val="restart"/>
            <w:vAlign w:val="center"/>
          </w:tcPr>
          <w:p w14:paraId="0EEA0CE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w:t>
            </w:r>
          </w:p>
        </w:tc>
      </w:tr>
      <w:tr w14:paraId="500F41B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192" w:hRule="atLeast"/>
          <w:jc w:val="center"/>
        </w:trPr>
        <w:tc>
          <w:tcPr>
            <w:tcW w:w="732" w:type="dxa"/>
            <w:vMerge w:val="continue"/>
            <w:vAlign w:val="center"/>
          </w:tcPr>
          <w:p w14:paraId="27F73DCA">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221845A7">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color w:val="auto"/>
                <w:sz w:val="21"/>
                <w:szCs w:val="21"/>
                <w:highlight w:val="none"/>
              </w:rPr>
              <w:t>危险废物</w:t>
            </w:r>
          </w:p>
        </w:tc>
        <w:tc>
          <w:tcPr>
            <w:tcW w:w="1417" w:type="dxa"/>
            <w:vAlign w:val="center"/>
          </w:tcPr>
          <w:p w14:paraId="71DD1DA4">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418" w:type="dxa"/>
            <w:vAlign w:val="center"/>
          </w:tcPr>
          <w:p w14:paraId="65D7D872">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181" w:type="dxa"/>
            <w:vAlign w:val="center"/>
          </w:tcPr>
          <w:p w14:paraId="4BD132B3">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rFonts w:hint="eastAsia"/>
                <w:color w:val="auto"/>
                <w:sz w:val="21"/>
                <w:szCs w:val="21"/>
                <w:highlight w:val="none"/>
              </w:rPr>
              <w:t>20.09</w:t>
            </w:r>
          </w:p>
        </w:tc>
        <w:tc>
          <w:tcPr>
            <w:tcW w:w="1181" w:type="dxa"/>
            <w:vAlign w:val="center"/>
          </w:tcPr>
          <w:p w14:paraId="1AF95FE3">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rFonts w:hint="eastAsia"/>
                <w:color w:val="auto"/>
                <w:sz w:val="21"/>
                <w:szCs w:val="21"/>
                <w:highlight w:val="none"/>
              </w:rPr>
              <w:t>20.09</w:t>
            </w:r>
          </w:p>
        </w:tc>
        <w:tc>
          <w:tcPr>
            <w:tcW w:w="1182" w:type="dxa"/>
            <w:vAlign w:val="center"/>
          </w:tcPr>
          <w:p w14:paraId="1675200A">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559" w:type="dxa"/>
            <w:vAlign w:val="center"/>
          </w:tcPr>
          <w:p w14:paraId="27FBBF6D">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559" w:type="dxa"/>
            <w:vAlign w:val="center"/>
          </w:tcPr>
          <w:p w14:paraId="090B32C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098" w:type="dxa"/>
            <w:vAlign w:val="center"/>
          </w:tcPr>
          <w:p w14:paraId="780D4188">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261" w:type="dxa"/>
            <w:vMerge w:val="continue"/>
            <w:vAlign w:val="center"/>
          </w:tcPr>
          <w:p w14:paraId="0749A4AD">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r>
      <w:tr w14:paraId="36B44CA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286" w:hRule="atLeast"/>
          <w:jc w:val="center"/>
        </w:trPr>
        <w:tc>
          <w:tcPr>
            <w:tcW w:w="732" w:type="dxa"/>
            <w:vMerge w:val="continue"/>
            <w:vAlign w:val="center"/>
          </w:tcPr>
          <w:p w14:paraId="7FC6CC3A">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color w:val="auto"/>
                <w:kern w:val="44"/>
                <w:sz w:val="21"/>
                <w:szCs w:val="21"/>
                <w:highlight w:val="none"/>
              </w:rPr>
            </w:pPr>
          </w:p>
        </w:tc>
        <w:tc>
          <w:tcPr>
            <w:tcW w:w="1111" w:type="dxa"/>
            <w:vAlign w:val="center"/>
          </w:tcPr>
          <w:p w14:paraId="3854ACBA">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color w:val="auto"/>
                <w:sz w:val="21"/>
                <w:szCs w:val="21"/>
                <w:highlight w:val="none"/>
              </w:rPr>
              <w:t>一般固废</w:t>
            </w:r>
          </w:p>
        </w:tc>
        <w:tc>
          <w:tcPr>
            <w:tcW w:w="1417" w:type="dxa"/>
            <w:vAlign w:val="center"/>
          </w:tcPr>
          <w:p w14:paraId="2A0D652F">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418" w:type="dxa"/>
            <w:vAlign w:val="center"/>
          </w:tcPr>
          <w:p w14:paraId="64198485">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181" w:type="dxa"/>
            <w:vAlign w:val="center"/>
          </w:tcPr>
          <w:p w14:paraId="6D99FE41">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rFonts w:hint="eastAsia"/>
                <w:color w:val="auto"/>
                <w:sz w:val="21"/>
                <w:szCs w:val="21"/>
                <w:highlight w:val="none"/>
              </w:rPr>
              <w:t>3.5</w:t>
            </w:r>
          </w:p>
        </w:tc>
        <w:tc>
          <w:tcPr>
            <w:tcW w:w="1181" w:type="dxa"/>
            <w:vAlign w:val="center"/>
          </w:tcPr>
          <w:p w14:paraId="4E92B12E">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w:t>
            </w:r>
          </w:p>
        </w:tc>
        <w:tc>
          <w:tcPr>
            <w:tcW w:w="1182" w:type="dxa"/>
            <w:vAlign w:val="center"/>
          </w:tcPr>
          <w:p w14:paraId="634CDFA8">
            <w:pPr>
              <w:pStyle w:val="154"/>
              <w:keepNext w:val="0"/>
              <w:keepLines w:val="0"/>
              <w:pageBreakBefore w:val="0"/>
              <w:kinsoku/>
              <w:wordWrap/>
              <w:overflowPunct/>
              <w:topLinePunct w:val="0"/>
              <w:autoSpaceDE/>
              <w:autoSpaceDN/>
              <w:bidi w:val="0"/>
              <w:adjustRightInd/>
              <w:snapToGrid/>
              <w:ind w:left="0" w:right="0"/>
              <w:rPr>
                <w:color w:val="auto"/>
                <w:sz w:val="21"/>
                <w:szCs w:val="21"/>
                <w:highlight w:val="none"/>
              </w:rPr>
            </w:pPr>
            <w:r>
              <w:rPr>
                <w:rFonts w:hint="eastAsia"/>
                <w:color w:val="auto"/>
                <w:sz w:val="21"/>
                <w:szCs w:val="21"/>
                <w:highlight w:val="none"/>
              </w:rPr>
              <w:t>3.5</w:t>
            </w:r>
          </w:p>
        </w:tc>
        <w:tc>
          <w:tcPr>
            <w:tcW w:w="1559" w:type="dxa"/>
            <w:vAlign w:val="center"/>
          </w:tcPr>
          <w:p w14:paraId="23969F51">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559" w:type="dxa"/>
            <w:vAlign w:val="center"/>
          </w:tcPr>
          <w:p w14:paraId="1908FB11">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098" w:type="dxa"/>
            <w:vAlign w:val="center"/>
          </w:tcPr>
          <w:p w14:paraId="1E1D6F06">
            <w:pPr>
              <w:pStyle w:val="118"/>
              <w:keepNext w:val="0"/>
              <w:keepLines w:val="0"/>
              <w:pageBreakBefore w:val="0"/>
              <w:kinsoku/>
              <w:wordWrap/>
              <w:overflowPunct/>
              <w:topLinePunct w:val="0"/>
              <w:autoSpaceDE/>
              <w:autoSpaceDN/>
              <w:bidi w:val="0"/>
              <w:adjustRightInd/>
              <w:snapToGrid/>
              <w:ind w:left="0" w:right="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0</w:t>
            </w:r>
          </w:p>
        </w:tc>
        <w:tc>
          <w:tcPr>
            <w:tcW w:w="1261" w:type="dxa"/>
            <w:vMerge w:val="continue"/>
            <w:vAlign w:val="center"/>
          </w:tcPr>
          <w:p w14:paraId="790DEE9B">
            <w:pPr>
              <w:keepNext w:val="0"/>
              <w:keepLines w:val="0"/>
              <w:pageBreakBefore w:val="0"/>
              <w:kinsoku/>
              <w:wordWrap/>
              <w:overflowPunct/>
              <w:topLinePunct w:val="0"/>
              <w:autoSpaceDE/>
              <w:autoSpaceDN/>
              <w:bidi w:val="0"/>
              <w:adjustRightInd/>
              <w:snapToGrid/>
              <w:ind w:left="0" w:right="0"/>
              <w:jc w:val="center"/>
              <w:rPr>
                <w:rFonts w:ascii="Times New Roman" w:hAnsi="Times New Roman" w:cs="Times New Roman"/>
                <w:b/>
                <w:bCs/>
                <w:color w:val="auto"/>
                <w:kern w:val="44"/>
                <w:sz w:val="21"/>
                <w:szCs w:val="21"/>
                <w:highlight w:val="none"/>
              </w:rPr>
            </w:pPr>
          </w:p>
        </w:tc>
      </w:tr>
    </w:tbl>
    <w:p w14:paraId="6AB4C63B">
      <w:pPr>
        <w:spacing w:line="360" w:lineRule="auto"/>
        <w:ind w:left="-105" w:right="-105" w:firstLine="361" w:firstLineChars="200"/>
        <w:rPr>
          <w:rFonts w:ascii="Times New Roman" w:hAnsi="Times New Roman"/>
          <w:color w:val="auto"/>
          <w:szCs w:val="22"/>
          <w:highlight w:val="none"/>
        </w:rPr>
      </w:pPr>
      <w:r>
        <w:rPr>
          <w:rFonts w:ascii="Times New Roman" w:hAnsi="Times New Roman" w:cs="Times New Roman"/>
          <w:b/>
          <w:bCs/>
          <w:color w:val="auto"/>
          <w:sz w:val="18"/>
          <w:szCs w:val="18"/>
          <w:highlight w:val="none"/>
        </w:rPr>
        <w:t>注：*数据来源</w:t>
      </w:r>
      <w:r>
        <w:rPr>
          <w:rFonts w:hint="eastAsia" w:ascii="Times New Roman" w:hAnsi="Times New Roman" w:cs="Times New Roman"/>
          <w:b/>
          <w:bCs/>
          <w:color w:val="auto"/>
          <w:sz w:val="18"/>
          <w:szCs w:val="18"/>
          <w:highlight w:val="none"/>
        </w:rPr>
        <w:t>《化药化工（无锡）有限公司年产聚氨酯丙烯酸酯5000t、丙烯酸酯组成物10000t和环氧丙烯酸树脂1200t生产线技改扩建项目一般变动环境影响分析报告》</w:t>
      </w:r>
      <w:r>
        <w:rPr>
          <w:rFonts w:hint="eastAsia" w:ascii="Times New Roman" w:hAnsi="Times New Roman" w:cs="Times New Roman"/>
          <w:b/>
          <w:bCs/>
          <w:color w:val="auto"/>
          <w:sz w:val="18"/>
          <w:szCs w:val="18"/>
          <w:highlight w:val="none"/>
          <w:lang w:val="en-US" w:eastAsia="zh-CN"/>
        </w:rPr>
        <w:t>总量变动情况</w:t>
      </w:r>
      <w:r>
        <w:rPr>
          <w:rFonts w:ascii="Times New Roman" w:hAnsi="Times New Roman" w:cs="Times New Roman"/>
          <w:b/>
          <w:bCs/>
          <w:color w:val="auto"/>
          <w:sz w:val="18"/>
          <w:szCs w:val="18"/>
          <w:highlight w:val="none"/>
        </w:rPr>
        <w:t>。</w:t>
      </w:r>
    </w:p>
    <w:p w14:paraId="730AB0EF">
      <w:pPr>
        <w:spacing w:line="360" w:lineRule="auto"/>
        <w:ind w:left="-105" w:right="-105" w:firstLine="480" w:firstLineChars="200"/>
        <w:rPr>
          <w:rFonts w:ascii="Times New Roman" w:hAnsi="Times New Roman"/>
          <w:color w:val="auto"/>
          <w:szCs w:val="22"/>
          <w:highlight w:val="none"/>
        </w:rPr>
        <w:sectPr>
          <w:pgSz w:w="16838" w:h="11906" w:orient="landscape"/>
          <w:pgMar w:top="1701" w:right="1440" w:bottom="1701" w:left="1440" w:header="851" w:footer="851" w:gutter="0"/>
          <w:pgBorders>
            <w:top w:val="none" w:sz="0" w:space="0"/>
            <w:left w:val="none" w:sz="0" w:space="0"/>
            <w:bottom w:val="none" w:sz="0" w:space="0"/>
            <w:right w:val="none" w:sz="0" w:space="0"/>
          </w:pgBorders>
          <w:cols w:space="720" w:num="1"/>
          <w:docGrid w:linePitch="498" w:charSpace="-2336"/>
        </w:sectPr>
      </w:pPr>
    </w:p>
    <w:p w14:paraId="67912EC9">
      <w:pPr>
        <w:pStyle w:val="4"/>
        <w:numPr>
          <w:ilvl w:val="1"/>
          <w:numId w:val="0"/>
        </w:numPr>
        <w:tabs>
          <w:tab w:val="left" w:pos="360"/>
          <w:tab w:val="left" w:pos="426"/>
        </w:tabs>
        <w:spacing w:line="360" w:lineRule="auto"/>
        <w:ind w:right="-105"/>
        <w:rPr>
          <w:rFonts w:ascii="Times New Roman" w:eastAsia="宋体"/>
          <w:color w:val="auto"/>
          <w:sz w:val="28"/>
          <w:szCs w:val="28"/>
          <w:highlight w:val="none"/>
        </w:rPr>
      </w:pPr>
      <w:bookmarkStart w:id="532" w:name="_Toc60653618"/>
      <w:bookmarkStart w:id="533" w:name="_Toc23535"/>
      <w:r>
        <w:rPr>
          <w:rFonts w:hint="eastAsia" w:ascii="Times New Roman" w:eastAsia="宋体"/>
          <w:color w:val="auto"/>
          <w:sz w:val="28"/>
          <w:szCs w:val="28"/>
          <w:highlight w:val="none"/>
        </w:rPr>
        <w:t>9.2</w:t>
      </w:r>
      <w:r>
        <w:rPr>
          <w:rFonts w:ascii="Times New Roman" w:eastAsia="宋体"/>
          <w:color w:val="auto"/>
          <w:sz w:val="28"/>
          <w:szCs w:val="28"/>
          <w:highlight w:val="none"/>
        </w:rPr>
        <w:t>环境管理</w:t>
      </w:r>
      <w:bookmarkEnd w:id="532"/>
      <w:bookmarkEnd w:id="533"/>
    </w:p>
    <w:p w14:paraId="075C4375">
      <w:pPr>
        <w:pStyle w:val="5"/>
        <w:keepLines w:val="0"/>
        <w:numPr>
          <w:ilvl w:val="0"/>
          <w:numId w:val="0"/>
        </w:numPr>
        <w:tabs>
          <w:tab w:val="left" w:pos="-567"/>
          <w:tab w:val="left" w:pos="360"/>
        </w:tabs>
        <w:spacing w:before="0" w:after="0" w:line="360" w:lineRule="auto"/>
        <w:ind w:right="-105"/>
        <w:rPr>
          <w:rFonts w:eastAsia="宋体"/>
          <w:color w:val="auto"/>
          <w:sz w:val="28"/>
          <w:szCs w:val="28"/>
          <w:highlight w:val="none"/>
        </w:rPr>
      </w:pPr>
      <w:bookmarkStart w:id="534" w:name="_Toc60653619"/>
      <w:r>
        <w:rPr>
          <w:rFonts w:eastAsia="宋体"/>
          <w:color w:val="auto"/>
          <w:sz w:val="28"/>
          <w:szCs w:val="28"/>
          <w:highlight w:val="none"/>
        </w:rPr>
        <w:t>9.2.1环境管理与管理机构设置</w:t>
      </w:r>
      <w:bookmarkEnd w:id="534"/>
    </w:p>
    <w:p w14:paraId="4A256DE3">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化药化工（无锡）有限公司</w:t>
      </w:r>
      <w:r>
        <w:rPr>
          <w:rFonts w:ascii="Times New Roman" w:hAnsi="Times New Roman"/>
          <w:color w:val="auto"/>
          <w:szCs w:val="22"/>
          <w:highlight w:val="none"/>
        </w:rPr>
        <w:t>应设置环境管理机构，对环保相关资料有建立独立的档案管理，有对重点环保设施运行作相关记录，并存档。设立专职主环保人员1名，环保人员应对工厂的环境保护工作负责，开展环境保护管理工作，同时负责处理环保设施的运行。环境管理机构的具体职责包括：</w:t>
      </w:r>
    </w:p>
    <w:p w14:paraId="27776087">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（1）</w:t>
      </w:r>
      <w:r>
        <w:rPr>
          <w:rFonts w:ascii="Times New Roman" w:hAnsi="Times New Roman"/>
          <w:color w:val="auto"/>
          <w:szCs w:val="22"/>
          <w:highlight w:val="none"/>
        </w:rPr>
        <w:tab/>
      </w:r>
      <w:r>
        <w:rPr>
          <w:rFonts w:ascii="Times New Roman" w:hAnsi="Times New Roman"/>
          <w:color w:val="auto"/>
          <w:szCs w:val="22"/>
          <w:highlight w:val="none"/>
        </w:rPr>
        <w:t>保持与环境保护主管机构的密切联系，及时了解国家、地方对本项目的有关环境保护的法律、法规和其它要求，及时向环境保护主管机构反映与项目有关的污染因素、存在的问题、采取的污染控制对策等环境保护方面的内容，听取环境保护主管机构的批示意见。</w:t>
      </w:r>
    </w:p>
    <w:p w14:paraId="0DB5E51A">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（2）</w:t>
      </w:r>
      <w:r>
        <w:rPr>
          <w:rFonts w:ascii="Times New Roman" w:hAnsi="Times New Roman"/>
          <w:color w:val="auto"/>
          <w:szCs w:val="22"/>
          <w:highlight w:val="none"/>
        </w:rPr>
        <w:tab/>
      </w:r>
      <w:r>
        <w:rPr>
          <w:rFonts w:ascii="Times New Roman" w:hAnsi="Times New Roman"/>
          <w:color w:val="auto"/>
          <w:szCs w:val="22"/>
          <w:highlight w:val="none"/>
        </w:rPr>
        <w:t>及时将国家、地方与本项目环境保护有关的法律、法规和其它要求向单位负责人汇报，及时向本单位有关机构、人员进行通报，组织职工进行环境保护方面的教育、培训，提高环保意识。</w:t>
      </w:r>
    </w:p>
    <w:p w14:paraId="50A73C73">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（3）</w:t>
      </w:r>
      <w:r>
        <w:rPr>
          <w:rFonts w:ascii="Times New Roman" w:hAnsi="Times New Roman"/>
          <w:color w:val="auto"/>
          <w:szCs w:val="22"/>
          <w:highlight w:val="none"/>
        </w:rPr>
        <w:tab/>
      </w:r>
      <w:r>
        <w:rPr>
          <w:rFonts w:ascii="Times New Roman" w:hAnsi="Times New Roman"/>
          <w:color w:val="auto"/>
          <w:szCs w:val="22"/>
          <w:highlight w:val="none"/>
        </w:rPr>
        <w:t>及时向单位负责人汇报与本项目有关的污染因素、存在问题、采取的污染控制对策、实施情况等，提出改进建议。</w:t>
      </w:r>
    </w:p>
    <w:p w14:paraId="29D30F94">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（4）</w:t>
      </w:r>
      <w:r>
        <w:rPr>
          <w:rFonts w:ascii="Times New Roman" w:hAnsi="Times New Roman"/>
          <w:color w:val="auto"/>
          <w:szCs w:val="22"/>
          <w:highlight w:val="none"/>
        </w:rPr>
        <w:tab/>
      </w:r>
      <w:r>
        <w:rPr>
          <w:rFonts w:ascii="Times New Roman" w:hAnsi="Times New Roman"/>
          <w:color w:val="auto"/>
          <w:szCs w:val="22"/>
          <w:highlight w:val="none"/>
        </w:rPr>
        <w:t>负责制定、监督实施本单位的有关环境保护管理规章制度，负责实施污染控制措施、管理污染治理设施，并进行详细的记录、以备检查。</w:t>
      </w:r>
    </w:p>
    <w:p w14:paraId="4AA9003F">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（5）</w:t>
      </w:r>
      <w:r>
        <w:rPr>
          <w:rFonts w:ascii="Times New Roman" w:hAnsi="Times New Roman"/>
          <w:color w:val="auto"/>
          <w:szCs w:val="22"/>
          <w:highlight w:val="none"/>
        </w:rPr>
        <w:tab/>
      </w:r>
      <w:r>
        <w:rPr>
          <w:rFonts w:ascii="Times New Roman" w:hAnsi="Times New Roman"/>
          <w:color w:val="auto"/>
          <w:szCs w:val="22"/>
          <w:highlight w:val="none"/>
        </w:rPr>
        <w:t>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51B60EB8">
      <w:pPr>
        <w:pStyle w:val="5"/>
        <w:keepLines w:val="0"/>
        <w:numPr>
          <w:ilvl w:val="0"/>
          <w:numId w:val="0"/>
        </w:numPr>
        <w:tabs>
          <w:tab w:val="left" w:pos="-568"/>
          <w:tab w:val="left" w:pos="0"/>
          <w:tab w:val="left" w:pos="567"/>
          <w:tab w:val="left" w:pos="709"/>
        </w:tabs>
        <w:spacing w:before="120" w:beforeLines="50" w:after="0" w:line="360" w:lineRule="auto"/>
        <w:ind w:right="-105"/>
        <w:rPr>
          <w:rFonts w:eastAsia="宋体"/>
          <w:color w:val="auto"/>
          <w:sz w:val="28"/>
          <w:szCs w:val="28"/>
          <w:highlight w:val="none"/>
        </w:rPr>
      </w:pPr>
      <w:bookmarkStart w:id="535" w:name="_Toc60653620"/>
      <w:r>
        <w:rPr>
          <w:rFonts w:eastAsia="宋体"/>
          <w:color w:val="auto"/>
          <w:sz w:val="28"/>
          <w:szCs w:val="28"/>
          <w:highlight w:val="none"/>
        </w:rPr>
        <w:t>9.2.2环境管理制度的建立</w:t>
      </w:r>
      <w:bookmarkEnd w:id="535"/>
    </w:p>
    <w:p w14:paraId="6E62DF85">
      <w:pPr>
        <w:pStyle w:val="97"/>
        <w:tabs>
          <w:tab w:val="left" w:pos="1502"/>
        </w:tabs>
        <w:autoSpaceDE w:val="0"/>
        <w:autoSpaceDN w:val="0"/>
        <w:spacing w:line="360" w:lineRule="auto"/>
        <w:ind w:left="-105" w:right="-105" w:firstLine="476"/>
        <w:rPr>
          <w:rFonts w:eastAsia="宋体"/>
          <w:color w:val="auto"/>
          <w:sz w:val="24"/>
          <w:szCs w:val="22"/>
          <w:highlight w:val="none"/>
        </w:rPr>
      </w:pPr>
      <w:r>
        <w:rPr>
          <w:rFonts w:eastAsia="宋体"/>
          <w:color w:val="auto"/>
          <w:spacing w:val="-1"/>
          <w:sz w:val="24"/>
          <w:szCs w:val="22"/>
          <w:highlight w:val="none"/>
        </w:rPr>
        <w:t>（1）报告制度</w:t>
      </w:r>
    </w:p>
    <w:p w14:paraId="3024A0DC">
      <w:pPr>
        <w:pStyle w:val="20"/>
        <w:spacing w:line="360" w:lineRule="auto"/>
        <w:ind w:left="-105" w:right="-105" w:firstLine="480" w:firstLineChars="200"/>
        <w:jc w:val="both"/>
        <w:rPr>
          <w:rFonts w:ascii="Times New Roman" w:hAnsi="Times New Roman" w:cs="Times New Roman"/>
          <w:color w:val="auto"/>
          <w:kern w:val="2"/>
          <w:sz w:val="24"/>
          <w:szCs w:val="22"/>
          <w:highlight w:val="none"/>
          <w:lang w:val="en-US" w:bidi="ar-SA"/>
        </w:rPr>
      </w:pPr>
      <w:r>
        <w:rPr>
          <w:rFonts w:ascii="Times New Roman" w:hAnsi="Times New Roman" w:cs="Times New Roman"/>
          <w:color w:val="auto"/>
          <w:kern w:val="2"/>
          <w:sz w:val="24"/>
          <w:szCs w:val="22"/>
          <w:highlight w:val="none"/>
          <w:lang w:val="en-US" w:bidi="ar-SA"/>
        </w:rPr>
        <w:t>按《建设项目环境保护管理条例》中第二十条和二十三条规定，本次建设项目在正式投产前，应向负责审批的环保部门提交</w:t>
      </w:r>
      <w:r>
        <w:rPr>
          <w:rFonts w:hint="eastAsia" w:ascii="Times New Roman" w:hAnsi="Times New Roman" w:cs="Times New Roman"/>
          <w:color w:val="auto"/>
          <w:kern w:val="2"/>
          <w:sz w:val="24"/>
          <w:szCs w:val="22"/>
          <w:highlight w:val="none"/>
          <w:lang w:val="en-US" w:bidi="ar-SA"/>
        </w:rPr>
        <w:t>“</w:t>
      </w:r>
      <w:r>
        <w:rPr>
          <w:rFonts w:ascii="Times New Roman" w:hAnsi="Times New Roman" w:cs="Times New Roman"/>
          <w:color w:val="auto"/>
          <w:kern w:val="2"/>
          <w:sz w:val="24"/>
          <w:szCs w:val="22"/>
          <w:highlight w:val="none"/>
          <w:lang w:val="en-US" w:bidi="ar-SA"/>
        </w:rPr>
        <w:t>环境保护设施竣工验收报告</w:t>
      </w:r>
      <w:r>
        <w:rPr>
          <w:rFonts w:hint="eastAsia" w:ascii="Times New Roman" w:hAnsi="Times New Roman" w:cs="Times New Roman"/>
          <w:color w:val="auto"/>
          <w:kern w:val="2"/>
          <w:sz w:val="24"/>
          <w:szCs w:val="22"/>
          <w:highlight w:val="none"/>
          <w:lang w:val="en-US" w:bidi="ar-SA"/>
        </w:rPr>
        <w:t>”</w:t>
      </w:r>
      <w:r>
        <w:rPr>
          <w:rFonts w:ascii="Times New Roman" w:hAnsi="Times New Roman" w:cs="Times New Roman"/>
          <w:color w:val="auto"/>
          <w:kern w:val="2"/>
          <w:sz w:val="24"/>
          <w:szCs w:val="22"/>
          <w:highlight w:val="none"/>
          <w:lang w:val="en-US" w:bidi="ar-SA"/>
        </w:rPr>
        <w:t>，经验收合格并发给</w:t>
      </w:r>
      <w:r>
        <w:rPr>
          <w:rFonts w:hint="eastAsia" w:ascii="Times New Roman" w:hAnsi="Times New Roman" w:cs="Times New Roman"/>
          <w:color w:val="auto"/>
          <w:kern w:val="2"/>
          <w:sz w:val="24"/>
          <w:szCs w:val="22"/>
          <w:highlight w:val="none"/>
          <w:lang w:val="en-US" w:bidi="ar-SA"/>
        </w:rPr>
        <w:t>“</w:t>
      </w:r>
      <w:r>
        <w:rPr>
          <w:rFonts w:ascii="Times New Roman" w:hAnsi="Times New Roman" w:cs="Times New Roman"/>
          <w:color w:val="auto"/>
          <w:kern w:val="2"/>
          <w:sz w:val="24"/>
          <w:szCs w:val="22"/>
          <w:highlight w:val="none"/>
          <w:lang w:val="en-US" w:bidi="ar-SA"/>
        </w:rPr>
        <w:t>环境保护设施验收合格证</w:t>
      </w:r>
      <w:r>
        <w:rPr>
          <w:rFonts w:hint="eastAsia" w:ascii="Times New Roman" w:hAnsi="Times New Roman" w:cs="Times New Roman"/>
          <w:color w:val="auto"/>
          <w:kern w:val="2"/>
          <w:sz w:val="24"/>
          <w:szCs w:val="22"/>
          <w:highlight w:val="none"/>
          <w:lang w:val="en-US" w:bidi="ar-SA"/>
        </w:rPr>
        <w:t>”</w:t>
      </w:r>
      <w:r>
        <w:rPr>
          <w:rFonts w:ascii="Times New Roman" w:hAnsi="Times New Roman" w:cs="Times New Roman"/>
          <w:color w:val="auto"/>
          <w:kern w:val="2"/>
          <w:sz w:val="24"/>
          <w:szCs w:val="22"/>
          <w:highlight w:val="none"/>
          <w:lang w:val="en-US" w:bidi="ar-SA"/>
        </w:rPr>
        <w:t>后，方可正式投入生产。</w:t>
      </w:r>
    </w:p>
    <w:p w14:paraId="14FE201A">
      <w:pPr>
        <w:pStyle w:val="20"/>
        <w:spacing w:line="360" w:lineRule="auto"/>
        <w:ind w:left="-105" w:right="-105" w:firstLine="480" w:firstLineChars="200"/>
        <w:jc w:val="both"/>
        <w:rPr>
          <w:rFonts w:ascii="Times New Roman" w:hAnsi="Times New Roman" w:cs="Times New Roman"/>
          <w:color w:val="auto"/>
          <w:kern w:val="2"/>
          <w:sz w:val="24"/>
          <w:szCs w:val="22"/>
          <w:highlight w:val="none"/>
          <w:lang w:val="en-US" w:bidi="ar-SA"/>
        </w:rPr>
      </w:pPr>
      <w:r>
        <w:rPr>
          <w:rFonts w:ascii="Times New Roman" w:hAnsi="Times New Roman" w:cs="Times New Roman"/>
          <w:color w:val="auto"/>
          <w:kern w:val="2"/>
          <w:sz w:val="24"/>
          <w:szCs w:val="22"/>
          <w:highlight w:val="none"/>
          <w:lang w:val="en-US" w:bidi="ar-SA"/>
        </w:rPr>
        <w:t>项目建成后，应严格执行月报制度。即每月向当地环保部门报告污染治理设施运行情况、污染物排放情况以及污染事故、污染纠纷等情况。</w:t>
      </w:r>
    </w:p>
    <w:p w14:paraId="4263DD57">
      <w:pPr>
        <w:pStyle w:val="20"/>
        <w:spacing w:line="360" w:lineRule="auto"/>
        <w:ind w:left="-105" w:right="-105" w:firstLine="480" w:firstLineChars="200"/>
        <w:jc w:val="both"/>
        <w:rPr>
          <w:rFonts w:ascii="Times New Roman" w:hAnsi="Times New Roman" w:cs="Times New Roman"/>
          <w:color w:val="auto"/>
          <w:kern w:val="2"/>
          <w:sz w:val="24"/>
          <w:szCs w:val="22"/>
          <w:highlight w:val="none"/>
          <w:lang w:val="en-US" w:bidi="ar-SA"/>
        </w:rPr>
      </w:pPr>
      <w:r>
        <w:rPr>
          <w:rFonts w:ascii="Times New Roman" w:hAnsi="Times New Roman" w:cs="Times New Roman"/>
          <w:color w:val="auto"/>
          <w:kern w:val="2"/>
          <w:sz w:val="24"/>
          <w:szCs w:val="22"/>
          <w:highlight w:val="none"/>
          <w:lang w:val="en-US" w:bidi="ar-SA"/>
        </w:rPr>
        <w:t>企业排污发生重大变化、污染治理设施改变或生产运行计划改变等都必须向当地环保部门申报，经审批同意后方可实施。</w:t>
      </w:r>
    </w:p>
    <w:p w14:paraId="3A2B56F8">
      <w:pPr>
        <w:pStyle w:val="20"/>
        <w:spacing w:line="360" w:lineRule="auto"/>
        <w:ind w:left="-105" w:right="-105" w:firstLine="480" w:firstLineChars="200"/>
        <w:jc w:val="both"/>
        <w:rPr>
          <w:rFonts w:ascii="Times New Roman" w:hAnsi="Times New Roman" w:cs="Times New Roman"/>
          <w:color w:val="auto"/>
          <w:kern w:val="2"/>
          <w:sz w:val="24"/>
          <w:szCs w:val="22"/>
          <w:highlight w:val="none"/>
          <w:lang w:val="en-US" w:bidi="ar-SA"/>
        </w:rPr>
      </w:pPr>
      <w:r>
        <w:rPr>
          <w:rFonts w:ascii="Times New Roman" w:hAnsi="Times New Roman" w:cs="Times New Roman"/>
          <w:color w:val="auto"/>
          <w:kern w:val="2"/>
          <w:sz w:val="24"/>
          <w:szCs w:val="22"/>
          <w:highlight w:val="none"/>
          <w:lang w:val="en-US" w:bidi="ar-SA"/>
        </w:rPr>
        <w:t>（2）污染处理设施的管理制度</w:t>
      </w:r>
    </w:p>
    <w:p w14:paraId="0A4E9807">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对污染治理设施和管理必须与生产经营活动一起纳入企业的日常管理中，要建立岗位责任制，制定操作规程，建立管理台帐。台账应真实记录生产设施运行管理信息、原辅材料采购信息、污染治理设施运行管理信息、非正常工况及污染治理设施异常情况记录信息、监测记录信息、其他环境管理信息。</w:t>
      </w:r>
    </w:p>
    <w:p w14:paraId="03A6D089">
      <w:pPr>
        <w:pStyle w:val="5"/>
        <w:keepLines w:val="0"/>
        <w:numPr>
          <w:ilvl w:val="0"/>
          <w:numId w:val="0"/>
        </w:numPr>
        <w:tabs>
          <w:tab w:val="left" w:pos="-568"/>
          <w:tab w:val="left" w:pos="0"/>
          <w:tab w:val="left" w:pos="567"/>
          <w:tab w:val="left" w:pos="709"/>
        </w:tabs>
        <w:spacing w:before="120" w:beforeLines="50" w:after="0" w:line="360" w:lineRule="auto"/>
        <w:ind w:right="-105"/>
        <w:rPr>
          <w:rFonts w:eastAsia="宋体"/>
          <w:color w:val="auto"/>
          <w:sz w:val="28"/>
          <w:szCs w:val="28"/>
          <w:highlight w:val="none"/>
        </w:rPr>
      </w:pPr>
      <w:bookmarkStart w:id="536" w:name="_Toc60653622"/>
      <w:r>
        <w:rPr>
          <w:rFonts w:eastAsia="宋体"/>
          <w:color w:val="auto"/>
          <w:sz w:val="28"/>
          <w:szCs w:val="28"/>
          <w:highlight w:val="none"/>
        </w:rPr>
        <w:t>9.2.</w:t>
      </w:r>
      <w:r>
        <w:rPr>
          <w:rFonts w:hint="eastAsia" w:eastAsia="宋体"/>
          <w:color w:val="auto"/>
          <w:sz w:val="28"/>
          <w:szCs w:val="28"/>
          <w:highlight w:val="none"/>
        </w:rPr>
        <w:t>3</w:t>
      </w:r>
      <w:r>
        <w:rPr>
          <w:rFonts w:eastAsia="宋体"/>
          <w:color w:val="auto"/>
          <w:sz w:val="28"/>
          <w:szCs w:val="28"/>
          <w:highlight w:val="none"/>
        </w:rPr>
        <w:t>营运期环境管理计划</w:t>
      </w:r>
      <w:bookmarkEnd w:id="536"/>
    </w:p>
    <w:p w14:paraId="7CEC0006">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（1）</w:t>
      </w:r>
      <w:r>
        <w:rPr>
          <w:rFonts w:ascii="Times New Roman" w:hAnsi="Times New Roman"/>
          <w:color w:val="auto"/>
          <w:szCs w:val="22"/>
          <w:highlight w:val="none"/>
        </w:rPr>
        <w:tab/>
      </w:r>
      <w:r>
        <w:rPr>
          <w:rFonts w:ascii="Times New Roman" w:hAnsi="Times New Roman"/>
          <w:color w:val="auto"/>
          <w:szCs w:val="22"/>
          <w:highlight w:val="none"/>
        </w:rPr>
        <w:t>根据国家环保政策、标准及环境监测要求，制定项目运营期环境管理规章制度、各种污染物排放指标；建立项目环境保护工作相关挡案资料，建立环境管理台帐，以备环保部门抽查。</w:t>
      </w:r>
    </w:p>
    <w:p w14:paraId="21B1BD6C">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（2）</w:t>
      </w:r>
      <w:r>
        <w:rPr>
          <w:rFonts w:ascii="Times New Roman" w:hAnsi="Times New Roman"/>
          <w:color w:val="auto"/>
          <w:szCs w:val="22"/>
          <w:highlight w:val="none"/>
        </w:rPr>
        <w:tab/>
      </w:r>
      <w:r>
        <w:rPr>
          <w:rFonts w:ascii="Times New Roman" w:hAnsi="Times New Roman"/>
          <w:color w:val="auto"/>
          <w:szCs w:val="22"/>
          <w:highlight w:val="none"/>
        </w:rPr>
        <w:t>建设单位在项目营运后，应建立相应的环保管理机构，配置专职环保人员，委托有关单位对营运期间项目建设地和周围环境进行定期监测，以便找出运行存在的环境问题，并及时解决。</w:t>
      </w:r>
    </w:p>
    <w:p w14:paraId="06F0EBE2">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（3）</w:t>
      </w:r>
      <w:r>
        <w:rPr>
          <w:rFonts w:ascii="Times New Roman" w:hAnsi="Times New Roman"/>
          <w:color w:val="auto"/>
          <w:szCs w:val="22"/>
          <w:highlight w:val="none"/>
        </w:rPr>
        <w:tab/>
      </w:r>
      <w:r>
        <w:rPr>
          <w:rFonts w:ascii="Times New Roman" w:hAnsi="Times New Roman"/>
          <w:color w:val="auto"/>
          <w:szCs w:val="22"/>
          <w:highlight w:val="none"/>
        </w:rPr>
        <w:t>开展环境保护教育和培训，增强物业管理人员的环保意识；张贴环境保护的宣传单，增强区内人员的环保意识。</w:t>
      </w:r>
    </w:p>
    <w:p w14:paraId="1600BE44">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（4）</w:t>
      </w:r>
      <w:r>
        <w:rPr>
          <w:rFonts w:ascii="Times New Roman" w:hAnsi="Times New Roman"/>
          <w:color w:val="auto"/>
          <w:szCs w:val="22"/>
          <w:highlight w:val="none"/>
        </w:rPr>
        <w:tab/>
      </w:r>
      <w:r>
        <w:rPr>
          <w:rFonts w:ascii="Times New Roman" w:hAnsi="Times New Roman"/>
          <w:color w:val="auto"/>
          <w:szCs w:val="22"/>
          <w:highlight w:val="none"/>
        </w:rPr>
        <w:t>另外项目运营期需尤其重视危险固废的管理与处置：</w:t>
      </w:r>
    </w:p>
    <w:p w14:paraId="18DF6FD3">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①</w:t>
      </w:r>
      <w:r>
        <w:rPr>
          <w:rFonts w:ascii="Times New Roman" w:hAnsi="Times New Roman"/>
          <w:color w:val="auto"/>
          <w:szCs w:val="22"/>
          <w:highlight w:val="none"/>
        </w:rPr>
        <w:t>建设单位应通过</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江苏省污染源</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一企一档</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管理系统</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环保脸谱</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企业端）</w:t>
      </w:r>
      <w:r>
        <w:rPr>
          <w:rFonts w:ascii="Times New Roman" w:hAnsi="Times New Roman"/>
          <w:color w:val="auto"/>
          <w:szCs w:val="22"/>
          <w:highlight w:val="none"/>
        </w:rPr>
        <w:t>进行危险废物申报登记。将危险废物的实际产生、贮存、利用、处置等情况纳入生产记录，建立危险废物管理台账和企业内部产生和收集、贮存、转移等部门危险废物交接制度。</w:t>
      </w:r>
    </w:p>
    <w:p w14:paraId="6BE56F8D">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②</w:t>
      </w:r>
      <w:r>
        <w:rPr>
          <w:rFonts w:ascii="Times New Roman" w:hAnsi="Times New Roman"/>
          <w:color w:val="auto"/>
          <w:szCs w:val="22"/>
          <w:highlight w:val="none"/>
        </w:rPr>
        <w:t>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69E62DB1">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③</w:t>
      </w:r>
      <w:r>
        <w:rPr>
          <w:rFonts w:ascii="Times New Roman" w:hAnsi="Times New Roman"/>
          <w:color w:val="auto"/>
          <w:szCs w:val="22"/>
          <w:highlight w:val="none"/>
        </w:rPr>
        <w:t>规范建设危险废物贮存场所并按照要求设置警告标志，危废包装、容器和贮存场所应按照《危险废物贮存污染控制标准》（GB18597-20</w:t>
      </w:r>
      <w:r>
        <w:rPr>
          <w:rFonts w:hint="eastAsia" w:ascii="Times New Roman" w:hAnsi="Times New Roman"/>
          <w:color w:val="auto"/>
          <w:szCs w:val="22"/>
          <w:highlight w:val="none"/>
        </w:rPr>
        <w:t>23</w:t>
      </w:r>
      <w:r>
        <w:rPr>
          <w:rFonts w:ascii="Times New Roman" w:hAnsi="Times New Roman"/>
          <w:color w:val="auto"/>
          <w:szCs w:val="22"/>
          <w:highlight w:val="none"/>
        </w:rPr>
        <w:t>）有关要求张贴标识。</w:t>
      </w:r>
    </w:p>
    <w:p w14:paraId="0087304F">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④</w:t>
      </w:r>
      <w:r>
        <w:rPr>
          <w:rFonts w:ascii="Times New Roman" w:hAnsi="Times New Roman"/>
          <w:color w:val="auto"/>
          <w:szCs w:val="22"/>
          <w:highlight w:val="none"/>
        </w:rPr>
        <w:t>企业需严格执行《省生态环境厅关于印发江苏省危险废物贮存规范化管理专项整治行动方案的通知》（苏环办〔2019〕149号）和</w:t>
      </w:r>
      <w:r>
        <w:rPr>
          <w:rFonts w:hint="eastAsia" w:ascii="Times New Roman" w:hAnsi="Times New Roman" w:cs="Times New Roman"/>
          <w:color w:val="auto"/>
          <w:szCs w:val="28"/>
          <w:highlight w:val="none"/>
          <w:lang w:val="zh-CN"/>
        </w:rPr>
        <w:t>《省生态环境厅关于印发</w:t>
      </w:r>
      <w:r>
        <w:rPr>
          <w:rFonts w:hint="eastAsia" w:ascii="Times New Roman" w:hAnsi="Times New Roman" w:cs="Times New Roman"/>
          <w:color w:val="auto"/>
          <w:szCs w:val="28"/>
          <w:highlight w:val="none"/>
        </w:rPr>
        <w:t>&lt;</w:t>
      </w:r>
      <w:r>
        <w:rPr>
          <w:rFonts w:hint="eastAsia" w:ascii="Times New Roman" w:hAnsi="Times New Roman" w:cs="Times New Roman"/>
          <w:color w:val="auto"/>
          <w:szCs w:val="28"/>
          <w:highlight w:val="none"/>
          <w:lang w:val="zh-CN"/>
        </w:rPr>
        <w:t>江苏省固体废物全过程环境监管工作意见</w:t>
      </w:r>
      <w:r>
        <w:rPr>
          <w:rFonts w:hint="eastAsia" w:ascii="Times New Roman" w:hAnsi="Times New Roman" w:cs="Times New Roman"/>
          <w:color w:val="auto"/>
          <w:szCs w:val="28"/>
          <w:highlight w:val="none"/>
        </w:rPr>
        <w:t>&gt;</w:t>
      </w:r>
      <w:r>
        <w:rPr>
          <w:rFonts w:hint="eastAsia" w:ascii="Times New Roman" w:hAnsi="Times New Roman" w:cs="Times New Roman"/>
          <w:color w:val="auto"/>
          <w:szCs w:val="28"/>
          <w:highlight w:val="none"/>
          <w:lang w:val="zh-CN"/>
        </w:rPr>
        <w:t>的通知（苏环办〔2024〕16号）》</w:t>
      </w:r>
      <w:r>
        <w:rPr>
          <w:rFonts w:ascii="Times New Roman" w:hAnsi="Times New Roman"/>
          <w:color w:val="auto"/>
          <w:szCs w:val="22"/>
          <w:highlight w:val="none"/>
        </w:rPr>
        <w:t>的要求，对危险固废储存场配备通讯设备、照明设施和消防设施；在出入口、设施内部、危险废物运输车辆通道等关键位置按照危险废物贮存设施视频监控布设要求设置视频监控，并与中控室联网。</w:t>
      </w:r>
    </w:p>
    <w:p w14:paraId="5B5B4D70">
      <w:pPr>
        <w:pStyle w:val="5"/>
        <w:keepLines w:val="0"/>
        <w:numPr>
          <w:ilvl w:val="0"/>
          <w:numId w:val="0"/>
        </w:numPr>
        <w:tabs>
          <w:tab w:val="left" w:pos="-568"/>
          <w:tab w:val="left" w:pos="0"/>
          <w:tab w:val="left" w:pos="567"/>
          <w:tab w:val="left" w:pos="709"/>
        </w:tabs>
        <w:spacing w:before="120" w:beforeLines="50" w:after="0" w:line="360" w:lineRule="auto"/>
        <w:ind w:right="-105"/>
        <w:rPr>
          <w:rFonts w:eastAsia="宋体"/>
          <w:color w:val="auto"/>
          <w:sz w:val="28"/>
          <w:szCs w:val="28"/>
          <w:highlight w:val="none"/>
        </w:rPr>
      </w:pPr>
      <w:bookmarkStart w:id="537" w:name="_Toc60653623"/>
      <w:r>
        <w:rPr>
          <w:rFonts w:eastAsia="宋体"/>
          <w:color w:val="auto"/>
          <w:sz w:val="28"/>
          <w:szCs w:val="28"/>
          <w:highlight w:val="none"/>
        </w:rPr>
        <w:t>9.2.</w:t>
      </w:r>
      <w:r>
        <w:rPr>
          <w:rFonts w:hint="eastAsia" w:eastAsia="宋体"/>
          <w:color w:val="auto"/>
          <w:sz w:val="28"/>
          <w:szCs w:val="28"/>
          <w:highlight w:val="none"/>
        </w:rPr>
        <w:t>4</w:t>
      </w:r>
      <w:r>
        <w:rPr>
          <w:rFonts w:eastAsia="宋体"/>
          <w:color w:val="auto"/>
          <w:sz w:val="28"/>
          <w:szCs w:val="28"/>
          <w:highlight w:val="none"/>
        </w:rPr>
        <w:t>排污口规范化设计和整治</w:t>
      </w:r>
      <w:bookmarkEnd w:id="537"/>
    </w:p>
    <w:p w14:paraId="77D967A0">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按《江苏省排污口设置及规范化整治管理办法》[苏环控(97)122号]要求，建设项目废水排放口、废气排气筒、固定噪声源扰民处、固废堆放处必须进行规范化设置。</w:t>
      </w:r>
    </w:p>
    <w:p w14:paraId="242E4AB9">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（1）</w:t>
      </w:r>
      <w:r>
        <w:rPr>
          <w:rFonts w:ascii="Times New Roman" w:hAnsi="Times New Roman"/>
          <w:color w:val="auto"/>
          <w:szCs w:val="22"/>
          <w:highlight w:val="none"/>
        </w:rPr>
        <w:tab/>
      </w:r>
      <w:r>
        <w:rPr>
          <w:rFonts w:ascii="Times New Roman" w:hAnsi="Times New Roman"/>
          <w:color w:val="auto"/>
          <w:szCs w:val="22"/>
          <w:highlight w:val="none"/>
        </w:rPr>
        <w:t>污水排放口规范化</w:t>
      </w:r>
    </w:p>
    <w:p w14:paraId="77CCC740">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根据江苏省环保厅《江苏省排污口设置及规范化整治管理办法》第十二条规定，对排污口进行规范化整治，以满足江苏省厅和无锡市环保局的管理要求。企业必须做好地下管网的铺设工作，实现雨污分流。全厂设置一个雨水接管口，在总接管口设置标志牌及装备污水流量计，雨水接管口应符合</w:t>
      </w:r>
      <w:r>
        <w:rPr>
          <w:rFonts w:hint="eastAsia" w:ascii="Times New Roman" w:hAnsi="Times New Roman"/>
          <w:color w:val="auto"/>
          <w:szCs w:val="22"/>
          <w:highlight w:val="none"/>
        </w:rPr>
        <w:t>“</w:t>
      </w:r>
      <w:r>
        <w:rPr>
          <w:rFonts w:ascii="Times New Roman" w:hAnsi="Times New Roman"/>
          <w:color w:val="auto"/>
          <w:szCs w:val="22"/>
          <w:highlight w:val="none"/>
        </w:rPr>
        <w:t>一明显，二合理，三便于</w:t>
      </w:r>
      <w:r>
        <w:rPr>
          <w:rFonts w:hint="eastAsia" w:ascii="Times New Roman" w:hAnsi="Times New Roman"/>
          <w:color w:val="auto"/>
          <w:szCs w:val="22"/>
          <w:highlight w:val="none"/>
        </w:rPr>
        <w:t>”</w:t>
      </w:r>
      <w:r>
        <w:rPr>
          <w:rFonts w:ascii="Times New Roman" w:hAnsi="Times New Roman"/>
          <w:color w:val="auto"/>
          <w:szCs w:val="22"/>
          <w:highlight w:val="none"/>
        </w:rPr>
        <w:t>的要求，设置能满足采样条件的明渠，明渠规格符合《城市排水流量堰槽测量标准》(CJ3009.1-5-93）设计规定，以便于采取水样和监测计量。</w:t>
      </w:r>
    </w:p>
    <w:p w14:paraId="31A8B0EF">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（2）</w:t>
      </w:r>
      <w:r>
        <w:rPr>
          <w:rFonts w:ascii="Times New Roman" w:hAnsi="Times New Roman"/>
          <w:color w:val="auto"/>
          <w:szCs w:val="22"/>
          <w:highlight w:val="none"/>
        </w:rPr>
        <w:tab/>
      </w:r>
      <w:r>
        <w:rPr>
          <w:rFonts w:ascii="Times New Roman" w:hAnsi="Times New Roman"/>
          <w:color w:val="auto"/>
          <w:szCs w:val="22"/>
          <w:highlight w:val="none"/>
        </w:rPr>
        <w:t>废气排放口的规范化设置</w:t>
      </w:r>
    </w:p>
    <w:p w14:paraId="7C485510">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对有组织废气的排气筒，应按规范要求设置一个排放口，根据项目废气排放情况，</w:t>
      </w:r>
      <w:r>
        <w:rPr>
          <w:rFonts w:hint="eastAsia" w:ascii="Times New Roman" w:hAnsi="Times New Roman"/>
          <w:color w:val="auto"/>
          <w:szCs w:val="22"/>
          <w:highlight w:val="none"/>
        </w:rPr>
        <w:t>本</w:t>
      </w:r>
      <w:r>
        <w:rPr>
          <w:rFonts w:ascii="Times New Roman" w:hAnsi="Times New Roman"/>
          <w:color w:val="auto"/>
          <w:szCs w:val="22"/>
          <w:highlight w:val="none"/>
        </w:rPr>
        <w:t>项目共设置</w:t>
      </w:r>
      <w:r>
        <w:rPr>
          <w:rFonts w:hint="eastAsia" w:ascii="Times New Roman" w:hAnsi="Times New Roman"/>
          <w:color w:val="auto"/>
          <w:szCs w:val="22"/>
          <w:highlight w:val="none"/>
        </w:rPr>
        <w:t>2</w:t>
      </w:r>
      <w:r>
        <w:rPr>
          <w:rFonts w:ascii="Times New Roman" w:hAnsi="Times New Roman"/>
          <w:color w:val="auto"/>
          <w:szCs w:val="22"/>
          <w:highlight w:val="none"/>
        </w:rPr>
        <w:t>个排气筒</w:t>
      </w:r>
      <w:r>
        <w:rPr>
          <w:rFonts w:hint="eastAsia" w:ascii="Times New Roman" w:hAnsi="Times New Roman"/>
          <w:color w:val="auto"/>
          <w:szCs w:val="22"/>
          <w:highlight w:val="none"/>
        </w:rPr>
        <w:t>、新增1根排气筒</w:t>
      </w:r>
      <w:r>
        <w:rPr>
          <w:rFonts w:ascii="Times New Roman" w:hAnsi="Times New Roman"/>
          <w:color w:val="auto"/>
          <w:szCs w:val="22"/>
          <w:highlight w:val="none"/>
        </w:rPr>
        <w:t>，废气排气筒要设立标识牌，并预留采样监测孔。</w:t>
      </w:r>
    </w:p>
    <w:p w14:paraId="7851FB30">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（3）</w:t>
      </w:r>
      <w:r>
        <w:rPr>
          <w:rFonts w:ascii="Times New Roman" w:hAnsi="Times New Roman"/>
          <w:color w:val="auto"/>
          <w:szCs w:val="22"/>
          <w:highlight w:val="none"/>
        </w:rPr>
        <w:tab/>
      </w:r>
      <w:r>
        <w:rPr>
          <w:rFonts w:ascii="Times New Roman" w:hAnsi="Times New Roman"/>
          <w:color w:val="auto"/>
          <w:szCs w:val="22"/>
          <w:highlight w:val="none"/>
        </w:rPr>
        <w:t>固定噪声污染源扰民处规范化整治</w:t>
      </w:r>
    </w:p>
    <w:p w14:paraId="1E4BB7FB">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4916CB85">
      <w:pPr>
        <w:spacing w:line="360" w:lineRule="auto"/>
        <w:ind w:left="-105" w:right="-105"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固体废物贮存</w:t>
      </w:r>
    </w:p>
    <w:p w14:paraId="2E720525">
      <w:pPr>
        <w:spacing w:line="360" w:lineRule="auto"/>
        <w:ind w:left="-105" w:right="-105" w:firstLine="480" w:firstLineChars="200"/>
        <w:rPr>
          <w:rFonts w:ascii="Times New Roman" w:hAnsi="Times New Roman"/>
          <w:color w:val="auto"/>
          <w:szCs w:val="22"/>
          <w:highlight w:val="none"/>
        </w:rPr>
      </w:pPr>
      <w:r>
        <w:rPr>
          <w:rFonts w:ascii="Times New Roman" w:hAnsi="Times New Roman"/>
          <w:color w:val="auto"/>
          <w:szCs w:val="22"/>
          <w:highlight w:val="none"/>
        </w:rPr>
        <w:t>固废堆场应设置环境保护图形标志牌，将生活垃圾、工业固废等分开堆放，做到防风、防雨、防晒、防火、防雷、防扬散、防渗、防腐，确保不对周围环境形成二次污染。</w:t>
      </w:r>
    </w:p>
    <w:p w14:paraId="25424237">
      <w:pPr>
        <w:pStyle w:val="44"/>
        <w:spacing w:after="0"/>
        <w:ind w:left="0" w:leftChars="0" w:right="-105" w:firstLine="0" w:firstLineChars="0"/>
        <w:jc w:val="center"/>
        <w:rPr>
          <w:rFonts w:eastAsia="宋体"/>
          <w:b/>
          <w:bCs/>
          <w:color w:val="auto"/>
          <w:sz w:val="24"/>
          <w:highlight w:val="none"/>
        </w:rPr>
      </w:pPr>
      <w:bookmarkStart w:id="538" w:name="_Toc60653624"/>
    </w:p>
    <w:p w14:paraId="43AD0940">
      <w:pPr>
        <w:pStyle w:val="43"/>
        <w:rPr>
          <w:rFonts w:eastAsia="宋体"/>
          <w:b/>
          <w:bCs/>
          <w:color w:val="auto"/>
          <w:sz w:val="24"/>
          <w:highlight w:val="none"/>
        </w:rPr>
      </w:pPr>
    </w:p>
    <w:p w14:paraId="000512C6">
      <w:pPr>
        <w:pStyle w:val="43"/>
        <w:ind w:left="-105" w:right="-105" w:firstLine="210"/>
        <w:rPr>
          <w:color w:val="auto"/>
          <w:highlight w:val="none"/>
        </w:rPr>
      </w:pPr>
    </w:p>
    <w:p w14:paraId="407C0C4D">
      <w:pPr>
        <w:pStyle w:val="44"/>
        <w:spacing w:after="0"/>
        <w:ind w:left="0" w:leftChars="0" w:right="-105" w:firstLine="0" w:firstLineChars="0"/>
        <w:jc w:val="center"/>
        <w:rPr>
          <w:rFonts w:eastAsia="宋体"/>
          <w:b/>
          <w:bCs/>
          <w:color w:val="auto"/>
          <w:sz w:val="24"/>
          <w:highlight w:val="none"/>
        </w:rPr>
      </w:pPr>
    </w:p>
    <w:p w14:paraId="4F0ADAD2">
      <w:pPr>
        <w:pStyle w:val="44"/>
        <w:spacing w:after="0"/>
        <w:ind w:left="0" w:leftChars="0" w:right="-105" w:firstLine="0" w:firstLineChars="0"/>
        <w:jc w:val="center"/>
        <w:rPr>
          <w:b/>
          <w:bCs/>
          <w:color w:val="auto"/>
          <w:sz w:val="24"/>
          <w:highlight w:val="none"/>
        </w:rPr>
      </w:pPr>
      <w:r>
        <w:rPr>
          <w:rFonts w:eastAsia="宋体"/>
          <w:b/>
          <w:bCs/>
          <w:color w:val="auto"/>
          <w:sz w:val="24"/>
          <w:highlight w:val="none"/>
        </w:rPr>
        <w:t>表</w:t>
      </w:r>
      <w:r>
        <w:rPr>
          <w:rFonts w:hint="eastAsia" w:eastAsia="宋体"/>
          <w:b/>
          <w:bCs/>
          <w:color w:val="auto"/>
          <w:sz w:val="24"/>
          <w:highlight w:val="none"/>
        </w:rPr>
        <w:t>9.2-1</w:t>
      </w:r>
      <w:r>
        <w:rPr>
          <w:rFonts w:eastAsia="宋体"/>
          <w:b/>
          <w:bCs/>
          <w:color w:val="auto"/>
          <w:sz w:val="24"/>
          <w:highlight w:val="none"/>
        </w:rPr>
        <w:t>排放口标识要求</w:t>
      </w:r>
    </w:p>
    <w:tbl>
      <w:tblPr>
        <w:tblStyle w:val="4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843"/>
        <w:gridCol w:w="1701"/>
        <w:gridCol w:w="1701"/>
        <w:gridCol w:w="1089"/>
        <w:gridCol w:w="509"/>
        <w:gridCol w:w="657"/>
        <w:gridCol w:w="976"/>
        <w:gridCol w:w="28"/>
      </w:tblGrid>
      <w:tr w14:paraId="0B7D52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28" w:type="dxa"/>
          <w:trHeight w:val="340" w:hRule="atLeast"/>
          <w:jc w:val="center"/>
        </w:trPr>
        <w:tc>
          <w:tcPr>
            <w:tcW w:w="1843" w:type="dxa"/>
            <w:vAlign w:val="center"/>
          </w:tcPr>
          <w:p w14:paraId="2AFB9D74">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lang w:val="en-US" w:bidi="ar-SA"/>
              </w:rPr>
              <w:drawing>
                <wp:inline distT="0" distB="0" distL="0" distR="0">
                  <wp:extent cx="923290" cy="923290"/>
                  <wp:effectExtent l="0" t="0" r="10160" b="10160"/>
                  <wp:docPr id="95" name="图片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23290" cy="923290"/>
                          </a:xfrm>
                          <a:prstGeom prst="rect">
                            <a:avLst/>
                          </a:prstGeom>
                          <a:noFill/>
                          <a:ln>
                            <a:noFill/>
                          </a:ln>
                        </pic:spPr>
                      </pic:pic>
                    </a:graphicData>
                  </a:graphic>
                </wp:inline>
              </w:drawing>
            </w:r>
          </w:p>
          <w:p w14:paraId="1E42F7E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rPr>
              <w:t>废气排放口</w:t>
            </w:r>
          </w:p>
        </w:tc>
        <w:tc>
          <w:tcPr>
            <w:tcW w:w="1701" w:type="dxa"/>
            <w:vAlign w:val="center"/>
          </w:tcPr>
          <w:p w14:paraId="3F5D4A0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lang w:val="en-US" w:bidi="ar-SA"/>
              </w:rPr>
              <w:drawing>
                <wp:inline distT="0" distB="0" distL="0" distR="0">
                  <wp:extent cx="923290" cy="950595"/>
                  <wp:effectExtent l="0" t="0" r="10160" b="1905"/>
                  <wp:docPr id="96" name="图片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1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23290" cy="950595"/>
                          </a:xfrm>
                          <a:prstGeom prst="rect">
                            <a:avLst/>
                          </a:prstGeom>
                          <a:noFill/>
                          <a:ln>
                            <a:noFill/>
                          </a:ln>
                        </pic:spPr>
                      </pic:pic>
                    </a:graphicData>
                  </a:graphic>
                </wp:inline>
              </w:drawing>
            </w:r>
          </w:p>
          <w:p w14:paraId="1F15DCD1">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污水排放口</w:t>
            </w:r>
          </w:p>
        </w:tc>
        <w:tc>
          <w:tcPr>
            <w:tcW w:w="1701" w:type="dxa"/>
            <w:vAlign w:val="center"/>
          </w:tcPr>
          <w:p w14:paraId="0E105C4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bidi="ar-SA"/>
              </w:rPr>
              <w:drawing>
                <wp:inline distT="0" distB="0" distL="0" distR="0">
                  <wp:extent cx="963930" cy="941705"/>
                  <wp:effectExtent l="0" t="0" r="7620" b="10795"/>
                  <wp:docPr id="97" name="图片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963930" cy="941705"/>
                          </a:xfrm>
                          <a:prstGeom prst="rect">
                            <a:avLst/>
                          </a:prstGeom>
                          <a:noFill/>
                          <a:ln>
                            <a:noFill/>
                          </a:ln>
                        </pic:spPr>
                      </pic:pic>
                    </a:graphicData>
                  </a:graphic>
                </wp:inline>
              </w:drawing>
            </w:r>
          </w:p>
          <w:p w14:paraId="33C02F04">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雨水排放口</w:t>
            </w:r>
          </w:p>
        </w:tc>
        <w:tc>
          <w:tcPr>
            <w:tcW w:w="1598" w:type="dxa"/>
            <w:gridSpan w:val="2"/>
            <w:vAlign w:val="center"/>
          </w:tcPr>
          <w:p w14:paraId="5A4646CF">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bidi="ar-SA"/>
              </w:rPr>
              <w:drawing>
                <wp:inline distT="0" distB="0" distL="0" distR="0">
                  <wp:extent cx="914400" cy="950595"/>
                  <wp:effectExtent l="0" t="0" r="0" b="1905"/>
                  <wp:docPr id="98" name="图片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14400" cy="950595"/>
                          </a:xfrm>
                          <a:prstGeom prst="rect">
                            <a:avLst/>
                          </a:prstGeom>
                          <a:noFill/>
                          <a:ln>
                            <a:noFill/>
                          </a:ln>
                        </pic:spPr>
                      </pic:pic>
                    </a:graphicData>
                  </a:graphic>
                </wp:inline>
              </w:drawing>
            </w:r>
          </w:p>
          <w:p w14:paraId="4B1AE41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噪声排放源</w:t>
            </w:r>
          </w:p>
        </w:tc>
        <w:tc>
          <w:tcPr>
            <w:tcW w:w="1633" w:type="dxa"/>
            <w:gridSpan w:val="2"/>
            <w:vAlign w:val="center"/>
          </w:tcPr>
          <w:p w14:paraId="657043C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bidi="ar-SA"/>
              </w:rPr>
              <w:drawing>
                <wp:inline distT="0" distB="0" distL="0" distR="0">
                  <wp:extent cx="923290" cy="914400"/>
                  <wp:effectExtent l="0" t="0" r="10160" b="0"/>
                  <wp:docPr id="99" name="图片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23290" cy="914400"/>
                          </a:xfrm>
                          <a:prstGeom prst="rect">
                            <a:avLst/>
                          </a:prstGeom>
                          <a:noFill/>
                          <a:ln>
                            <a:noFill/>
                          </a:ln>
                        </pic:spPr>
                      </pic:pic>
                    </a:graphicData>
                  </a:graphic>
                </wp:inline>
              </w:drawing>
            </w:r>
          </w:p>
          <w:p w14:paraId="7D8F2FEA">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一般固废废物</w:t>
            </w:r>
          </w:p>
        </w:tc>
      </w:tr>
      <w:tr w14:paraId="57B033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28" w:type="dxa"/>
          <w:trHeight w:val="340" w:hRule="atLeast"/>
          <w:jc w:val="center"/>
        </w:trPr>
        <w:tc>
          <w:tcPr>
            <w:tcW w:w="1843" w:type="dxa"/>
            <w:vAlign w:val="center"/>
          </w:tcPr>
          <w:p w14:paraId="21723442">
            <w:pPr>
              <w:keepNext w:val="0"/>
              <w:keepLines w:val="0"/>
              <w:pageBreakBefore w:val="0"/>
              <w:kinsoku/>
              <w:wordWrap/>
              <w:overflowPunct/>
              <w:topLinePunct w:val="0"/>
              <w:bidi w:val="0"/>
              <w:adjustRightInd/>
              <w:snapToGrid/>
              <w:ind w:left="0" w:right="0"/>
              <w:textAlignment w:val="auto"/>
              <w:rPr>
                <w:color w:val="auto"/>
                <w:highlight w:val="none"/>
              </w:rPr>
            </w:pPr>
            <w:r>
              <w:rPr>
                <w:color w:val="auto"/>
                <w:highlight w:val="none"/>
              </w:rPr>
              <w:drawing>
                <wp:inline distT="0" distB="0" distL="0" distR="0">
                  <wp:extent cx="1238250" cy="708660"/>
                  <wp:effectExtent l="0" t="0" r="0" b="15240"/>
                  <wp:docPr id="1903335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35368"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238250" cy="708660"/>
                          </a:xfrm>
                          <a:prstGeom prst="rect">
                            <a:avLst/>
                          </a:prstGeom>
                          <a:noFill/>
                          <a:ln>
                            <a:noFill/>
                          </a:ln>
                        </pic:spPr>
                      </pic:pic>
                    </a:graphicData>
                  </a:graphic>
                </wp:inline>
              </w:drawing>
            </w:r>
          </w:p>
          <w:p w14:paraId="348CF7B7">
            <w:pPr>
              <w:pStyle w:val="98"/>
              <w:keepNext w:val="0"/>
              <w:keepLines w:val="0"/>
              <w:pageBreakBefore w:val="0"/>
              <w:kinsoku/>
              <w:wordWrap/>
              <w:overflowPunct/>
              <w:topLinePunct w:val="0"/>
              <w:bidi w:val="0"/>
              <w:adjustRightInd/>
              <w:snapToGrid/>
              <w:ind w:left="0" w:right="0"/>
              <w:textAlignment w:val="auto"/>
              <w:rPr>
                <w:rFonts w:eastAsia="等线"/>
                <w:color w:val="auto"/>
                <w:sz w:val="21"/>
                <w:szCs w:val="21"/>
                <w:highlight w:val="none"/>
                <w:lang w:eastAsia="en-US"/>
              </w:rPr>
            </w:pPr>
            <w:r>
              <w:rPr>
                <w:rFonts w:eastAsia="宋体"/>
                <w:color w:val="auto"/>
                <w:sz w:val="21"/>
                <w:szCs w:val="21"/>
                <w:highlight w:val="none"/>
              </w:rPr>
              <w:t>危险废物贮存设施</w:t>
            </w:r>
          </w:p>
        </w:tc>
        <w:tc>
          <w:tcPr>
            <w:tcW w:w="1701" w:type="dxa"/>
            <w:vAlign w:val="center"/>
          </w:tcPr>
          <w:p w14:paraId="0D5966A3">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lang w:val="en-US" w:bidi="ar-SA"/>
              </w:rPr>
              <w:drawing>
                <wp:inline distT="0" distB="0" distL="0" distR="0">
                  <wp:extent cx="1036320" cy="697230"/>
                  <wp:effectExtent l="0" t="0" r="11430" b="7620"/>
                  <wp:docPr id="101" name="图片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36320" cy="697230"/>
                          </a:xfrm>
                          <a:prstGeom prst="rect">
                            <a:avLst/>
                          </a:prstGeom>
                          <a:noFill/>
                          <a:ln>
                            <a:noFill/>
                          </a:ln>
                        </pic:spPr>
                      </pic:pic>
                    </a:graphicData>
                  </a:graphic>
                </wp:inline>
              </w:drawing>
            </w:r>
          </w:p>
          <w:p w14:paraId="086C149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危险废物产生单位信息公开</w:t>
            </w:r>
          </w:p>
        </w:tc>
        <w:tc>
          <w:tcPr>
            <w:tcW w:w="1701" w:type="dxa"/>
            <w:vAlign w:val="center"/>
          </w:tcPr>
          <w:p w14:paraId="2A761E3F">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bidi="ar-SA"/>
              </w:rPr>
            </w:pPr>
            <w:r>
              <w:rPr>
                <w:color w:val="auto"/>
                <w:highlight w:val="none"/>
                <w:lang w:val="en-US" w:bidi="ar-SA"/>
              </w:rPr>
              <w:drawing>
                <wp:inline distT="0" distB="0" distL="0" distR="0">
                  <wp:extent cx="1136650" cy="957580"/>
                  <wp:effectExtent l="0" t="0" r="6350" b="13970"/>
                  <wp:docPr id="608122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2040" name="图片 1"/>
                          <pic:cNvPicPr>
                            <a:picLocks noChangeAspect="1"/>
                          </pic:cNvPicPr>
                        </pic:nvPicPr>
                        <pic:blipFill>
                          <a:blip r:embed="rId79"/>
                          <a:stretch>
                            <a:fillRect/>
                          </a:stretch>
                        </pic:blipFill>
                        <pic:spPr>
                          <a:xfrm>
                            <a:off x="0" y="0"/>
                            <a:ext cx="1136650" cy="957580"/>
                          </a:xfrm>
                          <a:prstGeom prst="rect">
                            <a:avLst/>
                          </a:prstGeom>
                        </pic:spPr>
                      </pic:pic>
                    </a:graphicData>
                  </a:graphic>
                </wp:inline>
              </w:drawing>
            </w:r>
          </w:p>
          <w:p w14:paraId="24AF097F">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贮存设施内部分区警示标志牌</w:t>
            </w:r>
          </w:p>
        </w:tc>
        <w:tc>
          <w:tcPr>
            <w:tcW w:w="1598" w:type="dxa"/>
            <w:gridSpan w:val="2"/>
            <w:vAlign w:val="center"/>
          </w:tcPr>
          <w:p w14:paraId="0657B514">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bidi="ar-SA"/>
              </w:rPr>
            </w:pPr>
            <w:r>
              <w:rPr>
                <w:rFonts w:eastAsia="宋体"/>
                <w:color w:val="auto"/>
                <w:sz w:val="21"/>
                <w:szCs w:val="21"/>
                <w:highlight w:val="none"/>
                <w:lang w:val="en-US" w:bidi="ar-SA"/>
              </w:rPr>
              <w:drawing>
                <wp:inline distT="0" distB="0" distL="0" distR="0">
                  <wp:extent cx="561340" cy="697230"/>
                  <wp:effectExtent l="0" t="0" r="10160" b="7620"/>
                  <wp:docPr id="103" name="图片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61340" cy="697230"/>
                          </a:xfrm>
                          <a:prstGeom prst="rect">
                            <a:avLst/>
                          </a:prstGeom>
                          <a:noFill/>
                          <a:ln>
                            <a:noFill/>
                          </a:ln>
                        </pic:spPr>
                      </pic:pic>
                    </a:graphicData>
                  </a:graphic>
                </wp:inline>
              </w:drawing>
            </w:r>
          </w:p>
          <w:p w14:paraId="14F2448A">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禁止烟火</w:t>
            </w:r>
          </w:p>
        </w:tc>
        <w:tc>
          <w:tcPr>
            <w:tcW w:w="1633" w:type="dxa"/>
            <w:gridSpan w:val="2"/>
            <w:vAlign w:val="center"/>
          </w:tcPr>
          <w:p w14:paraId="604AAD00">
            <w:pPr>
              <w:pStyle w:val="98"/>
              <w:keepNext w:val="0"/>
              <w:keepLines w:val="0"/>
              <w:pageBreakBefore w:val="0"/>
              <w:kinsoku/>
              <w:wordWrap/>
              <w:overflowPunct/>
              <w:topLinePunct w:val="0"/>
              <w:bidi w:val="0"/>
              <w:adjustRightInd/>
              <w:snapToGrid/>
              <w:ind w:left="0" w:right="0"/>
              <w:textAlignment w:val="auto"/>
              <w:rPr>
                <w:rFonts w:eastAsia="等线"/>
                <w:color w:val="auto"/>
                <w:highlight w:val="none"/>
              </w:rPr>
            </w:pPr>
            <w:r>
              <w:rPr>
                <w:color w:val="auto"/>
                <w:highlight w:val="none"/>
                <w:lang w:val="en-US" w:bidi="ar-SA"/>
              </w:rPr>
              <w:drawing>
                <wp:inline distT="0" distB="0" distL="0" distR="0">
                  <wp:extent cx="1031875" cy="556895"/>
                  <wp:effectExtent l="0" t="0" r="15875" b="14605"/>
                  <wp:docPr id="10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031875" cy="556895"/>
                          </a:xfrm>
                          <a:prstGeom prst="rect">
                            <a:avLst/>
                          </a:prstGeom>
                          <a:noFill/>
                          <a:ln>
                            <a:noFill/>
                          </a:ln>
                        </pic:spPr>
                      </pic:pic>
                    </a:graphicData>
                  </a:graphic>
                </wp:inline>
              </w:drawing>
            </w:r>
          </w:p>
          <w:p w14:paraId="5E26A3A5">
            <w:pPr>
              <w:pStyle w:val="98"/>
              <w:keepNext w:val="0"/>
              <w:keepLines w:val="0"/>
              <w:pageBreakBefore w:val="0"/>
              <w:kinsoku/>
              <w:wordWrap/>
              <w:overflowPunct/>
              <w:topLinePunct w:val="0"/>
              <w:bidi w:val="0"/>
              <w:adjustRightInd/>
              <w:snapToGrid/>
              <w:ind w:left="0" w:right="0"/>
              <w:textAlignment w:val="auto"/>
              <w:rPr>
                <w:rFonts w:eastAsia="等线"/>
                <w:color w:val="auto"/>
                <w:sz w:val="21"/>
                <w:szCs w:val="21"/>
                <w:highlight w:val="none"/>
              </w:rPr>
            </w:pPr>
            <w:r>
              <w:rPr>
                <w:rFonts w:eastAsia="宋体"/>
                <w:color w:val="auto"/>
                <w:sz w:val="21"/>
                <w:szCs w:val="21"/>
                <w:highlight w:val="none"/>
              </w:rPr>
              <w:t>危废产生源</w:t>
            </w:r>
          </w:p>
        </w:tc>
      </w:tr>
      <w:tr w14:paraId="268FC2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2656FE62">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排放口名称</w:t>
            </w:r>
          </w:p>
        </w:tc>
        <w:tc>
          <w:tcPr>
            <w:tcW w:w="1701" w:type="dxa"/>
            <w:vAlign w:val="center"/>
          </w:tcPr>
          <w:p w14:paraId="6206A86B">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编号</w:t>
            </w:r>
          </w:p>
        </w:tc>
        <w:tc>
          <w:tcPr>
            <w:tcW w:w="1701" w:type="dxa"/>
            <w:vAlign w:val="center"/>
          </w:tcPr>
          <w:p w14:paraId="527AC76B">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图形标志</w:t>
            </w:r>
          </w:p>
        </w:tc>
        <w:tc>
          <w:tcPr>
            <w:tcW w:w="1089" w:type="dxa"/>
            <w:vAlign w:val="center"/>
          </w:tcPr>
          <w:p w14:paraId="07FE0665">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形状</w:t>
            </w:r>
          </w:p>
        </w:tc>
        <w:tc>
          <w:tcPr>
            <w:tcW w:w="1166" w:type="dxa"/>
            <w:gridSpan w:val="2"/>
            <w:vAlign w:val="center"/>
          </w:tcPr>
          <w:p w14:paraId="2BBEE3BD">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背景颜色</w:t>
            </w:r>
          </w:p>
        </w:tc>
        <w:tc>
          <w:tcPr>
            <w:tcW w:w="1004" w:type="dxa"/>
            <w:gridSpan w:val="2"/>
            <w:vAlign w:val="center"/>
          </w:tcPr>
          <w:p w14:paraId="053BCEC8">
            <w:pPr>
              <w:pStyle w:val="98"/>
              <w:keepNext w:val="0"/>
              <w:keepLines w:val="0"/>
              <w:pageBreakBefore w:val="0"/>
              <w:kinsoku/>
              <w:wordWrap/>
              <w:overflowPunct/>
              <w:topLinePunct w:val="0"/>
              <w:bidi w:val="0"/>
              <w:adjustRightInd/>
              <w:snapToGrid/>
              <w:ind w:left="0" w:right="0"/>
              <w:textAlignment w:val="auto"/>
              <w:rPr>
                <w:rFonts w:eastAsia="宋体"/>
                <w:b/>
                <w:color w:val="auto"/>
                <w:sz w:val="21"/>
                <w:szCs w:val="21"/>
                <w:highlight w:val="none"/>
                <w:lang w:eastAsia="en-US"/>
              </w:rPr>
            </w:pPr>
            <w:r>
              <w:rPr>
                <w:rFonts w:eastAsia="宋体"/>
                <w:b/>
                <w:color w:val="auto"/>
                <w:sz w:val="21"/>
                <w:szCs w:val="21"/>
                <w:highlight w:val="none"/>
                <w:lang w:val="en-US" w:eastAsia="en-US"/>
              </w:rPr>
              <w:t>图形颜色</w:t>
            </w:r>
          </w:p>
        </w:tc>
      </w:tr>
      <w:tr w14:paraId="4E8975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14A7BFE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废气排放口</w:t>
            </w:r>
          </w:p>
        </w:tc>
        <w:tc>
          <w:tcPr>
            <w:tcW w:w="1701" w:type="dxa"/>
            <w:vAlign w:val="center"/>
          </w:tcPr>
          <w:p w14:paraId="090BBA49">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hint="eastAsia" w:eastAsia="宋体"/>
                <w:color w:val="auto"/>
                <w:sz w:val="21"/>
                <w:szCs w:val="21"/>
                <w:highlight w:val="none"/>
                <w:lang w:val="en-US"/>
              </w:rPr>
              <w:t>DA005~DA006</w:t>
            </w:r>
          </w:p>
        </w:tc>
        <w:tc>
          <w:tcPr>
            <w:tcW w:w="1701" w:type="dxa"/>
            <w:vAlign w:val="center"/>
          </w:tcPr>
          <w:p w14:paraId="7671864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提示标志</w:t>
            </w:r>
          </w:p>
        </w:tc>
        <w:tc>
          <w:tcPr>
            <w:tcW w:w="1089" w:type="dxa"/>
            <w:vAlign w:val="center"/>
          </w:tcPr>
          <w:p w14:paraId="497437D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正方形边框</w:t>
            </w:r>
          </w:p>
        </w:tc>
        <w:tc>
          <w:tcPr>
            <w:tcW w:w="1166" w:type="dxa"/>
            <w:gridSpan w:val="2"/>
            <w:vAlign w:val="center"/>
          </w:tcPr>
          <w:p w14:paraId="583F1F9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绿色</w:t>
            </w:r>
          </w:p>
        </w:tc>
        <w:tc>
          <w:tcPr>
            <w:tcW w:w="1004" w:type="dxa"/>
            <w:gridSpan w:val="2"/>
            <w:vAlign w:val="center"/>
          </w:tcPr>
          <w:p w14:paraId="1190297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白色</w:t>
            </w:r>
          </w:p>
        </w:tc>
      </w:tr>
      <w:tr w14:paraId="35E4C4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033B6B71">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雨水排放口</w:t>
            </w:r>
          </w:p>
        </w:tc>
        <w:tc>
          <w:tcPr>
            <w:tcW w:w="1701" w:type="dxa"/>
            <w:vAlign w:val="center"/>
          </w:tcPr>
          <w:p w14:paraId="265A7846">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lang w:eastAsia="en-US"/>
              </w:rPr>
              <w:t>YS0</w:t>
            </w:r>
            <w:r>
              <w:rPr>
                <w:rFonts w:eastAsia="宋体"/>
                <w:color w:val="auto"/>
                <w:sz w:val="21"/>
                <w:szCs w:val="21"/>
                <w:highlight w:val="none"/>
              </w:rPr>
              <w:t>0</w:t>
            </w:r>
            <w:r>
              <w:rPr>
                <w:rFonts w:eastAsia="宋体"/>
                <w:color w:val="auto"/>
                <w:sz w:val="21"/>
                <w:szCs w:val="21"/>
                <w:highlight w:val="none"/>
                <w:lang w:eastAsia="en-US"/>
              </w:rPr>
              <w:t>1</w:t>
            </w:r>
          </w:p>
        </w:tc>
        <w:tc>
          <w:tcPr>
            <w:tcW w:w="1701" w:type="dxa"/>
            <w:vAlign w:val="center"/>
          </w:tcPr>
          <w:p w14:paraId="20BD58D9">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提示标志</w:t>
            </w:r>
          </w:p>
        </w:tc>
        <w:tc>
          <w:tcPr>
            <w:tcW w:w="1089" w:type="dxa"/>
            <w:vAlign w:val="center"/>
          </w:tcPr>
          <w:p w14:paraId="4CC23D44">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正方形边框</w:t>
            </w:r>
          </w:p>
        </w:tc>
        <w:tc>
          <w:tcPr>
            <w:tcW w:w="1166" w:type="dxa"/>
            <w:gridSpan w:val="2"/>
            <w:vAlign w:val="center"/>
          </w:tcPr>
          <w:p w14:paraId="0F0636C7">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绿色</w:t>
            </w:r>
          </w:p>
        </w:tc>
        <w:tc>
          <w:tcPr>
            <w:tcW w:w="1004" w:type="dxa"/>
            <w:gridSpan w:val="2"/>
            <w:vAlign w:val="center"/>
          </w:tcPr>
          <w:p w14:paraId="5E5C47F7">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白色</w:t>
            </w:r>
          </w:p>
        </w:tc>
      </w:tr>
      <w:tr w14:paraId="3BC05F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4E96D2B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rPr>
              <w:t>噪声排放源</w:t>
            </w:r>
          </w:p>
        </w:tc>
        <w:tc>
          <w:tcPr>
            <w:tcW w:w="1701" w:type="dxa"/>
            <w:vAlign w:val="center"/>
          </w:tcPr>
          <w:p w14:paraId="4385BAD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rPr>
              <w:t>/</w:t>
            </w:r>
          </w:p>
        </w:tc>
        <w:tc>
          <w:tcPr>
            <w:tcW w:w="1701" w:type="dxa"/>
            <w:vAlign w:val="center"/>
          </w:tcPr>
          <w:p w14:paraId="2866B283">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提示标志</w:t>
            </w:r>
          </w:p>
        </w:tc>
        <w:tc>
          <w:tcPr>
            <w:tcW w:w="1089" w:type="dxa"/>
            <w:vAlign w:val="center"/>
          </w:tcPr>
          <w:p w14:paraId="27D32C56">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正方形边框</w:t>
            </w:r>
          </w:p>
        </w:tc>
        <w:tc>
          <w:tcPr>
            <w:tcW w:w="1166" w:type="dxa"/>
            <w:gridSpan w:val="2"/>
            <w:vAlign w:val="center"/>
          </w:tcPr>
          <w:p w14:paraId="0FF3951C">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绿色</w:t>
            </w:r>
          </w:p>
        </w:tc>
        <w:tc>
          <w:tcPr>
            <w:tcW w:w="1004" w:type="dxa"/>
            <w:gridSpan w:val="2"/>
            <w:vAlign w:val="center"/>
          </w:tcPr>
          <w:p w14:paraId="744CBDC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白色</w:t>
            </w:r>
          </w:p>
        </w:tc>
      </w:tr>
      <w:tr w14:paraId="3E0606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657EC68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一般固体废物</w:t>
            </w:r>
          </w:p>
        </w:tc>
        <w:tc>
          <w:tcPr>
            <w:tcW w:w="1701" w:type="dxa"/>
            <w:vAlign w:val="center"/>
          </w:tcPr>
          <w:p w14:paraId="4AD676B7">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lang w:eastAsia="en-US"/>
              </w:rPr>
              <w:t>GF-0</w:t>
            </w:r>
            <w:r>
              <w:rPr>
                <w:rFonts w:eastAsia="宋体"/>
                <w:color w:val="auto"/>
                <w:sz w:val="21"/>
                <w:szCs w:val="21"/>
                <w:highlight w:val="none"/>
                <w:lang w:val="en-US"/>
              </w:rPr>
              <w:t>1</w:t>
            </w:r>
          </w:p>
        </w:tc>
        <w:tc>
          <w:tcPr>
            <w:tcW w:w="1701" w:type="dxa"/>
            <w:vAlign w:val="center"/>
          </w:tcPr>
          <w:p w14:paraId="3FF74E0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提示标志</w:t>
            </w:r>
          </w:p>
        </w:tc>
        <w:tc>
          <w:tcPr>
            <w:tcW w:w="1089" w:type="dxa"/>
            <w:vAlign w:val="center"/>
          </w:tcPr>
          <w:p w14:paraId="7294CE6B">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正方形边框</w:t>
            </w:r>
          </w:p>
        </w:tc>
        <w:tc>
          <w:tcPr>
            <w:tcW w:w="1166" w:type="dxa"/>
            <w:gridSpan w:val="2"/>
            <w:vAlign w:val="center"/>
          </w:tcPr>
          <w:p w14:paraId="05BAD9B0">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绿色</w:t>
            </w:r>
          </w:p>
        </w:tc>
        <w:tc>
          <w:tcPr>
            <w:tcW w:w="1004" w:type="dxa"/>
            <w:gridSpan w:val="2"/>
            <w:vAlign w:val="center"/>
          </w:tcPr>
          <w:p w14:paraId="3B7C12EB">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lang w:val="en-US" w:eastAsia="en-US"/>
              </w:rPr>
              <w:t>白色</w:t>
            </w:r>
          </w:p>
        </w:tc>
      </w:tr>
      <w:tr w14:paraId="43C16E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066F7E6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rPr>
              <w:t>危险废物贮存设施</w:t>
            </w:r>
          </w:p>
        </w:tc>
        <w:tc>
          <w:tcPr>
            <w:tcW w:w="1701" w:type="dxa"/>
            <w:vAlign w:val="center"/>
          </w:tcPr>
          <w:p w14:paraId="1C8620AF">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eastAsia="en-US"/>
              </w:rPr>
            </w:pPr>
            <w:r>
              <w:rPr>
                <w:rFonts w:eastAsia="宋体"/>
                <w:color w:val="auto"/>
                <w:sz w:val="21"/>
                <w:szCs w:val="21"/>
                <w:highlight w:val="none"/>
              </w:rPr>
              <w:t>第1-1号</w:t>
            </w:r>
            <w:r>
              <w:rPr>
                <w:rFonts w:hint="eastAsia" w:eastAsia="宋体"/>
                <w:color w:val="auto"/>
                <w:sz w:val="21"/>
                <w:szCs w:val="21"/>
                <w:highlight w:val="none"/>
              </w:rPr>
              <w:t>、第1</w:t>
            </w:r>
            <w:r>
              <w:rPr>
                <w:rFonts w:eastAsia="宋体"/>
                <w:color w:val="auto"/>
                <w:sz w:val="21"/>
                <w:szCs w:val="21"/>
                <w:highlight w:val="none"/>
              </w:rPr>
              <w:t>-2</w:t>
            </w:r>
            <w:r>
              <w:rPr>
                <w:rFonts w:hint="eastAsia" w:eastAsia="宋体"/>
                <w:color w:val="auto"/>
                <w:sz w:val="21"/>
                <w:szCs w:val="21"/>
                <w:highlight w:val="none"/>
              </w:rPr>
              <w:t>号</w:t>
            </w:r>
          </w:p>
        </w:tc>
        <w:tc>
          <w:tcPr>
            <w:tcW w:w="1701" w:type="dxa"/>
            <w:vAlign w:val="center"/>
          </w:tcPr>
          <w:p w14:paraId="15EB2E5F">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提示标志</w:t>
            </w:r>
          </w:p>
        </w:tc>
        <w:tc>
          <w:tcPr>
            <w:tcW w:w="1089" w:type="dxa"/>
            <w:vAlign w:val="center"/>
          </w:tcPr>
          <w:p w14:paraId="32DA61FD">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rPr>
              <w:t>长方形边框</w:t>
            </w:r>
          </w:p>
        </w:tc>
        <w:tc>
          <w:tcPr>
            <w:tcW w:w="1166" w:type="dxa"/>
            <w:gridSpan w:val="2"/>
            <w:vAlign w:val="center"/>
          </w:tcPr>
          <w:p w14:paraId="6ABCFA11">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rPr>
              <w:t>黄色</w:t>
            </w:r>
          </w:p>
        </w:tc>
        <w:tc>
          <w:tcPr>
            <w:tcW w:w="1004" w:type="dxa"/>
            <w:gridSpan w:val="2"/>
            <w:vAlign w:val="center"/>
          </w:tcPr>
          <w:p w14:paraId="72E7A46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rPr>
              <w:t>黑色</w:t>
            </w:r>
          </w:p>
        </w:tc>
      </w:tr>
      <w:tr w14:paraId="1E901F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173A8F1A">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危险废物产生单位信息公开</w:t>
            </w:r>
          </w:p>
        </w:tc>
        <w:tc>
          <w:tcPr>
            <w:tcW w:w="1701" w:type="dxa"/>
            <w:vAlign w:val="center"/>
          </w:tcPr>
          <w:p w14:paraId="574FC672">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rPr>
              <w:t>/</w:t>
            </w:r>
          </w:p>
        </w:tc>
        <w:tc>
          <w:tcPr>
            <w:tcW w:w="1701" w:type="dxa"/>
            <w:vAlign w:val="center"/>
          </w:tcPr>
          <w:p w14:paraId="03C48518">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公开标志</w:t>
            </w:r>
          </w:p>
        </w:tc>
        <w:tc>
          <w:tcPr>
            <w:tcW w:w="1089" w:type="dxa"/>
            <w:vAlign w:val="center"/>
          </w:tcPr>
          <w:p w14:paraId="0930A86B">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长方形边框</w:t>
            </w:r>
          </w:p>
        </w:tc>
        <w:tc>
          <w:tcPr>
            <w:tcW w:w="1166" w:type="dxa"/>
            <w:gridSpan w:val="2"/>
            <w:vAlign w:val="center"/>
          </w:tcPr>
          <w:p w14:paraId="700AF810">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蓝色</w:t>
            </w:r>
          </w:p>
        </w:tc>
        <w:tc>
          <w:tcPr>
            <w:tcW w:w="1004" w:type="dxa"/>
            <w:gridSpan w:val="2"/>
            <w:vAlign w:val="center"/>
          </w:tcPr>
          <w:p w14:paraId="2C10F747">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白色</w:t>
            </w:r>
          </w:p>
        </w:tc>
      </w:tr>
      <w:tr w14:paraId="5727BA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6F4448C6">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rPr>
              <w:t>贮存设施内部分区警示标志牌</w:t>
            </w:r>
          </w:p>
        </w:tc>
        <w:tc>
          <w:tcPr>
            <w:tcW w:w="1701" w:type="dxa"/>
            <w:vAlign w:val="center"/>
          </w:tcPr>
          <w:p w14:paraId="52C0E37A">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rPr>
              <w:t>/</w:t>
            </w:r>
          </w:p>
        </w:tc>
        <w:tc>
          <w:tcPr>
            <w:tcW w:w="1701" w:type="dxa"/>
            <w:vAlign w:val="center"/>
          </w:tcPr>
          <w:p w14:paraId="4421335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eastAsia="en-US"/>
              </w:rPr>
              <w:t>提示标志</w:t>
            </w:r>
          </w:p>
        </w:tc>
        <w:tc>
          <w:tcPr>
            <w:tcW w:w="1089" w:type="dxa"/>
            <w:vAlign w:val="center"/>
          </w:tcPr>
          <w:p w14:paraId="7550E2C1">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长方形边框</w:t>
            </w:r>
          </w:p>
        </w:tc>
        <w:tc>
          <w:tcPr>
            <w:tcW w:w="1166" w:type="dxa"/>
            <w:gridSpan w:val="2"/>
            <w:vAlign w:val="center"/>
          </w:tcPr>
          <w:p w14:paraId="1C9D2414">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黄色</w:t>
            </w:r>
          </w:p>
        </w:tc>
        <w:tc>
          <w:tcPr>
            <w:tcW w:w="1004" w:type="dxa"/>
            <w:gridSpan w:val="2"/>
            <w:vAlign w:val="center"/>
          </w:tcPr>
          <w:p w14:paraId="74E26E5D">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黑色</w:t>
            </w:r>
          </w:p>
        </w:tc>
      </w:tr>
      <w:tr w14:paraId="273F55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43" w:type="dxa"/>
            <w:vAlign w:val="center"/>
          </w:tcPr>
          <w:p w14:paraId="650E50D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危废产生源</w:t>
            </w:r>
          </w:p>
        </w:tc>
        <w:tc>
          <w:tcPr>
            <w:tcW w:w="1701" w:type="dxa"/>
            <w:vAlign w:val="center"/>
          </w:tcPr>
          <w:p w14:paraId="6B098E8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rPr>
            </w:pPr>
            <w:r>
              <w:rPr>
                <w:rFonts w:eastAsia="宋体"/>
                <w:color w:val="auto"/>
                <w:sz w:val="21"/>
                <w:szCs w:val="21"/>
                <w:highlight w:val="none"/>
              </w:rPr>
              <w:t>第X-X号</w:t>
            </w:r>
          </w:p>
        </w:tc>
        <w:tc>
          <w:tcPr>
            <w:tcW w:w="1701" w:type="dxa"/>
            <w:vAlign w:val="center"/>
          </w:tcPr>
          <w:p w14:paraId="32E14C8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eastAsia="en-US"/>
              </w:rPr>
            </w:pPr>
            <w:r>
              <w:rPr>
                <w:rFonts w:eastAsia="宋体"/>
                <w:color w:val="auto"/>
                <w:sz w:val="21"/>
                <w:szCs w:val="21"/>
                <w:highlight w:val="none"/>
                <w:lang w:val="en-US" w:eastAsia="en-US"/>
              </w:rPr>
              <w:t>提示标志</w:t>
            </w:r>
          </w:p>
        </w:tc>
        <w:tc>
          <w:tcPr>
            <w:tcW w:w="1089" w:type="dxa"/>
            <w:vAlign w:val="center"/>
          </w:tcPr>
          <w:p w14:paraId="3372CAC5">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长方形边框</w:t>
            </w:r>
          </w:p>
        </w:tc>
        <w:tc>
          <w:tcPr>
            <w:tcW w:w="1166" w:type="dxa"/>
            <w:gridSpan w:val="2"/>
            <w:vAlign w:val="center"/>
          </w:tcPr>
          <w:p w14:paraId="79ADDA1E">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绿色</w:t>
            </w:r>
          </w:p>
        </w:tc>
        <w:tc>
          <w:tcPr>
            <w:tcW w:w="1004" w:type="dxa"/>
            <w:gridSpan w:val="2"/>
            <w:vAlign w:val="center"/>
          </w:tcPr>
          <w:p w14:paraId="097C3929">
            <w:pPr>
              <w:pStyle w:val="98"/>
              <w:keepNext w:val="0"/>
              <w:keepLines w:val="0"/>
              <w:pageBreakBefore w:val="0"/>
              <w:kinsoku/>
              <w:wordWrap/>
              <w:overflowPunct/>
              <w:topLinePunct w:val="0"/>
              <w:bidi w:val="0"/>
              <w:adjustRightInd/>
              <w:snapToGrid/>
              <w:ind w:left="0" w:right="0"/>
              <w:textAlignment w:val="auto"/>
              <w:rPr>
                <w:rFonts w:eastAsia="宋体"/>
                <w:color w:val="auto"/>
                <w:sz w:val="21"/>
                <w:szCs w:val="21"/>
                <w:highlight w:val="none"/>
                <w:lang w:val="en-US"/>
              </w:rPr>
            </w:pPr>
            <w:r>
              <w:rPr>
                <w:rFonts w:eastAsia="宋体"/>
                <w:color w:val="auto"/>
                <w:sz w:val="21"/>
                <w:szCs w:val="21"/>
                <w:highlight w:val="none"/>
                <w:lang w:val="en-US"/>
              </w:rPr>
              <w:t>/</w:t>
            </w:r>
          </w:p>
        </w:tc>
      </w:tr>
    </w:tbl>
    <w:p w14:paraId="0FBF0956">
      <w:pPr>
        <w:pStyle w:val="5"/>
        <w:keepLines w:val="0"/>
        <w:numPr>
          <w:ilvl w:val="0"/>
          <w:numId w:val="0"/>
        </w:numPr>
        <w:tabs>
          <w:tab w:val="left" w:pos="-568"/>
          <w:tab w:val="left" w:pos="0"/>
          <w:tab w:val="left" w:pos="567"/>
          <w:tab w:val="left" w:pos="709"/>
        </w:tabs>
        <w:spacing w:before="120" w:beforeLines="50" w:after="0" w:line="360" w:lineRule="auto"/>
        <w:ind w:right="-105"/>
        <w:rPr>
          <w:rFonts w:eastAsia="宋体"/>
          <w:color w:val="auto"/>
          <w:sz w:val="28"/>
          <w:szCs w:val="28"/>
          <w:highlight w:val="none"/>
        </w:rPr>
      </w:pPr>
      <w:r>
        <w:rPr>
          <w:rFonts w:eastAsia="宋体"/>
          <w:color w:val="auto"/>
          <w:sz w:val="28"/>
          <w:szCs w:val="28"/>
          <w:highlight w:val="none"/>
        </w:rPr>
        <w:t>9.2.6向公众公开的信息内容</w:t>
      </w:r>
      <w:bookmarkEnd w:id="538"/>
    </w:p>
    <w:p w14:paraId="3EB70119">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根据《建设项目环境影响评价技术导则总纲》（HJ2.1-2016）要求，结合本项目污染物排放清单及环境风险情况，提出本项目应向社会公开的信息内容为：</w:t>
      </w:r>
    </w:p>
    <w:p w14:paraId="6465B6A0">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一）公开环境影响报告书编制信息。根据建设项目环评公众参与相关规定，建设单位在建设项目环境影响报告书编制过程中，应当向社会公开建设项目的工程基本情况、拟定选址、周边主要保护目标的位置和距离、主要环境影响预测情况、拟采取的主要环境保护措施、公众参与的途经方式等。</w:t>
      </w:r>
    </w:p>
    <w:p w14:paraId="6D070EE1">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二）公开环境影响报告书全本。建设单位在建设项目环境影响报告书编制完成后，向环境保护主管部门报批前，应当向社会公开环境影响报告书全本，其中对于编制环境影响报告书的建设项目还应一并公开公众参与情况说明。报批过程中，如对环境影响报告书进一步修改，应及时公开最后版本。</w:t>
      </w:r>
    </w:p>
    <w:p w14:paraId="18320986">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三）公开建设项目开工前的信息。建设项目开工建设前，建设单位应当向社会公开建设项目开工日期、设计单位、施工单位和环境监理单位、工程基本情况、实际选址、拟采取的环境保护措施清单和实施计划、由地方政府或相关部门负责配套的环境保护措施清单和实施计划等，并确保上述信息在整个施工期内均处于公开状态。</w:t>
      </w:r>
    </w:p>
    <w:p w14:paraId="7FFF246B">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（四）公开建设项目施工过程中的信息。项目建设过程中，建设单位应当在施工中期向社会公开建设项目环境保护措施进展情况、施工期的环境保护措施落实情况、施工期环境监理情况、施工期环境监测结果等。</w:t>
      </w:r>
    </w:p>
    <w:p w14:paraId="6FDF9B68">
      <w:pPr>
        <w:spacing w:line="360" w:lineRule="auto"/>
        <w:ind w:left="-105" w:right="-105" w:firstLine="480" w:firstLineChars="200"/>
        <w:rPr>
          <w:rFonts w:ascii="Times New Roman" w:hAnsi="Times New Roman"/>
          <w:color w:val="auto"/>
          <w:szCs w:val="22"/>
          <w:highlight w:val="none"/>
        </w:rPr>
      </w:pPr>
      <w:r>
        <w:rPr>
          <w:rFonts w:ascii="Times New Roman" w:hAnsi="Times New Roman" w:cs="Times New Roman"/>
          <w:color w:val="auto"/>
          <w:szCs w:val="22"/>
          <w:highlight w:val="none"/>
        </w:rPr>
        <w:t>（五）公开建设项目建成后的信息。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14:paraId="6A61134B">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39" w:name="_Toc60653625"/>
      <w:bookmarkStart w:id="540" w:name="_Toc11436"/>
      <w:r>
        <w:rPr>
          <w:rFonts w:hint="eastAsia" w:ascii="Times New Roman" w:eastAsia="宋体"/>
          <w:color w:val="auto"/>
          <w:sz w:val="28"/>
          <w:szCs w:val="28"/>
          <w:highlight w:val="none"/>
        </w:rPr>
        <w:t>9.3</w:t>
      </w:r>
      <w:r>
        <w:rPr>
          <w:rFonts w:ascii="Times New Roman" w:eastAsia="宋体"/>
          <w:color w:val="auto"/>
          <w:sz w:val="28"/>
          <w:szCs w:val="28"/>
          <w:highlight w:val="none"/>
        </w:rPr>
        <w:t>环境</w:t>
      </w:r>
      <w:bookmarkEnd w:id="529"/>
      <w:r>
        <w:rPr>
          <w:rFonts w:ascii="Times New Roman" w:eastAsia="宋体"/>
          <w:color w:val="auto"/>
          <w:sz w:val="28"/>
          <w:szCs w:val="28"/>
          <w:highlight w:val="none"/>
        </w:rPr>
        <w:t>监测</w:t>
      </w:r>
      <w:bookmarkEnd w:id="539"/>
      <w:bookmarkEnd w:id="540"/>
    </w:p>
    <w:p w14:paraId="4D1B6180">
      <w:pPr>
        <w:spacing w:line="360" w:lineRule="auto"/>
        <w:ind w:left="-105" w:right="-105" w:firstLine="480" w:firstLineChars="200"/>
        <w:rPr>
          <w:rFonts w:ascii="Times New Roman" w:hAnsi="Times New Roman" w:cs="Times New Roman"/>
          <w:snapToGrid w:val="0"/>
          <w:color w:val="auto"/>
          <w:szCs w:val="20"/>
          <w:highlight w:val="none"/>
        </w:rPr>
      </w:pPr>
      <w:r>
        <w:rPr>
          <w:rFonts w:ascii="Times New Roman" w:hAnsi="Times New Roman" w:cs="Times New Roman"/>
          <w:color w:val="auto"/>
          <w:kern w:val="24"/>
          <w:szCs w:val="20"/>
          <w:highlight w:val="none"/>
        </w:rPr>
        <w:t>为有效地了解企业的排污情况和环境现状，保证公司排放的污染物达到有关控制标准的要求，</w:t>
      </w:r>
      <w:r>
        <w:rPr>
          <w:rFonts w:ascii="Times New Roman" w:hAnsi="Times New Roman" w:cs="Times New Roman"/>
          <w:snapToGrid w:val="0"/>
          <w:color w:val="auto"/>
          <w:szCs w:val="20"/>
          <w:highlight w:val="none"/>
        </w:rPr>
        <w:t>所在地环境质量达标，周边敏感目标环境质量达标，</w:t>
      </w:r>
      <w:r>
        <w:rPr>
          <w:rFonts w:ascii="Times New Roman" w:hAnsi="Times New Roman" w:cs="Times New Roman"/>
          <w:color w:val="auto"/>
          <w:kern w:val="24"/>
          <w:szCs w:val="20"/>
          <w:highlight w:val="none"/>
        </w:rPr>
        <w:t>应对公司各排污环节的污染物排放情况</w:t>
      </w:r>
      <w:r>
        <w:rPr>
          <w:rFonts w:ascii="Times New Roman" w:hAnsi="Times New Roman" w:cs="Times New Roman"/>
          <w:snapToGrid w:val="0"/>
          <w:color w:val="auto"/>
          <w:szCs w:val="20"/>
          <w:highlight w:val="none"/>
        </w:rPr>
        <w:t>和环境质量</w:t>
      </w:r>
      <w:r>
        <w:rPr>
          <w:rFonts w:ascii="Times New Roman" w:hAnsi="Times New Roman" w:cs="Times New Roman"/>
          <w:color w:val="auto"/>
          <w:kern w:val="24"/>
          <w:szCs w:val="20"/>
          <w:highlight w:val="none"/>
        </w:rPr>
        <w:t>实施定期、不定期监测。为此，应</w:t>
      </w:r>
      <w:r>
        <w:rPr>
          <w:rFonts w:ascii="Times New Roman" w:hAnsi="Times New Roman" w:cs="Times New Roman"/>
          <w:snapToGrid w:val="0"/>
          <w:color w:val="auto"/>
          <w:szCs w:val="20"/>
          <w:highlight w:val="none"/>
        </w:rPr>
        <w:t>根据项目环境影响特征、影响范围和影响程度、结合环境保护目标分布、项目核定的污染源（废气、废水、噪声、固废等）排放特点以及污染防治设施运行情况，开展环境监测工作，制定并实施切实可行的环境监测计划。环境监测计划包括污染源监测计划和环境质量监测计划，内容包括监测因子、监测网点布设、监测频次、监测数据采集与处理、采样分析方法等，明确自行监测计划内容。</w:t>
      </w:r>
    </w:p>
    <w:p w14:paraId="48A96AFC">
      <w:pPr>
        <w:pStyle w:val="5"/>
        <w:keepLines w:val="0"/>
        <w:numPr>
          <w:ilvl w:val="0"/>
          <w:numId w:val="0"/>
        </w:numPr>
        <w:tabs>
          <w:tab w:val="left" w:pos="141"/>
          <w:tab w:val="left" w:pos="567"/>
          <w:tab w:val="left" w:pos="709"/>
        </w:tabs>
        <w:spacing w:before="120" w:beforeLines="50" w:after="0" w:line="360" w:lineRule="auto"/>
        <w:ind w:right="-105"/>
        <w:rPr>
          <w:rFonts w:eastAsia="宋体"/>
          <w:color w:val="auto"/>
          <w:sz w:val="28"/>
          <w:szCs w:val="28"/>
          <w:highlight w:val="none"/>
        </w:rPr>
      </w:pPr>
      <w:bookmarkStart w:id="541" w:name="_Toc12988"/>
      <w:r>
        <w:rPr>
          <w:rFonts w:hint="eastAsia" w:eastAsia="宋体"/>
          <w:color w:val="auto"/>
          <w:sz w:val="28"/>
          <w:szCs w:val="28"/>
          <w:highlight w:val="none"/>
        </w:rPr>
        <w:t>9.3.1</w:t>
      </w:r>
      <w:r>
        <w:rPr>
          <w:rFonts w:eastAsia="宋体"/>
          <w:color w:val="auto"/>
          <w:sz w:val="28"/>
          <w:szCs w:val="28"/>
          <w:highlight w:val="none"/>
        </w:rPr>
        <w:t>监测机构</w:t>
      </w:r>
      <w:bookmarkEnd w:id="541"/>
    </w:p>
    <w:p w14:paraId="16EF0E4D">
      <w:pPr>
        <w:widowControl w:val="0"/>
        <w:adjustRightInd w:val="0"/>
        <w:snapToGrid w:val="0"/>
        <w:spacing w:line="360" w:lineRule="auto"/>
        <w:ind w:left="-105" w:right="-105" w:firstLine="480" w:firstLineChars="200"/>
        <w:jc w:val="both"/>
        <w:rPr>
          <w:rFonts w:ascii="Times New Roman" w:hAnsi="Times New Roman" w:cs="Times New Roman"/>
          <w:color w:val="auto"/>
          <w:kern w:val="2"/>
          <w:szCs w:val="20"/>
          <w:highlight w:val="none"/>
        </w:rPr>
      </w:pPr>
      <w:r>
        <w:rPr>
          <w:rFonts w:ascii="Times New Roman" w:hAnsi="Times New Roman" w:cs="Times New Roman"/>
          <w:color w:val="auto"/>
          <w:kern w:val="2"/>
          <w:szCs w:val="20"/>
          <w:highlight w:val="none"/>
        </w:rPr>
        <w:t>委托当地有资质的环境监测单位执行环境质量监测计划，这样一方面可以发挥当地环保部门专业人员齐备、监测设备完善的优势，同时便于环保部门掌握当地环境状况，另一方面拟建项目管理机构可节省非常用设备采购开支和避免不必要的人力资源的浪费。</w:t>
      </w:r>
    </w:p>
    <w:p w14:paraId="11150193">
      <w:pPr>
        <w:pStyle w:val="5"/>
        <w:keepLines w:val="0"/>
        <w:numPr>
          <w:ilvl w:val="0"/>
          <w:numId w:val="0"/>
        </w:numPr>
        <w:tabs>
          <w:tab w:val="left" w:pos="141"/>
          <w:tab w:val="left" w:pos="567"/>
          <w:tab w:val="left" w:pos="709"/>
        </w:tabs>
        <w:spacing w:before="120" w:beforeLines="50" w:after="0" w:line="360" w:lineRule="auto"/>
        <w:ind w:right="-105"/>
        <w:rPr>
          <w:rFonts w:eastAsia="宋体"/>
          <w:color w:val="auto"/>
          <w:sz w:val="28"/>
          <w:szCs w:val="28"/>
          <w:highlight w:val="none"/>
        </w:rPr>
      </w:pPr>
      <w:r>
        <w:rPr>
          <w:rFonts w:hint="eastAsia" w:eastAsia="宋体"/>
          <w:color w:val="auto"/>
          <w:sz w:val="28"/>
          <w:szCs w:val="28"/>
          <w:highlight w:val="none"/>
        </w:rPr>
        <w:t>9.3.2</w:t>
      </w:r>
      <w:r>
        <w:rPr>
          <w:rFonts w:eastAsia="宋体"/>
          <w:color w:val="auto"/>
          <w:sz w:val="28"/>
          <w:szCs w:val="28"/>
          <w:highlight w:val="none"/>
        </w:rPr>
        <w:t>环境质量监测计划</w:t>
      </w:r>
    </w:p>
    <w:p w14:paraId="0977085E">
      <w:pPr>
        <w:widowControl w:val="0"/>
        <w:adjustRightInd w:val="0"/>
        <w:snapToGrid w:val="0"/>
        <w:spacing w:line="360" w:lineRule="auto"/>
        <w:ind w:left="-105" w:right="-105" w:firstLine="480" w:firstLineChars="200"/>
        <w:jc w:val="both"/>
        <w:rPr>
          <w:color w:val="auto"/>
          <w:szCs w:val="20"/>
          <w:highlight w:val="none"/>
        </w:rPr>
      </w:pPr>
      <w:r>
        <w:rPr>
          <w:rFonts w:hint="eastAsia" w:ascii="Times New Roman" w:hAnsi="Times New Roman" w:cs="Times New Roman"/>
          <w:color w:val="auto"/>
          <w:kern w:val="2"/>
          <w:szCs w:val="20"/>
          <w:highlight w:val="none"/>
        </w:rPr>
        <w:t>建设单位应参照《排污单位自行监测技术指南电子工业》（HJ1253-2022）等相关要求，开展环境质量监测工作，建议具体监测计划如下。</w:t>
      </w:r>
    </w:p>
    <w:p w14:paraId="60AA96DC">
      <w:pPr>
        <w:pStyle w:val="15"/>
        <w:ind w:left="-105" w:right="-105" w:firstLine="482"/>
        <w:rPr>
          <w:rFonts w:eastAsia="宋体"/>
          <w:color w:val="auto"/>
          <w:sz w:val="24"/>
          <w:szCs w:val="24"/>
          <w:highlight w:val="none"/>
        </w:rPr>
      </w:pPr>
    </w:p>
    <w:p w14:paraId="18DD09A2">
      <w:pPr>
        <w:pStyle w:val="15"/>
        <w:ind w:left="-105" w:right="-105" w:firstLine="482"/>
        <w:rPr>
          <w:rFonts w:eastAsia="宋体"/>
          <w:color w:val="auto"/>
          <w:sz w:val="24"/>
          <w:szCs w:val="24"/>
          <w:highlight w:val="none"/>
        </w:rPr>
      </w:pPr>
    </w:p>
    <w:p w14:paraId="5EE1D916">
      <w:pPr>
        <w:pStyle w:val="15"/>
        <w:ind w:left="-105" w:right="-105" w:firstLine="482"/>
        <w:rPr>
          <w:rFonts w:eastAsia="宋体"/>
          <w:b w:val="0"/>
          <w:snapToGrid w:val="0"/>
          <w:color w:val="auto"/>
          <w:highlight w:val="none"/>
        </w:rPr>
      </w:pPr>
      <w:r>
        <w:rPr>
          <w:rFonts w:eastAsia="宋体"/>
          <w:color w:val="auto"/>
          <w:sz w:val="24"/>
          <w:szCs w:val="24"/>
          <w:highlight w:val="none"/>
        </w:rPr>
        <w:t>表</w:t>
      </w:r>
      <w:r>
        <w:rPr>
          <w:rFonts w:hint="eastAsia" w:eastAsia="宋体"/>
          <w:color w:val="auto"/>
          <w:sz w:val="24"/>
          <w:szCs w:val="24"/>
          <w:highlight w:val="none"/>
        </w:rPr>
        <w:t>9.3-1</w:t>
      </w:r>
      <w:r>
        <w:rPr>
          <w:rFonts w:eastAsia="宋体"/>
          <w:snapToGrid w:val="0"/>
          <w:color w:val="auto"/>
          <w:kern w:val="0"/>
          <w:sz w:val="24"/>
          <w:szCs w:val="24"/>
          <w:highlight w:val="none"/>
        </w:rPr>
        <w:t>营</w:t>
      </w:r>
      <w:r>
        <w:rPr>
          <w:rFonts w:eastAsia="宋体"/>
          <w:snapToGrid w:val="0"/>
          <w:color w:val="auto"/>
          <w:kern w:val="0"/>
          <w:sz w:val="24"/>
          <w:highlight w:val="none"/>
        </w:rPr>
        <w:t>运期环境质量监测计划</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0"/>
        <w:gridCol w:w="1919"/>
        <w:gridCol w:w="1919"/>
        <w:gridCol w:w="1797"/>
        <w:gridCol w:w="1797"/>
      </w:tblGrid>
      <w:tr w14:paraId="2AD210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vAlign w:val="center"/>
          </w:tcPr>
          <w:p w14:paraId="30382B7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环境要素</w:t>
            </w:r>
          </w:p>
        </w:tc>
        <w:tc>
          <w:tcPr>
            <w:tcW w:w="1919" w:type="dxa"/>
            <w:vAlign w:val="center"/>
          </w:tcPr>
          <w:p w14:paraId="209DF2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监测点位</w:t>
            </w:r>
          </w:p>
        </w:tc>
        <w:tc>
          <w:tcPr>
            <w:tcW w:w="1919" w:type="dxa"/>
            <w:vAlign w:val="center"/>
          </w:tcPr>
          <w:p w14:paraId="3F5EE8D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监测指标</w:t>
            </w:r>
          </w:p>
        </w:tc>
        <w:tc>
          <w:tcPr>
            <w:tcW w:w="1797" w:type="dxa"/>
            <w:vAlign w:val="center"/>
          </w:tcPr>
          <w:p w14:paraId="5FD0F0C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监测频次</w:t>
            </w:r>
          </w:p>
        </w:tc>
        <w:tc>
          <w:tcPr>
            <w:tcW w:w="1797" w:type="dxa"/>
            <w:vAlign w:val="center"/>
          </w:tcPr>
          <w:p w14:paraId="086A033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监测依据</w:t>
            </w:r>
          </w:p>
        </w:tc>
      </w:tr>
      <w:tr w14:paraId="4F313B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vAlign w:val="center"/>
          </w:tcPr>
          <w:p w14:paraId="3C0BFBFE">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噪声</w:t>
            </w:r>
          </w:p>
        </w:tc>
        <w:tc>
          <w:tcPr>
            <w:tcW w:w="1919" w:type="dxa"/>
            <w:vAlign w:val="center"/>
          </w:tcPr>
          <w:p w14:paraId="6C559D6B">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周巷头、</w:t>
            </w:r>
          </w:p>
        </w:tc>
        <w:tc>
          <w:tcPr>
            <w:tcW w:w="1919" w:type="dxa"/>
            <w:vAlign w:val="center"/>
          </w:tcPr>
          <w:p w14:paraId="2C3BFFD4">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21"/>
                <w:szCs w:val="21"/>
                <w:highlight w:val="none"/>
              </w:rPr>
            </w:pPr>
          </w:p>
        </w:tc>
        <w:tc>
          <w:tcPr>
            <w:tcW w:w="1797" w:type="dxa"/>
            <w:vAlign w:val="center"/>
          </w:tcPr>
          <w:p w14:paraId="3C30576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797" w:type="dxa"/>
            <w:vAlign w:val="center"/>
          </w:tcPr>
          <w:p w14:paraId="63C657C9">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99F36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vAlign w:val="center"/>
          </w:tcPr>
          <w:p w14:paraId="3E4347B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p>
        </w:tc>
        <w:tc>
          <w:tcPr>
            <w:tcW w:w="1919" w:type="dxa"/>
            <w:vAlign w:val="center"/>
          </w:tcPr>
          <w:p w14:paraId="302CA6B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周边</w:t>
            </w:r>
          </w:p>
        </w:tc>
        <w:tc>
          <w:tcPr>
            <w:tcW w:w="1919" w:type="dxa"/>
            <w:vAlign w:val="center"/>
          </w:tcPr>
          <w:p w14:paraId="4FAFB5B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pH值、挥发性有机污染物、半挥发性有机污染物和石油烃</w:t>
            </w:r>
          </w:p>
        </w:tc>
        <w:tc>
          <w:tcPr>
            <w:tcW w:w="1797" w:type="dxa"/>
            <w:vAlign w:val="center"/>
          </w:tcPr>
          <w:p w14:paraId="382F447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1次/年</w:t>
            </w:r>
          </w:p>
        </w:tc>
        <w:tc>
          <w:tcPr>
            <w:tcW w:w="1797" w:type="dxa"/>
            <w:vMerge w:val="restart"/>
            <w:vAlign w:val="center"/>
          </w:tcPr>
          <w:p w14:paraId="126BF5E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《排污单位自行监测技术指南电子工业》（HJ1253-2022）</w:t>
            </w:r>
          </w:p>
        </w:tc>
      </w:tr>
      <w:tr w14:paraId="4C701B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vAlign w:val="center"/>
          </w:tcPr>
          <w:p w14:paraId="291FE9E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w:t>
            </w:r>
          </w:p>
        </w:tc>
        <w:tc>
          <w:tcPr>
            <w:tcW w:w="1919" w:type="dxa"/>
            <w:vAlign w:val="center"/>
          </w:tcPr>
          <w:p w14:paraId="31ECC4D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土壤敏感目标附近</w:t>
            </w:r>
          </w:p>
        </w:tc>
        <w:tc>
          <w:tcPr>
            <w:tcW w:w="1919" w:type="dxa"/>
            <w:vAlign w:val="center"/>
          </w:tcPr>
          <w:p w14:paraId="5C52321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pH、挥发性有机污染物、半挥发性有机污染物和石油烃</w:t>
            </w:r>
          </w:p>
        </w:tc>
        <w:tc>
          <w:tcPr>
            <w:tcW w:w="1797" w:type="dxa"/>
            <w:vAlign w:val="center"/>
          </w:tcPr>
          <w:p w14:paraId="47A1755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1次/年</w:t>
            </w:r>
          </w:p>
        </w:tc>
        <w:tc>
          <w:tcPr>
            <w:tcW w:w="1797" w:type="dxa"/>
            <w:vMerge w:val="continue"/>
            <w:vAlign w:val="center"/>
          </w:tcPr>
          <w:p w14:paraId="587646F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bl>
    <w:p w14:paraId="2E59AED5">
      <w:pPr>
        <w:pStyle w:val="5"/>
        <w:keepLines w:val="0"/>
        <w:numPr>
          <w:ilvl w:val="0"/>
          <w:numId w:val="0"/>
        </w:numPr>
        <w:tabs>
          <w:tab w:val="left" w:pos="141"/>
          <w:tab w:val="left" w:pos="567"/>
          <w:tab w:val="left" w:pos="709"/>
        </w:tabs>
        <w:spacing w:before="120" w:beforeLines="50" w:after="0" w:line="360" w:lineRule="auto"/>
        <w:ind w:right="-105"/>
        <w:rPr>
          <w:rFonts w:eastAsia="宋体"/>
          <w:color w:val="auto"/>
          <w:sz w:val="28"/>
          <w:szCs w:val="28"/>
          <w:highlight w:val="none"/>
        </w:rPr>
      </w:pPr>
      <w:r>
        <w:rPr>
          <w:rFonts w:hint="eastAsia" w:eastAsia="宋体"/>
          <w:color w:val="auto"/>
          <w:sz w:val="28"/>
          <w:szCs w:val="28"/>
          <w:highlight w:val="none"/>
        </w:rPr>
        <w:t>9.3.3</w:t>
      </w:r>
      <w:r>
        <w:rPr>
          <w:rFonts w:eastAsia="宋体"/>
          <w:color w:val="auto"/>
          <w:sz w:val="28"/>
          <w:szCs w:val="28"/>
          <w:highlight w:val="none"/>
        </w:rPr>
        <w:t>污染源监测</w:t>
      </w:r>
      <w:r>
        <w:rPr>
          <w:rFonts w:hint="eastAsia" w:eastAsia="宋体"/>
          <w:color w:val="auto"/>
          <w:sz w:val="28"/>
          <w:szCs w:val="28"/>
          <w:highlight w:val="none"/>
        </w:rPr>
        <w:t>计划</w:t>
      </w:r>
    </w:p>
    <w:p w14:paraId="052E6E1D">
      <w:pPr>
        <w:widowControl w:val="0"/>
        <w:adjustRightInd w:val="0"/>
        <w:snapToGrid w:val="0"/>
        <w:spacing w:line="360" w:lineRule="auto"/>
        <w:ind w:left="-105" w:right="-105" w:firstLine="480"/>
        <w:jc w:val="both"/>
        <w:rPr>
          <w:rFonts w:ascii="Times New Roman" w:hAnsi="Times New Roman" w:cs="Times New Roman"/>
          <w:snapToGrid w:val="0"/>
          <w:color w:val="auto"/>
          <w:szCs w:val="20"/>
          <w:highlight w:val="none"/>
        </w:rPr>
      </w:pPr>
      <w:r>
        <w:rPr>
          <w:rFonts w:ascii="Times New Roman" w:hAnsi="Times New Roman" w:cs="Times New Roman"/>
          <w:snapToGrid w:val="0"/>
          <w:color w:val="auto"/>
          <w:szCs w:val="20"/>
          <w:highlight w:val="none"/>
        </w:rPr>
        <w:t>建设单位应按照《固定污染源排污许可分类管理目录》(2019年版)、《排污单位自行监测技术指南</w:t>
      </w:r>
      <w:r>
        <w:rPr>
          <w:rFonts w:hint="eastAsia" w:ascii="Times New Roman" w:hAnsi="Times New Roman" w:cs="Times New Roman"/>
          <w:snapToGrid w:val="0"/>
          <w:color w:val="auto"/>
          <w:szCs w:val="20"/>
          <w:highlight w:val="none"/>
        </w:rPr>
        <w:t xml:space="preserve"> </w:t>
      </w:r>
      <w:r>
        <w:rPr>
          <w:rFonts w:ascii="Times New Roman" w:hAnsi="Times New Roman" w:cs="Times New Roman"/>
          <w:snapToGrid w:val="0"/>
          <w:color w:val="auto"/>
          <w:szCs w:val="20"/>
          <w:highlight w:val="none"/>
        </w:rPr>
        <w:t>总则》（HJ819-2017）、</w:t>
      </w:r>
      <w:r>
        <w:rPr>
          <w:rFonts w:hint="eastAsia" w:ascii="Times New Roman" w:hAnsi="Times New Roman" w:cs="Times New Roman"/>
          <w:snapToGrid w:val="0"/>
          <w:color w:val="auto"/>
          <w:szCs w:val="20"/>
          <w:highlight w:val="none"/>
        </w:rPr>
        <w:t>参照</w:t>
      </w:r>
      <w:r>
        <w:rPr>
          <w:rFonts w:hint="eastAsia" w:ascii="Times New Roman" w:hAnsi="Times New Roman" w:cs="Times New Roman"/>
          <w:color w:val="auto"/>
          <w:kern w:val="2"/>
          <w:szCs w:val="20"/>
          <w:highlight w:val="none"/>
        </w:rPr>
        <w:t>《排污许可证申请与核发技术规范 石化工业》（HJ853-2017）</w:t>
      </w:r>
      <w:r>
        <w:rPr>
          <w:rFonts w:ascii="Times New Roman" w:hAnsi="Times New Roman" w:cs="Times New Roman"/>
          <w:snapToGrid w:val="0"/>
          <w:color w:val="auto"/>
          <w:szCs w:val="20"/>
          <w:highlight w:val="none"/>
        </w:rPr>
        <w:t>、</w:t>
      </w:r>
      <w:r>
        <w:rPr>
          <w:rFonts w:hint="eastAsia" w:ascii="Times New Roman" w:hAnsi="Times New Roman" w:cs="Times New Roman"/>
          <w:snapToGrid w:val="0"/>
          <w:color w:val="auto"/>
          <w:szCs w:val="20"/>
          <w:highlight w:val="none"/>
        </w:rPr>
        <w:t>《排污单位自行监测技术指南 电子工业》（HJ1253-2022）、</w:t>
      </w:r>
      <w:r>
        <w:rPr>
          <w:rFonts w:ascii="Times New Roman" w:hAnsi="Times New Roman" w:cs="Times New Roman"/>
          <w:snapToGrid w:val="0"/>
          <w:color w:val="auto"/>
          <w:szCs w:val="20"/>
          <w:highlight w:val="none"/>
        </w:rPr>
        <w:t>《工业企业土壤和地下水自行监测技术指南（试行）》（HJ1209-2021）、</w:t>
      </w:r>
      <w:r>
        <w:rPr>
          <w:rFonts w:ascii="Times New Roman" w:hAnsi="Times New Roman" w:cs="Times New Roman"/>
          <w:color w:val="auto"/>
          <w:highlight w:val="none"/>
        </w:rPr>
        <w:t>《江苏省污染源自动监控管理办法（试行）》</w:t>
      </w:r>
      <w:r>
        <w:rPr>
          <w:rFonts w:ascii="Times New Roman" w:hAnsi="Times New Roman" w:cs="Times New Roman"/>
          <w:snapToGrid w:val="0"/>
          <w:color w:val="auto"/>
          <w:szCs w:val="20"/>
          <w:highlight w:val="none"/>
        </w:rPr>
        <w:t>等相关要求，根据项目核定的污染源（废气、废水、噪声、固废等）排放特点以及污染防治设施运行情况，开展污染源监测工作，明确在线监测设备的布设和监测因子，建议具体监测计划如下。</w:t>
      </w:r>
    </w:p>
    <w:p w14:paraId="1159DA05">
      <w:pPr>
        <w:pStyle w:val="15"/>
        <w:ind w:left="-105" w:right="-105" w:firstLine="482"/>
        <w:rPr>
          <w:rFonts w:eastAsia="宋体"/>
          <w:b w:val="0"/>
          <w:snapToGrid w:val="0"/>
          <w:color w:val="auto"/>
          <w:highlight w:val="none"/>
        </w:rPr>
      </w:pPr>
      <w:r>
        <w:rPr>
          <w:rFonts w:eastAsia="宋体"/>
          <w:color w:val="auto"/>
          <w:sz w:val="24"/>
          <w:szCs w:val="24"/>
          <w:highlight w:val="none"/>
        </w:rPr>
        <w:t>表</w:t>
      </w:r>
      <w:r>
        <w:rPr>
          <w:rFonts w:hint="eastAsia" w:eastAsia="宋体"/>
          <w:color w:val="auto"/>
          <w:sz w:val="24"/>
          <w:szCs w:val="24"/>
          <w:highlight w:val="none"/>
        </w:rPr>
        <w:t>9.3-2</w:t>
      </w:r>
      <w:r>
        <w:rPr>
          <w:rFonts w:eastAsia="宋体"/>
          <w:snapToGrid w:val="0"/>
          <w:color w:val="auto"/>
          <w:kern w:val="0"/>
          <w:sz w:val="24"/>
          <w:szCs w:val="24"/>
          <w:highlight w:val="none"/>
        </w:rPr>
        <w:t>营</w:t>
      </w:r>
      <w:r>
        <w:rPr>
          <w:rFonts w:eastAsia="宋体"/>
          <w:snapToGrid w:val="0"/>
          <w:color w:val="auto"/>
          <w:kern w:val="0"/>
          <w:sz w:val="24"/>
          <w:highlight w:val="none"/>
        </w:rPr>
        <w:t>运期污染源监测计划</w:t>
      </w:r>
    </w:p>
    <w:tbl>
      <w:tblPr>
        <w:tblStyle w:val="45"/>
        <w:tblW w:w="907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1286"/>
        <w:gridCol w:w="1950"/>
        <w:gridCol w:w="1362"/>
        <w:gridCol w:w="1603"/>
        <w:gridCol w:w="1701"/>
      </w:tblGrid>
      <w:tr w14:paraId="1C1DDB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70" w:type="dxa"/>
            <w:vAlign w:val="center"/>
          </w:tcPr>
          <w:p w14:paraId="4F54269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污染源</w:t>
            </w:r>
          </w:p>
        </w:tc>
        <w:tc>
          <w:tcPr>
            <w:tcW w:w="1286" w:type="dxa"/>
            <w:vAlign w:val="center"/>
          </w:tcPr>
          <w:p w14:paraId="37D2FA6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监测点位</w:t>
            </w:r>
          </w:p>
        </w:tc>
        <w:tc>
          <w:tcPr>
            <w:tcW w:w="1950" w:type="dxa"/>
            <w:vAlign w:val="center"/>
          </w:tcPr>
          <w:p w14:paraId="19297D8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监测因子</w:t>
            </w:r>
          </w:p>
        </w:tc>
        <w:tc>
          <w:tcPr>
            <w:tcW w:w="1362" w:type="dxa"/>
            <w:vAlign w:val="center"/>
          </w:tcPr>
          <w:p w14:paraId="706715A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监测频次</w:t>
            </w:r>
          </w:p>
        </w:tc>
        <w:tc>
          <w:tcPr>
            <w:tcW w:w="1603" w:type="dxa"/>
            <w:vAlign w:val="center"/>
          </w:tcPr>
          <w:p w14:paraId="2473A98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手工监测采样方法及个数</w:t>
            </w:r>
          </w:p>
        </w:tc>
        <w:tc>
          <w:tcPr>
            <w:tcW w:w="1701" w:type="dxa"/>
            <w:vAlign w:val="center"/>
          </w:tcPr>
          <w:p w14:paraId="66B07D4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监测依据</w:t>
            </w:r>
          </w:p>
        </w:tc>
      </w:tr>
      <w:tr w14:paraId="06851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restart"/>
            <w:vAlign w:val="center"/>
          </w:tcPr>
          <w:p w14:paraId="5FA97D0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1286" w:type="dxa"/>
            <w:vAlign w:val="center"/>
          </w:tcPr>
          <w:p w14:paraId="79FA123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DA005</w:t>
            </w:r>
          </w:p>
        </w:tc>
        <w:tc>
          <w:tcPr>
            <w:tcW w:w="1950" w:type="dxa"/>
            <w:vAlign w:val="center"/>
          </w:tcPr>
          <w:p w14:paraId="449CD5D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362" w:type="dxa"/>
            <w:vAlign w:val="center"/>
          </w:tcPr>
          <w:p w14:paraId="3EA4280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月</w:t>
            </w:r>
          </w:p>
        </w:tc>
        <w:tc>
          <w:tcPr>
            <w:tcW w:w="1603" w:type="dxa"/>
            <w:vAlign w:val="center"/>
          </w:tcPr>
          <w:p w14:paraId="03EBF1F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非连续采样</w:t>
            </w:r>
            <w:r>
              <w:rPr>
                <w:rFonts w:ascii="Times New Roman" w:hAnsi="Times New Roman" w:cs="Times New Roman"/>
                <w:color w:val="auto"/>
                <w:sz w:val="21"/>
                <w:szCs w:val="21"/>
                <w:highlight w:val="none"/>
              </w:rPr>
              <w:t>至少3个</w:t>
            </w:r>
          </w:p>
        </w:tc>
        <w:tc>
          <w:tcPr>
            <w:tcW w:w="1701" w:type="dxa"/>
            <w:vMerge w:val="restart"/>
            <w:vAlign w:val="center"/>
          </w:tcPr>
          <w:p w14:paraId="04C43E9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highlight w:val="none"/>
              </w:rPr>
              <w:t>《排污许可证申请与核发技术规范 石化工业》（HJ853-2017）、《排污单位自行监测技术指南电子工业》（HJ1253-2022）</w:t>
            </w:r>
          </w:p>
        </w:tc>
      </w:tr>
      <w:tr w14:paraId="349AD1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2666973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vAlign w:val="center"/>
          </w:tcPr>
          <w:p w14:paraId="65F53A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DA006</w:t>
            </w:r>
          </w:p>
        </w:tc>
        <w:tc>
          <w:tcPr>
            <w:tcW w:w="1950" w:type="dxa"/>
            <w:vAlign w:val="center"/>
          </w:tcPr>
          <w:p w14:paraId="5B20BAEA">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w:t>
            </w:r>
          </w:p>
        </w:tc>
        <w:tc>
          <w:tcPr>
            <w:tcW w:w="1362" w:type="dxa"/>
            <w:vAlign w:val="center"/>
          </w:tcPr>
          <w:p w14:paraId="1FC07A9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1次/半年</w:t>
            </w:r>
          </w:p>
        </w:tc>
        <w:tc>
          <w:tcPr>
            <w:tcW w:w="1603" w:type="dxa"/>
            <w:vAlign w:val="center"/>
          </w:tcPr>
          <w:p w14:paraId="3C12C73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非连续采样</w:t>
            </w:r>
            <w:r>
              <w:rPr>
                <w:rFonts w:ascii="Times New Roman" w:hAnsi="Times New Roman" w:cs="Times New Roman"/>
                <w:color w:val="auto"/>
                <w:sz w:val="21"/>
                <w:szCs w:val="21"/>
                <w:highlight w:val="none"/>
              </w:rPr>
              <w:t>至少3个</w:t>
            </w:r>
          </w:p>
        </w:tc>
        <w:tc>
          <w:tcPr>
            <w:tcW w:w="1701" w:type="dxa"/>
            <w:vMerge w:val="continue"/>
            <w:vAlign w:val="center"/>
          </w:tcPr>
          <w:p w14:paraId="5B3F295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668316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5212BB3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vAlign w:val="center"/>
          </w:tcPr>
          <w:p w14:paraId="5E2A588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厂界</w:t>
            </w:r>
          </w:p>
        </w:tc>
        <w:tc>
          <w:tcPr>
            <w:tcW w:w="1950" w:type="dxa"/>
            <w:vAlign w:val="center"/>
          </w:tcPr>
          <w:p w14:paraId="485F68AE">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rPr>
              <w:t>非甲烷总烃</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氮氧化物、甲醇</w:t>
            </w:r>
          </w:p>
        </w:tc>
        <w:tc>
          <w:tcPr>
            <w:tcW w:w="1362" w:type="dxa"/>
            <w:vAlign w:val="center"/>
          </w:tcPr>
          <w:p w14:paraId="2891F07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季度</w:t>
            </w:r>
          </w:p>
        </w:tc>
        <w:tc>
          <w:tcPr>
            <w:tcW w:w="1603" w:type="dxa"/>
            <w:vAlign w:val="center"/>
          </w:tcPr>
          <w:p w14:paraId="202D157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非连续采样</w:t>
            </w:r>
            <w:r>
              <w:rPr>
                <w:rFonts w:ascii="Times New Roman" w:hAnsi="Times New Roman" w:cs="Times New Roman"/>
                <w:color w:val="auto"/>
                <w:sz w:val="21"/>
                <w:szCs w:val="21"/>
                <w:highlight w:val="none"/>
              </w:rPr>
              <w:t>至少3个</w:t>
            </w:r>
          </w:p>
        </w:tc>
        <w:tc>
          <w:tcPr>
            <w:tcW w:w="1701" w:type="dxa"/>
            <w:vMerge w:val="continue"/>
            <w:vAlign w:val="center"/>
          </w:tcPr>
          <w:p w14:paraId="2F6A6BD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533F0F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0C795D5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vAlign w:val="center"/>
          </w:tcPr>
          <w:p w14:paraId="4F2A3FF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厂内</w:t>
            </w:r>
            <w:r>
              <w:rPr>
                <w:rFonts w:hint="eastAsia" w:ascii="Times New Roman" w:hAnsi="Times New Roman" w:cs="Times New Roman"/>
                <w:bCs/>
                <w:color w:val="auto"/>
                <w:sz w:val="21"/>
                <w:szCs w:val="21"/>
                <w:highlight w:val="none"/>
              </w:rPr>
              <w:t>（泵、压缩机、阀门、开口阀或开口管线、气体/蒸气泄压设备、取样连接系统）</w:t>
            </w:r>
          </w:p>
        </w:tc>
        <w:tc>
          <w:tcPr>
            <w:tcW w:w="1950" w:type="dxa"/>
            <w:vAlign w:val="center"/>
          </w:tcPr>
          <w:p w14:paraId="3FD6C7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1362" w:type="dxa"/>
            <w:vAlign w:val="center"/>
          </w:tcPr>
          <w:p w14:paraId="3F0D15E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季度</w:t>
            </w:r>
          </w:p>
        </w:tc>
        <w:tc>
          <w:tcPr>
            <w:tcW w:w="1603" w:type="dxa"/>
            <w:vAlign w:val="center"/>
          </w:tcPr>
          <w:p w14:paraId="3FCA726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非连续采样</w:t>
            </w:r>
            <w:r>
              <w:rPr>
                <w:rFonts w:ascii="Times New Roman" w:hAnsi="Times New Roman" w:cs="Times New Roman"/>
                <w:color w:val="auto"/>
                <w:sz w:val="21"/>
                <w:szCs w:val="21"/>
                <w:highlight w:val="none"/>
              </w:rPr>
              <w:t>至少3个</w:t>
            </w:r>
          </w:p>
        </w:tc>
        <w:tc>
          <w:tcPr>
            <w:tcW w:w="1701" w:type="dxa"/>
            <w:vMerge w:val="continue"/>
            <w:vAlign w:val="center"/>
          </w:tcPr>
          <w:p w14:paraId="10D6FF1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120910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46776B1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vAlign w:val="center"/>
          </w:tcPr>
          <w:p w14:paraId="6E633E1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厂内</w:t>
            </w:r>
            <w:r>
              <w:rPr>
                <w:rFonts w:hint="eastAsia" w:ascii="Times New Roman" w:hAnsi="Times New Roman" w:cs="Times New Roman"/>
                <w:bCs/>
                <w:color w:val="auto"/>
                <w:sz w:val="21"/>
                <w:szCs w:val="21"/>
                <w:highlight w:val="none"/>
              </w:rPr>
              <w:t>（法兰及其他连接件、其他密封设备）</w:t>
            </w:r>
          </w:p>
        </w:tc>
        <w:tc>
          <w:tcPr>
            <w:tcW w:w="1950" w:type="dxa"/>
            <w:vAlign w:val="center"/>
          </w:tcPr>
          <w:p w14:paraId="2390FFB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1362" w:type="dxa"/>
            <w:vAlign w:val="center"/>
          </w:tcPr>
          <w:p w14:paraId="632D73E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季度</w:t>
            </w:r>
          </w:p>
        </w:tc>
        <w:tc>
          <w:tcPr>
            <w:tcW w:w="1603" w:type="dxa"/>
            <w:vAlign w:val="center"/>
          </w:tcPr>
          <w:p w14:paraId="5B70BCD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非连续采样</w:t>
            </w:r>
            <w:r>
              <w:rPr>
                <w:rFonts w:ascii="Times New Roman" w:hAnsi="Times New Roman" w:cs="Times New Roman"/>
                <w:color w:val="auto"/>
                <w:sz w:val="21"/>
                <w:szCs w:val="21"/>
                <w:highlight w:val="none"/>
              </w:rPr>
              <w:t>至少3个</w:t>
            </w:r>
          </w:p>
        </w:tc>
        <w:tc>
          <w:tcPr>
            <w:tcW w:w="1701" w:type="dxa"/>
            <w:vMerge w:val="continue"/>
            <w:vAlign w:val="center"/>
          </w:tcPr>
          <w:p w14:paraId="7355AC9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16129D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restart"/>
            <w:vAlign w:val="center"/>
          </w:tcPr>
          <w:p w14:paraId="5A808B7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w:t>
            </w:r>
          </w:p>
        </w:tc>
        <w:tc>
          <w:tcPr>
            <w:tcW w:w="1286" w:type="dxa"/>
            <w:vAlign w:val="center"/>
          </w:tcPr>
          <w:p w14:paraId="12A0D2C9">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废水排污口</w:t>
            </w:r>
            <w:r>
              <w:rPr>
                <w:rFonts w:hint="eastAsia" w:ascii="Times New Roman" w:hAnsi="Times New Roman" w:cs="Times New Roman"/>
                <w:color w:val="auto"/>
                <w:sz w:val="21"/>
                <w:szCs w:val="21"/>
                <w:highlight w:val="none"/>
                <w:lang w:val="en-US" w:eastAsia="zh-CN"/>
              </w:rPr>
              <w:t>*</w:t>
            </w:r>
          </w:p>
        </w:tc>
        <w:tc>
          <w:tcPr>
            <w:tcW w:w="1950" w:type="dxa"/>
            <w:vAlign w:val="center"/>
          </w:tcPr>
          <w:p w14:paraId="43E6322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362" w:type="dxa"/>
            <w:vAlign w:val="center"/>
          </w:tcPr>
          <w:p w14:paraId="0A59588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603" w:type="dxa"/>
            <w:vAlign w:val="center"/>
          </w:tcPr>
          <w:p w14:paraId="108008A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Align w:val="center"/>
          </w:tcPr>
          <w:p w14:paraId="2FC7BDF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5D9346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4278B0B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vAlign w:val="center"/>
          </w:tcPr>
          <w:p w14:paraId="768DE4F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vertAlign w:val="superscript"/>
              </w:rPr>
            </w:pPr>
            <w:r>
              <w:rPr>
                <w:rFonts w:ascii="Times New Roman" w:hAnsi="Times New Roman" w:cs="Times New Roman"/>
                <w:color w:val="auto"/>
                <w:sz w:val="21"/>
                <w:szCs w:val="21"/>
                <w:highlight w:val="none"/>
              </w:rPr>
              <w:t>雨水排放口</w:t>
            </w:r>
          </w:p>
        </w:tc>
        <w:tc>
          <w:tcPr>
            <w:tcW w:w="1950" w:type="dxa"/>
            <w:vAlign w:val="center"/>
          </w:tcPr>
          <w:p w14:paraId="6877EF0A">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COD、氨氮</w:t>
            </w:r>
          </w:p>
        </w:tc>
        <w:tc>
          <w:tcPr>
            <w:tcW w:w="1362" w:type="dxa"/>
            <w:vAlign w:val="center"/>
          </w:tcPr>
          <w:p w14:paraId="5EC7A3A3">
            <w:pPr>
              <w:keepNext w:val="0"/>
              <w:keepLines w:val="0"/>
              <w:pageBreakBefore w:val="0"/>
              <w:widowControl/>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1次</w:t>
            </w:r>
            <w:r>
              <w:rPr>
                <w:rFonts w:hint="eastAsia"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日</w:t>
            </w:r>
          </w:p>
        </w:tc>
        <w:tc>
          <w:tcPr>
            <w:tcW w:w="1603" w:type="dxa"/>
            <w:vAlign w:val="center"/>
          </w:tcPr>
          <w:p w14:paraId="726700F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Align w:val="center"/>
          </w:tcPr>
          <w:p w14:paraId="2E9A681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highlight w:val="none"/>
              </w:rPr>
              <w:t>《排污许可证申请与核发技术规范 石化工业》（HJ853-2017）</w:t>
            </w:r>
          </w:p>
        </w:tc>
      </w:tr>
      <w:tr w14:paraId="681419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Align w:val="center"/>
          </w:tcPr>
          <w:p w14:paraId="6603E49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w:t>
            </w:r>
          </w:p>
        </w:tc>
        <w:tc>
          <w:tcPr>
            <w:tcW w:w="1286" w:type="dxa"/>
            <w:vAlign w:val="center"/>
          </w:tcPr>
          <w:p w14:paraId="59E83C61">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950" w:type="dxa"/>
            <w:vAlign w:val="center"/>
          </w:tcPr>
          <w:p w14:paraId="0B704B4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无渗漏</w:t>
            </w:r>
          </w:p>
        </w:tc>
        <w:tc>
          <w:tcPr>
            <w:tcW w:w="1362" w:type="dxa"/>
            <w:vAlign w:val="center"/>
          </w:tcPr>
          <w:p w14:paraId="3EB70180">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603" w:type="dxa"/>
            <w:vAlign w:val="center"/>
          </w:tcPr>
          <w:p w14:paraId="4698318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Align w:val="center"/>
          </w:tcPr>
          <w:p w14:paraId="6F2C736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14:paraId="0C575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Align w:val="center"/>
          </w:tcPr>
          <w:p w14:paraId="339E987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1286" w:type="dxa"/>
            <w:vAlign w:val="center"/>
          </w:tcPr>
          <w:p w14:paraId="76A4FCDF">
            <w:pPr>
              <w:keepNext w:val="0"/>
              <w:keepLines w:val="0"/>
              <w:pageBreakBefore w:val="0"/>
              <w:widowControl/>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厂界外1m</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200m范围内敏感目标处</w:t>
            </w:r>
          </w:p>
        </w:tc>
        <w:tc>
          <w:tcPr>
            <w:tcW w:w="1950" w:type="dxa"/>
            <w:vAlign w:val="center"/>
          </w:tcPr>
          <w:p w14:paraId="0781B36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厂界噪声</w:t>
            </w:r>
          </w:p>
        </w:tc>
        <w:tc>
          <w:tcPr>
            <w:tcW w:w="1362" w:type="dxa"/>
            <w:vAlign w:val="center"/>
          </w:tcPr>
          <w:p w14:paraId="1AFEB17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1次/季</w:t>
            </w:r>
          </w:p>
        </w:tc>
        <w:tc>
          <w:tcPr>
            <w:tcW w:w="1603" w:type="dxa"/>
            <w:vAlign w:val="center"/>
          </w:tcPr>
          <w:p w14:paraId="4F8E665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Align w:val="center"/>
          </w:tcPr>
          <w:p w14:paraId="0CF26E7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highlight w:val="none"/>
              </w:rPr>
              <w:t>《排污单位自行监测技术指南电子工业》（HJ1253-2022）</w:t>
            </w:r>
          </w:p>
        </w:tc>
      </w:tr>
      <w:tr w14:paraId="7C67BA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1170" w:type="dxa"/>
            <w:vMerge w:val="restart"/>
            <w:vAlign w:val="center"/>
          </w:tcPr>
          <w:p w14:paraId="1EF3DE5F">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w:t>
            </w:r>
          </w:p>
        </w:tc>
        <w:tc>
          <w:tcPr>
            <w:tcW w:w="1286" w:type="dxa"/>
            <w:tcBorders>
              <w:bottom w:val="single" w:color="auto" w:sz="4" w:space="0"/>
            </w:tcBorders>
            <w:vAlign w:val="center"/>
          </w:tcPr>
          <w:p w14:paraId="303519A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表层土壤</w:t>
            </w:r>
          </w:p>
        </w:tc>
        <w:tc>
          <w:tcPr>
            <w:tcW w:w="1950" w:type="dxa"/>
            <w:vMerge w:val="restart"/>
            <w:vAlign w:val="center"/>
          </w:tcPr>
          <w:p w14:paraId="065724F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pH、铜、镍、铅、汞、砷、铬（六价）、镉、挥发性有机污染物、半挥发性有机污染物和石油烃</w:t>
            </w:r>
          </w:p>
        </w:tc>
        <w:tc>
          <w:tcPr>
            <w:tcW w:w="1362" w:type="dxa"/>
            <w:tcBorders>
              <w:bottom w:val="single" w:color="auto" w:sz="4" w:space="0"/>
            </w:tcBorders>
            <w:vAlign w:val="center"/>
          </w:tcPr>
          <w:p w14:paraId="72070D56">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1次/年</w:t>
            </w:r>
          </w:p>
        </w:tc>
        <w:tc>
          <w:tcPr>
            <w:tcW w:w="1603" w:type="dxa"/>
            <w:tcBorders>
              <w:bottom w:val="single" w:color="auto" w:sz="4" w:space="0"/>
            </w:tcBorders>
            <w:vAlign w:val="center"/>
          </w:tcPr>
          <w:p w14:paraId="26B93D4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Merge w:val="restart"/>
            <w:vAlign w:val="center"/>
          </w:tcPr>
          <w:p w14:paraId="723DDF34">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《工业企业土壤和地下水自行监测技术指南（试行）》（HJ1209-2021）</w:t>
            </w:r>
          </w:p>
        </w:tc>
      </w:tr>
      <w:tr w14:paraId="2717A6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11999B7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tcBorders>
              <w:top w:val="single" w:color="auto" w:sz="4" w:space="0"/>
            </w:tcBorders>
            <w:vAlign w:val="center"/>
          </w:tcPr>
          <w:p w14:paraId="6B98D668">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深层土壤</w:t>
            </w:r>
          </w:p>
        </w:tc>
        <w:tc>
          <w:tcPr>
            <w:tcW w:w="1950" w:type="dxa"/>
            <w:vMerge w:val="continue"/>
            <w:vAlign w:val="center"/>
          </w:tcPr>
          <w:p w14:paraId="329FD1FC">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362" w:type="dxa"/>
            <w:tcBorders>
              <w:top w:val="single" w:color="auto" w:sz="4" w:space="0"/>
            </w:tcBorders>
            <w:vAlign w:val="center"/>
          </w:tcPr>
          <w:p w14:paraId="298C873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1次/3年</w:t>
            </w:r>
          </w:p>
        </w:tc>
        <w:tc>
          <w:tcPr>
            <w:tcW w:w="1603" w:type="dxa"/>
            <w:tcBorders>
              <w:top w:val="single" w:color="auto" w:sz="4" w:space="0"/>
            </w:tcBorders>
            <w:vAlign w:val="center"/>
          </w:tcPr>
          <w:p w14:paraId="3D652DC5">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Merge w:val="continue"/>
            <w:vAlign w:val="center"/>
          </w:tcPr>
          <w:p w14:paraId="68577DE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451205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restart"/>
            <w:vAlign w:val="center"/>
          </w:tcPr>
          <w:p w14:paraId="1D60AAC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地下水</w:t>
            </w:r>
          </w:p>
        </w:tc>
        <w:tc>
          <w:tcPr>
            <w:tcW w:w="1286" w:type="dxa"/>
            <w:tcBorders>
              <w:bottom w:val="single" w:color="auto" w:sz="4" w:space="0"/>
            </w:tcBorders>
            <w:vAlign w:val="center"/>
          </w:tcPr>
          <w:p w14:paraId="171B3EE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一类单元</w:t>
            </w:r>
          </w:p>
        </w:tc>
        <w:tc>
          <w:tcPr>
            <w:tcW w:w="1950" w:type="dxa"/>
            <w:vMerge w:val="restart"/>
            <w:vAlign w:val="center"/>
          </w:tcPr>
          <w:p w14:paraId="6652FE2C">
            <w:pPr>
              <w:keepNext w:val="0"/>
              <w:keepLines w:val="0"/>
              <w:pageBreakBefore w:val="0"/>
              <w:widowControl/>
              <w:kinsoku/>
              <w:wordWrap/>
              <w:overflowPunct/>
              <w:topLinePunct w:val="0"/>
              <w:autoSpaceDE/>
              <w:autoSpaceDN/>
              <w:bidi w:val="0"/>
              <w:adjustRightInd/>
              <w:snapToGrid/>
              <w:ind w:left="0" w:right="0"/>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水位、pH值、</w:t>
            </w:r>
            <w:r>
              <w:rPr>
                <w:rFonts w:hint="eastAsia"/>
                <w:color w:val="auto"/>
                <w:sz w:val="20"/>
                <w:szCs w:val="20"/>
                <w:highlight w:val="none"/>
                <w:lang w:bidi="ar"/>
              </w:rPr>
              <w:t>氨氮、高锰酸盐指数、挥发酚、溶解性固体、硝酸盐氮、亚硝酸盐氮、总硬度</w:t>
            </w:r>
            <w:r>
              <w:rPr>
                <w:rFonts w:hint="eastAsia" w:ascii="Times New Roman" w:hAnsi="Times New Roman" w:cs="Times New Roman"/>
                <w:color w:val="auto"/>
                <w:sz w:val="21"/>
                <w:szCs w:val="21"/>
                <w:highlight w:val="none"/>
              </w:rPr>
              <w:t>和石油烃等</w:t>
            </w:r>
          </w:p>
        </w:tc>
        <w:tc>
          <w:tcPr>
            <w:tcW w:w="1362" w:type="dxa"/>
            <w:tcBorders>
              <w:bottom w:val="single" w:color="auto" w:sz="4" w:space="0"/>
            </w:tcBorders>
            <w:vAlign w:val="center"/>
          </w:tcPr>
          <w:p w14:paraId="24EA89B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w:t>
            </w:r>
            <w:r>
              <w:rPr>
                <w:rFonts w:hint="eastAsia" w:ascii="Times New Roman" w:hAnsi="Times New Roman" w:cs="Times New Roman"/>
                <w:color w:val="auto"/>
                <w:sz w:val="21"/>
                <w:szCs w:val="21"/>
                <w:highlight w:val="none"/>
              </w:rPr>
              <w:t>半</w:t>
            </w:r>
            <w:r>
              <w:rPr>
                <w:rFonts w:ascii="Times New Roman" w:hAnsi="Times New Roman" w:cs="Times New Roman"/>
                <w:color w:val="auto"/>
                <w:sz w:val="21"/>
                <w:szCs w:val="21"/>
                <w:highlight w:val="none"/>
              </w:rPr>
              <w:t>年</w:t>
            </w:r>
          </w:p>
        </w:tc>
        <w:tc>
          <w:tcPr>
            <w:tcW w:w="1603" w:type="dxa"/>
            <w:tcBorders>
              <w:bottom w:val="single" w:color="auto" w:sz="4" w:space="0"/>
            </w:tcBorders>
            <w:vAlign w:val="center"/>
          </w:tcPr>
          <w:p w14:paraId="27578713">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701" w:type="dxa"/>
            <w:vMerge w:val="continue"/>
            <w:vAlign w:val="center"/>
          </w:tcPr>
          <w:p w14:paraId="7C181097">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r w14:paraId="178E9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0" w:type="dxa"/>
            <w:vMerge w:val="continue"/>
            <w:vAlign w:val="center"/>
          </w:tcPr>
          <w:p w14:paraId="11A14022">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286" w:type="dxa"/>
            <w:tcBorders>
              <w:top w:val="single" w:color="auto" w:sz="4" w:space="0"/>
            </w:tcBorders>
            <w:vAlign w:val="center"/>
          </w:tcPr>
          <w:p w14:paraId="275D12DB">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二类单元</w:t>
            </w:r>
          </w:p>
        </w:tc>
        <w:tc>
          <w:tcPr>
            <w:tcW w:w="1950" w:type="dxa"/>
            <w:vMerge w:val="continue"/>
            <w:vAlign w:val="center"/>
          </w:tcPr>
          <w:p w14:paraId="5E0876A9">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362" w:type="dxa"/>
            <w:tcBorders>
              <w:top w:val="single" w:color="auto" w:sz="4" w:space="0"/>
            </w:tcBorders>
            <w:vAlign w:val="center"/>
          </w:tcPr>
          <w:p w14:paraId="6AE74D3A">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1次/年</w:t>
            </w:r>
          </w:p>
        </w:tc>
        <w:tc>
          <w:tcPr>
            <w:tcW w:w="1603" w:type="dxa"/>
            <w:tcBorders>
              <w:top w:val="single" w:color="auto" w:sz="4" w:space="0"/>
            </w:tcBorders>
            <w:vAlign w:val="center"/>
          </w:tcPr>
          <w:p w14:paraId="4867B5DE">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c>
          <w:tcPr>
            <w:tcW w:w="1701" w:type="dxa"/>
            <w:vMerge w:val="continue"/>
            <w:vAlign w:val="center"/>
          </w:tcPr>
          <w:p w14:paraId="2233EB6D">
            <w:pPr>
              <w:keepNext w:val="0"/>
              <w:keepLines w:val="0"/>
              <w:pageBreakBefore w:val="0"/>
              <w:widowControl/>
              <w:kinsoku/>
              <w:wordWrap/>
              <w:overflowPunct/>
              <w:topLinePunct w:val="0"/>
              <w:autoSpaceDE/>
              <w:autoSpaceDN/>
              <w:bidi w:val="0"/>
              <w:adjustRightInd/>
              <w:snapToGrid/>
              <w:ind w:left="0" w:right="0"/>
              <w:jc w:val="center"/>
              <w:textAlignment w:val="auto"/>
              <w:rPr>
                <w:rFonts w:ascii="Times New Roman" w:hAnsi="Times New Roman" w:cs="Times New Roman"/>
                <w:color w:val="auto"/>
                <w:sz w:val="21"/>
                <w:szCs w:val="21"/>
                <w:highlight w:val="none"/>
              </w:rPr>
            </w:pPr>
          </w:p>
        </w:tc>
      </w:tr>
    </w:tbl>
    <w:p w14:paraId="5A460DEF">
      <w:pPr>
        <w:widowControl w:val="0"/>
        <w:adjustRightInd w:val="0"/>
        <w:snapToGrid w:val="0"/>
        <w:ind w:left="-105" w:right="-105"/>
        <w:jc w:val="both"/>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注：[</w:t>
      </w:r>
      <w:r>
        <w:rPr>
          <w:rFonts w:hint="eastAsia" w:ascii="Times New Roman" w:hAnsi="Times New Roman" w:cs="Times New Roman"/>
          <w:b/>
          <w:color w:val="auto"/>
          <w:sz w:val="21"/>
          <w:szCs w:val="21"/>
          <w:highlight w:val="none"/>
        </w:rPr>
        <w:t>1</w:t>
      </w:r>
      <w:r>
        <w:rPr>
          <w:rFonts w:ascii="Times New Roman" w:hAnsi="Times New Roman" w:cs="Times New Roman"/>
          <w:b/>
          <w:color w:val="auto"/>
          <w:sz w:val="21"/>
          <w:szCs w:val="21"/>
          <w:highlight w:val="none"/>
        </w:rPr>
        <w:t>]若企业办理排污许可证，则自行监测的内容等均按企业最新排污许可证的要求进行；</w:t>
      </w:r>
    </w:p>
    <w:p w14:paraId="695F916F">
      <w:pPr>
        <w:widowControl w:val="0"/>
        <w:numPr>
          <w:ilvl w:val="0"/>
          <w:numId w:val="38"/>
        </w:numPr>
        <w:adjustRightInd w:val="0"/>
        <w:snapToGrid w:val="0"/>
        <w:ind w:left="-105" w:right="-105" w:firstLine="422" w:firstLineChars="200"/>
        <w:jc w:val="both"/>
        <w:rPr>
          <w:rFonts w:hint="eastAsia"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rPr>
        <w:t>有组织和无组织挥发性有机物均以非甲烷总烃表征</w:t>
      </w:r>
      <w:r>
        <w:rPr>
          <w:rFonts w:hint="eastAsia" w:ascii="Times New Roman" w:hAnsi="Times New Roman" w:cs="Times New Roman"/>
          <w:b/>
          <w:color w:val="auto"/>
          <w:sz w:val="21"/>
          <w:szCs w:val="21"/>
          <w:highlight w:val="none"/>
          <w:lang w:eastAsia="zh-CN"/>
        </w:rPr>
        <w:t>；</w:t>
      </w:r>
    </w:p>
    <w:p w14:paraId="1A1232A8">
      <w:pPr>
        <w:widowControl w:val="0"/>
        <w:numPr>
          <w:ilvl w:val="0"/>
          <w:numId w:val="38"/>
        </w:numPr>
        <w:adjustRightInd w:val="0"/>
        <w:snapToGrid w:val="0"/>
        <w:ind w:left="-105" w:right="-105" w:firstLine="422" w:firstLineChars="200"/>
        <w:jc w:val="both"/>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监测点位于无锡先进化药化工有限公司污水总排口</w:t>
      </w:r>
      <w:r>
        <w:rPr>
          <w:rFonts w:ascii="Times New Roman" w:hAnsi="Times New Roman" w:cs="Times New Roman"/>
          <w:b/>
          <w:color w:val="auto"/>
          <w:sz w:val="21"/>
          <w:szCs w:val="21"/>
          <w:highlight w:val="none"/>
        </w:rPr>
        <w:t>。</w:t>
      </w:r>
    </w:p>
    <w:p w14:paraId="3FE89D47">
      <w:pPr>
        <w:pStyle w:val="4"/>
        <w:numPr>
          <w:ilvl w:val="0"/>
          <w:numId w:val="0"/>
        </w:numPr>
        <w:tabs>
          <w:tab w:val="left" w:pos="426"/>
        </w:tabs>
        <w:spacing w:before="120" w:beforeLines="50" w:line="360" w:lineRule="auto"/>
        <w:ind w:right="-105"/>
        <w:rPr>
          <w:rFonts w:ascii="Times New Roman" w:eastAsia="宋体"/>
          <w:color w:val="auto"/>
          <w:sz w:val="28"/>
          <w:szCs w:val="28"/>
          <w:highlight w:val="none"/>
        </w:rPr>
      </w:pPr>
      <w:bookmarkStart w:id="542" w:name="_Toc30228"/>
      <w:bookmarkStart w:id="543" w:name="_Toc139356229"/>
      <w:r>
        <w:rPr>
          <w:rFonts w:hint="eastAsia" w:ascii="Times New Roman" w:eastAsia="宋体"/>
          <w:color w:val="auto"/>
          <w:sz w:val="28"/>
          <w:szCs w:val="28"/>
          <w:highlight w:val="none"/>
        </w:rPr>
        <w:t>9.4</w:t>
      </w:r>
      <w:r>
        <w:rPr>
          <w:rFonts w:ascii="Times New Roman" w:eastAsia="宋体"/>
          <w:color w:val="auto"/>
          <w:sz w:val="28"/>
          <w:szCs w:val="28"/>
          <w:highlight w:val="none"/>
        </w:rPr>
        <w:t>“三同时”验收监测建议清单</w:t>
      </w:r>
      <w:bookmarkEnd w:id="542"/>
      <w:bookmarkEnd w:id="543"/>
    </w:p>
    <w:p w14:paraId="11D2387C">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根据国务院令第682号《建设项目环境保护管理条例》第17条规定：</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w:t>
      </w:r>
      <w:r>
        <w:rPr>
          <w:rFonts w:hint="eastAsia" w:ascii="Times New Roman" w:hAnsi="Times New Roman" w:cs="Times New Roman"/>
          <w:color w:val="auto"/>
          <w:szCs w:val="22"/>
          <w:highlight w:val="none"/>
        </w:rPr>
        <w:t>”</w:t>
      </w:r>
    </w:p>
    <w:p w14:paraId="3A189D0A">
      <w:pPr>
        <w:spacing w:line="360" w:lineRule="auto"/>
        <w:ind w:left="-105" w:right="-105" w:firstLine="480" w:firstLineChars="200"/>
        <w:rPr>
          <w:rFonts w:ascii="Times New Roman" w:hAnsi="Times New Roman" w:cs="Times New Roman"/>
          <w:color w:val="auto"/>
          <w:szCs w:val="22"/>
          <w:highlight w:val="none"/>
        </w:rPr>
      </w:pPr>
      <w:r>
        <w:rPr>
          <w:rFonts w:ascii="Times New Roman" w:hAnsi="Times New Roman" w:cs="Times New Roman"/>
          <w:color w:val="auto"/>
          <w:szCs w:val="22"/>
          <w:highlight w:val="none"/>
        </w:rPr>
        <w:t>据此，要求在项目竣工验收时，对各项环境保护设施运行情况及项目对环境的影响进行监测，本项目主要为排气筒和边界噪声的监测，本项目</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三同时</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验收监测建议清单见下表。</w:t>
      </w:r>
    </w:p>
    <w:p w14:paraId="097B8E58">
      <w:pPr>
        <w:pStyle w:val="15"/>
        <w:ind w:left="-105" w:right="-105" w:firstLine="482"/>
        <w:rPr>
          <w:rFonts w:eastAsia="宋体"/>
          <w:color w:val="auto"/>
          <w:sz w:val="24"/>
          <w:szCs w:val="18"/>
          <w:highlight w:val="none"/>
        </w:rPr>
      </w:pPr>
      <w:r>
        <w:rPr>
          <w:rFonts w:eastAsia="宋体"/>
          <w:color w:val="auto"/>
          <w:sz w:val="24"/>
          <w:szCs w:val="18"/>
          <w:highlight w:val="none"/>
        </w:rPr>
        <w:t>表</w:t>
      </w:r>
      <w:r>
        <w:rPr>
          <w:rFonts w:eastAsia="宋体"/>
          <w:color w:val="auto"/>
          <w:sz w:val="24"/>
          <w:szCs w:val="18"/>
          <w:highlight w:val="none"/>
        </w:rPr>
        <w:fldChar w:fldCharType="begin"/>
      </w:r>
      <w:r>
        <w:rPr>
          <w:rFonts w:eastAsia="宋体"/>
          <w:color w:val="auto"/>
          <w:sz w:val="24"/>
          <w:szCs w:val="18"/>
          <w:highlight w:val="none"/>
        </w:rPr>
        <w:instrText xml:space="preserve"> STYLEREF 2 \s </w:instrText>
      </w:r>
      <w:r>
        <w:rPr>
          <w:rFonts w:eastAsia="宋体"/>
          <w:color w:val="auto"/>
          <w:sz w:val="24"/>
          <w:szCs w:val="18"/>
          <w:highlight w:val="none"/>
        </w:rPr>
        <w:fldChar w:fldCharType="separate"/>
      </w:r>
      <w:r>
        <w:rPr>
          <w:rFonts w:hint="eastAsia" w:eastAsia="宋体"/>
          <w:color w:val="auto"/>
          <w:sz w:val="24"/>
          <w:szCs w:val="18"/>
          <w:highlight w:val="none"/>
        </w:rPr>
        <w:t>9</w:t>
      </w:r>
      <w:r>
        <w:rPr>
          <w:rFonts w:eastAsia="宋体"/>
          <w:color w:val="auto"/>
          <w:sz w:val="24"/>
          <w:szCs w:val="18"/>
          <w:highlight w:val="none"/>
        </w:rPr>
        <w:t>.4</w:t>
      </w:r>
      <w:r>
        <w:rPr>
          <w:rFonts w:eastAsia="宋体"/>
          <w:color w:val="auto"/>
          <w:sz w:val="24"/>
          <w:szCs w:val="18"/>
          <w:highlight w:val="none"/>
        </w:rPr>
        <w:fldChar w:fldCharType="end"/>
      </w:r>
      <w:r>
        <w:rPr>
          <w:rFonts w:eastAsia="宋体"/>
          <w:color w:val="auto"/>
          <w:sz w:val="24"/>
          <w:szCs w:val="18"/>
          <w:highlight w:val="none"/>
        </w:rPr>
        <w:noBreakHyphen/>
      </w:r>
      <w:r>
        <w:rPr>
          <w:rFonts w:eastAsia="宋体"/>
          <w:color w:val="auto"/>
          <w:sz w:val="24"/>
          <w:szCs w:val="18"/>
          <w:highlight w:val="none"/>
        </w:rPr>
        <w:fldChar w:fldCharType="begin"/>
      </w:r>
      <w:r>
        <w:rPr>
          <w:rFonts w:eastAsia="宋体"/>
          <w:color w:val="auto"/>
          <w:sz w:val="24"/>
          <w:szCs w:val="18"/>
          <w:highlight w:val="none"/>
        </w:rPr>
        <w:instrText xml:space="preserve"> SEQ 表 \* ARABIC \s 2 </w:instrText>
      </w:r>
      <w:r>
        <w:rPr>
          <w:rFonts w:eastAsia="宋体"/>
          <w:color w:val="auto"/>
          <w:sz w:val="24"/>
          <w:szCs w:val="18"/>
          <w:highlight w:val="none"/>
        </w:rPr>
        <w:fldChar w:fldCharType="separate"/>
      </w:r>
      <w:r>
        <w:rPr>
          <w:rFonts w:eastAsia="宋体"/>
          <w:color w:val="auto"/>
          <w:sz w:val="24"/>
          <w:szCs w:val="18"/>
          <w:highlight w:val="none"/>
        </w:rPr>
        <w:t>1</w:t>
      </w:r>
      <w:r>
        <w:rPr>
          <w:rFonts w:eastAsia="宋体"/>
          <w:color w:val="auto"/>
          <w:sz w:val="24"/>
          <w:szCs w:val="18"/>
          <w:highlight w:val="none"/>
        </w:rPr>
        <w:fldChar w:fldCharType="end"/>
      </w:r>
      <w:r>
        <w:rPr>
          <w:rFonts w:eastAsia="宋体"/>
          <w:bCs/>
          <w:color w:val="auto"/>
          <w:sz w:val="24"/>
          <w:szCs w:val="18"/>
          <w:highlight w:val="none"/>
        </w:rPr>
        <w:t>“三同时”验收监测建议清单</w:t>
      </w:r>
    </w:p>
    <w:tbl>
      <w:tblPr>
        <w:tblStyle w:val="4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78"/>
        <w:gridCol w:w="1198"/>
        <w:gridCol w:w="892"/>
        <w:gridCol w:w="872"/>
        <w:gridCol w:w="793"/>
        <w:gridCol w:w="3244"/>
      </w:tblGrid>
      <w:tr w14:paraId="383839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0" w:type="dxa"/>
            <w:vAlign w:val="center"/>
          </w:tcPr>
          <w:p w14:paraId="2E694991">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类别</w:t>
            </w:r>
          </w:p>
        </w:tc>
        <w:tc>
          <w:tcPr>
            <w:tcW w:w="1077" w:type="dxa"/>
            <w:vAlign w:val="center"/>
          </w:tcPr>
          <w:p w14:paraId="54713299">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监测点位</w:t>
            </w:r>
          </w:p>
        </w:tc>
        <w:tc>
          <w:tcPr>
            <w:tcW w:w="1198" w:type="dxa"/>
            <w:vAlign w:val="center"/>
          </w:tcPr>
          <w:p w14:paraId="180A6A7B">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监测因子</w:t>
            </w:r>
          </w:p>
        </w:tc>
        <w:tc>
          <w:tcPr>
            <w:tcW w:w="890" w:type="dxa"/>
            <w:vAlign w:val="center"/>
          </w:tcPr>
          <w:p w14:paraId="29419981">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点位数</w:t>
            </w:r>
          </w:p>
        </w:tc>
        <w:tc>
          <w:tcPr>
            <w:tcW w:w="869" w:type="dxa"/>
            <w:vAlign w:val="center"/>
          </w:tcPr>
          <w:p w14:paraId="55938AEF">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频次/天</w:t>
            </w:r>
          </w:p>
        </w:tc>
        <w:tc>
          <w:tcPr>
            <w:tcW w:w="790" w:type="dxa"/>
            <w:vAlign w:val="center"/>
          </w:tcPr>
          <w:p w14:paraId="3F33194F">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天数</w:t>
            </w:r>
          </w:p>
        </w:tc>
        <w:tc>
          <w:tcPr>
            <w:tcW w:w="3257" w:type="dxa"/>
            <w:vAlign w:val="center"/>
          </w:tcPr>
          <w:p w14:paraId="2F6585F0">
            <w:pPr>
              <w:ind w:left="-105" w:right="-105"/>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验收标准</w:t>
            </w:r>
          </w:p>
        </w:tc>
      </w:tr>
      <w:tr w14:paraId="795C4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0" w:type="dxa"/>
            <w:vMerge w:val="restart"/>
            <w:vAlign w:val="center"/>
          </w:tcPr>
          <w:p w14:paraId="4300F6AC">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废气</w:t>
            </w:r>
          </w:p>
        </w:tc>
        <w:tc>
          <w:tcPr>
            <w:tcW w:w="1077" w:type="dxa"/>
            <w:vAlign w:val="center"/>
          </w:tcPr>
          <w:p w14:paraId="28BD533A">
            <w:pPr>
              <w:pStyle w:val="98"/>
              <w:adjustRightInd w:val="0"/>
              <w:snapToGrid w:val="0"/>
              <w:ind w:left="-105" w:right="-105"/>
              <w:rPr>
                <w:rFonts w:eastAsia="宋体"/>
                <w:color w:val="auto"/>
                <w:sz w:val="21"/>
                <w:szCs w:val="21"/>
                <w:highlight w:val="none"/>
                <w:lang w:val="en-US"/>
              </w:rPr>
            </w:pPr>
            <w:r>
              <w:rPr>
                <w:rFonts w:hint="eastAsia" w:eastAsia="宋体"/>
                <w:color w:val="auto"/>
                <w:sz w:val="21"/>
                <w:szCs w:val="21"/>
                <w:highlight w:val="none"/>
                <w:lang w:val="en-US"/>
              </w:rPr>
              <w:t>DA005</w:t>
            </w:r>
          </w:p>
        </w:tc>
        <w:tc>
          <w:tcPr>
            <w:tcW w:w="1198" w:type="dxa"/>
            <w:vAlign w:val="center"/>
          </w:tcPr>
          <w:p w14:paraId="57F4E440">
            <w:pPr>
              <w:pStyle w:val="240"/>
              <w:adjustRightInd w:val="0"/>
              <w:snapToGrid w:val="0"/>
              <w:ind w:left="-105" w:right="-105"/>
              <w:rPr>
                <w:rFonts w:ascii="Times New Roman" w:hAnsi="Times New Roman"/>
                <w:color w:val="auto"/>
                <w:highlight w:val="none"/>
              </w:rPr>
            </w:pPr>
            <w:r>
              <w:rPr>
                <w:rFonts w:ascii="Times New Roman" w:hAnsi="Times New Roman"/>
                <w:color w:val="auto"/>
                <w:highlight w:val="none"/>
              </w:rPr>
              <w:t>非甲烷总烃</w:t>
            </w:r>
          </w:p>
        </w:tc>
        <w:tc>
          <w:tcPr>
            <w:tcW w:w="890" w:type="dxa"/>
            <w:vAlign w:val="center"/>
          </w:tcPr>
          <w:p w14:paraId="0869E34A">
            <w:pPr>
              <w:adjustRightInd w:val="0"/>
              <w:snapToGrid w:val="0"/>
              <w:ind w:left="-105" w:right="-105"/>
              <w:jc w:val="center"/>
              <w:rPr>
                <w:rFonts w:ascii="Times New Roman" w:hAnsi="Times New Roman" w:cs="Times New Roman"/>
                <w:color w:val="auto"/>
                <w:sz w:val="20"/>
                <w:szCs w:val="16"/>
                <w:highlight w:val="none"/>
              </w:rPr>
            </w:pPr>
            <w:r>
              <w:rPr>
                <w:rFonts w:hint="eastAsia" w:ascii="Times New Roman" w:hAnsi="Times New Roman" w:cs="Times New Roman"/>
                <w:color w:val="auto"/>
                <w:sz w:val="20"/>
                <w:szCs w:val="16"/>
                <w:highlight w:val="none"/>
                <w:lang w:val="en-US" w:eastAsia="zh-CN"/>
              </w:rPr>
              <w:t>2</w:t>
            </w:r>
          </w:p>
        </w:tc>
        <w:tc>
          <w:tcPr>
            <w:tcW w:w="869" w:type="dxa"/>
            <w:vAlign w:val="center"/>
          </w:tcPr>
          <w:p w14:paraId="61E8A8AE">
            <w:pPr>
              <w:adjustRightInd w:val="0"/>
              <w:snapToGrid w:val="0"/>
              <w:ind w:left="-105" w:right="-105"/>
              <w:jc w:val="center"/>
              <w:rPr>
                <w:rFonts w:ascii="Times New Roman" w:hAnsi="Times New Roman" w:cs="Times New Roman"/>
                <w:bCs/>
                <w:color w:val="auto"/>
                <w:sz w:val="20"/>
                <w:szCs w:val="16"/>
                <w:highlight w:val="none"/>
              </w:rPr>
            </w:pPr>
            <w:r>
              <w:rPr>
                <w:rFonts w:ascii="Times New Roman" w:hAnsi="Times New Roman" w:cs="Times New Roman"/>
                <w:color w:val="auto"/>
                <w:sz w:val="20"/>
                <w:szCs w:val="16"/>
                <w:highlight w:val="none"/>
              </w:rPr>
              <w:t>3</w:t>
            </w:r>
          </w:p>
        </w:tc>
        <w:tc>
          <w:tcPr>
            <w:tcW w:w="790" w:type="dxa"/>
            <w:vAlign w:val="center"/>
          </w:tcPr>
          <w:p w14:paraId="69215B75">
            <w:pPr>
              <w:autoSpaceDE w:val="0"/>
              <w:autoSpaceDN w:val="0"/>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 w:val="20"/>
                <w:szCs w:val="16"/>
                <w:highlight w:val="none"/>
              </w:rPr>
              <w:t>2</w:t>
            </w:r>
          </w:p>
        </w:tc>
        <w:tc>
          <w:tcPr>
            <w:tcW w:w="3257" w:type="dxa"/>
            <w:vAlign w:val="center"/>
          </w:tcPr>
          <w:p w14:paraId="23214F50">
            <w:pPr>
              <w:autoSpaceDE w:val="0"/>
              <w:autoSpaceDN w:val="0"/>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rPr>
              <w:t>《大气污染物综合排放标准》（DB32/4041-2021）表1标准限值</w:t>
            </w:r>
          </w:p>
        </w:tc>
      </w:tr>
      <w:tr w14:paraId="03AE98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0" w:type="dxa"/>
            <w:vMerge w:val="continue"/>
            <w:vAlign w:val="center"/>
          </w:tcPr>
          <w:p w14:paraId="1F72AAEC">
            <w:pPr>
              <w:adjustRightInd w:val="0"/>
              <w:snapToGrid w:val="0"/>
              <w:ind w:left="-105" w:right="-105"/>
              <w:jc w:val="center"/>
              <w:rPr>
                <w:rFonts w:ascii="Times New Roman" w:hAnsi="Times New Roman" w:cs="Times New Roman"/>
                <w:bCs/>
                <w:color w:val="auto"/>
                <w:sz w:val="21"/>
                <w:szCs w:val="21"/>
                <w:highlight w:val="none"/>
              </w:rPr>
            </w:pPr>
          </w:p>
        </w:tc>
        <w:tc>
          <w:tcPr>
            <w:tcW w:w="1077" w:type="dxa"/>
            <w:vAlign w:val="center"/>
          </w:tcPr>
          <w:p w14:paraId="79AF459D">
            <w:pPr>
              <w:pStyle w:val="98"/>
              <w:adjustRightInd w:val="0"/>
              <w:snapToGrid w:val="0"/>
              <w:ind w:left="-105" w:right="-105"/>
              <w:rPr>
                <w:rFonts w:eastAsia="宋体"/>
                <w:color w:val="auto"/>
                <w:sz w:val="21"/>
                <w:szCs w:val="21"/>
                <w:highlight w:val="none"/>
                <w:lang w:val="en-US"/>
              </w:rPr>
            </w:pPr>
            <w:r>
              <w:rPr>
                <w:rFonts w:hint="eastAsia" w:eastAsia="宋体"/>
                <w:color w:val="auto"/>
                <w:sz w:val="21"/>
                <w:szCs w:val="21"/>
                <w:highlight w:val="none"/>
                <w:lang w:val="en-US"/>
              </w:rPr>
              <w:t>DA006</w:t>
            </w:r>
          </w:p>
        </w:tc>
        <w:tc>
          <w:tcPr>
            <w:tcW w:w="1198" w:type="dxa"/>
            <w:vAlign w:val="center"/>
          </w:tcPr>
          <w:p w14:paraId="353FE26A">
            <w:pPr>
              <w:pStyle w:val="240"/>
              <w:adjustRightInd w:val="0"/>
              <w:snapToGrid w:val="0"/>
              <w:ind w:left="-105" w:right="-105"/>
              <w:rPr>
                <w:rFonts w:hint="default" w:ascii="Times New Roman" w:hAnsi="Times New Roman" w:eastAsia="宋体"/>
                <w:color w:val="auto"/>
                <w:highlight w:val="none"/>
                <w:lang w:val="en-US" w:eastAsia="zh-CN"/>
              </w:rPr>
            </w:pPr>
            <w:r>
              <w:rPr>
                <w:rFonts w:ascii="Times New Roman" w:hAnsi="Times New Roman"/>
                <w:color w:val="auto"/>
                <w:highlight w:val="none"/>
              </w:rPr>
              <w:t>非甲烷总烃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氮氧化物</w:t>
            </w:r>
          </w:p>
        </w:tc>
        <w:tc>
          <w:tcPr>
            <w:tcW w:w="890" w:type="dxa"/>
            <w:vAlign w:val="center"/>
          </w:tcPr>
          <w:p w14:paraId="1EA5F197">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0"/>
                <w:szCs w:val="16"/>
                <w:highlight w:val="none"/>
              </w:rPr>
              <w:t>2</w:t>
            </w:r>
          </w:p>
        </w:tc>
        <w:tc>
          <w:tcPr>
            <w:tcW w:w="869" w:type="dxa"/>
            <w:vAlign w:val="center"/>
          </w:tcPr>
          <w:p w14:paraId="1E81EE77">
            <w:pPr>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color w:val="auto"/>
                <w:sz w:val="20"/>
                <w:szCs w:val="16"/>
                <w:highlight w:val="none"/>
              </w:rPr>
              <w:t>3</w:t>
            </w:r>
          </w:p>
        </w:tc>
        <w:tc>
          <w:tcPr>
            <w:tcW w:w="790" w:type="dxa"/>
            <w:vAlign w:val="center"/>
          </w:tcPr>
          <w:p w14:paraId="0BF01C5E">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0"/>
                <w:szCs w:val="16"/>
                <w:highlight w:val="none"/>
              </w:rPr>
              <w:t>2</w:t>
            </w:r>
          </w:p>
        </w:tc>
        <w:tc>
          <w:tcPr>
            <w:tcW w:w="3257" w:type="dxa"/>
            <w:vAlign w:val="center"/>
          </w:tcPr>
          <w:p w14:paraId="46874049">
            <w:pPr>
              <w:autoSpaceDE w:val="0"/>
              <w:autoSpaceDN w:val="0"/>
              <w:adjustRightInd w:val="0"/>
              <w:snapToGrid w:val="0"/>
              <w:ind w:left="-105" w:right="-105"/>
              <w:jc w:val="center"/>
              <w:rPr>
                <w:rFonts w:ascii="Times New Roman" w:hAnsi="Times New Roman" w:cs="Times New Roman"/>
                <w:bCs/>
                <w:color w:val="auto"/>
                <w:sz w:val="21"/>
                <w:szCs w:val="21"/>
                <w:highlight w:val="none"/>
              </w:rPr>
            </w:pPr>
            <w:r>
              <w:rPr>
                <w:rFonts w:ascii="Times New Roman" w:hAnsi="Times New Roman" w:cs="Times New Roman"/>
                <w:color w:val="auto"/>
                <w:sz w:val="21"/>
                <w:szCs w:val="21"/>
                <w:highlight w:val="none"/>
              </w:rPr>
              <w:t>《大气污染物综合排放标准》（DB32/4041-2021）表1标准限值</w:t>
            </w:r>
          </w:p>
        </w:tc>
      </w:tr>
      <w:tr w14:paraId="2713C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0" w:type="dxa"/>
            <w:vMerge w:val="continue"/>
            <w:vAlign w:val="center"/>
          </w:tcPr>
          <w:p w14:paraId="41B6857F">
            <w:pPr>
              <w:adjustRightInd w:val="0"/>
              <w:snapToGrid w:val="0"/>
              <w:ind w:left="-105" w:right="-105"/>
              <w:jc w:val="center"/>
              <w:rPr>
                <w:rFonts w:ascii="Times New Roman" w:hAnsi="Times New Roman" w:cs="Times New Roman"/>
                <w:bCs/>
                <w:color w:val="auto"/>
                <w:sz w:val="21"/>
                <w:szCs w:val="21"/>
                <w:highlight w:val="none"/>
              </w:rPr>
            </w:pPr>
          </w:p>
        </w:tc>
        <w:tc>
          <w:tcPr>
            <w:tcW w:w="1077" w:type="dxa"/>
            <w:vAlign w:val="center"/>
          </w:tcPr>
          <w:p w14:paraId="5FCCB821">
            <w:pPr>
              <w:pStyle w:val="98"/>
              <w:adjustRightInd w:val="0"/>
              <w:snapToGrid w:val="0"/>
              <w:ind w:left="-105" w:right="-105"/>
              <w:rPr>
                <w:rFonts w:eastAsia="宋体"/>
                <w:color w:val="auto"/>
                <w:sz w:val="21"/>
                <w:szCs w:val="21"/>
                <w:highlight w:val="none"/>
              </w:rPr>
            </w:pPr>
            <w:r>
              <w:rPr>
                <w:rFonts w:eastAsia="宋体"/>
                <w:color w:val="auto"/>
                <w:sz w:val="21"/>
                <w:szCs w:val="21"/>
                <w:highlight w:val="none"/>
              </w:rPr>
              <w:t>厂界无组织</w:t>
            </w:r>
          </w:p>
        </w:tc>
        <w:tc>
          <w:tcPr>
            <w:tcW w:w="1198" w:type="dxa"/>
            <w:vAlign w:val="center"/>
          </w:tcPr>
          <w:p w14:paraId="796E153A">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氮氧化物、甲醇</w:t>
            </w:r>
          </w:p>
        </w:tc>
        <w:tc>
          <w:tcPr>
            <w:tcW w:w="890" w:type="dxa"/>
            <w:vAlign w:val="center"/>
          </w:tcPr>
          <w:p w14:paraId="1DC0B57D">
            <w:pPr>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 w:val="20"/>
                <w:szCs w:val="16"/>
                <w:highlight w:val="none"/>
              </w:rPr>
              <w:t>4</w:t>
            </w:r>
          </w:p>
        </w:tc>
        <w:tc>
          <w:tcPr>
            <w:tcW w:w="869" w:type="dxa"/>
            <w:vAlign w:val="center"/>
          </w:tcPr>
          <w:p w14:paraId="1E6AAA51">
            <w:pPr>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 w:val="20"/>
                <w:szCs w:val="16"/>
                <w:highlight w:val="none"/>
              </w:rPr>
              <w:t>3</w:t>
            </w:r>
          </w:p>
        </w:tc>
        <w:tc>
          <w:tcPr>
            <w:tcW w:w="790" w:type="dxa"/>
            <w:vAlign w:val="center"/>
          </w:tcPr>
          <w:p w14:paraId="3F1E4D40">
            <w:pPr>
              <w:autoSpaceDE w:val="0"/>
              <w:autoSpaceDN w:val="0"/>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 w:val="20"/>
                <w:szCs w:val="16"/>
                <w:highlight w:val="none"/>
              </w:rPr>
              <w:t>2</w:t>
            </w:r>
          </w:p>
        </w:tc>
        <w:tc>
          <w:tcPr>
            <w:tcW w:w="3257" w:type="dxa"/>
            <w:vAlign w:val="center"/>
          </w:tcPr>
          <w:p w14:paraId="6C53FF00">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《大气污染物综合排放标准》（DB32/4041-2021)表3中标准</w:t>
            </w:r>
          </w:p>
        </w:tc>
      </w:tr>
      <w:tr w14:paraId="3A3E4B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0" w:type="dxa"/>
            <w:vMerge w:val="continue"/>
            <w:vAlign w:val="center"/>
          </w:tcPr>
          <w:p w14:paraId="43589C58">
            <w:pPr>
              <w:adjustRightInd w:val="0"/>
              <w:snapToGrid w:val="0"/>
              <w:ind w:left="-105" w:right="-105"/>
              <w:jc w:val="center"/>
              <w:rPr>
                <w:rFonts w:ascii="Times New Roman" w:hAnsi="Times New Roman" w:cs="Times New Roman"/>
                <w:bCs/>
                <w:color w:val="auto"/>
                <w:sz w:val="21"/>
                <w:szCs w:val="21"/>
                <w:highlight w:val="none"/>
              </w:rPr>
            </w:pPr>
          </w:p>
        </w:tc>
        <w:tc>
          <w:tcPr>
            <w:tcW w:w="1077" w:type="dxa"/>
            <w:vAlign w:val="center"/>
          </w:tcPr>
          <w:p w14:paraId="40CDF8F0">
            <w:pPr>
              <w:pStyle w:val="98"/>
              <w:adjustRightInd w:val="0"/>
              <w:snapToGrid w:val="0"/>
              <w:ind w:left="-105" w:right="-105"/>
              <w:rPr>
                <w:rFonts w:eastAsia="宋体"/>
                <w:color w:val="auto"/>
                <w:sz w:val="21"/>
                <w:szCs w:val="21"/>
                <w:highlight w:val="none"/>
              </w:rPr>
            </w:pPr>
            <w:r>
              <w:rPr>
                <w:rFonts w:eastAsia="宋体"/>
                <w:color w:val="auto"/>
                <w:sz w:val="21"/>
                <w:szCs w:val="21"/>
                <w:highlight w:val="none"/>
              </w:rPr>
              <w:t>厂区内无组织</w:t>
            </w:r>
          </w:p>
        </w:tc>
        <w:tc>
          <w:tcPr>
            <w:tcW w:w="1198" w:type="dxa"/>
            <w:vAlign w:val="center"/>
          </w:tcPr>
          <w:p w14:paraId="21E97BBF">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890" w:type="dxa"/>
            <w:vAlign w:val="center"/>
          </w:tcPr>
          <w:p w14:paraId="345CD165">
            <w:pPr>
              <w:adjustRightInd w:val="0"/>
              <w:snapToGrid w:val="0"/>
              <w:ind w:left="-105" w:right="-105"/>
              <w:jc w:val="center"/>
              <w:rPr>
                <w:rFonts w:ascii="Times New Roman" w:hAnsi="Times New Roman" w:cs="Times New Roman"/>
                <w:color w:val="auto"/>
                <w:sz w:val="20"/>
                <w:szCs w:val="16"/>
                <w:highlight w:val="none"/>
              </w:rPr>
            </w:pPr>
            <w:r>
              <w:rPr>
                <w:rFonts w:hint="eastAsia" w:ascii="Times New Roman" w:hAnsi="Times New Roman" w:cs="Times New Roman"/>
                <w:color w:val="auto"/>
                <w:sz w:val="20"/>
                <w:szCs w:val="16"/>
                <w:highlight w:val="none"/>
              </w:rPr>
              <w:t>2</w:t>
            </w:r>
          </w:p>
        </w:tc>
        <w:tc>
          <w:tcPr>
            <w:tcW w:w="869" w:type="dxa"/>
            <w:vAlign w:val="center"/>
          </w:tcPr>
          <w:p w14:paraId="391254BF">
            <w:pPr>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Cs w:val="21"/>
                <w:highlight w:val="none"/>
              </w:rPr>
              <w:t>3</w:t>
            </w:r>
          </w:p>
        </w:tc>
        <w:tc>
          <w:tcPr>
            <w:tcW w:w="790" w:type="dxa"/>
            <w:vAlign w:val="center"/>
          </w:tcPr>
          <w:p w14:paraId="33588F2F">
            <w:pPr>
              <w:autoSpaceDE w:val="0"/>
              <w:autoSpaceDN w:val="0"/>
              <w:adjustRightInd w:val="0"/>
              <w:snapToGrid w:val="0"/>
              <w:ind w:left="-105" w:right="-105"/>
              <w:jc w:val="center"/>
              <w:rPr>
                <w:rFonts w:ascii="Times New Roman" w:hAnsi="Times New Roman" w:cs="Times New Roman"/>
                <w:color w:val="auto"/>
                <w:sz w:val="20"/>
                <w:szCs w:val="16"/>
                <w:highlight w:val="none"/>
              </w:rPr>
            </w:pPr>
            <w:r>
              <w:rPr>
                <w:rFonts w:ascii="Times New Roman" w:hAnsi="Times New Roman" w:cs="Times New Roman"/>
                <w:color w:val="auto"/>
                <w:szCs w:val="21"/>
                <w:highlight w:val="none"/>
              </w:rPr>
              <w:t>2</w:t>
            </w:r>
          </w:p>
        </w:tc>
        <w:tc>
          <w:tcPr>
            <w:tcW w:w="3257" w:type="dxa"/>
          </w:tcPr>
          <w:p w14:paraId="59339F4E">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《大气污染物综合排放标准》（DB32/4041-2021)表2中标准限值要求</w:t>
            </w:r>
          </w:p>
        </w:tc>
      </w:tr>
      <w:tr w14:paraId="4B6715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0" w:type="dxa"/>
            <w:vAlign w:val="center"/>
          </w:tcPr>
          <w:p w14:paraId="1E2CBB4D">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1077" w:type="dxa"/>
            <w:vAlign w:val="center"/>
          </w:tcPr>
          <w:p w14:paraId="5B3E87DC">
            <w:pPr>
              <w:autoSpaceDE w:val="0"/>
              <w:autoSpaceDN w:val="0"/>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厂界四周噪声</w:t>
            </w:r>
          </w:p>
        </w:tc>
        <w:tc>
          <w:tcPr>
            <w:tcW w:w="1198" w:type="dxa"/>
            <w:vAlign w:val="center"/>
          </w:tcPr>
          <w:p w14:paraId="53C01694">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等效A声级</w:t>
            </w:r>
          </w:p>
        </w:tc>
        <w:tc>
          <w:tcPr>
            <w:tcW w:w="890" w:type="dxa"/>
            <w:vAlign w:val="center"/>
          </w:tcPr>
          <w:p w14:paraId="7B49B0D2">
            <w:pPr>
              <w:adjustRightInd w:val="0"/>
              <w:snapToGrid w:val="0"/>
              <w:ind w:left="-105" w:right="-105"/>
              <w:jc w:val="center"/>
              <w:rPr>
                <w:rFonts w:ascii="Times New Roman" w:hAnsi="Times New Roman" w:cs="Times New Roman"/>
                <w:color w:val="auto"/>
                <w:sz w:val="22"/>
                <w:szCs w:val="20"/>
                <w:highlight w:val="none"/>
              </w:rPr>
            </w:pPr>
            <w:r>
              <w:rPr>
                <w:rFonts w:ascii="Times New Roman" w:hAnsi="Times New Roman" w:cs="Times New Roman"/>
                <w:color w:val="auto"/>
                <w:sz w:val="22"/>
                <w:szCs w:val="20"/>
                <w:highlight w:val="none"/>
              </w:rPr>
              <w:t>4</w:t>
            </w:r>
          </w:p>
        </w:tc>
        <w:tc>
          <w:tcPr>
            <w:tcW w:w="869" w:type="dxa"/>
            <w:vAlign w:val="center"/>
          </w:tcPr>
          <w:p w14:paraId="170A6231">
            <w:pPr>
              <w:adjustRightInd w:val="0"/>
              <w:snapToGrid w:val="0"/>
              <w:ind w:left="-105" w:right="-105"/>
              <w:jc w:val="center"/>
              <w:rPr>
                <w:rFonts w:ascii="Times New Roman" w:hAnsi="Times New Roman" w:cs="Times New Roman"/>
                <w:color w:val="auto"/>
                <w:sz w:val="22"/>
                <w:szCs w:val="20"/>
                <w:highlight w:val="none"/>
              </w:rPr>
            </w:pPr>
            <w:r>
              <w:rPr>
                <w:rFonts w:ascii="Times New Roman" w:hAnsi="Times New Roman" w:cs="Times New Roman"/>
                <w:color w:val="auto"/>
                <w:sz w:val="22"/>
                <w:szCs w:val="20"/>
                <w:highlight w:val="none"/>
              </w:rPr>
              <w:t>2</w:t>
            </w:r>
          </w:p>
        </w:tc>
        <w:tc>
          <w:tcPr>
            <w:tcW w:w="790" w:type="dxa"/>
            <w:vAlign w:val="center"/>
          </w:tcPr>
          <w:p w14:paraId="1A001B59">
            <w:pPr>
              <w:adjustRightInd w:val="0"/>
              <w:snapToGrid w:val="0"/>
              <w:ind w:left="-105" w:right="-105"/>
              <w:jc w:val="center"/>
              <w:rPr>
                <w:rFonts w:ascii="Times New Roman" w:hAnsi="Times New Roman" w:cs="Times New Roman"/>
                <w:color w:val="auto"/>
                <w:sz w:val="22"/>
                <w:szCs w:val="20"/>
                <w:highlight w:val="none"/>
              </w:rPr>
            </w:pPr>
            <w:r>
              <w:rPr>
                <w:rFonts w:ascii="Times New Roman" w:hAnsi="Times New Roman" w:cs="Times New Roman"/>
                <w:color w:val="auto"/>
                <w:sz w:val="22"/>
                <w:szCs w:val="20"/>
                <w:highlight w:val="none"/>
              </w:rPr>
              <w:t>2</w:t>
            </w:r>
          </w:p>
        </w:tc>
        <w:tc>
          <w:tcPr>
            <w:tcW w:w="3257" w:type="dxa"/>
            <w:vAlign w:val="center"/>
          </w:tcPr>
          <w:p w14:paraId="1BDD314C">
            <w:pPr>
              <w:adjustRightInd w:val="0"/>
              <w:snapToGrid w:val="0"/>
              <w:ind w:left="-105" w:right="-105"/>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《工业企业厂界环境噪声排放标准》(GB12348-2008)中的3类标准</w:t>
            </w:r>
          </w:p>
        </w:tc>
      </w:tr>
    </w:tbl>
    <w:p w14:paraId="5D9E96CE">
      <w:pPr>
        <w:pStyle w:val="3"/>
        <w:numPr>
          <w:ilvl w:val="0"/>
          <w:numId w:val="6"/>
        </w:numPr>
        <w:spacing w:before="120" w:beforeLines="50" w:afterLines="50" w:line="360" w:lineRule="auto"/>
        <w:ind w:left="-105" w:right="-105" w:firstLine="643"/>
        <w:rPr>
          <w:rFonts w:ascii="Times New Roman" w:eastAsia="宋体"/>
          <w:color w:val="auto"/>
          <w:sz w:val="32"/>
          <w:szCs w:val="32"/>
          <w:highlight w:val="none"/>
        </w:rPr>
        <w:sectPr>
          <w:headerReference r:id="rId29" w:type="default"/>
          <w:headerReference r:id="rId30" w:type="even"/>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pPr>
      <w:bookmarkStart w:id="544" w:name="_Toc25598"/>
      <w:bookmarkStart w:id="545" w:name="_Toc60653631"/>
    </w:p>
    <w:p w14:paraId="3AEB06F2">
      <w:pPr>
        <w:pStyle w:val="3"/>
        <w:numPr>
          <w:ilvl w:val="0"/>
          <w:numId w:val="6"/>
        </w:numPr>
        <w:spacing w:before="120" w:beforeLines="50" w:afterLines="50" w:line="360" w:lineRule="auto"/>
        <w:ind w:left="-105" w:right="-105"/>
        <w:rPr>
          <w:rFonts w:ascii="Times New Roman" w:eastAsia="宋体"/>
          <w:color w:val="auto"/>
          <w:sz w:val="32"/>
          <w:szCs w:val="32"/>
          <w:highlight w:val="none"/>
        </w:rPr>
      </w:pPr>
      <w:bookmarkStart w:id="546" w:name="_Toc27465"/>
      <w:r>
        <w:rPr>
          <w:rFonts w:ascii="Times New Roman" w:eastAsia="宋体"/>
          <w:color w:val="auto"/>
          <w:sz w:val="32"/>
          <w:szCs w:val="32"/>
          <w:highlight w:val="none"/>
        </w:rPr>
        <w:t>评价结论和建议</w:t>
      </w:r>
      <w:bookmarkEnd w:id="544"/>
      <w:bookmarkEnd w:id="545"/>
      <w:bookmarkEnd w:id="546"/>
    </w:p>
    <w:p w14:paraId="2FED112F">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47" w:name="_Toc60653632"/>
      <w:bookmarkStart w:id="548" w:name="_Toc28545"/>
      <w:bookmarkStart w:id="549" w:name="_Toc31330"/>
      <w:bookmarkStart w:id="550" w:name="_Toc440877150"/>
      <w:r>
        <w:rPr>
          <w:rFonts w:hint="eastAsia" w:ascii="Times New Roman" w:eastAsia="宋体"/>
          <w:color w:val="auto"/>
          <w:sz w:val="28"/>
          <w:szCs w:val="28"/>
          <w:highlight w:val="none"/>
        </w:rPr>
        <w:t>10.1</w:t>
      </w:r>
      <w:r>
        <w:rPr>
          <w:rFonts w:ascii="Times New Roman" w:eastAsia="宋体"/>
          <w:color w:val="auto"/>
          <w:sz w:val="28"/>
          <w:szCs w:val="28"/>
          <w:highlight w:val="none"/>
        </w:rPr>
        <w:t>项目概况</w:t>
      </w:r>
      <w:bookmarkEnd w:id="547"/>
      <w:bookmarkEnd w:id="548"/>
      <w:bookmarkEnd w:id="549"/>
      <w:bookmarkEnd w:id="550"/>
    </w:p>
    <w:p w14:paraId="193A4BD5">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化药化工（无锡）有限公司成立于2002年，位于无锡市锡山区锡北镇新坝村，基于电子半导体封装材料需求量迅速增加的市场前景以及江苏省制造业提升工业基础能力的政策，</w:t>
      </w:r>
      <w:r>
        <w:rPr>
          <w:rFonts w:ascii="Times New Roman" w:hAnsi="Times New Roman" w:cs="Times New Roman"/>
          <w:color w:val="auto"/>
          <w:szCs w:val="22"/>
          <w:highlight w:val="none"/>
        </w:rPr>
        <w:t>公司</w:t>
      </w:r>
      <w:r>
        <w:rPr>
          <w:rFonts w:hint="eastAsia" w:ascii="Times New Roman" w:hAnsi="Times New Roman" w:cs="Times New Roman"/>
          <w:color w:val="auto"/>
          <w:szCs w:val="22"/>
          <w:highlight w:val="none"/>
        </w:rPr>
        <w:t>拟</w:t>
      </w:r>
      <w:r>
        <w:rPr>
          <w:rFonts w:ascii="Times New Roman" w:hAnsi="Times New Roman" w:cs="Times New Roman"/>
          <w:color w:val="auto"/>
          <w:szCs w:val="22"/>
          <w:highlight w:val="none"/>
        </w:rPr>
        <w:t>投资</w:t>
      </w:r>
      <w:r>
        <w:rPr>
          <w:rFonts w:hint="eastAsia" w:ascii="Times New Roman" w:hAnsi="Times New Roman" w:cs="Times New Roman"/>
          <w:color w:val="auto"/>
          <w:szCs w:val="22"/>
          <w:highlight w:val="none"/>
        </w:rPr>
        <w:t>1000万元</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利用现有厂房，扩建年产剥离液800t</w:t>
      </w:r>
      <w:r>
        <w:rPr>
          <w:rFonts w:ascii="Times New Roman" w:hAnsi="Times New Roman" w:cs="Times New Roman"/>
          <w:color w:val="auto"/>
          <w:szCs w:val="22"/>
          <w:highlight w:val="none"/>
        </w:rPr>
        <w:t>生产线</w:t>
      </w:r>
      <w:r>
        <w:rPr>
          <w:rFonts w:hint="eastAsia" w:ascii="Times New Roman" w:hAnsi="Times New Roman" w:cs="Times New Roman"/>
          <w:color w:val="auto"/>
          <w:szCs w:val="22"/>
          <w:highlight w:val="none"/>
        </w:rPr>
        <w:t>，以满足市场的需求，为区域创造良好的经济效益。</w:t>
      </w:r>
      <w:r>
        <w:rPr>
          <w:rFonts w:ascii="Times New Roman" w:hAnsi="Times New Roman" w:cs="Times New Roman"/>
          <w:color w:val="auto"/>
          <w:szCs w:val="22"/>
          <w:highlight w:val="none"/>
        </w:rPr>
        <w:t>项目建成后，</w:t>
      </w:r>
      <w:r>
        <w:rPr>
          <w:rFonts w:hint="eastAsia" w:ascii="Times New Roman" w:hAnsi="Times New Roman" w:cs="Times New Roman"/>
          <w:color w:val="auto"/>
          <w:szCs w:val="22"/>
          <w:highlight w:val="none"/>
        </w:rPr>
        <w:t>全厂</w:t>
      </w:r>
      <w:r>
        <w:rPr>
          <w:rFonts w:ascii="Times New Roman" w:hAnsi="Times New Roman" w:cs="Times New Roman"/>
          <w:color w:val="auto"/>
          <w:szCs w:val="22"/>
          <w:highlight w:val="none"/>
        </w:rPr>
        <w:t>设计生产能力为：</w:t>
      </w:r>
      <w:r>
        <w:rPr>
          <w:rFonts w:hint="eastAsia" w:ascii="Times New Roman" w:hAnsi="Times New Roman"/>
          <w:color w:val="auto"/>
          <w:szCs w:val="22"/>
          <w:highlight w:val="none"/>
        </w:rPr>
        <w:t>年产聚氨酯丙烯酸酯4600t/a、丙烯酸酯组成物9800t/a和环氧丙烯酸树脂2800t/a、剥离液800t</w:t>
      </w:r>
      <w:r>
        <w:rPr>
          <w:rFonts w:ascii="Times New Roman" w:hAnsi="Times New Roman" w:cs="Times New Roman"/>
          <w:color w:val="auto"/>
          <w:szCs w:val="22"/>
          <w:highlight w:val="none"/>
        </w:rPr>
        <w:t>。</w:t>
      </w:r>
    </w:p>
    <w:p w14:paraId="474FE3E1">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51" w:name="_Toc60653633"/>
      <w:bookmarkStart w:id="552" w:name="_Toc21996"/>
      <w:r>
        <w:rPr>
          <w:rFonts w:hint="eastAsia" w:ascii="Times New Roman" w:eastAsia="宋体"/>
          <w:color w:val="auto"/>
          <w:sz w:val="28"/>
          <w:szCs w:val="28"/>
          <w:highlight w:val="none"/>
        </w:rPr>
        <w:t>10.2</w:t>
      </w:r>
      <w:r>
        <w:rPr>
          <w:rFonts w:ascii="Times New Roman" w:eastAsia="宋体"/>
          <w:color w:val="auto"/>
          <w:sz w:val="28"/>
          <w:szCs w:val="28"/>
          <w:highlight w:val="none"/>
        </w:rPr>
        <w:t>与产业政策、规划相符性分析</w:t>
      </w:r>
      <w:bookmarkEnd w:id="551"/>
      <w:bookmarkEnd w:id="552"/>
    </w:p>
    <w:p w14:paraId="4782DCD6">
      <w:pPr>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经查阅，本项目属于《产业结构调整指导目录（20</w:t>
      </w:r>
      <w:r>
        <w:rPr>
          <w:rFonts w:hint="eastAsia" w:ascii="Times New Roman" w:hAnsi="Times New Roman" w:cs="Times New Roman"/>
          <w:color w:val="auto"/>
          <w:szCs w:val="22"/>
          <w:highlight w:val="none"/>
        </w:rPr>
        <w:t>24</w:t>
      </w:r>
      <w:r>
        <w:rPr>
          <w:rFonts w:ascii="Times New Roman" w:hAnsi="Times New Roman" w:cs="Times New Roman"/>
          <w:color w:val="auto"/>
          <w:szCs w:val="22"/>
          <w:highlight w:val="none"/>
        </w:rPr>
        <w:t>年本）》</w:t>
      </w:r>
      <w:r>
        <w:rPr>
          <w:rFonts w:hint="eastAsia" w:ascii="Times New Roman" w:hAnsi="Times New Roman" w:cs="Times New Roman"/>
          <w:color w:val="auto"/>
          <w:szCs w:val="22"/>
          <w:highlight w:val="none"/>
        </w:rPr>
        <w:t>允许</w:t>
      </w:r>
      <w:r>
        <w:rPr>
          <w:rFonts w:ascii="Times New Roman" w:hAnsi="Times New Roman" w:cs="Times New Roman"/>
          <w:color w:val="auto"/>
          <w:szCs w:val="22"/>
          <w:highlight w:val="none"/>
        </w:rPr>
        <w:t>类；属于《产业发展与转移指导目录（2018年本）》（中华人民共和国工业和信息化部公告2018年第66号）中</w:t>
      </w:r>
      <w:r>
        <w:rPr>
          <w:rFonts w:hint="eastAsia" w:ascii="Times New Roman" w:hAnsi="Times New Roman" w:cs="Times New Roman"/>
          <w:color w:val="auto"/>
          <w:szCs w:val="22"/>
          <w:highlight w:val="none"/>
        </w:rPr>
        <w:t>江苏省“优先承接发展的产业”</w:t>
      </w:r>
      <w:r>
        <w:rPr>
          <w:rFonts w:ascii="Times New Roman" w:hAnsi="Times New Roman" w:cs="Times New Roman"/>
          <w:color w:val="auto"/>
          <w:szCs w:val="22"/>
          <w:highlight w:val="none"/>
        </w:rPr>
        <w:t>；属于《无锡市产业结构调整指导目录（试行）》（2008年1月）中的允许类；属于《无锡市制造业转型发展指导目录》（2012年本）中的</w:t>
      </w:r>
      <w:r>
        <w:rPr>
          <w:rFonts w:hint="eastAsia" w:ascii="Times New Roman" w:hAnsi="Times New Roman" w:cs="Times New Roman"/>
          <w:color w:val="auto"/>
          <w:szCs w:val="22"/>
          <w:highlight w:val="none"/>
        </w:rPr>
        <w:t>鼓励类：一、电子信息产业11.半导体、光电子器件、新型电子元器件等电子产品用材料</w:t>
      </w:r>
      <w:r>
        <w:rPr>
          <w:rFonts w:ascii="Times New Roman" w:hAnsi="Times New Roman" w:cs="Times New Roman"/>
          <w:color w:val="auto"/>
          <w:szCs w:val="22"/>
          <w:highlight w:val="none"/>
        </w:rPr>
        <w:t>；不属于</w:t>
      </w:r>
      <w:r>
        <w:rPr>
          <w:rFonts w:hint="eastAsia" w:ascii="Times New Roman" w:hAnsi="Times New Roman" w:cs="Times New Roman"/>
          <w:color w:val="auto"/>
          <w:szCs w:val="22"/>
          <w:highlight w:val="none"/>
        </w:rPr>
        <w:t>《外商投资准入特别管理措施（负面清单）（2021年版）》中的需实行特别管理的措施的行业类别、属于《鼓励外商投资产业目录（2022年版）》</w:t>
      </w:r>
      <w:r>
        <w:rPr>
          <w:rFonts w:ascii="Times New Roman" w:hAnsi="Times New Roman" w:cs="Times New Roman"/>
          <w:color w:val="auto"/>
          <w:szCs w:val="22"/>
          <w:highlight w:val="none"/>
        </w:rPr>
        <w:t>中的</w:t>
      </w:r>
      <w:r>
        <w:rPr>
          <w:rFonts w:hint="eastAsia" w:ascii="Times New Roman" w:hAnsi="Times New Roman" w:cs="Times New Roman"/>
          <w:color w:val="auto"/>
          <w:szCs w:val="22"/>
          <w:highlight w:val="none"/>
        </w:rPr>
        <w:t>“（二十二）计算机、通信和其他电子设备制造业，369.高纯电子化学品、高性能光刻胶开发、生产”</w:t>
      </w:r>
      <w:r>
        <w:rPr>
          <w:rFonts w:ascii="Times New Roman" w:hAnsi="Times New Roman" w:cs="Times New Roman"/>
          <w:color w:val="auto"/>
          <w:szCs w:val="22"/>
          <w:highlight w:val="none"/>
        </w:rPr>
        <w:t>；</w:t>
      </w:r>
      <w:r>
        <w:rPr>
          <w:rFonts w:hint="eastAsia" w:ascii="Times New Roman" w:hAnsi="Times New Roman" w:cs="Times New Roman"/>
          <w:color w:val="auto"/>
          <w:szCs w:val="22"/>
          <w:highlight w:val="none"/>
        </w:rPr>
        <w:t>不属于《市场准入负面清单》（2022年版）中的禁止准入类和许可准入类；不属于《锡山区产业结构调整指导目录（试行）》(锡经贸[2008]14号)中的鼓励类、禁止类及淘汰类，为允许类</w:t>
      </w:r>
      <w:r>
        <w:rPr>
          <w:rFonts w:ascii="Times New Roman" w:hAnsi="Times New Roman" w:cs="Times New Roman"/>
          <w:color w:val="auto"/>
          <w:szCs w:val="22"/>
          <w:highlight w:val="none"/>
        </w:rPr>
        <w:t>。因此，本项目符合国家和地方的产业政策。</w:t>
      </w:r>
    </w:p>
    <w:p w14:paraId="40284696">
      <w:pPr>
        <w:spacing w:line="360" w:lineRule="auto"/>
        <w:ind w:left="-105" w:right="-105" w:firstLine="480" w:firstLineChars="200"/>
        <w:jc w:val="both"/>
        <w:rPr>
          <w:rFonts w:ascii="Times New Roman" w:hAnsi="Times New Roman" w:cs="Times New Roman"/>
          <w:color w:val="auto"/>
          <w:szCs w:val="22"/>
          <w:highlight w:val="none"/>
        </w:rPr>
      </w:pPr>
      <w:r>
        <w:rPr>
          <w:rFonts w:hint="eastAsia" w:ascii="Times New Roman" w:hAnsi="Times New Roman" w:cs="Times New Roman"/>
          <w:color w:val="auto"/>
          <w:szCs w:val="22"/>
          <w:highlight w:val="none"/>
        </w:rPr>
        <w:t>本项目位于无锡市锡山区锡北镇新坝村新达路6号，根据企业出具的房产证该土地用途为工业用地，结合《无锡市锡山区锡北镇总体规划图》和《八士-陆家巷、八士-八士管理单元更新后土地利用规划图》，该地块为二类工业用地，该地块符合无锡市锡山区用地规划的要求。本项目从事电子化工材料制造生产，不属于禁止类产业，符合锡北镇产业规划，本项目位于无锡市锡山云林污水处理有限公司纳污范围内，产生的污水最终进入无锡市锡山云林污水处理有限公司集中处理。</w:t>
      </w:r>
    </w:p>
    <w:p w14:paraId="4F7331D9">
      <w:pPr>
        <w:spacing w:line="360" w:lineRule="auto"/>
        <w:ind w:left="-105" w:right="-105" w:firstLine="480" w:firstLineChars="200"/>
        <w:jc w:val="both"/>
        <w:rPr>
          <w:rFonts w:ascii="Times New Roman" w:hAnsi="Times New Roman" w:cs="Times New Roman"/>
          <w:color w:val="auto"/>
          <w:szCs w:val="22"/>
          <w:highlight w:val="none"/>
        </w:rPr>
      </w:pPr>
      <w:r>
        <w:rPr>
          <w:rFonts w:ascii="Times New Roman" w:hAnsi="Times New Roman" w:cs="Times New Roman"/>
          <w:color w:val="auto"/>
          <w:szCs w:val="22"/>
          <w:highlight w:val="none"/>
        </w:rPr>
        <w:t>根据《限制用地项目目录（2012年本）》和《禁止用地项目目录（2012年本）》、《江苏省限制用地项目目录（2013年本）》和《江苏省禁止用地项目目录（2013年本）》（苏国土资发[2013]323号），本项目的建设符合用地规划。</w:t>
      </w:r>
    </w:p>
    <w:p w14:paraId="2371AC3A">
      <w:pPr>
        <w:spacing w:line="360" w:lineRule="auto"/>
        <w:ind w:left="-105" w:right="-105" w:firstLine="480" w:firstLineChars="200"/>
        <w:rPr>
          <w:rFonts w:ascii="Times New Roman" w:hAnsi="Times New Roman"/>
          <w:color w:val="auto"/>
          <w:szCs w:val="22"/>
          <w:highlight w:val="none"/>
        </w:rPr>
      </w:pPr>
      <w:r>
        <w:rPr>
          <w:rFonts w:ascii="Times New Roman" w:hAnsi="Times New Roman" w:cs="Times New Roman"/>
          <w:color w:val="auto"/>
          <w:szCs w:val="22"/>
          <w:highlight w:val="none"/>
        </w:rPr>
        <w:t>综上所述，本项目的建设符合国家和地方的产业政策要求。</w:t>
      </w:r>
    </w:p>
    <w:p w14:paraId="75BEB5AB">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53" w:name="_Toc60653634"/>
      <w:bookmarkStart w:id="554" w:name="_Toc10235"/>
      <w:r>
        <w:rPr>
          <w:rFonts w:hint="eastAsia" w:ascii="Times New Roman" w:eastAsia="宋体"/>
          <w:color w:val="auto"/>
          <w:sz w:val="28"/>
          <w:szCs w:val="28"/>
          <w:highlight w:val="none"/>
        </w:rPr>
        <w:t>10.3</w:t>
      </w:r>
      <w:r>
        <w:rPr>
          <w:rFonts w:ascii="Times New Roman" w:eastAsia="宋体"/>
          <w:color w:val="auto"/>
          <w:sz w:val="28"/>
          <w:szCs w:val="28"/>
          <w:highlight w:val="none"/>
        </w:rPr>
        <w:t>环境质量现状</w:t>
      </w:r>
      <w:bookmarkEnd w:id="553"/>
      <w:bookmarkEnd w:id="554"/>
    </w:p>
    <w:p w14:paraId="14A7A45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（1）大气环境</w:t>
      </w:r>
    </w:p>
    <w:p w14:paraId="44FDA053">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202</w:t>
      </w:r>
      <w:r>
        <w:rPr>
          <w:rFonts w:hint="eastAsia" w:ascii="Times New Roman" w:hAnsi="Times New Roman" w:eastAsia="宋体" w:cs="宋体"/>
          <w:color w:val="auto"/>
          <w:szCs w:val="22"/>
          <w:highlight w:val="none"/>
          <w:lang w:val="en-US" w:eastAsia="zh-CN"/>
        </w:rPr>
        <w:t>3</w:t>
      </w:r>
      <w:r>
        <w:rPr>
          <w:rFonts w:hint="eastAsia" w:ascii="Times New Roman" w:hAnsi="Times New Roman" w:eastAsia="宋体" w:cs="宋体"/>
          <w:color w:val="auto"/>
          <w:szCs w:val="22"/>
          <w:highlight w:val="none"/>
        </w:rPr>
        <w:t>年无锡市环境空气中SO2、NO2、PM10、PM2.5和CO浓度值能够达到环境空气质量二级标准，O3浓度值超过《环境空气质量标准》（GB3095-2012）二级标准，因此，判定无锡市为环境空气质量非达标区。根据无锡市大气环境质量限期达标规划（2018-2025年），无锡市环境空气质量2025年可实现全面达标。</w:t>
      </w:r>
    </w:p>
    <w:p w14:paraId="762805A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各个监测点氮氧化物监测浓度可满足《环境空气质量标准》（GB3095-2012）表1中二级标准要求；甲醇监测浓度可满足《环境影响评价技术导则大气环境》（HJ2.2-2018）附录D其他污染物空气质量浓度参考限值；非甲烷总烃监测浓度均可满足《大气污染物综合排放标准详解》中的推荐值，该区域环境空气质量较好。</w:t>
      </w:r>
    </w:p>
    <w:p w14:paraId="26397D0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（2）地表水环境</w:t>
      </w:r>
    </w:p>
    <w:p w14:paraId="1D0ECBF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北兴塘河各监测断面的TN未达到《地表水环境质量标准》(GB3838-2002)中III类水质标准，其余因子均达标。根据《无锡市生态环境基础治理能力提升三年行动计划（2022—2024年）》、锡山区《区政府办公室关于印发锡山区河道环境综合整治工作方案的通知》（锡政办（2016）30号）等文件，通过水环境综合整治工作，区域水环境质量会有所改善。</w:t>
      </w:r>
    </w:p>
    <w:p w14:paraId="35D8E21A">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（3）声环境</w:t>
      </w:r>
    </w:p>
    <w:p w14:paraId="561FEB4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根据声环境现状监测结果，厂界噪声达到《声环境质量标准》（GB3096-2008）中3类标准。总体上，项目所在地的声环境质量现状较好。</w:t>
      </w:r>
    </w:p>
    <w:p w14:paraId="0C0E5D7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（4）土壤环境</w:t>
      </w:r>
    </w:p>
    <w:p w14:paraId="4567AE39">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szCs w:val="22"/>
          <w:highlight w:val="none"/>
        </w:rPr>
      </w:pPr>
      <w:r>
        <w:rPr>
          <w:rFonts w:hint="eastAsia" w:ascii="Times New Roman" w:hAnsi="Times New Roman" w:eastAsia="宋体" w:cs="宋体"/>
          <w:color w:val="auto"/>
          <w:szCs w:val="22"/>
          <w:highlight w:val="none"/>
        </w:rPr>
        <w:t>根据土壤监测结果显示，各监测点位土壤中各因子均能够达到《土壤环境质量建设用地土壤污染风险管控标准（试行）》（GB36600-2018）中表1筛选值中“第二类用地”标准，</w:t>
      </w:r>
      <w:r>
        <w:rPr>
          <w:rFonts w:hint="eastAsia"/>
          <w:color w:val="auto"/>
          <w:highlight w:val="none"/>
        </w:rPr>
        <w:t>敏感点</w:t>
      </w:r>
      <w:r>
        <w:rPr>
          <w:rFonts w:hint="default" w:ascii="Times New Roman" w:hAnsi="Times New Roman" w:cs="Times New Roman"/>
          <w:color w:val="auto"/>
          <w:highlight w:val="none"/>
        </w:rPr>
        <w:t>处满足《土壤环境质量建设用地土壤污染风险管控标准（试行）》（GB36600-2018）中第一类</w:t>
      </w:r>
      <w:r>
        <w:rPr>
          <w:rFonts w:hint="eastAsia"/>
          <w:color w:val="auto"/>
          <w:highlight w:val="none"/>
        </w:rPr>
        <w:t>用地要求筛选值要求</w:t>
      </w:r>
      <w:r>
        <w:rPr>
          <w:rFonts w:hint="eastAsia"/>
          <w:color w:val="auto"/>
          <w:highlight w:val="none"/>
          <w:lang w:eastAsia="zh-CN"/>
        </w:rPr>
        <w:t>，</w:t>
      </w:r>
      <w:r>
        <w:rPr>
          <w:rFonts w:hint="eastAsia" w:ascii="Times New Roman" w:hAnsi="Times New Roman" w:eastAsia="宋体" w:cs="宋体"/>
          <w:color w:val="auto"/>
          <w:szCs w:val="22"/>
          <w:highlight w:val="none"/>
        </w:rPr>
        <w:t>pH达到《环境影响评价技术导则 土壤环境（试行）》（HJ964-2018）表D.2中标准，土壤无酸化或碱化情况。由此可见，本项目所在地土壤环境质量总体良好。</w:t>
      </w:r>
    </w:p>
    <w:p w14:paraId="445B5F99">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由此可见，建设项目周围环境质量现状基本满足本项目的建设要求。</w:t>
      </w:r>
    </w:p>
    <w:p w14:paraId="29B5D8D9">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55" w:name="_Toc17972"/>
      <w:bookmarkStart w:id="556" w:name="_Toc60653635"/>
      <w:r>
        <w:rPr>
          <w:rFonts w:hint="eastAsia" w:ascii="Times New Roman" w:eastAsia="宋体"/>
          <w:color w:val="auto"/>
          <w:sz w:val="28"/>
          <w:szCs w:val="28"/>
          <w:highlight w:val="none"/>
        </w:rPr>
        <w:t>10.4</w:t>
      </w:r>
      <w:r>
        <w:rPr>
          <w:rFonts w:ascii="Times New Roman" w:eastAsia="宋体"/>
          <w:color w:val="auto"/>
          <w:sz w:val="28"/>
          <w:szCs w:val="28"/>
          <w:highlight w:val="none"/>
        </w:rPr>
        <w:t>污染物排放情况</w:t>
      </w:r>
      <w:bookmarkEnd w:id="555"/>
      <w:bookmarkEnd w:id="556"/>
    </w:p>
    <w:p w14:paraId="510F321E">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（1）废气</w:t>
      </w:r>
    </w:p>
    <w:p w14:paraId="12FCCEF9">
      <w:pPr>
        <w:spacing w:line="360" w:lineRule="auto"/>
        <w:ind w:left="-105" w:right="-105" w:firstLine="48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有组织：（本项目）非甲烷总烃0.116t/a、氮氧化物0.0003t/a；（全厂）非甲烷总烃1.90916t/a、氮氧化物0.0003t/a。</w:t>
      </w:r>
    </w:p>
    <w:p w14:paraId="62DB7AB7">
      <w:pPr>
        <w:spacing w:line="360" w:lineRule="auto"/>
        <w:ind w:left="-105" w:right="-105" w:firstLine="48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无组织：（本项目）非甲烷总烃（含甲醇）0.0248t/a、氮氧化物0.00003t/a、甲醇0.0008t/a；（全厂）非甲烷总烃（含甲醇）0.04955t/a、氮氧化物0.00003t/a、甲醇0.0008t/a。</w:t>
      </w:r>
    </w:p>
    <w:p w14:paraId="6AD1BA23">
      <w:pPr>
        <w:spacing w:line="360" w:lineRule="auto"/>
        <w:ind w:left="-105" w:right="-105" w:firstLine="480" w:firstLineChars="200"/>
        <w:rPr>
          <w:rFonts w:ascii="Times New Roman" w:hAnsi="Times New Roman"/>
          <w:color w:val="auto"/>
          <w:szCs w:val="22"/>
          <w:highlight w:val="none"/>
        </w:rPr>
      </w:pPr>
      <w:r>
        <w:rPr>
          <w:color w:val="auto"/>
          <w:highlight w:val="none"/>
        </w:rPr>
        <w:t>污染物均在原审批项目和锡山区内平衡。</w:t>
      </w:r>
    </w:p>
    <w:p w14:paraId="7DDDA227">
      <w:pPr>
        <w:spacing w:line="360" w:lineRule="auto"/>
        <w:ind w:left="-105" w:right="-105" w:firstLine="482"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（2）废水</w:t>
      </w:r>
    </w:p>
    <w:p w14:paraId="3919CF05">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全厂总量控制因子：</w:t>
      </w:r>
      <w:r>
        <w:rPr>
          <w:rFonts w:hint="eastAsia" w:ascii="Times New Roman" w:hAnsi="Times New Roman" w:cs="Times New Roman"/>
          <w:color w:val="auto"/>
          <w:highlight w:val="none"/>
        </w:rPr>
        <w:t>全厂产生的生活污水和初期雨水经无锡先进化药化工有限公司处理达标后接入无锡市锡山云林污水处理有限公司</w:t>
      </w:r>
      <w:r>
        <w:rPr>
          <w:rFonts w:ascii="Times New Roman" w:hAnsi="Times New Roman" w:cs="Times New Roman"/>
          <w:color w:val="auto"/>
          <w:highlight w:val="none"/>
        </w:rPr>
        <w:t>集中处理，尾水达标后排入</w:t>
      </w:r>
      <w:r>
        <w:rPr>
          <w:rFonts w:hint="eastAsia" w:ascii="Times New Roman" w:hAnsi="Times New Roman" w:cs="Times New Roman"/>
          <w:color w:val="auto"/>
          <w:highlight w:val="none"/>
        </w:rPr>
        <w:t>北兴塘</w:t>
      </w:r>
      <w:r>
        <w:rPr>
          <w:rFonts w:ascii="Times New Roman" w:hAnsi="Times New Roman" w:cs="Times New Roman"/>
          <w:color w:val="auto"/>
          <w:highlight w:val="none"/>
        </w:rPr>
        <w:t>河。全厂废水污染物总量控制因子：废水量：</w:t>
      </w:r>
      <w:r>
        <w:rPr>
          <w:rFonts w:hint="eastAsia" w:ascii="Times New Roman" w:hAnsi="Times New Roman" w:cs="Times New Roman"/>
          <w:color w:val="auto"/>
          <w:highlight w:val="none"/>
        </w:rPr>
        <w:t>3800</w:t>
      </w:r>
      <w:r>
        <w:rPr>
          <w:rFonts w:ascii="Times New Roman" w:hAnsi="Times New Roman" w:cs="Times New Roman"/>
          <w:color w:val="auto"/>
          <w:highlight w:val="none"/>
        </w:rPr>
        <w:t>t/a，COD（接管量</w:t>
      </w:r>
      <w:r>
        <w:rPr>
          <w:rFonts w:hint="eastAsia" w:ascii="Times New Roman" w:hAnsi="Times New Roman" w:cs="Times New Roman"/>
          <w:color w:val="auto"/>
          <w:highlight w:val="none"/>
        </w:rPr>
        <w:t>0.5</w:t>
      </w:r>
      <w:r>
        <w:rPr>
          <w:rFonts w:ascii="Times New Roman" w:hAnsi="Times New Roman" w:cs="Times New Roman"/>
          <w:color w:val="auto"/>
          <w:highlight w:val="none"/>
        </w:rPr>
        <w:t>t/a、外排环境量</w:t>
      </w:r>
      <w:r>
        <w:rPr>
          <w:rFonts w:hint="eastAsia" w:ascii="Times New Roman" w:hAnsi="Times New Roman" w:cs="Times New Roman"/>
          <w:color w:val="auto"/>
          <w:highlight w:val="none"/>
        </w:rPr>
        <w:t>0.19</w:t>
      </w:r>
      <w:r>
        <w:rPr>
          <w:rFonts w:ascii="Times New Roman" w:hAnsi="Times New Roman" w:cs="Times New Roman"/>
          <w:color w:val="auto"/>
          <w:highlight w:val="none"/>
        </w:rPr>
        <w:t>t/a）、SS（接管量</w:t>
      </w:r>
      <w:r>
        <w:rPr>
          <w:rFonts w:hint="eastAsia" w:ascii="Times New Roman" w:hAnsi="Times New Roman" w:cs="Times New Roman"/>
          <w:color w:val="auto"/>
          <w:highlight w:val="none"/>
        </w:rPr>
        <w:t>0.248</w:t>
      </w:r>
      <w:r>
        <w:rPr>
          <w:rFonts w:ascii="Times New Roman" w:hAnsi="Times New Roman" w:cs="Times New Roman"/>
          <w:color w:val="auto"/>
          <w:highlight w:val="none"/>
        </w:rPr>
        <w:t>t/a、外排环境量</w:t>
      </w:r>
      <w:r>
        <w:rPr>
          <w:rFonts w:hint="eastAsia" w:ascii="Times New Roman" w:hAnsi="Times New Roman" w:cs="Times New Roman"/>
          <w:color w:val="auto"/>
          <w:highlight w:val="none"/>
        </w:rPr>
        <w:t>0.038</w:t>
      </w:r>
      <w:r>
        <w:rPr>
          <w:rFonts w:ascii="Times New Roman" w:hAnsi="Times New Roman" w:cs="Times New Roman"/>
          <w:color w:val="auto"/>
          <w:highlight w:val="none"/>
        </w:rPr>
        <w:t>t/a）、氨氮（接管量</w:t>
      </w:r>
      <w:r>
        <w:rPr>
          <w:rFonts w:hint="eastAsia" w:ascii="Times New Roman" w:hAnsi="Times New Roman" w:cs="Times New Roman"/>
          <w:color w:val="auto"/>
          <w:highlight w:val="none"/>
        </w:rPr>
        <w:t>0.06</w:t>
      </w:r>
      <w:r>
        <w:rPr>
          <w:rFonts w:ascii="Times New Roman" w:hAnsi="Times New Roman" w:cs="Times New Roman"/>
          <w:color w:val="auto"/>
          <w:highlight w:val="none"/>
        </w:rPr>
        <w:t>t/a、外排环境量</w:t>
      </w:r>
      <w:r>
        <w:rPr>
          <w:rFonts w:hint="eastAsia" w:ascii="Times New Roman" w:hAnsi="Times New Roman" w:cs="Times New Roman"/>
          <w:color w:val="auto"/>
          <w:highlight w:val="none"/>
        </w:rPr>
        <w:t>0.0152</w:t>
      </w:r>
      <w:r>
        <w:rPr>
          <w:rFonts w:ascii="Times New Roman" w:hAnsi="Times New Roman" w:cs="Times New Roman"/>
          <w:color w:val="auto"/>
          <w:highlight w:val="none"/>
        </w:rPr>
        <w:t>t/a）、总氮（接管量</w:t>
      </w:r>
      <w:r>
        <w:rPr>
          <w:rFonts w:hint="eastAsia" w:ascii="Times New Roman" w:hAnsi="Times New Roman" w:cs="Times New Roman"/>
          <w:color w:val="auto"/>
          <w:highlight w:val="none"/>
        </w:rPr>
        <w:t>0.1188</w:t>
      </w:r>
      <w:r>
        <w:rPr>
          <w:rFonts w:ascii="Times New Roman" w:hAnsi="Times New Roman" w:cs="Times New Roman"/>
          <w:color w:val="auto"/>
          <w:highlight w:val="none"/>
        </w:rPr>
        <w:t>t/a、外排环境量</w:t>
      </w:r>
      <w:r>
        <w:rPr>
          <w:rFonts w:hint="eastAsia" w:ascii="Times New Roman" w:hAnsi="Times New Roman" w:cs="Times New Roman"/>
          <w:color w:val="auto"/>
          <w:highlight w:val="none"/>
        </w:rPr>
        <w:t>0.0456</w:t>
      </w:r>
      <w:r>
        <w:rPr>
          <w:rFonts w:ascii="Times New Roman" w:hAnsi="Times New Roman" w:cs="Times New Roman"/>
          <w:color w:val="auto"/>
          <w:highlight w:val="none"/>
        </w:rPr>
        <w:t>t/a）、总磷（接管量</w:t>
      </w:r>
      <w:r>
        <w:rPr>
          <w:rFonts w:hint="eastAsia" w:ascii="Times New Roman" w:hAnsi="Times New Roman" w:cs="Times New Roman"/>
          <w:color w:val="auto"/>
          <w:highlight w:val="none"/>
        </w:rPr>
        <w:t>0.004</w:t>
      </w:r>
      <w:r>
        <w:rPr>
          <w:rFonts w:ascii="Times New Roman" w:hAnsi="Times New Roman" w:cs="Times New Roman"/>
          <w:color w:val="auto"/>
          <w:highlight w:val="none"/>
        </w:rPr>
        <w:t>t/a、外排环境量</w:t>
      </w:r>
      <w:r>
        <w:rPr>
          <w:rFonts w:hint="eastAsia" w:ascii="Times New Roman" w:hAnsi="Times New Roman" w:cs="Times New Roman"/>
          <w:color w:val="auto"/>
          <w:highlight w:val="none"/>
        </w:rPr>
        <w:t>0.0019</w:t>
      </w:r>
      <w:r>
        <w:rPr>
          <w:rFonts w:ascii="Times New Roman" w:hAnsi="Times New Roman" w:cs="Times New Roman"/>
          <w:color w:val="auto"/>
          <w:highlight w:val="none"/>
        </w:rPr>
        <w:t>t/a）。</w:t>
      </w:r>
    </w:p>
    <w:p w14:paraId="70D1EBF9">
      <w:pPr>
        <w:spacing w:line="360" w:lineRule="auto"/>
        <w:ind w:left="-105" w:right="-105" w:firstLine="480" w:firstLineChars="200"/>
        <w:jc w:val="both"/>
        <w:rPr>
          <w:rFonts w:ascii="Times New Roman" w:hAnsi="Times New Roman" w:cs="Times New Roman"/>
          <w:color w:val="auto"/>
          <w:highlight w:val="none"/>
        </w:rPr>
      </w:pPr>
      <w:r>
        <w:rPr>
          <w:color w:val="auto"/>
          <w:highlight w:val="none"/>
        </w:rPr>
        <w:t>废水污染物纳入污水处理厂总量范围内。</w:t>
      </w:r>
    </w:p>
    <w:p w14:paraId="570C2E87">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（3）固废</w:t>
      </w:r>
    </w:p>
    <w:p w14:paraId="0F6411C7">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建设项目固废均可得到有效处置，实现</w:t>
      </w:r>
      <w:r>
        <w:rPr>
          <w:rFonts w:hint="eastAsia" w:ascii="Times New Roman" w:hAnsi="Times New Roman" w:cs="Times New Roman"/>
          <w:color w:val="auto"/>
          <w:highlight w:val="none"/>
        </w:rPr>
        <w:t>“</w:t>
      </w:r>
      <w:r>
        <w:rPr>
          <w:rFonts w:ascii="Times New Roman" w:hAnsi="Times New Roman" w:cs="Times New Roman"/>
          <w:color w:val="auto"/>
          <w:highlight w:val="none"/>
        </w:rPr>
        <w:t>零</w:t>
      </w:r>
      <w:r>
        <w:rPr>
          <w:rFonts w:hint="eastAsia" w:ascii="Times New Roman" w:hAnsi="Times New Roman" w:cs="Times New Roman"/>
          <w:color w:val="auto"/>
          <w:highlight w:val="none"/>
        </w:rPr>
        <w:t>”</w:t>
      </w:r>
      <w:r>
        <w:rPr>
          <w:rFonts w:ascii="Times New Roman" w:hAnsi="Times New Roman" w:cs="Times New Roman"/>
          <w:color w:val="auto"/>
          <w:highlight w:val="none"/>
        </w:rPr>
        <w:t>排放。</w:t>
      </w:r>
    </w:p>
    <w:p w14:paraId="05705B72">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57" w:name="_Toc413742024"/>
      <w:bookmarkEnd w:id="557"/>
      <w:bookmarkStart w:id="558" w:name="_Toc9990"/>
      <w:bookmarkStart w:id="559" w:name="_Toc60653636"/>
      <w:r>
        <w:rPr>
          <w:rFonts w:hint="eastAsia" w:ascii="Times New Roman" w:eastAsia="宋体"/>
          <w:color w:val="auto"/>
          <w:sz w:val="28"/>
          <w:szCs w:val="28"/>
          <w:highlight w:val="none"/>
        </w:rPr>
        <w:t>10.5</w:t>
      </w:r>
      <w:r>
        <w:rPr>
          <w:rFonts w:ascii="Times New Roman" w:eastAsia="宋体"/>
          <w:color w:val="auto"/>
          <w:sz w:val="28"/>
          <w:szCs w:val="28"/>
          <w:highlight w:val="none"/>
        </w:rPr>
        <w:t>主要环境影响</w:t>
      </w:r>
      <w:bookmarkEnd w:id="558"/>
      <w:bookmarkEnd w:id="559"/>
    </w:p>
    <w:p w14:paraId="13B44AD8">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（1）大气环境影响</w:t>
      </w:r>
    </w:p>
    <w:p w14:paraId="69C006B6">
      <w:pPr>
        <w:spacing w:line="360" w:lineRule="auto"/>
        <w:ind w:left="-105" w:right="-105" w:firstLine="480"/>
        <w:jc w:val="both"/>
        <w:rPr>
          <w:rFonts w:ascii="Times New Roman" w:hAnsi="Times New Roman" w:cs="Times New Roman"/>
          <w:color w:val="auto"/>
          <w:highlight w:val="none"/>
        </w:rPr>
      </w:pPr>
      <w:r>
        <w:rPr>
          <w:rFonts w:ascii="Times New Roman" w:hAnsi="Times New Roman" w:cs="Times New Roman"/>
          <w:color w:val="auto"/>
          <w:highlight w:val="none"/>
        </w:rPr>
        <w:t>本项目采用《环境影响评价技术导则大气环境》（HJ2.2-2018）附录A 推荐模型中估算模型AERSCREEN，通过对本次</w:t>
      </w:r>
      <w:r>
        <w:rPr>
          <w:rFonts w:hint="eastAsia" w:ascii="Times New Roman" w:hAnsi="Times New Roman" w:cs="Times New Roman"/>
          <w:color w:val="auto"/>
          <w:highlight w:val="none"/>
        </w:rPr>
        <w:t>扩</w:t>
      </w:r>
      <w:r>
        <w:rPr>
          <w:rFonts w:ascii="Times New Roman" w:hAnsi="Times New Roman" w:cs="Times New Roman"/>
          <w:color w:val="auto"/>
          <w:highlight w:val="none"/>
        </w:rPr>
        <w:t>建后，</w:t>
      </w:r>
      <w:r>
        <w:rPr>
          <w:rFonts w:hint="eastAsia" w:ascii="Times New Roman" w:hAnsi="Times New Roman" w:cs="Times New Roman"/>
          <w:color w:val="auto"/>
          <w:highlight w:val="none"/>
        </w:rPr>
        <w:t>DA005~DA006</w:t>
      </w:r>
      <w:r>
        <w:rPr>
          <w:rFonts w:ascii="Times New Roman" w:hAnsi="Times New Roman" w:cs="Times New Roman"/>
          <w:color w:val="auto"/>
          <w:highlight w:val="none"/>
        </w:rPr>
        <w:t>排气筒以及涉及的无组织源进行预测，预测因子</w:t>
      </w:r>
      <w:r>
        <w:rPr>
          <w:rFonts w:hint="eastAsia" w:ascii="Times New Roman" w:hAnsi="Times New Roman" w:cs="Times New Roman"/>
          <w:color w:val="auto"/>
          <w:highlight w:val="none"/>
        </w:rPr>
        <w:t>为</w:t>
      </w:r>
      <w:r>
        <w:rPr>
          <w:rFonts w:ascii="Times New Roman" w:hAnsi="Times New Roman" w:cs="Times New Roman"/>
          <w:color w:val="auto"/>
          <w:highlight w:val="none"/>
        </w:rPr>
        <w:t>非甲烷总烃</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氮氧化物、甲醇</w:t>
      </w:r>
      <w:r>
        <w:rPr>
          <w:rFonts w:ascii="Times New Roman" w:hAnsi="Times New Roman" w:cs="Times New Roman"/>
          <w:color w:val="auto"/>
          <w:highlight w:val="none"/>
        </w:rPr>
        <w:t>，预测结果显示，最大落地浓度均可以达到环境质量标准要求，且占标率较低。非正常情况下，各个污染因子最大落地浓度和占标率均有所增加，</w:t>
      </w:r>
      <w:r>
        <w:rPr>
          <w:rFonts w:hint="eastAsia" w:ascii="Times New Roman" w:hAnsi="Times New Roman" w:cs="Times New Roman"/>
          <w:color w:val="auto"/>
          <w:highlight w:val="none"/>
        </w:rPr>
        <w:t>但未超过环境质量标准，其余</w:t>
      </w:r>
      <w:r>
        <w:rPr>
          <w:rFonts w:ascii="Times New Roman" w:hAnsi="Times New Roman" w:cs="Times New Roman"/>
          <w:color w:val="auto"/>
          <w:highlight w:val="none"/>
        </w:rPr>
        <w:t>可以满足相应环境质量标准。</w:t>
      </w:r>
    </w:p>
    <w:p w14:paraId="6E57FF52">
      <w:pPr>
        <w:pStyle w:val="44"/>
        <w:spacing w:after="0" w:line="360" w:lineRule="auto"/>
        <w:ind w:left="0" w:leftChars="0" w:right="-105" w:firstLine="480"/>
        <w:rPr>
          <w:rFonts w:eastAsia="宋体"/>
          <w:color w:val="auto"/>
          <w:kern w:val="0"/>
          <w:sz w:val="24"/>
          <w:highlight w:val="none"/>
        </w:rPr>
      </w:pPr>
      <w:r>
        <w:rPr>
          <w:rFonts w:eastAsia="宋体"/>
          <w:color w:val="auto"/>
          <w:kern w:val="0"/>
          <w:sz w:val="24"/>
          <w:highlight w:val="none"/>
        </w:rPr>
        <w:t>根据大气环境影响预测结论，本项目大气环境影响可以接受。本项目不需要设置大气环境防护距离。</w:t>
      </w:r>
    </w:p>
    <w:p w14:paraId="22404E9D">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（2）地表水环境影响</w:t>
      </w:r>
    </w:p>
    <w:p w14:paraId="17B1AEB3">
      <w:pPr>
        <w:pStyle w:val="44"/>
        <w:spacing w:after="0" w:line="360" w:lineRule="auto"/>
        <w:ind w:left="0" w:leftChars="0" w:right="-105" w:firstLine="480"/>
        <w:rPr>
          <w:rFonts w:eastAsia="宋体"/>
          <w:color w:val="auto"/>
          <w:kern w:val="0"/>
          <w:sz w:val="24"/>
          <w:highlight w:val="none"/>
        </w:rPr>
      </w:pPr>
      <w:r>
        <w:rPr>
          <w:rFonts w:hint="eastAsia" w:eastAsia="宋体"/>
          <w:color w:val="auto"/>
          <w:kern w:val="0"/>
          <w:sz w:val="24"/>
          <w:highlight w:val="none"/>
        </w:rPr>
        <w:t>本项目纯水制备过程中不添加任何药剂，纯水制备浓水、反冲洗水污染较轻，少量污染主要来源于自来水，主要污染因子是COD、SS，根据同类项目调查，纯水制备浓水、反冲洗水完全可用于冲厕，且基本不会影响生活污水的产生情况。因此，全厂产生的生活污水和初期雨水经无锡先进化药化工有限公司处理达标后接入无锡市锡山云林污水处理有限公司集中处理，尾水达标后排入北兴塘河。</w:t>
      </w:r>
      <w:r>
        <w:rPr>
          <w:rFonts w:eastAsia="宋体"/>
          <w:color w:val="auto"/>
          <w:kern w:val="0"/>
          <w:sz w:val="24"/>
          <w:highlight w:val="none"/>
        </w:rPr>
        <w:t>本项目污水不直接对外排放，不会对当地地表水环境产生不利影响，地表水环境影响可接受。</w:t>
      </w:r>
    </w:p>
    <w:p w14:paraId="5F182AE6">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（3）噪声环境影响</w:t>
      </w:r>
    </w:p>
    <w:p w14:paraId="1F92D043">
      <w:pPr>
        <w:pStyle w:val="44"/>
        <w:spacing w:after="0" w:line="360" w:lineRule="auto"/>
        <w:ind w:left="0" w:leftChars="0" w:right="-105" w:firstLine="480"/>
        <w:rPr>
          <w:rFonts w:hint="eastAsia" w:eastAsia="宋体"/>
          <w:color w:val="auto"/>
          <w:kern w:val="0"/>
          <w:sz w:val="24"/>
          <w:highlight w:val="none"/>
          <w:lang w:eastAsia="zh-CN"/>
        </w:rPr>
      </w:pPr>
      <w:r>
        <w:rPr>
          <w:rFonts w:eastAsia="宋体"/>
          <w:color w:val="auto"/>
          <w:kern w:val="0"/>
          <w:sz w:val="24"/>
          <w:highlight w:val="none"/>
        </w:rPr>
        <w:t>根据预测评价结果，厂界能够达到《工业企业厂界环境噪声排放标准》（GB12348-2008）3 类标准。</w:t>
      </w:r>
      <w:r>
        <w:rPr>
          <w:rFonts w:hint="eastAsia" w:eastAsia="宋体"/>
          <w:color w:val="auto"/>
          <w:kern w:val="0"/>
          <w:sz w:val="24"/>
          <w:highlight w:val="none"/>
        </w:rPr>
        <w:t>敏感点处预测值满足《声环境质量标准》（GB 3096-2008）中2类区标准</w:t>
      </w:r>
      <w:r>
        <w:rPr>
          <w:rFonts w:hint="eastAsia" w:eastAsia="宋体"/>
          <w:color w:val="auto"/>
          <w:kern w:val="0"/>
          <w:sz w:val="24"/>
          <w:highlight w:val="none"/>
          <w:lang w:eastAsia="zh-CN"/>
        </w:rPr>
        <w:t>。</w:t>
      </w:r>
    </w:p>
    <w:p w14:paraId="5BFB4E01">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（4）土壤环境影响</w:t>
      </w:r>
    </w:p>
    <w:p w14:paraId="08C03962">
      <w:pPr>
        <w:spacing w:line="360" w:lineRule="auto"/>
        <w:ind w:left="-105" w:right="-105"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val="en-US" w:eastAsia="zh-CN"/>
        </w:rPr>
        <w:t>类比分析</w:t>
      </w:r>
      <w:r>
        <w:rPr>
          <w:rFonts w:hint="default" w:ascii="Times New Roman" w:hAnsi="Times New Roman" w:cs="Times New Roman"/>
          <w:color w:val="auto"/>
          <w:highlight w:val="none"/>
        </w:rPr>
        <w:t>结果可知，大气沉降可能造成土壤污染，</w:t>
      </w:r>
      <w:r>
        <w:rPr>
          <w:rFonts w:hint="default" w:ascii="Times New Roman" w:hAnsi="Times New Roman" w:cs="Times New Roman"/>
          <w:color w:val="auto"/>
          <w:highlight w:val="none"/>
          <w:lang w:val="en-US" w:eastAsia="zh-CN"/>
        </w:rPr>
        <w:t>非甲烷总烃排放引起的大气沉降对周围环境影响较小，评价范围内工业用地满足《土壤环境质量 建设用地土壤污染风险管控标准》（GB 36600-2018）（试行）中第二类用地筛选值标准（参照石油烃标准4500mg/kg），土壤环境保护目标处满足《土壤环境质量 建设用地土壤污染风险管控标准》（GB 36600-2018）（试行）中第一类用地筛选值标准。</w:t>
      </w:r>
      <w:r>
        <w:rPr>
          <w:rFonts w:hint="default" w:ascii="Times New Roman" w:hAnsi="Times New Roman" w:cs="Times New Roman"/>
          <w:color w:val="auto"/>
          <w:highlight w:val="none"/>
        </w:rPr>
        <w:t>综上所述，本项目对土壤环境影响较小。</w:t>
      </w:r>
    </w:p>
    <w:p w14:paraId="7A6B837D">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rPr>
        <w:t>5</w:t>
      </w:r>
      <w:r>
        <w:rPr>
          <w:rFonts w:ascii="Times New Roman" w:hAnsi="Times New Roman" w:cs="Times New Roman"/>
          <w:color w:val="auto"/>
          <w:highlight w:val="none"/>
        </w:rPr>
        <w:t>）固废环境影响</w:t>
      </w:r>
    </w:p>
    <w:p w14:paraId="4CF52700">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本项目产生的固废均合理处置，不外排，对周围环境影响较小。</w:t>
      </w:r>
    </w:p>
    <w:p w14:paraId="75D5E5CA">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rPr>
        <w:t>6</w:t>
      </w:r>
      <w:r>
        <w:rPr>
          <w:rFonts w:ascii="Times New Roman" w:hAnsi="Times New Roman" w:cs="Times New Roman"/>
          <w:color w:val="auto"/>
          <w:highlight w:val="none"/>
        </w:rPr>
        <w:t>）环境风险影响</w:t>
      </w:r>
    </w:p>
    <w:p w14:paraId="201516AE">
      <w:pPr>
        <w:spacing w:line="360" w:lineRule="auto"/>
        <w:ind w:left="-105" w:right="-105" w:firstLine="480" w:firstLineChars="200"/>
        <w:rPr>
          <w:rFonts w:ascii="Times New Roman" w:hAnsi="Times New Roman"/>
          <w:color w:val="auto"/>
          <w:szCs w:val="22"/>
          <w:highlight w:val="none"/>
        </w:rPr>
      </w:pPr>
      <w:r>
        <w:rPr>
          <w:color w:val="auto"/>
          <w:szCs w:val="20"/>
          <w:highlight w:val="none"/>
        </w:rPr>
        <w:t>企业发生突发环境事件对周边环境有一定影响，但环境风险可防控。建设单位应该认真做好各项风险防范措施，完善管理制度，储运过程应该严格操作，杜绝风险事故。严格履行风险应急预案，一旦发生突发事故，建设单位除了根据内部制定和履行最快最有效的应急预案自救外，应立即报告当地环保部门。在上级环保部门到达后，要从大局考虑，服从环保部门的领导，共同协商统一部署，将污染事故降低到最小。</w:t>
      </w:r>
    </w:p>
    <w:p w14:paraId="1EEED4EF">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60" w:name="_Toc10250"/>
      <w:bookmarkStart w:id="561" w:name="_Toc60653637"/>
      <w:r>
        <w:rPr>
          <w:rFonts w:hint="eastAsia" w:ascii="Times New Roman" w:eastAsia="宋体"/>
          <w:color w:val="auto"/>
          <w:sz w:val="28"/>
          <w:szCs w:val="28"/>
          <w:highlight w:val="none"/>
        </w:rPr>
        <w:t>10.6</w:t>
      </w:r>
      <w:r>
        <w:rPr>
          <w:rFonts w:ascii="Times New Roman" w:eastAsia="宋体"/>
          <w:color w:val="auto"/>
          <w:sz w:val="28"/>
          <w:szCs w:val="28"/>
          <w:highlight w:val="none"/>
        </w:rPr>
        <w:t>公众意见采纳情况</w:t>
      </w:r>
      <w:bookmarkEnd w:id="560"/>
      <w:bookmarkEnd w:id="561"/>
    </w:p>
    <w:p w14:paraId="2504E9AD">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化药化工（无锡）有限公司于2024年3月19日在</w:t>
      </w:r>
      <w:r>
        <w:rPr>
          <w:rFonts w:hint="eastAsia" w:ascii="Times New Roman" w:hAnsi="Times New Roman"/>
          <w:color w:val="auto"/>
          <w:szCs w:val="18"/>
          <w:highlight w:val="none"/>
        </w:rPr>
        <w:t>化药化工（无锡）有限公司</w:t>
      </w:r>
      <w:r>
        <w:rPr>
          <w:rFonts w:hint="eastAsia" w:ascii="Times New Roman" w:hAnsi="Times New Roman"/>
          <w:color w:val="auto"/>
          <w:szCs w:val="22"/>
          <w:highlight w:val="none"/>
        </w:rPr>
        <w:t>网站开了一次公示，公示主要内容为：项目概况、建设单位和环评单位信息及联系方式、公众意见表的网络链接、提交公众意见表的方式和途径。未收到反馈意见。</w:t>
      </w:r>
    </w:p>
    <w:p w14:paraId="5879153B">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2023年1月16日在网络平台开展了二次公示，并在《环球时报》报刊开展的登报公示，项目地及街道开展了张贴公示，未收到反馈意见。</w:t>
      </w:r>
    </w:p>
    <w:p w14:paraId="2744F36E">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为确保项目投运后不影响区域环境质量，不影响周围居民的正常生活，建设单位承诺：将严格落实各项环保政策规定，按“达标排放、总量控制、安全处置、规范管理”的要求搞好项目运行管理，提升企业的清洁生产水平，并不断完善各类环境风险防范措施，努力化解环境和安全风险隐患。建设单位在以后的建设中应充分尊重公众意见。</w:t>
      </w:r>
    </w:p>
    <w:p w14:paraId="1CA0660C">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62" w:name="_Toc60653638"/>
      <w:bookmarkStart w:id="563" w:name="_Toc30914"/>
      <w:r>
        <w:rPr>
          <w:rFonts w:hint="eastAsia" w:ascii="Times New Roman" w:eastAsia="宋体"/>
          <w:color w:val="auto"/>
          <w:sz w:val="28"/>
          <w:szCs w:val="28"/>
          <w:highlight w:val="none"/>
        </w:rPr>
        <w:t>10.7</w:t>
      </w:r>
      <w:r>
        <w:rPr>
          <w:rFonts w:ascii="Times New Roman" w:eastAsia="宋体"/>
          <w:color w:val="auto"/>
          <w:sz w:val="28"/>
          <w:szCs w:val="28"/>
          <w:highlight w:val="none"/>
        </w:rPr>
        <w:t>环境保护措施</w:t>
      </w:r>
      <w:bookmarkEnd w:id="562"/>
      <w:bookmarkEnd w:id="563"/>
    </w:p>
    <w:p w14:paraId="552D8D70">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（1）废气：</w:t>
      </w:r>
    </w:p>
    <w:p w14:paraId="5611985E">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本项目完成后运营期产生的废气主要为</w:t>
      </w:r>
      <w:r>
        <w:rPr>
          <w:rFonts w:hint="eastAsia" w:ascii="Times New Roman" w:hAnsi="Times New Roman" w:cs="Times New Roman"/>
          <w:color w:val="auto"/>
          <w:highlight w:val="none"/>
        </w:rPr>
        <w:t>①工艺废气（G1-1、G1-3）、②实验废气（G1-2）</w:t>
      </w:r>
      <w:r>
        <w:rPr>
          <w:rFonts w:ascii="Times New Roman" w:hAnsi="Times New Roman" w:cs="Times New Roman"/>
          <w:color w:val="auto"/>
          <w:highlight w:val="none"/>
        </w:rPr>
        <w:t>。</w:t>
      </w:r>
    </w:p>
    <w:p w14:paraId="71A42F17">
      <w:pPr>
        <w:pStyle w:val="44"/>
        <w:spacing w:after="0" w:line="360" w:lineRule="auto"/>
        <w:ind w:left="0" w:leftChars="0" w:right="-105" w:firstLine="480"/>
        <w:rPr>
          <w:rFonts w:eastAsia="宋体"/>
          <w:color w:val="auto"/>
          <w:sz w:val="24"/>
          <w:szCs w:val="22"/>
          <w:highlight w:val="none"/>
        </w:rPr>
      </w:pPr>
      <w:r>
        <w:rPr>
          <w:rFonts w:eastAsia="宋体"/>
          <w:color w:val="auto"/>
          <w:sz w:val="24"/>
          <w:szCs w:val="22"/>
          <w:highlight w:val="none"/>
        </w:rPr>
        <w:t>各类废气采</w:t>
      </w:r>
      <w:r>
        <w:rPr>
          <w:rFonts w:eastAsia="宋体"/>
          <w:color w:val="auto"/>
          <w:sz w:val="24"/>
          <w:highlight w:val="none"/>
        </w:rPr>
        <w:t>取的环保措施具体如下：</w:t>
      </w:r>
      <w:r>
        <w:rPr>
          <w:rFonts w:hint="eastAsia" w:ascii="宋体" w:hAnsi="宋体" w:eastAsia="宋体" w:cs="宋体"/>
          <w:color w:val="auto"/>
          <w:sz w:val="24"/>
          <w:highlight w:val="none"/>
        </w:rPr>
        <w:t>①</w:t>
      </w:r>
      <w:r>
        <w:rPr>
          <w:rFonts w:eastAsia="宋体"/>
          <w:color w:val="auto"/>
          <w:sz w:val="24"/>
          <w:highlight w:val="none"/>
        </w:rPr>
        <w:t>本项目</w:t>
      </w:r>
      <w:r>
        <w:rPr>
          <w:rFonts w:hint="eastAsia" w:eastAsia="宋体"/>
          <w:color w:val="auto"/>
          <w:sz w:val="24"/>
          <w:highlight w:val="none"/>
        </w:rPr>
        <w:t>工艺废气收集后依托现有一套3级碱液喷淋+二级活性炭吸附处理设施处理后经20m高排气筒DA005排放</w:t>
      </w:r>
      <w:r>
        <w:rPr>
          <w:rFonts w:eastAsia="宋体"/>
          <w:color w:val="auto"/>
          <w:sz w:val="24"/>
          <w:szCs w:val="22"/>
          <w:highlight w:val="none"/>
        </w:rPr>
        <w:t>。②2间实验废气收集后分别经两套经</w:t>
      </w:r>
      <w:r>
        <w:rPr>
          <w:rFonts w:hint="eastAsia" w:eastAsia="宋体"/>
          <w:color w:val="auto"/>
          <w:sz w:val="24"/>
          <w:szCs w:val="22"/>
          <w:highlight w:val="none"/>
        </w:rPr>
        <w:t>二级活性炭吸附装置</w:t>
      </w:r>
      <w:r>
        <w:rPr>
          <w:rFonts w:eastAsia="宋体"/>
          <w:color w:val="auto"/>
          <w:sz w:val="24"/>
          <w:szCs w:val="22"/>
          <w:highlight w:val="none"/>
        </w:rPr>
        <w:t>处理后</w:t>
      </w:r>
      <w:r>
        <w:rPr>
          <w:rFonts w:hint="eastAsia" w:eastAsia="宋体"/>
          <w:color w:val="auto"/>
          <w:sz w:val="24"/>
          <w:highlight w:val="none"/>
        </w:rPr>
        <w:t>经15m高排气筒DA006排放</w:t>
      </w:r>
      <w:r>
        <w:rPr>
          <w:rFonts w:eastAsia="宋体"/>
          <w:color w:val="auto"/>
          <w:sz w:val="24"/>
          <w:szCs w:val="22"/>
          <w:highlight w:val="none"/>
        </w:rPr>
        <w:t>。</w:t>
      </w:r>
    </w:p>
    <w:p w14:paraId="3976A2CF">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（2）废水：</w:t>
      </w:r>
    </w:p>
    <w:p w14:paraId="7B515DF8">
      <w:pPr>
        <w:pStyle w:val="44"/>
        <w:spacing w:after="0" w:line="360" w:lineRule="auto"/>
        <w:ind w:left="0" w:leftChars="0" w:right="-105" w:firstLine="480"/>
        <w:rPr>
          <w:rFonts w:eastAsia="宋体"/>
          <w:color w:val="auto"/>
          <w:kern w:val="0"/>
          <w:sz w:val="24"/>
          <w:highlight w:val="none"/>
        </w:rPr>
      </w:pPr>
      <w:r>
        <w:rPr>
          <w:rFonts w:hint="eastAsia" w:eastAsia="宋体"/>
          <w:color w:val="auto"/>
          <w:kern w:val="0"/>
          <w:sz w:val="24"/>
          <w:highlight w:val="none"/>
        </w:rPr>
        <w:t>本项目纯水制备过程中不添加任何药剂，纯水制备浓水、反冲洗水污染较轻，少量污染主要来源于自来水，主要污染因子是COD、SS，根据同类项目调查，纯水制备浓水、反冲洗水完全可用于冲厕，且基本不会影响生活污水的产生情况。因此，全厂产生的生活污水和初期雨水经无锡先进化药化工有限公司处理达标后接入无锡市锡山云林污水处理有限公司集中处理，尾水达标后排入北兴塘河。</w:t>
      </w:r>
    </w:p>
    <w:p w14:paraId="76B89206">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（3）噪声：</w:t>
      </w:r>
    </w:p>
    <w:p w14:paraId="478CF49A">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 xml:space="preserve">本项目通过采取安装减振垫，风机安装隔声罩、墙体隔声，基础减振，距离衰减、合理布局、绿化等措施减小噪声影响，可实现厂界达标，满足环境保护的要求。 </w:t>
      </w:r>
    </w:p>
    <w:p w14:paraId="214CBEA9">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（4）固废：</w:t>
      </w:r>
    </w:p>
    <w:p w14:paraId="7F41F82C">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本项目固体废物有一般固废</w:t>
      </w:r>
      <w:r>
        <w:rPr>
          <w:rFonts w:hint="eastAsia" w:ascii="Times New Roman" w:hAnsi="Times New Roman" w:cs="Times New Roman"/>
          <w:color w:val="auto"/>
          <w:highlight w:val="none"/>
        </w:rPr>
        <w:t>和</w:t>
      </w:r>
      <w:r>
        <w:rPr>
          <w:rFonts w:ascii="Times New Roman" w:hAnsi="Times New Roman" w:cs="Times New Roman"/>
          <w:color w:val="auto"/>
          <w:highlight w:val="none"/>
        </w:rPr>
        <w:t>危险废物，其中危险废物委托有资质的单位处置；一般固废外售给物资回收单位。本项目所产生的各类固体废物均可得到妥善处置，不外排。</w:t>
      </w:r>
    </w:p>
    <w:p w14:paraId="05BD5650">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（5）风险：</w:t>
      </w:r>
    </w:p>
    <w:p w14:paraId="59B31BA2">
      <w:pPr>
        <w:spacing w:line="360" w:lineRule="auto"/>
        <w:ind w:left="-105" w:right="-105"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建设项目生产过程存在一定环境风险，为了防范事故和减少危害，本项目从选址、总图布置和建筑设计等方面提前布局了环境风险防范措施、并针对大气、地表水、地下水各环境要素采取对应风险防范措施，明确了项目的环境风险监控、应急监测和事故应急处理措施，在落实本项目各项风险防范措施、应急物资和应急预案后，可将污染事故和环境风险降低到最低。</w:t>
      </w:r>
    </w:p>
    <w:p w14:paraId="25AC9375">
      <w:pPr>
        <w:spacing w:line="360" w:lineRule="auto"/>
        <w:ind w:left="-105" w:right="-105"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（6）土壤、地下水</w:t>
      </w:r>
    </w:p>
    <w:p w14:paraId="1D6092F3">
      <w:pPr>
        <w:spacing w:line="360" w:lineRule="auto"/>
        <w:ind w:left="-105" w:right="-105" w:firstLine="464" w:firstLineChars="200"/>
        <w:rPr>
          <w:rFonts w:ascii="Times New Roman" w:hAnsi="Times New Roman"/>
          <w:color w:val="auto"/>
          <w:szCs w:val="22"/>
          <w:highlight w:val="none"/>
        </w:rPr>
      </w:pPr>
      <w:r>
        <w:rPr>
          <w:rFonts w:ascii="Times New Roman" w:hAnsi="Times New Roman" w:cs="Times New Roman"/>
          <w:color w:val="auto"/>
          <w:spacing w:val="-4"/>
          <w:highlight w:val="none"/>
        </w:rPr>
        <w:t>因此，本项目厂区应划分为重点防渗区、一般防渗区和简单防渗区，</w:t>
      </w:r>
      <w:r>
        <w:rPr>
          <w:rFonts w:hint="eastAsia" w:ascii="Times New Roman" w:hAnsi="Times New Roman" w:cs="Times New Roman"/>
          <w:color w:val="auto"/>
          <w:spacing w:val="-4"/>
          <w:highlight w:val="none"/>
        </w:rPr>
        <w:t>生产区、</w:t>
      </w:r>
      <w:r>
        <w:rPr>
          <w:rFonts w:hint="eastAsia" w:ascii="Times New Roman" w:hAnsi="Times New Roman" w:cs="Times New Roman"/>
          <w:color w:val="auto"/>
          <w:spacing w:val="-4"/>
          <w:highlight w:val="none"/>
          <w:lang w:eastAsia="zh-CN"/>
        </w:rPr>
        <w:t>危险品仓库</w:t>
      </w:r>
      <w:r>
        <w:rPr>
          <w:rFonts w:hint="eastAsia" w:ascii="Times New Roman" w:hAnsi="Times New Roman" w:cs="Times New Roman"/>
          <w:color w:val="auto"/>
          <w:spacing w:val="-4"/>
          <w:highlight w:val="none"/>
        </w:rPr>
        <w:t>、成品仓库、埋地柴油罐、废液储罐区、危废仓库、事故池、初期雨水收集池</w:t>
      </w:r>
      <w:r>
        <w:rPr>
          <w:rFonts w:ascii="Times New Roman" w:hAnsi="Times New Roman" w:cs="Times New Roman"/>
          <w:color w:val="auto"/>
          <w:spacing w:val="-4"/>
          <w:highlight w:val="none"/>
        </w:rPr>
        <w:t>等属于重点防渗区；</w:t>
      </w:r>
      <w:r>
        <w:rPr>
          <w:rFonts w:hint="eastAsia" w:ascii="Times New Roman" w:hAnsi="Times New Roman" w:cs="Times New Roman"/>
          <w:color w:val="auto"/>
          <w:spacing w:val="-4"/>
          <w:highlight w:val="none"/>
        </w:rPr>
        <w:t>实验楼、一般固废仓库、辅房</w:t>
      </w:r>
      <w:r>
        <w:rPr>
          <w:rFonts w:ascii="Times New Roman" w:hAnsi="Times New Roman" w:cs="Times New Roman"/>
          <w:color w:val="auto"/>
          <w:spacing w:val="-4"/>
          <w:highlight w:val="none"/>
        </w:rPr>
        <w:t>属于一般防渗区；</w:t>
      </w:r>
      <w:r>
        <w:rPr>
          <w:rFonts w:hint="eastAsia" w:ascii="Times New Roman" w:hAnsi="Times New Roman" w:cs="Times New Roman"/>
          <w:color w:val="auto"/>
          <w:spacing w:val="-4"/>
          <w:highlight w:val="none"/>
        </w:rPr>
        <w:t>办公区、厂区道路、停车场、门卫</w:t>
      </w:r>
      <w:r>
        <w:rPr>
          <w:rFonts w:ascii="Times New Roman" w:hAnsi="Times New Roman" w:cs="Times New Roman"/>
          <w:color w:val="auto"/>
          <w:spacing w:val="-4"/>
          <w:highlight w:val="none"/>
        </w:rPr>
        <w:t>等属于简单防渗区。不同的污染物区，采取不同等级的防渗措施</w:t>
      </w:r>
      <w:r>
        <w:rPr>
          <w:rFonts w:ascii="Times New Roman" w:hAnsi="Times New Roman" w:cs="Times New Roman"/>
          <w:color w:val="auto"/>
          <w:highlight w:val="none"/>
        </w:rPr>
        <w:t>。在做好厂内污染区地面的防渗措施和泄漏、渗漏污染物收集措施的前提下，实施覆盖生产区的地下水污染监控系统，及时发现污染、及时控制。</w:t>
      </w:r>
    </w:p>
    <w:p w14:paraId="623EBE01">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64" w:name="_Toc60653640"/>
      <w:bookmarkStart w:id="565" w:name="_Toc4290"/>
      <w:r>
        <w:rPr>
          <w:rFonts w:hint="eastAsia" w:ascii="Times New Roman" w:eastAsia="宋体"/>
          <w:color w:val="auto"/>
          <w:sz w:val="28"/>
          <w:szCs w:val="28"/>
          <w:highlight w:val="none"/>
        </w:rPr>
        <w:t>10.8</w:t>
      </w:r>
      <w:r>
        <w:rPr>
          <w:rFonts w:ascii="Times New Roman" w:eastAsia="宋体"/>
          <w:color w:val="auto"/>
          <w:sz w:val="28"/>
          <w:szCs w:val="28"/>
          <w:highlight w:val="none"/>
        </w:rPr>
        <w:t>环境影响经济损益分析</w:t>
      </w:r>
      <w:bookmarkEnd w:id="564"/>
      <w:bookmarkEnd w:id="565"/>
    </w:p>
    <w:p w14:paraId="2988C708">
      <w:pPr>
        <w:spacing w:line="360" w:lineRule="auto"/>
        <w:ind w:left="-105" w:right="-105" w:firstLine="480" w:firstLineChars="200"/>
        <w:rPr>
          <w:rFonts w:ascii="Times New Roman" w:hAnsi="Times New Roman"/>
          <w:color w:val="auto"/>
          <w:szCs w:val="22"/>
          <w:highlight w:val="none"/>
        </w:rPr>
      </w:pPr>
      <w:r>
        <w:rPr>
          <w:rFonts w:ascii="Times New Roman" w:hAnsi="Times New Roman" w:cs="Times New Roman"/>
          <w:color w:val="auto"/>
          <w:szCs w:val="22"/>
          <w:highlight w:val="none"/>
        </w:rPr>
        <w:t>经分析，项目产生的</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三废</w:t>
      </w:r>
      <w:r>
        <w:rPr>
          <w:rFonts w:hint="eastAsia" w:ascii="Times New Roman" w:hAnsi="Times New Roman" w:cs="Times New Roman"/>
          <w:color w:val="auto"/>
          <w:szCs w:val="22"/>
          <w:highlight w:val="none"/>
        </w:rPr>
        <w:t>”</w:t>
      </w:r>
      <w:r>
        <w:rPr>
          <w:rFonts w:ascii="Times New Roman" w:hAnsi="Times New Roman" w:cs="Times New Roman"/>
          <w:color w:val="auto"/>
          <w:szCs w:val="22"/>
          <w:highlight w:val="none"/>
        </w:rPr>
        <w:t>在采取合理的处理处置措施后，可明显降低其对周围环境的危害，并取得一定的经济效益。因此，本项目具有较好的环境经济效益。</w:t>
      </w:r>
    </w:p>
    <w:p w14:paraId="64EF2D45">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66" w:name="_Toc23034"/>
      <w:bookmarkStart w:id="567" w:name="_Toc60653641"/>
      <w:r>
        <w:rPr>
          <w:rFonts w:hint="eastAsia" w:ascii="Times New Roman" w:eastAsia="宋体"/>
          <w:color w:val="auto"/>
          <w:sz w:val="28"/>
          <w:szCs w:val="28"/>
          <w:highlight w:val="none"/>
        </w:rPr>
        <w:t>10.9</w:t>
      </w:r>
      <w:r>
        <w:rPr>
          <w:rFonts w:ascii="Times New Roman" w:eastAsia="宋体"/>
          <w:color w:val="auto"/>
          <w:sz w:val="28"/>
          <w:szCs w:val="28"/>
          <w:highlight w:val="none"/>
        </w:rPr>
        <w:t>环境管理与监测计划</w:t>
      </w:r>
      <w:bookmarkEnd w:id="566"/>
      <w:bookmarkEnd w:id="567"/>
    </w:p>
    <w:p w14:paraId="383FAA59">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建设项目建成后，建设单位在加强环境管理的同时，定期进行环境监测，以便及时了解建设项目对环境造成影响的情况，并采取相应措施，消除不利因素，减轻环境污染，使各项环保措施落到实处，以期达到预定的目标。</w:t>
      </w:r>
    </w:p>
    <w:p w14:paraId="5401D8F9">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68" w:name="_Toc31642"/>
      <w:bookmarkStart w:id="569" w:name="_Toc60653642"/>
      <w:r>
        <w:rPr>
          <w:rFonts w:hint="eastAsia" w:ascii="Times New Roman" w:eastAsia="宋体"/>
          <w:color w:val="auto"/>
          <w:sz w:val="28"/>
          <w:szCs w:val="28"/>
          <w:highlight w:val="none"/>
        </w:rPr>
        <w:t>10.10</w:t>
      </w:r>
      <w:r>
        <w:rPr>
          <w:rFonts w:ascii="Times New Roman" w:eastAsia="宋体"/>
          <w:color w:val="auto"/>
          <w:sz w:val="28"/>
          <w:szCs w:val="28"/>
          <w:highlight w:val="none"/>
        </w:rPr>
        <w:t>总结论</w:t>
      </w:r>
      <w:bookmarkEnd w:id="568"/>
      <w:bookmarkEnd w:id="569"/>
    </w:p>
    <w:p w14:paraId="29AEF2F0">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综上所述，本项目建设符合国家产业政策；与区域规划和环保政策相符；使用的原辅材料、生产设备、生产工艺及产出产品均不属于淘汰类；拟采取的各项环保措施具备技术经济可行性，可确保各项污染物稳定达标排放，对环境影响较小，不会降低所在区域环境质量；项目选址合理，项目建设性质、规模、生产工艺可行；项目实施后，总量排放指标在区域内平衡，具有较好的社会、经济和环境效益；公众参与调查没有反对意见。建设单位必须严格遵守“三同时”的管理规定，完成各项报建手续，确实保证本报告提出的各项环保措施的落实，并尽一切可能确保本项目所在区域的环境质量不因本项目的建设而受到不良影响，真正实现环境保护与经济建设的可持续协调发展。项目建成后，须经过环境保护主管部门验收合格后方可投入使用，在投入使用后，应加强对设备的维修保养，确保环保设施的正常运转。在达到本报告所提出的各项要求后，该项目对周围环境将不会产生明显的影响，从环保角度而言，该项目的建设是可行的。</w:t>
      </w:r>
    </w:p>
    <w:p w14:paraId="42143574">
      <w:pPr>
        <w:pStyle w:val="4"/>
        <w:numPr>
          <w:ilvl w:val="1"/>
          <w:numId w:val="0"/>
        </w:numPr>
        <w:tabs>
          <w:tab w:val="left" w:pos="426"/>
        </w:tabs>
        <w:spacing w:before="120" w:beforeLines="50" w:after="120" w:afterLines="50" w:line="360" w:lineRule="auto"/>
        <w:ind w:right="-105"/>
        <w:rPr>
          <w:rFonts w:ascii="Times New Roman" w:eastAsia="宋体"/>
          <w:color w:val="auto"/>
          <w:sz w:val="28"/>
          <w:szCs w:val="28"/>
          <w:highlight w:val="none"/>
        </w:rPr>
      </w:pPr>
      <w:bookmarkStart w:id="570" w:name="_Toc19472"/>
      <w:bookmarkStart w:id="571" w:name="_Toc60653643"/>
      <w:r>
        <w:rPr>
          <w:rFonts w:hint="eastAsia" w:ascii="Times New Roman" w:eastAsia="宋体"/>
          <w:color w:val="auto"/>
          <w:sz w:val="28"/>
          <w:szCs w:val="28"/>
          <w:highlight w:val="none"/>
        </w:rPr>
        <w:t>10.11</w:t>
      </w:r>
      <w:r>
        <w:rPr>
          <w:rFonts w:ascii="Times New Roman" w:eastAsia="宋体"/>
          <w:color w:val="auto"/>
          <w:sz w:val="28"/>
          <w:szCs w:val="28"/>
          <w:highlight w:val="none"/>
        </w:rPr>
        <w:t>建议</w:t>
      </w:r>
      <w:bookmarkEnd w:id="570"/>
      <w:bookmarkEnd w:id="571"/>
    </w:p>
    <w:p w14:paraId="6058F617">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1.认真执行本环评提出的各项污染防治措施，确保达标排放。并加强各项污染控制设施的运行管理，实行定期维护、检修和考核制度，确保其正常稳定运转。</w:t>
      </w:r>
    </w:p>
    <w:p w14:paraId="5F574D49">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2.保证“清污分流及污污分流”，加强对生产设备的管理和维护，及时维修或更换泄漏设备，严格控制“跑、冒、滴、漏”现象发生，减少污染物的排放量。</w:t>
      </w:r>
    </w:p>
    <w:p w14:paraId="5E5CE7AA">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3.进一步加强全厂清洁生产工作，从原材料的选取、生产工艺及设备的选用、产品和生产过程控制等方面按照清洁生产的要求进行设计，进一步改进生产工艺，尽可能选用低毒原材料。提高清洁生产意识，采用节能、减排措施及工艺设备，提高水的复用率，达到节能、降耗的清洁生产目的，确保本工程的可持续发展。</w:t>
      </w:r>
    </w:p>
    <w:p w14:paraId="4ADBFF67">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 xml:space="preserve">4.加强环保管理和职工的宣传教育，提高职工的环保意识。 </w:t>
      </w:r>
    </w:p>
    <w:p w14:paraId="0F41D57A">
      <w:pPr>
        <w:spacing w:line="360" w:lineRule="auto"/>
        <w:ind w:left="-105" w:right="-105" w:firstLine="480" w:firstLineChars="200"/>
        <w:rPr>
          <w:rFonts w:ascii="Times New Roman" w:hAnsi="Times New Roman"/>
          <w:color w:val="auto"/>
          <w:szCs w:val="22"/>
          <w:highlight w:val="none"/>
        </w:rPr>
      </w:pPr>
      <w:r>
        <w:rPr>
          <w:rFonts w:hint="eastAsia" w:ascii="Times New Roman" w:hAnsi="Times New Roman"/>
          <w:color w:val="auto"/>
          <w:szCs w:val="22"/>
          <w:highlight w:val="none"/>
        </w:rPr>
        <w:t>5.今后若企业的生产工艺发生变化或生产规模扩大、生产技术更新改造，都必须重新进行环境影响评价，并征得环保部门审批同意后方可实施。</w:t>
      </w:r>
    </w:p>
    <w:p w14:paraId="48CFA3E9">
      <w:pPr>
        <w:spacing w:line="360" w:lineRule="auto"/>
        <w:ind w:left="-105" w:right="-105" w:firstLine="480" w:firstLineChars="200"/>
        <w:rPr>
          <w:rFonts w:ascii="Times New Roman" w:hAnsi="Times New Roman"/>
          <w:color w:val="auto"/>
          <w:szCs w:val="22"/>
          <w:highlight w:val="none"/>
        </w:rPr>
      </w:pPr>
    </w:p>
    <w:p w14:paraId="4BD3A158">
      <w:pPr>
        <w:spacing w:line="360" w:lineRule="auto"/>
        <w:ind w:left="-105" w:right="-105" w:firstLine="480" w:firstLineChars="200"/>
        <w:rPr>
          <w:rFonts w:ascii="Times New Roman" w:hAnsi="Times New Roman"/>
          <w:color w:val="auto"/>
          <w:szCs w:val="22"/>
          <w:highlight w:val="none"/>
        </w:rPr>
      </w:pPr>
    </w:p>
    <w:sectPr>
      <w:pgSz w:w="11906" w:h="16838"/>
      <w:pgMar w:top="1440" w:right="1701" w:bottom="1440" w:left="1701" w:header="851" w:footer="851" w:gutter="0"/>
      <w:pgBorders>
        <w:top w:val="none" w:sz="0" w:space="0"/>
        <w:left w:val="none" w:sz="0" w:space="0"/>
        <w:bottom w:val="none" w:sz="0" w:space="0"/>
        <w:right w:val="none" w:sz="0" w:space="0"/>
      </w:pgBorders>
      <w:cols w:space="720" w:num="1"/>
      <w:docGrid w:linePitch="498" w:charSpace="-233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TimesNewRomanPSMT">
    <w:altName w:val="Times New Roman"/>
    <w:panose1 w:val="00000000000000000000"/>
    <w:charset w:val="00"/>
    <w:family w:val="roman"/>
    <w:pitch w:val="default"/>
    <w:sig w:usb0="00000000" w:usb1="00000000" w:usb2="00000000" w:usb3="00000000" w:csb0="00000001" w:csb1="00000000"/>
  </w:font>
  <w:font w:name="MS PGothic">
    <w:panose1 w:val="020B0600070205080204"/>
    <w:charset w:val="80"/>
    <w:family w:val="swiss"/>
    <w:pitch w:val="default"/>
    <w:sig w:usb0="E00002FF" w:usb1="6AC7FDFB" w:usb2="08000012" w:usb3="00000000" w:csb0="4002009F" w:csb1="DFD70000"/>
  </w:font>
  <w:font w:name="方正楷体_GBK">
    <w:altName w:val="微软雅黑"/>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体">
    <w:altName w:val="宋体"/>
    <w:panose1 w:val="00000000000000000000"/>
    <w:charset w:val="86"/>
    <w:family w:val="roma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w:panose1 w:val="02010601000101010101"/>
    <w:charset w:val="88"/>
    <w:family w:val="roman"/>
    <w:pitch w:val="default"/>
    <w:sig w:usb0="00000000" w:usb1="00000000" w:usb2="00000016"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A3F9E">
    <w:pPr>
      <w:adjustRightInd w:val="0"/>
      <w:ind w:firstLine="373"/>
      <w:jc w:val="center"/>
      <w:rPr>
        <w:color w:val="000000"/>
        <w:sz w:val="18"/>
        <w:szCs w:val="16"/>
      </w:rPr>
    </w:pPr>
    <w:r>
      <w:rPr>
        <w:rFonts w:hint="eastAsia"/>
        <w:sz w:val="18"/>
        <w:szCs w:val="16"/>
      </w:rPr>
      <w:t>第</w:t>
    </w:r>
    <w:r>
      <w:rPr>
        <w:b/>
        <w:sz w:val="18"/>
        <w:szCs w:val="16"/>
      </w:rPr>
      <w:fldChar w:fldCharType="begin"/>
    </w:r>
    <w:r>
      <w:rPr>
        <w:b/>
        <w:sz w:val="18"/>
        <w:szCs w:val="16"/>
      </w:rPr>
      <w:instrText xml:space="preserve">PAGE</w:instrText>
    </w:r>
    <w:r>
      <w:rPr>
        <w:b/>
        <w:sz w:val="18"/>
        <w:szCs w:val="16"/>
      </w:rPr>
      <w:fldChar w:fldCharType="separate"/>
    </w:r>
    <w:r>
      <w:rPr>
        <w:b/>
        <w:sz w:val="18"/>
        <w:szCs w:val="16"/>
      </w:rPr>
      <w:t>289</w:t>
    </w:r>
    <w:r>
      <w:rPr>
        <w:b/>
        <w:sz w:val="18"/>
        <w:szCs w:val="16"/>
      </w:rPr>
      <w:fldChar w:fldCharType="end"/>
    </w:r>
    <w:r>
      <w:rPr>
        <w:rFonts w:hint="eastAsia"/>
        <w:sz w:val="18"/>
        <w:szCs w:val="16"/>
        <w:lang w:val="zh-CN"/>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F790">
    <w:pPr>
      <w:adjustRightInd w:val="0"/>
      <w:ind w:firstLine="373"/>
      <w:jc w:val="center"/>
      <w:rPr>
        <w:sz w:val="18"/>
        <w:szCs w:val="18"/>
      </w:rPr>
    </w:pPr>
    <w:r>
      <w:rPr>
        <w:rFonts w:hint="eastAsia"/>
        <w:sz w:val="18"/>
        <w:szCs w:val="18"/>
      </w:rPr>
      <w:t>第</w:t>
    </w:r>
    <w:r>
      <w:rPr>
        <w:b/>
        <w:sz w:val="18"/>
        <w:szCs w:val="18"/>
      </w:rPr>
      <w:fldChar w:fldCharType="begin"/>
    </w:r>
    <w:r>
      <w:rPr>
        <w:b/>
        <w:sz w:val="18"/>
        <w:szCs w:val="18"/>
      </w:rPr>
      <w:instrText xml:space="preserve">PAGE</w:instrText>
    </w:r>
    <w:r>
      <w:rPr>
        <w:b/>
        <w:sz w:val="18"/>
        <w:szCs w:val="18"/>
      </w:rPr>
      <w:fldChar w:fldCharType="separate"/>
    </w:r>
    <w:r>
      <w:rPr>
        <w:b/>
        <w:sz w:val="18"/>
        <w:szCs w:val="18"/>
      </w:rPr>
      <w:t>288</w:t>
    </w:r>
    <w:r>
      <w:rPr>
        <w:b/>
        <w:sz w:val="18"/>
        <w:szCs w:val="18"/>
      </w:rPr>
      <w:fldChar w:fldCharType="end"/>
    </w:r>
    <w:r>
      <w:rPr>
        <w:rFonts w:hint="eastAsia"/>
        <w:sz w:val="18"/>
        <w:szCs w:val="18"/>
        <w:lang w:val="zh-CN"/>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BA250">
    <w:pPr>
      <w:ind w:firstLine="482"/>
      <w:jc w:val="center"/>
    </w:pPr>
    <w:r>
      <w:rPr>
        <w:rFonts w:hint="eastAsia"/>
      </w:rPr>
      <w:t>第</w:t>
    </w:r>
    <w:r>
      <w:rPr>
        <w:b/>
      </w:rPr>
      <w:fldChar w:fldCharType="begin"/>
    </w:r>
    <w:r>
      <w:rPr>
        <w:b/>
      </w:rPr>
      <w:instrText xml:space="preserve">PAGE</w:instrText>
    </w:r>
    <w:r>
      <w:rPr>
        <w:b/>
      </w:rPr>
      <w:fldChar w:fldCharType="separate"/>
    </w:r>
    <w:r>
      <w:rPr>
        <w:b/>
      </w:rPr>
      <w:t>218</w:t>
    </w:r>
    <w:r>
      <w:rPr>
        <w:b/>
      </w:rPr>
      <w:fldChar w:fldCharType="end"/>
    </w:r>
    <w:r>
      <w:rPr>
        <w:rFonts w:hint="eastAsia"/>
        <w:lang w:val="zh-CN"/>
      </w:rPr>
      <w:t>页</w:t>
    </w:r>
    <w:r>
      <w:rPr>
        <w:lang w:val="zh-CN"/>
      </w:rPr>
      <w:t xml:space="preserve">/ </w:t>
    </w:r>
    <w:r>
      <w:rPr>
        <w:rFonts w:hint="eastAsia"/>
        <w:lang w:val="zh-CN"/>
      </w:rPr>
      <w:t>共</w:t>
    </w:r>
    <w:r>
      <w:rPr>
        <w:rFonts w:hint="eastAsia"/>
        <w:b/>
        <w:color w:val="FF0000"/>
        <w:lang w:val="zh-CN"/>
      </w:rPr>
      <w:t>496</w:t>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D139">
    <w:pPr>
      <w:pStyle w:val="31"/>
    </w:pPr>
    <w:r>
      <w:rPr>
        <w:rFonts w:hint="eastAsia" w:ascii="仿宋" w:hAnsi="仿宋" w:eastAsia="仿宋"/>
        <w:kern w:val="0"/>
      </w:rPr>
      <w:t>化药化工（无锡）有限公司</w:t>
    </w:r>
    <w:r>
      <w:rPr>
        <w:rFonts w:ascii="仿宋" w:hAnsi="仿宋" w:eastAsia="仿宋"/>
        <w:kern w:val="0"/>
      </w:rPr>
      <w:t>环境影响报告书………………………………………………</w:t>
    </w:r>
    <w:r>
      <w:rPr>
        <w:rFonts w:hint="eastAsia" w:ascii="仿宋" w:hAnsi="仿宋" w:eastAsia="仿宋"/>
        <w:kern w:val="0"/>
      </w:rPr>
      <w:t>附图、</w:t>
    </w:r>
    <w:r>
      <w:rPr>
        <w:rFonts w:hint="eastAsia"/>
        <w:color w:val="000000"/>
        <w:kern w:val="0"/>
      </w:rPr>
      <w:t>附件清单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476CF">
    <w:pPr>
      <w:adjustRightInd w:val="0"/>
      <w:rPr>
        <w:color w:val="FF0000"/>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4</w:t>
    </w:r>
    <w:r>
      <w:rPr>
        <w:rFonts w:hint="eastAsia"/>
        <w:sz w:val="18"/>
        <w:szCs w:val="18"/>
      </w:rPr>
      <w:tab/>
    </w:r>
    <w:r>
      <w:rPr>
        <w:rFonts w:hint="eastAsia"/>
        <w:sz w:val="18"/>
        <w:szCs w:val="18"/>
      </w:rPr>
      <w:t>项目工程分析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DA8B">
    <w:pPr>
      <w:adjustRightInd w:val="0"/>
      <w:rPr>
        <w:color w:val="FF0000"/>
        <w:sz w:val="18"/>
        <w:szCs w:val="18"/>
      </w:rPr>
    </w:pPr>
    <w:r>
      <w:rPr>
        <w:rFonts w:hint="eastAsia" w:ascii="仿宋" w:hAnsi="仿宋" w:eastAsia="仿宋"/>
        <w:sz w:val="18"/>
        <w:szCs w:val="18"/>
      </w:rPr>
      <w:t>化药化工（无锡）有限公司环境影响报告书</w:t>
    </w:r>
    <w:r>
      <w:rPr>
        <w:color w:val="000000"/>
        <w:sz w:val="18"/>
        <w:szCs w:val="18"/>
      </w:rPr>
      <w:t>………</w:t>
    </w:r>
    <w:r>
      <w:rPr>
        <w:sz w:val="18"/>
        <w:szCs w:val="18"/>
      </w:rPr>
      <w:t>…………………………………………</w:t>
    </w:r>
    <w:r>
      <w:rPr>
        <w:rFonts w:hint="eastAsia"/>
        <w:sz w:val="18"/>
        <w:szCs w:val="18"/>
      </w:rPr>
      <w:t>3</w:t>
    </w:r>
    <w:r>
      <w:rPr>
        <w:rFonts w:hint="eastAsia"/>
        <w:sz w:val="18"/>
        <w:szCs w:val="18"/>
      </w:rPr>
      <w:tab/>
    </w:r>
    <w:r>
      <w:rPr>
        <w:rFonts w:hint="eastAsia"/>
        <w:sz w:val="18"/>
        <w:szCs w:val="18"/>
      </w:rPr>
      <w:t>现有项目情况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414F">
    <w:pPr>
      <w:adjustRightInd w:val="0"/>
      <w:rPr>
        <w:color w:val="FF0000"/>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4</w:t>
    </w:r>
    <w:r>
      <w:rPr>
        <w:rFonts w:hint="eastAsia"/>
        <w:sz w:val="18"/>
        <w:szCs w:val="18"/>
      </w:rPr>
      <w:tab/>
    </w:r>
    <w:r>
      <w:rPr>
        <w:rFonts w:hint="eastAsia"/>
        <w:sz w:val="18"/>
        <w:szCs w:val="18"/>
      </w:rPr>
      <w:t>项目工程分析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52FD">
    <w:pPr>
      <w:adjustRightInd w:val="0"/>
      <w:rPr>
        <w:color w:val="FF0000"/>
        <w:sz w:val="18"/>
        <w:szCs w:val="18"/>
      </w:rPr>
    </w:pPr>
    <w:r>
      <w:rPr>
        <w:rFonts w:hint="eastAsia" w:ascii="仿宋" w:hAnsi="仿宋" w:eastAsia="仿宋"/>
        <w:sz w:val="18"/>
        <w:szCs w:val="18"/>
      </w:rPr>
      <w:t>化药化工（无锡）有限公司环境影响报告书</w:t>
    </w:r>
    <w:r>
      <w:rPr>
        <w:color w:val="000000"/>
        <w:sz w:val="18"/>
        <w:szCs w:val="18"/>
      </w:rPr>
      <w:t>………</w:t>
    </w:r>
    <w:r>
      <w:rPr>
        <w:sz w:val="18"/>
        <w:szCs w:val="18"/>
      </w:rPr>
      <w:t>…………………………………………</w:t>
    </w:r>
    <w:r>
      <w:rPr>
        <w:rFonts w:hint="eastAsia"/>
        <w:sz w:val="18"/>
        <w:szCs w:val="18"/>
      </w:rPr>
      <w:t>3</w:t>
    </w:r>
    <w:r>
      <w:rPr>
        <w:rFonts w:hint="eastAsia"/>
        <w:sz w:val="18"/>
        <w:szCs w:val="18"/>
      </w:rPr>
      <w:tab/>
    </w:r>
    <w:r>
      <w:rPr>
        <w:rFonts w:hint="eastAsia"/>
        <w:sz w:val="18"/>
        <w:szCs w:val="18"/>
      </w:rPr>
      <w:t>现有项目情况</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8AC3">
    <w:pPr>
      <w:adjustRightInd w:val="0"/>
      <w:rPr>
        <w:color w:val="FF0000"/>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4</w:t>
    </w:r>
    <w:r>
      <w:rPr>
        <w:rFonts w:hint="eastAsia"/>
        <w:sz w:val="18"/>
        <w:szCs w:val="18"/>
      </w:rPr>
      <w:tab/>
    </w:r>
    <w:r>
      <w:rPr>
        <w:rFonts w:hint="eastAsia"/>
        <w:sz w:val="18"/>
        <w:szCs w:val="18"/>
      </w:rPr>
      <w:t>项目工程分析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ABB77">
    <w:pPr>
      <w:adjustRightInd w:val="0"/>
      <w:rPr>
        <w:color w:val="FF0000"/>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4</w:t>
    </w:r>
    <w:r>
      <w:rPr>
        <w:rFonts w:hint="eastAsia"/>
        <w:sz w:val="18"/>
        <w:szCs w:val="18"/>
      </w:rPr>
      <w:tab/>
    </w:r>
    <w:r>
      <w:rPr>
        <w:rFonts w:hint="eastAsia"/>
        <w:sz w:val="18"/>
        <w:szCs w:val="18"/>
      </w:rPr>
      <w:t>项目工程分析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78D8C">
    <w:pPr>
      <w:rPr>
        <w:sz w:val="18"/>
        <w:szCs w:val="18"/>
      </w:rPr>
    </w:pPr>
    <w:r>
      <w:rPr>
        <w:rFonts w:hint="eastAsia"/>
        <w:sz w:val="18"/>
        <w:szCs w:val="18"/>
      </w:rPr>
      <w:t>化药化工（无锡）有限公司环境影响报告书…………………………………………5</w:t>
    </w:r>
    <w:r>
      <w:rPr>
        <w:rFonts w:hint="eastAsia"/>
        <w:sz w:val="18"/>
        <w:szCs w:val="18"/>
      </w:rPr>
      <w:tab/>
    </w:r>
    <w:r>
      <w:rPr>
        <w:rFonts w:hint="eastAsia"/>
        <w:sz w:val="18"/>
        <w:szCs w:val="18"/>
      </w:rPr>
      <w:t>环境现状调查与评价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44985">
    <w:pPr>
      <w:rPr>
        <w:sz w:val="18"/>
        <w:szCs w:val="18"/>
      </w:rPr>
    </w:pPr>
    <w:r>
      <w:rPr>
        <w:rFonts w:hint="eastAsia"/>
        <w:sz w:val="18"/>
        <w:szCs w:val="18"/>
      </w:rPr>
      <w:t>化药化工（无锡）有限公司环境影响报告书…………………………………………5</w:t>
    </w:r>
    <w:r>
      <w:rPr>
        <w:rFonts w:hint="eastAsia"/>
        <w:sz w:val="18"/>
        <w:szCs w:val="18"/>
      </w:rPr>
      <w:tab/>
    </w:r>
    <w:r>
      <w:rPr>
        <w:rFonts w:hint="eastAsia"/>
        <w:sz w:val="18"/>
        <w:szCs w:val="18"/>
      </w:rPr>
      <w:t>环境现状调查与评价</w:t>
    </w:r>
  </w:p>
  <w:p w14:paraId="3196978A">
    <w:pPr>
      <w:pStyle w:val="3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13EA4">
    <w:pPr>
      <w:rPr>
        <w:sz w:val="18"/>
        <w:szCs w:val="18"/>
      </w:rPr>
    </w:pPr>
    <w:r>
      <w:rPr>
        <w:rFonts w:hint="eastAsia"/>
        <w:sz w:val="18"/>
        <w:szCs w:val="18"/>
      </w:rPr>
      <w:t>化药化工（无锡）有限公司环境影响报告书…………………………………………6环境影响预测与评价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64F9">
    <w:pPr>
      <w:rPr>
        <w:sz w:val="18"/>
        <w:szCs w:val="18"/>
      </w:rPr>
    </w:pPr>
    <w:r>
      <w:rPr>
        <w:rFonts w:hint="eastAsia"/>
        <w:sz w:val="18"/>
        <w:szCs w:val="18"/>
      </w:rPr>
      <w:t>化药化工（无锡）有限公司环境影响报告书…………………………………………6环境影响预测与评价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18744">
    <w:pPr>
      <w:adjustRightInd w:val="0"/>
      <w:rPr>
        <w:color w:val="FF0000"/>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74478">
    <w:pPr>
      <w:adjustRightInd w:val="0"/>
      <w:rPr>
        <w:color w:val="FF0000"/>
        <w:sz w:val="18"/>
        <w:szCs w:val="18"/>
      </w:rPr>
    </w:pPr>
    <w:r>
      <w:rPr>
        <w:rFonts w:hint="eastAsia"/>
        <w:color w:val="000000"/>
        <w:sz w:val="18"/>
        <w:szCs w:val="18"/>
      </w:rPr>
      <w:t>化药化工（无锡）有限公司环境影响报告书………………………7</w:t>
    </w:r>
    <w:r>
      <w:rPr>
        <w:rFonts w:hint="eastAsia"/>
        <w:color w:val="000000"/>
        <w:sz w:val="18"/>
        <w:szCs w:val="18"/>
      </w:rPr>
      <w:tab/>
    </w:r>
    <w:r>
      <w:rPr>
        <w:rFonts w:hint="eastAsia"/>
        <w:color w:val="000000"/>
        <w:sz w:val="18"/>
        <w:szCs w:val="18"/>
      </w:rPr>
      <w:t>环境保护措施及其经济、技术论证</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3C7A">
    <w:pPr>
      <w:adjustRightInd w:val="0"/>
      <w:rPr>
        <w:rFonts w:ascii="Times New Roman" w:hAnsi="Times New Roman" w:cs="Times New Roman"/>
        <w:color w:val="FF0000"/>
        <w:sz w:val="18"/>
        <w:szCs w:val="18"/>
      </w:rPr>
    </w:pPr>
    <w:r>
      <w:rPr>
        <w:rFonts w:hint="eastAsia" w:ascii="Times New Roman" w:hAnsi="Times New Roman" w:cs="Times New Roman"/>
        <w:color w:val="000000"/>
        <w:sz w:val="18"/>
        <w:szCs w:val="18"/>
      </w:rPr>
      <w:t>化药化工（无锡）有限公司</w:t>
    </w:r>
    <w:r>
      <w:rPr>
        <w:rFonts w:ascii="Times New Roman" w:hAnsi="Times New Roman" w:cs="Times New Roman"/>
        <w:color w:val="000000"/>
        <w:sz w:val="18"/>
        <w:szCs w:val="18"/>
      </w:rPr>
      <w:t>环境影响报告书………………………7</w:t>
    </w:r>
    <w:r>
      <w:rPr>
        <w:rFonts w:ascii="Times New Roman" w:hAnsi="Times New Roman" w:cs="Times New Roman"/>
        <w:color w:val="000000"/>
        <w:sz w:val="18"/>
        <w:szCs w:val="18"/>
      </w:rPr>
      <w:tab/>
    </w:r>
    <w:r>
      <w:rPr>
        <w:rFonts w:ascii="Times New Roman" w:hAnsi="Times New Roman" w:cs="Times New Roman"/>
        <w:color w:val="000000"/>
        <w:sz w:val="18"/>
        <w:szCs w:val="18"/>
      </w:rPr>
      <w:t>环境保护措施及其经济、技术论证</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9893">
    <w:pPr>
      <w:adjustRightInd w:val="0"/>
      <w:rPr>
        <w:color w:val="000000"/>
        <w:sz w:val="18"/>
        <w:szCs w:val="18"/>
      </w:rPr>
    </w:pPr>
    <w:r>
      <w:rPr>
        <w:rFonts w:hint="eastAsia"/>
        <w:color w:val="000000"/>
        <w:sz w:val="18"/>
        <w:szCs w:val="18"/>
      </w:rPr>
      <w:t>化药化工（无锡）有限公司环境影响报告书………………………………………8环境影响经济损益分析</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87E7">
    <w:pPr>
      <w:adjustRightInd w:val="0"/>
      <w:rPr>
        <w:color w:val="FF0000"/>
        <w:sz w:val="18"/>
        <w:szCs w:val="18"/>
      </w:rPr>
    </w:pPr>
    <w:r>
      <w:rPr>
        <w:rFonts w:hint="eastAsia"/>
        <w:color w:val="000000"/>
        <w:sz w:val="18"/>
        <w:szCs w:val="18"/>
      </w:rPr>
      <w:t>化药化工（无锡）有限公司环境影响报告书………………………………………8环境影响经济损益分析</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9ACD">
    <w:pPr>
      <w:adjustRightInd w:val="0"/>
      <w:rPr>
        <w:color w:val="FF0000"/>
        <w:sz w:val="18"/>
        <w:szCs w:val="18"/>
      </w:rPr>
    </w:pPr>
    <w:r>
      <w:rPr>
        <w:rFonts w:hint="eastAsia"/>
        <w:color w:val="000000"/>
        <w:sz w:val="18"/>
        <w:szCs w:val="18"/>
      </w:rPr>
      <w:t>化药化工（无锡）有限公司环境影响报告书……………………………………………10评价结论和建议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386D">
    <w:pPr>
      <w:adjustRightInd w:val="0"/>
      <w:rPr>
        <w:sz w:val="18"/>
        <w:szCs w:val="18"/>
      </w:rPr>
    </w:pPr>
    <w:r>
      <w:rPr>
        <w:rFonts w:hint="eastAsia"/>
        <w:color w:val="000000"/>
        <w:sz w:val="18"/>
        <w:szCs w:val="18"/>
      </w:rPr>
      <w:t>化药化工（无锡）有限公司环境影响报告书……………………………………………10评价结论和建议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231B9">
    <w:pPr>
      <w:adjustRightInd w:val="0"/>
      <w:rPr>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1概述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FBB84">
    <w:pPr>
      <w:adjustRightInd w:val="0"/>
      <w:rPr>
        <w:sz w:val="18"/>
        <w:szCs w:val="18"/>
      </w:rPr>
    </w:pPr>
    <w:r>
      <w:rPr>
        <w:rFonts w:hint="eastAsia" w:ascii="仿宋" w:hAnsi="仿宋" w:eastAsia="仿宋"/>
        <w:sz w:val="18"/>
        <w:szCs w:val="18"/>
      </w:rPr>
      <w:t>化药化工（无锡）有限公司</w:t>
    </w:r>
    <w:r>
      <w:rPr>
        <w:rFonts w:ascii="仿宋" w:hAnsi="仿宋" w:eastAsia="仿宋"/>
        <w:sz w:val="18"/>
        <w:szCs w:val="18"/>
      </w:rPr>
      <w:t>环境影响报告书</w:t>
    </w:r>
    <w:r>
      <w:rPr>
        <w:color w:val="000000"/>
        <w:sz w:val="18"/>
        <w:szCs w:val="18"/>
      </w:rPr>
      <w:t>…………</w:t>
    </w:r>
    <w:r>
      <w:rPr>
        <w:sz w:val="18"/>
        <w:szCs w:val="18"/>
      </w:rPr>
      <w:t>………………………………………………</w:t>
    </w:r>
    <w:r>
      <w:rPr>
        <w:rFonts w:hint="eastAsia"/>
        <w:sz w:val="18"/>
        <w:szCs w:val="18"/>
      </w:rPr>
      <w:t>1概述</w:t>
    </w:r>
  </w:p>
  <w:p w14:paraId="58D31789">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5B16">
    <w:pPr>
      <w:adjustRightInd w:val="0"/>
      <w:rPr>
        <w:color w:val="000000"/>
      </w:rPr>
    </w:pPr>
    <w:r>
      <w:rPr>
        <w:rFonts w:hint="eastAsia"/>
        <w:color w:val="000000"/>
      </w:rPr>
      <w:t>南通超达机械科技有限公司汽车内外饰模具、检具、工装自动化及可发性聚苯乙烯发泡模具、发泡聚丙烯模具加工项目环境影响报告书</w:t>
    </w:r>
    <w:r>
      <w:rPr>
        <w:color w:val="000000"/>
      </w:rPr>
      <w:t>……………………………………………………13</w:t>
    </w:r>
    <w:r>
      <w:rPr>
        <w:rFonts w:hint="eastAsia"/>
        <w:color w:val="000000"/>
      </w:rPr>
      <w:t>环境</w:t>
    </w:r>
    <w:r>
      <w:rPr>
        <w:color w:val="000000"/>
      </w:rPr>
      <w:t>管理与环境监测</w:t>
    </w:r>
  </w:p>
  <w:p w14:paraId="1484CC3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74C87">
    <w:pPr>
      <w:adjustRightInd w:val="0"/>
      <w:rPr>
        <w:color w:val="FF0000"/>
        <w:sz w:val="18"/>
        <w:szCs w:val="18"/>
      </w:rPr>
    </w:pPr>
    <w:r>
      <w:rPr>
        <w:rFonts w:hint="eastAsia" w:ascii="仿宋" w:hAnsi="仿宋" w:eastAsia="仿宋"/>
        <w:sz w:val="18"/>
        <w:szCs w:val="18"/>
      </w:rPr>
      <w:t>化药化工（无锡）有限公司环境影响报告书</w:t>
    </w:r>
    <w:r>
      <w:rPr>
        <w:color w:val="000000"/>
        <w:sz w:val="18"/>
        <w:szCs w:val="18"/>
      </w:rPr>
      <w:t>………</w:t>
    </w:r>
    <w:r>
      <w:rPr>
        <w:sz w:val="18"/>
        <w:szCs w:val="18"/>
      </w:rPr>
      <w:t>………………………………………………</w:t>
    </w:r>
    <w:r>
      <w:rPr>
        <w:rFonts w:hint="eastAsia"/>
        <w:sz w:val="18"/>
        <w:szCs w:val="18"/>
      </w:rPr>
      <w:t>2总则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DD984">
    <w:pPr>
      <w:adjustRightInd w:val="0"/>
      <w:rPr>
        <w:color w:val="FF0000"/>
        <w:sz w:val="18"/>
        <w:szCs w:val="18"/>
      </w:rPr>
    </w:pPr>
    <w:r>
      <w:rPr>
        <w:rFonts w:hint="eastAsia" w:ascii="仿宋" w:hAnsi="仿宋" w:eastAsia="仿宋"/>
        <w:sz w:val="18"/>
        <w:szCs w:val="18"/>
      </w:rPr>
      <w:t>化药化工（无锡）有限公司环境影响报告书</w:t>
    </w:r>
    <w:r>
      <w:rPr>
        <w:color w:val="000000"/>
        <w:sz w:val="18"/>
        <w:szCs w:val="18"/>
      </w:rPr>
      <w:t>………</w:t>
    </w:r>
    <w:r>
      <w:rPr>
        <w:sz w:val="18"/>
        <w:szCs w:val="18"/>
      </w:rPr>
      <w:t>………………………………………………</w:t>
    </w:r>
    <w:r>
      <w:rPr>
        <w:rFonts w:hint="eastAsia"/>
        <w:sz w:val="18"/>
        <w:szCs w:val="18"/>
      </w:rPr>
      <w:t>2总则</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E5C31">
    <w:pPr>
      <w:adjustRightInd w:val="0"/>
      <w:rPr>
        <w:rFonts w:ascii="仿宋" w:hAnsi="仿宋" w:eastAsia="仿宋"/>
        <w:color w:val="FF0000"/>
        <w:sz w:val="18"/>
        <w:szCs w:val="18"/>
      </w:rPr>
    </w:pPr>
    <w:r>
      <w:rPr>
        <w:rFonts w:hint="eastAsia" w:ascii="仿宋" w:hAnsi="仿宋" w:eastAsia="仿宋"/>
        <w:sz w:val="18"/>
        <w:szCs w:val="18"/>
      </w:rPr>
      <w:t>无锡晋拓汽车部件有限公司智能汽车零部件生产项目环境影响报告书</w:t>
    </w:r>
    <w:r>
      <w:rPr>
        <w:rFonts w:ascii="仿宋" w:hAnsi="仿宋" w:eastAsia="仿宋"/>
        <w:sz w:val="18"/>
        <w:szCs w:val="18"/>
      </w:rPr>
      <w:t>……………………………………</w:t>
    </w:r>
    <w:r>
      <w:rPr>
        <w:rFonts w:hint="eastAsia" w:ascii="仿宋" w:hAnsi="仿宋" w:eastAsia="仿宋"/>
        <w:sz w:val="18"/>
        <w:szCs w:val="18"/>
      </w:rPr>
      <w:t>2总则</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FACBE">
    <w:pPr>
      <w:adjustRightInd w:val="0"/>
      <w:rPr>
        <w:color w:val="FF0000"/>
        <w:sz w:val="18"/>
        <w:szCs w:val="18"/>
      </w:rPr>
    </w:pPr>
    <w:r>
      <w:rPr>
        <w:rFonts w:hint="eastAsia" w:ascii="仿宋" w:hAnsi="仿宋" w:eastAsia="仿宋"/>
        <w:sz w:val="18"/>
        <w:szCs w:val="18"/>
      </w:rPr>
      <w:t>无锡晋拓汽车部件有限公司智能汽车零部件生产项目环境影响报告书</w:t>
    </w:r>
    <w:r>
      <w:rPr>
        <w:sz w:val="18"/>
        <w:szCs w:val="18"/>
      </w:rPr>
      <w:t>……………………………………</w:t>
    </w:r>
    <w:r>
      <w:rPr>
        <w:rFonts w:hint="eastAsia"/>
        <w:sz w:val="18"/>
        <w:szCs w:val="18"/>
      </w:rPr>
      <w:t>2总则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72FC32"/>
    <w:multiLevelType w:val="multilevel"/>
    <w:tmpl w:val="9A72FC32"/>
    <w:lvl w:ilvl="0" w:tentative="0">
      <w:start w:val="1"/>
      <w:numFmt w:val="decimal"/>
      <w:suff w:val="nothing"/>
      <w:lvlText w:val="%1."/>
      <w:lvlJc w:val="center"/>
      <w:pPr>
        <w:tabs>
          <w:tab w:val="left" w:pos="2823"/>
        </w:tabs>
        <w:ind w:left="3275" w:hanging="624"/>
      </w:pPr>
      <w:rPr>
        <w:rFonts w:hint="default" w:ascii="Times New Roman" w:hAnsi="Times New Roman" w:eastAsia="宋体"/>
      </w:rPr>
    </w:lvl>
    <w:lvl w:ilvl="1" w:tentative="0">
      <w:start w:val="1"/>
      <w:numFmt w:val="lowerLetter"/>
      <w:lvlText w:val="%2)"/>
      <w:lvlJc w:val="left"/>
      <w:pPr>
        <w:tabs>
          <w:tab w:val="left" w:pos="3326"/>
        </w:tabs>
        <w:ind w:left="3326" w:hanging="420"/>
      </w:pPr>
    </w:lvl>
    <w:lvl w:ilvl="2" w:tentative="0">
      <w:start w:val="1"/>
      <w:numFmt w:val="lowerRoman"/>
      <w:lvlText w:val="%3."/>
      <w:lvlJc w:val="right"/>
      <w:pPr>
        <w:tabs>
          <w:tab w:val="left" w:pos="3746"/>
        </w:tabs>
        <w:ind w:left="3746" w:hanging="420"/>
      </w:pPr>
    </w:lvl>
    <w:lvl w:ilvl="3" w:tentative="0">
      <w:start w:val="1"/>
      <w:numFmt w:val="decimal"/>
      <w:lvlText w:val="%4."/>
      <w:lvlJc w:val="left"/>
      <w:pPr>
        <w:tabs>
          <w:tab w:val="left" w:pos="4166"/>
        </w:tabs>
        <w:ind w:left="4166" w:hanging="420"/>
      </w:pPr>
    </w:lvl>
    <w:lvl w:ilvl="4" w:tentative="0">
      <w:start w:val="1"/>
      <w:numFmt w:val="lowerLetter"/>
      <w:lvlText w:val="%5)"/>
      <w:lvlJc w:val="left"/>
      <w:pPr>
        <w:tabs>
          <w:tab w:val="left" w:pos="4586"/>
        </w:tabs>
        <w:ind w:left="4586" w:hanging="420"/>
      </w:pPr>
    </w:lvl>
    <w:lvl w:ilvl="5" w:tentative="0">
      <w:start w:val="1"/>
      <w:numFmt w:val="lowerRoman"/>
      <w:lvlText w:val="%6."/>
      <w:lvlJc w:val="right"/>
      <w:pPr>
        <w:tabs>
          <w:tab w:val="left" w:pos="5006"/>
        </w:tabs>
        <w:ind w:left="5006" w:hanging="420"/>
      </w:pPr>
    </w:lvl>
    <w:lvl w:ilvl="6" w:tentative="0">
      <w:start w:val="1"/>
      <w:numFmt w:val="decimal"/>
      <w:lvlText w:val="%7."/>
      <w:lvlJc w:val="left"/>
      <w:pPr>
        <w:tabs>
          <w:tab w:val="left" w:pos="5426"/>
        </w:tabs>
        <w:ind w:left="5426" w:hanging="420"/>
      </w:pPr>
    </w:lvl>
    <w:lvl w:ilvl="7" w:tentative="0">
      <w:start w:val="1"/>
      <w:numFmt w:val="lowerLetter"/>
      <w:lvlText w:val="%8)"/>
      <w:lvlJc w:val="left"/>
      <w:pPr>
        <w:tabs>
          <w:tab w:val="left" w:pos="5846"/>
        </w:tabs>
        <w:ind w:left="5846" w:hanging="420"/>
      </w:pPr>
    </w:lvl>
    <w:lvl w:ilvl="8" w:tentative="0">
      <w:start w:val="1"/>
      <w:numFmt w:val="lowerRoman"/>
      <w:lvlText w:val="%9."/>
      <w:lvlJc w:val="right"/>
      <w:pPr>
        <w:tabs>
          <w:tab w:val="left" w:pos="6266"/>
        </w:tabs>
        <w:ind w:left="6266" w:hanging="420"/>
      </w:pPr>
    </w:lvl>
  </w:abstractNum>
  <w:abstractNum w:abstractNumId="1">
    <w:nsid w:val="9DEEB944"/>
    <w:multiLevelType w:val="singleLevel"/>
    <w:tmpl w:val="9DEEB944"/>
    <w:lvl w:ilvl="0" w:tentative="0">
      <w:start w:val="1"/>
      <w:numFmt w:val="decimal"/>
      <w:lvlText w:val="%1."/>
      <w:lvlJc w:val="center"/>
      <w:pPr>
        <w:tabs>
          <w:tab w:val="left" w:pos="0"/>
        </w:tabs>
        <w:ind w:left="0" w:leftChars="0" w:firstLine="0" w:firstLineChars="0"/>
      </w:pPr>
      <w:rPr>
        <w:rFonts w:hint="default"/>
      </w:rPr>
    </w:lvl>
  </w:abstractNum>
  <w:abstractNum w:abstractNumId="2">
    <w:nsid w:val="A3BFF95E"/>
    <w:multiLevelType w:val="multilevel"/>
    <w:tmpl w:val="A3BFF95E"/>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A629BDA7"/>
    <w:multiLevelType w:val="singleLevel"/>
    <w:tmpl w:val="A629BDA7"/>
    <w:lvl w:ilvl="0" w:tentative="0">
      <w:start w:val="3"/>
      <w:numFmt w:val="decimal"/>
      <w:suff w:val="nothing"/>
      <w:lvlText w:val="%1、"/>
      <w:lvlJc w:val="left"/>
    </w:lvl>
  </w:abstractNum>
  <w:abstractNum w:abstractNumId="4">
    <w:nsid w:val="A6BBBBCA"/>
    <w:multiLevelType w:val="singleLevel"/>
    <w:tmpl w:val="A6BBBBCA"/>
    <w:lvl w:ilvl="0" w:tentative="0">
      <w:start w:val="1"/>
      <w:numFmt w:val="decimal"/>
      <w:lvlText w:val="(%1)"/>
      <w:lvlJc w:val="left"/>
      <w:pPr>
        <w:ind w:left="425" w:hanging="425"/>
      </w:pPr>
      <w:rPr>
        <w:rFonts w:hint="default"/>
      </w:rPr>
    </w:lvl>
  </w:abstractNum>
  <w:abstractNum w:abstractNumId="5">
    <w:nsid w:val="BC037699"/>
    <w:multiLevelType w:val="singleLevel"/>
    <w:tmpl w:val="BC037699"/>
    <w:lvl w:ilvl="0" w:tentative="0">
      <w:start w:val="1"/>
      <w:numFmt w:val="decimal"/>
      <w:lvlText w:val="%1."/>
      <w:lvlJc w:val="left"/>
      <w:pPr>
        <w:ind w:left="425" w:hanging="425"/>
      </w:pPr>
      <w:rPr>
        <w:rFonts w:hint="default"/>
        <w:color w:val="auto"/>
      </w:rPr>
    </w:lvl>
  </w:abstractNum>
  <w:abstractNum w:abstractNumId="6">
    <w:nsid w:val="C18636E7"/>
    <w:multiLevelType w:val="singleLevel"/>
    <w:tmpl w:val="C18636E7"/>
    <w:lvl w:ilvl="0" w:tentative="0">
      <w:start w:val="1"/>
      <w:numFmt w:val="decimal"/>
      <w:lvlText w:val="(%1)"/>
      <w:lvlJc w:val="left"/>
      <w:pPr>
        <w:ind w:left="425" w:hanging="425"/>
      </w:pPr>
      <w:rPr>
        <w:rFonts w:hint="default"/>
      </w:rPr>
    </w:lvl>
  </w:abstractNum>
  <w:abstractNum w:abstractNumId="7">
    <w:nsid w:val="C699CCEE"/>
    <w:multiLevelType w:val="singleLevel"/>
    <w:tmpl w:val="C699CCEE"/>
    <w:lvl w:ilvl="0" w:tentative="0">
      <w:start w:val="1"/>
      <w:numFmt w:val="decimal"/>
      <w:suff w:val="nothing"/>
      <w:lvlText w:val="（%1）"/>
      <w:lvlJc w:val="left"/>
    </w:lvl>
  </w:abstractNum>
  <w:abstractNum w:abstractNumId="8">
    <w:nsid w:val="CC8A3302"/>
    <w:multiLevelType w:val="singleLevel"/>
    <w:tmpl w:val="CC8A3302"/>
    <w:lvl w:ilvl="0" w:tentative="0">
      <w:start w:val="1"/>
      <w:numFmt w:val="decimal"/>
      <w:lvlText w:val="(%1)"/>
      <w:lvlJc w:val="left"/>
      <w:pPr>
        <w:ind w:left="425" w:hanging="425"/>
      </w:pPr>
      <w:rPr>
        <w:rFonts w:hint="default"/>
      </w:rPr>
    </w:lvl>
  </w:abstractNum>
  <w:abstractNum w:abstractNumId="9">
    <w:nsid w:val="D6070B25"/>
    <w:multiLevelType w:val="singleLevel"/>
    <w:tmpl w:val="D6070B25"/>
    <w:lvl w:ilvl="0" w:tentative="0">
      <w:start w:val="1"/>
      <w:numFmt w:val="decimal"/>
      <w:suff w:val="nothing"/>
      <w:lvlText w:val="（%1）"/>
      <w:lvlJc w:val="left"/>
      <w:pPr>
        <w:ind w:left="0" w:firstLine="0"/>
      </w:pPr>
    </w:lvl>
  </w:abstractNum>
  <w:abstractNum w:abstractNumId="10">
    <w:nsid w:val="F3736BB7"/>
    <w:multiLevelType w:val="singleLevel"/>
    <w:tmpl w:val="F3736BB7"/>
    <w:lvl w:ilvl="0" w:tentative="0">
      <w:start w:val="1"/>
      <w:numFmt w:val="decimal"/>
      <w:suff w:val="nothing"/>
      <w:lvlText w:val="（%1）"/>
      <w:lvlJc w:val="left"/>
    </w:lvl>
  </w:abstractNum>
  <w:abstractNum w:abstractNumId="11">
    <w:nsid w:val="FAFB0324"/>
    <w:multiLevelType w:val="singleLevel"/>
    <w:tmpl w:val="FAFB0324"/>
    <w:lvl w:ilvl="0" w:tentative="0">
      <w:start w:val="2"/>
      <w:numFmt w:val="decimal"/>
      <w:lvlText w:val="[%1]"/>
      <w:lvlJc w:val="left"/>
      <w:pPr>
        <w:tabs>
          <w:tab w:val="left" w:pos="312"/>
        </w:tabs>
      </w:pPr>
    </w:lvl>
  </w:abstractNum>
  <w:abstractNum w:abstractNumId="12">
    <w:nsid w:val="FBA7313C"/>
    <w:multiLevelType w:val="singleLevel"/>
    <w:tmpl w:val="FBA7313C"/>
    <w:lvl w:ilvl="0" w:tentative="0">
      <w:start w:val="1"/>
      <w:numFmt w:val="decimal"/>
      <w:lvlText w:val="(%1)"/>
      <w:lvlJc w:val="left"/>
      <w:pPr>
        <w:ind w:left="425" w:hanging="425"/>
      </w:pPr>
      <w:rPr>
        <w:rFonts w:hint="default"/>
      </w:rPr>
    </w:lvl>
  </w:abstractNum>
  <w:abstractNum w:abstractNumId="13">
    <w:nsid w:val="FC834B0C"/>
    <w:multiLevelType w:val="singleLevel"/>
    <w:tmpl w:val="FC834B0C"/>
    <w:lvl w:ilvl="0" w:tentative="0">
      <w:start w:val="1"/>
      <w:numFmt w:val="decimal"/>
      <w:suff w:val="nothing"/>
      <w:lvlText w:val="%1"/>
      <w:lvlJc w:val="center"/>
      <w:pPr>
        <w:ind w:left="0" w:firstLine="0"/>
      </w:pPr>
      <w:rPr>
        <w:rFonts w:hint="default"/>
        <w:sz w:val="18"/>
        <w:szCs w:val="18"/>
      </w:rPr>
    </w:lvl>
  </w:abstractNum>
  <w:abstractNum w:abstractNumId="14">
    <w:nsid w:val="00D8B4D1"/>
    <w:multiLevelType w:val="singleLevel"/>
    <w:tmpl w:val="00D8B4D1"/>
    <w:lvl w:ilvl="0" w:tentative="0">
      <w:start w:val="1"/>
      <w:numFmt w:val="decimal"/>
      <w:suff w:val="nothing"/>
      <w:lvlText w:val="%1"/>
      <w:lvlJc w:val="center"/>
      <w:pPr>
        <w:ind w:left="0" w:firstLine="0"/>
      </w:pPr>
      <w:rPr>
        <w:rFonts w:hint="default"/>
        <w:sz w:val="21"/>
        <w:szCs w:val="21"/>
      </w:rPr>
    </w:lvl>
  </w:abstractNum>
  <w:abstractNum w:abstractNumId="15">
    <w:nsid w:val="0A772868"/>
    <w:multiLevelType w:val="multilevel"/>
    <w:tmpl w:val="0A772868"/>
    <w:lvl w:ilvl="0" w:tentative="0">
      <w:start w:val="1"/>
      <w:numFmt w:val="decimal"/>
      <w:suff w:val="nothing"/>
      <w:lvlText w:val="%1"/>
      <w:lvlJc w:val="left"/>
      <w:pPr>
        <w:ind w:left="0" w:firstLine="0"/>
      </w:pPr>
      <w:rPr>
        <w:rFonts w:hint="default" w:ascii="Times New Roman" w:hAnsi="Times New Roman" w:eastAsia="仿宋" w:cs="Times New Roman"/>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CA4C8F"/>
    <w:multiLevelType w:val="multilevel"/>
    <w:tmpl w:val="0CCA4C8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0FC23A7C"/>
    <w:multiLevelType w:val="multilevel"/>
    <w:tmpl w:val="0FC23A7C"/>
    <w:lvl w:ilvl="0" w:tentative="0">
      <w:start w:val="1"/>
      <w:numFmt w:val="decimal"/>
      <w:suff w:val="nothing"/>
      <w:lvlText w:val="%1"/>
      <w:lvlJc w:val="center"/>
      <w:pPr>
        <w:ind w:left="0" w:firstLine="0"/>
      </w:pPr>
      <w:rPr>
        <w:rFonts w:hint="default" w:ascii="Times New Roman" w:hAnsi="Times New Roman" w:eastAsia="宋体" w:cs="宋体"/>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18">
    <w:nsid w:val="119EB5E1"/>
    <w:multiLevelType w:val="singleLevel"/>
    <w:tmpl w:val="119EB5E1"/>
    <w:lvl w:ilvl="0" w:tentative="0">
      <w:start w:val="1"/>
      <w:numFmt w:val="decimal"/>
      <w:suff w:val="nothing"/>
      <w:lvlText w:val="（%1）"/>
      <w:lvlJc w:val="left"/>
    </w:lvl>
  </w:abstractNum>
  <w:abstractNum w:abstractNumId="19">
    <w:nsid w:val="12410206"/>
    <w:multiLevelType w:val="multilevel"/>
    <w:tmpl w:val="12410206"/>
    <w:lvl w:ilvl="0" w:tentative="0">
      <w:start w:val="1"/>
      <w:numFmt w:val="decimal"/>
      <w:pStyle w:val="3"/>
      <w:lvlText w:val="%1."/>
      <w:lvlJc w:val="left"/>
      <w:pPr>
        <w:ind w:left="975" w:hanging="420"/>
      </w:pPr>
      <w:rPr>
        <w:rFonts w:hint="eastAsia"/>
      </w:rPr>
    </w:lvl>
    <w:lvl w:ilvl="1" w:tentative="0">
      <w:start w:val="1"/>
      <w:numFmt w:val="bullet"/>
      <w:lvlText w:val=""/>
      <w:lvlJc w:val="left"/>
      <w:pPr>
        <w:tabs>
          <w:tab w:val="left" w:pos="1395"/>
        </w:tabs>
        <w:ind w:left="1395" w:hanging="420"/>
      </w:pPr>
      <w:rPr>
        <w:rFonts w:hint="default" w:ascii="Wingdings" w:hAnsi="Wingdings"/>
      </w:rPr>
    </w:lvl>
    <w:lvl w:ilvl="2" w:tentative="0">
      <w:start w:val="1"/>
      <w:numFmt w:val="bullet"/>
      <w:lvlText w:val=""/>
      <w:lvlJc w:val="left"/>
      <w:pPr>
        <w:tabs>
          <w:tab w:val="left" w:pos="1815"/>
        </w:tabs>
        <w:ind w:left="1815" w:hanging="420"/>
      </w:pPr>
      <w:rPr>
        <w:rFonts w:hint="default" w:ascii="Wingdings" w:hAnsi="Wingdings"/>
      </w:rPr>
    </w:lvl>
    <w:lvl w:ilvl="3" w:tentative="0">
      <w:start w:val="1"/>
      <w:numFmt w:val="bullet"/>
      <w:pStyle w:val="6"/>
      <w:lvlText w:val=""/>
      <w:lvlJc w:val="left"/>
      <w:pPr>
        <w:tabs>
          <w:tab w:val="left" w:pos="2235"/>
        </w:tabs>
        <w:ind w:left="2235" w:hanging="420"/>
      </w:pPr>
      <w:rPr>
        <w:rFonts w:hint="default" w:ascii="Wingdings" w:hAnsi="Wingdings"/>
      </w:rPr>
    </w:lvl>
    <w:lvl w:ilvl="4" w:tentative="0">
      <w:start w:val="1"/>
      <w:numFmt w:val="bullet"/>
      <w:pStyle w:val="7"/>
      <w:lvlText w:val=""/>
      <w:lvlJc w:val="left"/>
      <w:pPr>
        <w:tabs>
          <w:tab w:val="left" w:pos="2655"/>
        </w:tabs>
        <w:ind w:left="2655" w:hanging="420"/>
      </w:pPr>
      <w:rPr>
        <w:rFonts w:hint="default" w:ascii="Wingdings" w:hAnsi="Wingdings"/>
      </w:rPr>
    </w:lvl>
    <w:lvl w:ilvl="5" w:tentative="0">
      <w:start w:val="1"/>
      <w:numFmt w:val="bullet"/>
      <w:pStyle w:val="8"/>
      <w:lvlText w:val=""/>
      <w:lvlJc w:val="left"/>
      <w:pPr>
        <w:tabs>
          <w:tab w:val="left" w:pos="3075"/>
        </w:tabs>
        <w:ind w:left="3075" w:hanging="420"/>
      </w:pPr>
      <w:rPr>
        <w:rFonts w:hint="default" w:ascii="Wingdings" w:hAnsi="Wingdings"/>
      </w:rPr>
    </w:lvl>
    <w:lvl w:ilvl="6" w:tentative="0">
      <w:start w:val="1"/>
      <w:numFmt w:val="bullet"/>
      <w:pStyle w:val="9"/>
      <w:lvlText w:val=""/>
      <w:lvlJc w:val="left"/>
      <w:pPr>
        <w:tabs>
          <w:tab w:val="left" w:pos="3495"/>
        </w:tabs>
        <w:ind w:left="3495" w:hanging="420"/>
      </w:pPr>
      <w:rPr>
        <w:rFonts w:hint="default" w:ascii="Wingdings" w:hAnsi="Wingdings"/>
      </w:rPr>
    </w:lvl>
    <w:lvl w:ilvl="7" w:tentative="0">
      <w:start w:val="1"/>
      <w:numFmt w:val="bullet"/>
      <w:pStyle w:val="10"/>
      <w:lvlText w:val=""/>
      <w:lvlJc w:val="left"/>
      <w:pPr>
        <w:tabs>
          <w:tab w:val="left" w:pos="3915"/>
        </w:tabs>
        <w:ind w:left="3915" w:hanging="420"/>
      </w:pPr>
      <w:rPr>
        <w:rFonts w:hint="default" w:ascii="Wingdings" w:hAnsi="Wingdings"/>
      </w:rPr>
    </w:lvl>
    <w:lvl w:ilvl="8" w:tentative="0">
      <w:start w:val="1"/>
      <w:numFmt w:val="bullet"/>
      <w:pStyle w:val="11"/>
      <w:lvlText w:val=""/>
      <w:lvlJc w:val="left"/>
      <w:pPr>
        <w:tabs>
          <w:tab w:val="left" w:pos="4335"/>
        </w:tabs>
        <w:ind w:left="4335" w:hanging="420"/>
      </w:pPr>
      <w:rPr>
        <w:rFonts w:hint="default" w:ascii="Wingdings" w:hAnsi="Wingdings"/>
      </w:rPr>
    </w:lvl>
  </w:abstractNum>
  <w:abstractNum w:abstractNumId="20">
    <w:nsid w:val="13E1577B"/>
    <w:multiLevelType w:val="multilevel"/>
    <w:tmpl w:val="13E1577B"/>
    <w:lvl w:ilvl="0" w:tentative="0">
      <w:start w:val="1"/>
      <w:numFmt w:val="decimal"/>
      <w:suff w:val="space"/>
      <w:lvlText w:val="%1"/>
      <w:lvlJc w:val="left"/>
      <w:pPr>
        <w:ind w:left="228"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0"/>
        </w:tabs>
        <w:ind w:left="0" w:firstLine="0"/>
      </w:pPr>
      <w:rPr>
        <w:rFonts w:hint="eastAsia"/>
        <w:lang w:val="en-US"/>
      </w:rPr>
    </w:lvl>
    <w:lvl w:ilvl="3" w:tentative="0">
      <w:start w:val="1"/>
      <w:numFmt w:val="decimal"/>
      <w:suff w:val="space"/>
      <w:lvlText w:val="%1.%2.%3.%4"/>
      <w:lvlJc w:val="left"/>
      <w:pPr>
        <w:ind w:left="0" w:firstLine="0"/>
      </w:pPr>
      <w:rPr>
        <w:rFonts w:hint="eastAsia"/>
        <w:b/>
        <w:color w:val="000000"/>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21">
    <w:nsid w:val="185401DD"/>
    <w:multiLevelType w:val="multilevel"/>
    <w:tmpl w:val="185401DD"/>
    <w:lvl w:ilvl="0" w:tentative="0">
      <w:start w:val="1"/>
      <w:numFmt w:val="decimal"/>
      <w:lvlText w:val="%1"/>
      <w:lvlJc w:val="center"/>
      <w:pPr>
        <w:ind w:left="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EAA0D2A"/>
    <w:multiLevelType w:val="multilevel"/>
    <w:tmpl w:val="1EAA0D2A"/>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0EB3BD6"/>
    <w:multiLevelType w:val="singleLevel"/>
    <w:tmpl w:val="20EB3BD6"/>
    <w:lvl w:ilvl="0" w:tentative="0">
      <w:start w:val="1"/>
      <w:numFmt w:val="decimal"/>
      <w:lvlText w:val="%1"/>
      <w:lvlJc w:val="center"/>
      <w:pPr>
        <w:tabs>
          <w:tab w:val="left" w:pos="0"/>
        </w:tabs>
        <w:ind w:left="0" w:firstLine="0"/>
      </w:pPr>
      <w:rPr>
        <w:rFonts w:hint="default"/>
        <w:sz w:val="21"/>
        <w:szCs w:val="21"/>
      </w:rPr>
    </w:lvl>
  </w:abstractNum>
  <w:abstractNum w:abstractNumId="24">
    <w:nsid w:val="232C131A"/>
    <w:multiLevelType w:val="multilevel"/>
    <w:tmpl w:val="232C131A"/>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0"/>
        </w:tabs>
        <w:ind w:left="0" w:firstLine="0"/>
      </w:pPr>
      <w:rPr>
        <w:rFonts w:hint="eastAsia"/>
        <w:lang w:val="en-US"/>
      </w:rPr>
    </w:lvl>
    <w:lvl w:ilvl="3" w:tentative="0">
      <w:start w:val="1"/>
      <w:numFmt w:val="decimal"/>
      <w:suff w:val="space"/>
      <w:lvlText w:val="%1.%2.%3.%4"/>
      <w:lvlJc w:val="left"/>
      <w:pPr>
        <w:ind w:left="0" w:firstLine="0"/>
      </w:pPr>
      <w:rPr>
        <w:rFonts w:hint="eastAsia"/>
        <w:b/>
        <w:color w:val="000000"/>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25">
    <w:nsid w:val="2A1F136B"/>
    <w:multiLevelType w:val="multilevel"/>
    <w:tmpl w:val="2A1F136B"/>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3EA4F61"/>
    <w:multiLevelType w:val="multilevel"/>
    <w:tmpl w:val="33EA4F61"/>
    <w:lvl w:ilvl="0" w:tentative="0">
      <w:start w:val="1"/>
      <w:numFmt w:val="decimal"/>
      <w:pStyle w:val="5"/>
      <w:lvlText w:val="1.%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E1C0276"/>
    <w:multiLevelType w:val="multilevel"/>
    <w:tmpl w:val="3E1C027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49D0C10"/>
    <w:multiLevelType w:val="multilevel"/>
    <w:tmpl w:val="449D0C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5C31683"/>
    <w:multiLevelType w:val="multilevel"/>
    <w:tmpl w:val="45C31683"/>
    <w:lvl w:ilvl="0" w:tentative="0">
      <w:start w:val="1"/>
      <w:numFmt w:val="decimal"/>
      <w:pStyle w:val="4"/>
      <w:suff w:val="space"/>
      <w:lvlText w:val="1.%1"/>
      <w:lvlJc w:val="left"/>
      <w:pPr>
        <w:ind w:left="1838" w:hanging="420"/>
      </w:pPr>
      <w:rPr>
        <w:rFonts w:hint="default" w:ascii="Times New Roman" w:hAnsi="Times New Roman"/>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45F3387B"/>
    <w:multiLevelType w:val="multilevel"/>
    <w:tmpl w:val="45F3387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7E648AD"/>
    <w:multiLevelType w:val="multilevel"/>
    <w:tmpl w:val="57E648AD"/>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F653E01"/>
    <w:multiLevelType w:val="singleLevel"/>
    <w:tmpl w:val="5F653E01"/>
    <w:lvl w:ilvl="0" w:tentative="0">
      <w:start w:val="1"/>
      <w:numFmt w:val="bullet"/>
      <w:pStyle w:val="13"/>
      <w:lvlText w:val=""/>
      <w:lvlJc w:val="left"/>
      <w:pPr>
        <w:tabs>
          <w:tab w:val="left" w:pos="1620"/>
        </w:tabs>
        <w:ind w:left="1620" w:hanging="360"/>
      </w:pPr>
      <w:rPr>
        <w:rFonts w:hint="default" w:ascii="Wingdings" w:hAnsi="Wingdings"/>
      </w:rPr>
    </w:lvl>
  </w:abstractNum>
  <w:abstractNum w:abstractNumId="33">
    <w:nsid w:val="6670C095"/>
    <w:multiLevelType w:val="singleLevel"/>
    <w:tmpl w:val="6670C095"/>
    <w:lvl w:ilvl="0" w:tentative="0">
      <w:start w:val="1"/>
      <w:numFmt w:val="decimal"/>
      <w:lvlText w:val="%1."/>
      <w:lvlJc w:val="left"/>
      <w:pPr>
        <w:ind w:left="425" w:hanging="425"/>
      </w:pPr>
    </w:lvl>
  </w:abstractNum>
  <w:abstractNum w:abstractNumId="34">
    <w:nsid w:val="6D5E7671"/>
    <w:multiLevelType w:val="multilevel"/>
    <w:tmpl w:val="6D5E767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E213F67"/>
    <w:multiLevelType w:val="singleLevel"/>
    <w:tmpl w:val="6E213F67"/>
    <w:lvl w:ilvl="0" w:tentative="0">
      <w:start w:val="1"/>
      <w:numFmt w:val="decimal"/>
      <w:lvlText w:val="(%1)"/>
      <w:lvlJc w:val="left"/>
      <w:pPr>
        <w:ind w:left="425" w:hanging="425"/>
      </w:pPr>
      <w:rPr>
        <w:rFonts w:hint="default"/>
      </w:rPr>
    </w:lvl>
  </w:abstractNum>
  <w:abstractNum w:abstractNumId="36">
    <w:nsid w:val="7AC57EC6"/>
    <w:multiLevelType w:val="singleLevel"/>
    <w:tmpl w:val="7AC57EC6"/>
    <w:lvl w:ilvl="0" w:tentative="0">
      <w:start w:val="6"/>
      <w:numFmt w:val="decimal"/>
      <w:suff w:val="nothing"/>
      <w:lvlText w:val="（%1）"/>
      <w:lvlJc w:val="left"/>
    </w:lvl>
  </w:abstractNum>
  <w:abstractNum w:abstractNumId="37">
    <w:nsid w:val="7F274586"/>
    <w:multiLevelType w:val="multilevel"/>
    <w:tmpl w:val="7F274586"/>
    <w:lvl w:ilvl="0" w:tentative="0">
      <w:start w:val="1"/>
      <w:numFmt w:val="decimal"/>
      <w:suff w:val="nothing"/>
      <w:lvlText w:val="%1"/>
      <w:lvlJc w:val="center"/>
      <w:pPr>
        <w:tabs>
          <w:tab w:val="left" w:pos="0"/>
        </w:tabs>
        <w:ind w:left="0" w:firstLine="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29"/>
  </w:num>
  <w:num w:numId="3">
    <w:abstractNumId w:val="26"/>
  </w:num>
  <w:num w:numId="4">
    <w:abstractNumId w:val="32"/>
  </w:num>
  <w:num w:numId="5">
    <w:abstractNumId w:val="0"/>
  </w:num>
  <w:num w:numId="6">
    <w:abstractNumId w:val="20"/>
  </w:num>
  <w:num w:numId="7">
    <w:abstractNumId w:val="4"/>
  </w:num>
  <w:num w:numId="8">
    <w:abstractNumId w:val="12"/>
  </w:num>
  <w:num w:numId="9">
    <w:abstractNumId w:val="35"/>
  </w:num>
  <w:num w:numId="10">
    <w:abstractNumId w:val="8"/>
  </w:num>
  <w:num w:numId="11">
    <w:abstractNumId w:val="6"/>
  </w:num>
  <w:num w:numId="12">
    <w:abstractNumId w:val="27"/>
  </w:num>
  <w:num w:numId="13">
    <w:abstractNumId w:val="21"/>
  </w:num>
  <w:num w:numId="14">
    <w:abstractNumId w:val="5"/>
  </w:num>
  <w:num w:numId="15">
    <w:abstractNumId w:val="1"/>
  </w:num>
  <w:num w:numId="16">
    <w:abstractNumId w:val="28"/>
  </w:num>
  <w:num w:numId="17">
    <w:abstractNumId w:val="36"/>
  </w:num>
  <w:num w:numId="18">
    <w:abstractNumId w:val="17"/>
  </w:num>
  <w:num w:numId="19">
    <w:abstractNumId w:val="23"/>
  </w:num>
  <w:num w:numId="20">
    <w:abstractNumId w:val="13"/>
  </w:num>
  <w:num w:numId="21">
    <w:abstractNumId w:val="14"/>
  </w:num>
  <w:num w:numId="22">
    <w:abstractNumId w:val="30"/>
  </w:num>
  <w:num w:numId="23">
    <w:abstractNumId w:val="37"/>
  </w:num>
  <w:num w:numId="24">
    <w:abstractNumId w:val="2"/>
  </w:num>
  <w:num w:numId="25">
    <w:abstractNumId w:val="31"/>
  </w:num>
  <w:num w:numId="26">
    <w:abstractNumId w:val="22"/>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0"/>
  </w:num>
  <w:num w:numId="30">
    <w:abstractNumId w:val="9"/>
    <w:lvlOverride w:ilvl="0">
      <w:startOverride w:val="1"/>
    </w:lvlOverride>
  </w:num>
  <w:num w:numId="31">
    <w:abstractNumId w:val="33"/>
    <w:lvlOverride w:ilvl="0">
      <w:startOverride w:val="1"/>
    </w:lvlOverride>
  </w:num>
  <w:num w:numId="32">
    <w:abstractNumId w:val="18"/>
  </w:num>
  <w:num w:numId="33">
    <w:abstractNumId w:val="34"/>
  </w:num>
  <w:num w:numId="34">
    <w:abstractNumId w:val="24"/>
  </w:num>
  <w:num w:numId="35">
    <w:abstractNumId w:val="7"/>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0"/>
  <w:bordersDoNotSurroundFooter w:val="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135"/>
  <w:evenAndOddHeaders w:val="1"/>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5YzkzMjlkMWMwNzFkZTgxNzVkMzUxMTQzOWJkODUifQ=="/>
  </w:docVars>
  <w:rsids>
    <w:rsidRoot w:val="00172A27"/>
    <w:rsid w:val="0000069C"/>
    <w:rsid w:val="00000869"/>
    <w:rsid w:val="000009B5"/>
    <w:rsid w:val="00000BA1"/>
    <w:rsid w:val="00000E76"/>
    <w:rsid w:val="0000107A"/>
    <w:rsid w:val="0000110E"/>
    <w:rsid w:val="000014AD"/>
    <w:rsid w:val="00001549"/>
    <w:rsid w:val="00001B9C"/>
    <w:rsid w:val="00001D3B"/>
    <w:rsid w:val="0000262F"/>
    <w:rsid w:val="00002860"/>
    <w:rsid w:val="00002A30"/>
    <w:rsid w:val="00002E66"/>
    <w:rsid w:val="00003352"/>
    <w:rsid w:val="000039C5"/>
    <w:rsid w:val="00003A6D"/>
    <w:rsid w:val="00003BF4"/>
    <w:rsid w:val="00003CEC"/>
    <w:rsid w:val="00003DA2"/>
    <w:rsid w:val="00003F84"/>
    <w:rsid w:val="00004518"/>
    <w:rsid w:val="000045F1"/>
    <w:rsid w:val="00004D8A"/>
    <w:rsid w:val="00004FF0"/>
    <w:rsid w:val="00005366"/>
    <w:rsid w:val="000054FB"/>
    <w:rsid w:val="0000550A"/>
    <w:rsid w:val="00005564"/>
    <w:rsid w:val="00005644"/>
    <w:rsid w:val="00005E66"/>
    <w:rsid w:val="00005E94"/>
    <w:rsid w:val="000060EE"/>
    <w:rsid w:val="00006571"/>
    <w:rsid w:val="000077BD"/>
    <w:rsid w:val="00007D85"/>
    <w:rsid w:val="00007F46"/>
    <w:rsid w:val="00010131"/>
    <w:rsid w:val="00010564"/>
    <w:rsid w:val="000105E4"/>
    <w:rsid w:val="00010AEB"/>
    <w:rsid w:val="00010B1D"/>
    <w:rsid w:val="000118D5"/>
    <w:rsid w:val="00011CEF"/>
    <w:rsid w:val="00012276"/>
    <w:rsid w:val="000127CF"/>
    <w:rsid w:val="000128CD"/>
    <w:rsid w:val="00012B5B"/>
    <w:rsid w:val="00012B9C"/>
    <w:rsid w:val="00012EB9"/>
    <w:rsid w:val="00012EC0"/>
    <w:rsid w:val="00012F1D"/>
    <w:rsid w:val="0001381E"/>
    <w:rsid w:val="00013AE4"/>
    <w:rsid w:val="00013F6A"/>
    <w:rsid w:val="00014AE7"/>
    <w:rsid w:val="00014D17"/>
    <w:rsid w:val="00015252"/>
    <w:rsid w:val="0001601C"/>
    <w:rsid w:val="00016063"/>
    <w:rsid w:val="0001763E"/>
    <w:rsid w:val="00017D47"/>
    <w:rsid w:val="00020058"/>
    <w:rsid w:val="00020E05"/>
    <w:rsid w:val="00020ED2"/>
    <w:rsid w:val="000216F2"/>
    <w:rsid w:val="000220BD"/>
    <w:rsid w:val="00022649"/>
    <w:rsid w:val="00022840"/>
    <w:rsid w:val="0002332D"/>
    <w:rsid w:val="000236C6"/>
    <w:rsid w:val="00023821"/>
    <w:rsid w:val="00023AD9"/>
    <w:rsid w:val="00023DB3"/>
    <w:rsid w:val="00024286"/>
    <w:rsid w:val="00024D1E"/>
    <w:rsid w:val="000252E4"/>
    <w:rsid w:val="00025BEC"/>
    <w:rsid w:val="00026089"/>
    <w:rsid w:val="0002632C"/>
    <w:rsid w:val="00026380"/>
    <w:rsid w:val="00026921"/>
    <w:rsid w:val="00027105"/>
    <w:rsid w:val="0002789F"/>
    <w:rsid w:val="00027DEB"/>
    <w:rsid w:val="00027E80"/>
    <w:rsid w:val="000304EB"/>
    <w:rsid w:val="00030552"/>
    <w:rsid w:val="000309B8"/>
    <w:rsid w:val="00030BC0"/>
    <w:rsid w:val="00031017"/>
    <w:rsid w:val="0003168B"/>
    <w:rsid w:val="00031C2D"/>
    <w:rsid w:val="00032984"/>
    <w:rsid w:val="00032FCE"/>
    <w:rsid w:val="00033C8C"/>
    <w:rsid w:val="0003492E"/>
    <w:rsid w:val="00034EB8"/>
    <w:rsid w:val="00034F46"/>
    <w:rsid w:val="00035082"/>
    <w:rsid w:val="000354D7"/>
    <w:rsid w:val="00035557"/>
    <w:rsid w:val="000367DC"/>
    <w:rsid w:val="0003698C"/>
    <w:rsid w:val="00036F2D"/>
    <w:rsid w:val="00036F80"/>
    <w:rsid w:val="0003742A"/>
    <w:rsid w:val="000375A8"/>
    <w:rsid w:val="0004069A"/>
    <w:rsid w:val="0004122E"/>
    <w:rsid w:val="000416A9"/>
    <w:rsid w:val="000419FA"/>
    <w:rsid w:val="0004259C"/>
    <w:rsid w:val="000426EA"/>
    <w:rsid w:val="00042C82"/>
    <w:rsid w:val="00042C85"/>
    <w:rsid w:val="00042FA7"/>
    <w:rsid w:val="000437DF"/>
    <w:rsid w:val="00043A9C"/>
    <w:rsid w:val="00043B16"/>
    <w:rsid w:val="00044939"/>
    <w:rsid w:val="000453A0"/>
    <w:rsid w:val="00045BFC"/>
    <w:rsid w:val="0004621A"/>
    <w:rsid w:val="00046243"/>
    <w:rsid w:val="00046766"/>
    <w:rsid w:val="0004679C"/>
    <w:rsid w:val="0004695D"/>
    <w:rsid w:val="00046B6D"/>
    <w:rsid w:val="00046B9B"/>
    <w:rsid w:val="00046DBF"/>
    <w:rsid w:val="00046E53"/>
    <w:rsid w:val="00047AAC"/>
    <w:rsid w:val="00047EE9"/>
    <w:rsid w:val="000502F2"/>
    <w:rsid w:val="0005038A"/>
    <w:rsid w:val="000505E7"/>
    <w:rsid w:val="00050BE5"/>
    <w:rsid w:val="0005100C"/>
    <w:rsid w:val="00051E38"/>
    <w:rsid w:val="00052B21"/>
    <w:rsid w:val="00052FE6"/>
    <w:rsid w:val="00053CA2"/>
    <w:rsid w:val="00053CD7"/>
    <w:rsid w:val="00054ECE"/>
    <w:rsid w:val="0005510A"/>
    <w:rsid w:val="000553A7"/>
    <w:rsid w:val="000553CC"/>
    <w:rsid w:val="00055475"/>
    <w:rsid w:val="00056699"/>
    <w:rsid w:val="000569F0"/>
    <w:rsid w:val="00056C0F"/>
    <w:rsid w:val="00056C4D"/>
    <w:rsid w:val="0005794E"/>
    <w:rsid w:val="000601D6"/>
    <w:rsid w:val="00060C4B"/>
    <w:rsid w:val="00060C79"/>
    <w:rsid w:val="0006110C"/>
    <w:rsid w:val="000615AE"/>
    <w:rsid w:val="00061CCA"/>
    <w:rsid w:val="00061F1E"/>
    <w:rsid w:val="00063519"/>
    <w:rsid w:val="000636E2"/>
    <w:rsid w:val="00063BC3"/>
    <w:rsid w:val="00063EB6"/>
    <w:rsid w:val="000641C6"/>
    <w:rsid w:val="00064B68"/>
    <w:rsid w:val="00064C6B"/>
    <w:rsid w:val="0006500E"/>
    <w:rsid w:val="00065131"/>
    <w:rsid w:val="000651DE"/>
    <w:rsid w:val="000653DF"/>
    <w:rsid w:val="000658CC"/>
    <w:rsid w:val="00065B73"/>
    <w:rsid w:val="0006601F"/>
    <w:rsid w:val="0006613C"/>
    <w:rsid w:val="0006642B"/>
    <w:rsid w:val="00066BB4"/>
    <w:rsid w:val="00067B61"/>
    <w:rsid w:val="00070483"/>
    <w:rsid w:val="000704F0"/>
    <w:rsid w:val="000705EF"/>
    <w:rsid w:val="000707B8"/>
    <w:rsid w:val="0007090B"/>
    <w:rsid w:val="000709D6"/>
    <w:rsid w:val="000717DC"/>
    <w:rsid w:val="00072895"/>
    <w:rsid w:val="00072A29"/>
    <w:rsid w:val="00073057"/>
    <w:rsid w:val="0007347A"/>
    <w:rsid w:val="000737B9"/>
    <w:rsid w:val="00073F9E"/>
    <w:rsid w:val="00074DE8"/>
    <w:rsid w:val="0007521F"/>
    <w:rsid w:val="00075A89"/>
    <w:rsid w:val="00076E55"/>
    <w:rsid w:val="00076EF3"/>
    <w:rsid w:val="00077025"/>
    <w:rsid w:val="00077626"/>
    <w:rsid w:val="00077A9C"/>
    <w:rsid w:val="00077DBA"/>
    <w:rsid w:val="00077E7E"/>
    <w:rsid w:val="00080220"/>
    <w:rsid w:val="00080691"/>
    <w:rsid w:val="00080694"/>
    <w:rsid w:val="000819DC"/>
    <w:rsid w:val="00082102"/>
    <w:rsid w:val="00082378"/>
    <w:rsid w:val="00082401"/>
    <w:rsid w:val="00082631"/>
    <w:rsid w:val="00082D08"/>
    <w:rsid w:val="0008386D"/>
    <w:rsid w:val="00083C98"/>
    <w:rsid w:val="0008402C"/>
    <w:rsid w:val="00084093"/>
    <w:rsid w:val="00085C37"/>
    <w:rsid w:val="00085CD0"/>
    <w:rsid w:val="000877D5"/>
    <w:rsid w:val="00087A19"/>
    <w:rsid w:val="00087BA2"/>
    <w:rsid w:val="00087E59"/>
    <w:rsid w:val="00090215"/>
    <w:rsid w:val="00090744"/>
    <w:rsid w:val="00090A3A"/>
    <w:rsid w:val="00091915"/>
    <w:rsid w:val="00091B88"/>
    <w:rsid w:val="000920E2"/>
    <w:rsid w:val="0009266E"/>
    <w:rsid w:val="0009294C"/>
    <w:rsid w:val="00092B2A"/>
    <w:rsid w:val="00093EDF"/>
    <w:rsid w:val="00094454"/>
    <w:rsid w:val="00094532"/>
    <w:rsid w:val="000945DE"/>
    <w:rsid w:val="000947B9"/>
    <w:rsid w:val="00094B23"/>
    <w:rsid w:val="00094C59"/>
    <w:rsid w:val="00094D38"/>
    <w:rsid w:val="0009530F"/>
    <w:rsid w:val="00095434"/>
    <w:rsid w:val="000960A4"/>
    <w:rsid w:val="00096DCB"/>
    <w:rsid w:val="000973F2"/>
    <w:rsid w:val="000977CB"/>
    <w:rsid w:val="00097AD7"/>
    <w:rsid w:val="000A03B4"/>
    <w:rsid w:val="000A05B8"/>
    <w:rsid w:val="000A073B"/>
    <w:rsid w:val="000A0ADC"/>
    <w:rsid w:val="000A1476"/>
    <w:rsid w:val="000A1D46"/>
    <w:rsid w:val="000A2B84"/>
    <w:rsid w:val="000A3424"/>
    <w:rsid w:val="000A39C4"/>
    <w:rsid w:val="000A4255"/>
    <w:rsid w:val="000A46AC"/>
    <w:rsid w:val="000A4946"/>
    <w:rsid w:val="000A52B0"/>
    <w:rsid w:val="000A596C"/>
    <w:rsid w:val="000A5DDE"/>
    <w:rsid w:val="000A6A80"/>
    <w:rsid w:val="000A6B46"/>
    <w:rsid w:val="000A6C57"/>
    <w:rsid w:val="000A6EA5"/>
    <w:rsid w:val="000A7523"/>
    <w:rsid w:val="000A7F7E"/>
    <w:rsid w:val="000B0609"/>
    <w:rsid w:val="000B08E3"/>
    <w:rsid w:val="000B0C6A"/>
    <w:rsid w:val="000B0DAF"/>
    <w:rsid w:val="000B1116"/>
    <w:rsid w:val="000B1B97"/>
    <w:rsid w:val="000B1CF4"/>
    <w:rsid w:val="000B2D3B"/>
    <w:rsid w:val="000B37BD"/>
    <w:rsid w:val="000B39D5"/>
    <w:rsid w:val="000B4061"/>
    <w:rsid w:val="000B49C8"/>
    <w:rsid w:val="000B4E80"/>
    <w:rsid w:val="000B5284"/>
    <w:rsid w:val="000B52F4"/>
    <w:rsid w:val="000B659E"/>
    <w:rsid w:val="000B66DE"/>
    <w:rsid w:val="000B7481"/>
    <w:rsid w:val="000B791B"/>
    <w:rsid w:val="000B7EA8"/>
    <w:rsid w:val="000C0E50"/>
    <w:rsid w:val="000C1177"/>
    <w:rsid w:val="000C11E2"/>
    <w:rsid w:val="000C1E60"/>
    <w:rsid w:val="000C1EC8"/>
    <w:rsid w:val="000C2112"/>
    <w:rsid w:val="000C22E4"/>
    <w:rsid w:val="000C22F9"/>
    <w:rsid w:val="000C2BFF"/>
    <w:rsid w:val="000C3DAB"/>
    <w:rsid w:val="000C4623"/>
    <w:rsid w:val="000C572F"/>
    <w:rsid w:val="000C5B8D"/>
    <w:rsid w:val="000C648D"/>
    <w:rsid w:val="000C6719"/>
    <w:rsid w:val="000C6D93"/>
    <w:rsid w:val="000C73C6"/>
    <w:rsid w:val="000C775D"/>
    <w:rsid w:val="000C788C"/>
    <w:rsid w:val="000C7F79"/>
    <w:rsid w:val="000D0100"/>
    <w:rsid w:val="000D05DE"/>
    <w:rsid w:val="000D0788"/>
    <w:rsid w:val="000D093C"/>
    <w:rsid w:val="000D0B8F"/>
    <w:rsid w:val="000D0C05"/>
    <w:rsid w:val="000D1AD0"/>
    <w:rsid w:val="000D2506"/>
    <w:rsid w:val="000D2962"/>
    <w:rsid w:val="000D2CC8"/>
    <w:rsid w:val="000D36B0"/>
    <w:rsid w:val="000D49E5"/>
    <w:rsid w:val="000D4A48"/>
    <w:rsid w:val="000D4B80"/>
    <w:rsid w:val="000D4E11"/>
    <w:rsid w:val="000D4E5B"/>
    <w:rsid w:val="000D5215"/>
    <w:rsid w:val="000D56BD"/>
    <w:rsid w:val="000D5A7C"/>
    <w:rsid w:val="000D63FE"/>
    <w:rsid w:val="000D6E64"/>
    <w:rsid w:val="000D6FE1"/>
    <w:rsid w:val="000D752A"/>
    <w:rsid w:val="000D77C7"/>
    <w:rsid w:val="000D7954"/>
    <w:rsid w:val="000D7D67"/>
    <w:rsid w:val="000E006F"/>
    <w:rsid w:val="000E08AD"/>
    <w:rsid w:val="000E0A39"/>
    <w:rsid w:val="000E0B86"/>
    <w:rsid w:val="000E1105"/>
    <w:rsid w:val="000E1461"/>
    <w:rsid w:val="000E17B1"/>
    <w:rsid w:val="000E2135"/>
    <w:rsid w:val="000E3146"/>
    <w:rsid w:val="000E31EF"/>
    <w:rsid w:val="000E40CB"/>
    <w:rsid w:val="000E423A"/>
    <w:rsid w:val="000E4557"/>
    <w:rsid w:val="000E5AB0"/>
    <w:rsid w:val="000E60FA"/>
    <w:rsid w:val="000E6138"/>
    <w:rsid w:val="000E618E"/>
    <w:rsid w:val="000E6D86"/>
    <w:rsid w:val="000F0852"/>
    <w:rsid w:val="000F183E"/>
    <w:rsid w:val="000F29AD"/>
    <w:rsid w:val="000F3071"/>
    <w:rsid w:val="000F382D"/>
    <w:rsid w:val="000F38E7"/>
    <w:rsid w:val="000F391D"/>
    <w:rsid w:val="000F3C3A"/>
    <w:rsid w:val="000F3D28"/>
    <w:rsid w:val="000F3F0D"/>
    <w:rsid w:val="000F40DC"/>
    <w:rsid w:val="000F4645"/>
    <w:rsid w:val="000F5AF7"/>
    <w:rsid w:val="000F7386"/>
    <w:rsid w:val="000F784D"/>
    <w:rsid w:val="00100308"/>
    <w:rsid w:val="001009D9"/>
    <w:rsid w:val="00100B33"/>
    <w:rsid w:val="00100E31"/>
    <w:rsid w:val="001015E4"/>
    <w:rsid w:val="00101C3F"/>
    <w:rsid w:val="001031A9"/>
    <w:rsid w:val="001032B7"/>
    <w:rsid w:val="0010397D"/>
    <w:rsid w:val="00103AB3"/>
    <w:rsid w:val="00103AB4"/>
    <w:rsid w:val="001045BD"/>
    <w:rsid w:val="00106336"/>
    <w:rsid w:val="00106B28"/>
    <w:rsid w:val="00107375"/>
    <w:rsid w:val="001073E4"/>
    <w:rsid w:val="001074F5"/>
    <w:rsid w:val="00107625"/>
    <w:rsid w:val="001076B2"/>
    <w:rsid w:val="00107F4E"/>
    <w:rsid w:val="001106AA"/>
    <w:rsid w:val="00110905"/>
    <w:rsid w:val="00110E96"/>
    <w:rsid w:val="00111141"/>
    <w:rsid w:val="0011153B"/>
    <w:rsid w:val="0011179C"/>
    <w:rsid w:val="001117D3"/>
    <w:rsid w:val="001118D2"/>
    <w:rsid w:val="00111DAF"/>
    <w:rsid w:val="00112350"/>
    <w:rsid w:val="00112557"/>
    <w:rsid w:val="00112E08"/>
    <w:rsid w:val="00112F61"/>
    <w:rsid w:val="00113D4C"/>
    <w:rsid w:val="00114C01"/>
    <w:rsid w:val="00114DA3"/>
    <w:rsid w:val="00115988"/>
    <w:rsid w:val="00115AD6"/>
    <w:rsid w:val="00115D1C"/>
    <w:rsid w:val="00115DA6"/>
    <w:rsid w:val="00115DF6"/>
    <w:rsid w:val="00115F56"/>
    <w:rsid w:val="00116A0A"/>
    <w:rsid w:val="001172C0"/>
    <w:rsid w:val="001176D0"/>
    <w:rsid w:val="001178DD"/>
    <w:rsid w:val="00117F03"/>
    <w:rsid w:val="00120451"/>
    <w:rsid w:val="00120915"/>
    <w:rsid w:val="00122ADA"/>
    <w:rsid w:val="00122C05"/>
    <w:rsid w:val="00123393"/>
    <w:rsid w:val="00123EC6"/>
    <w:rsid w:val="00123EF4"/>
    <w:rsid w:val="001252C0"/>
    <w:rsid w:val="00125AD4"/>
    <w:rsid w:val="00126A53"/>
    <w:rsid w:val="00126E7F"/>
    <w:rsid w:val="001271CB"/>
    <w:rsid w:val="00127667"/>
    <w:rsid w:val="001279B9"/>
    <w:rsid w:val="00127C5F"/>
    <w:rsid w:val="00127E63"/>
    <w:rsid w:val="00127EFA"/>
    <w:rsid w:val="0013062E"/>
    <w:rsid w:val="00130AE4"/>
    <w:rsid w:val="00130F12"/>
    <w:rsid w:val="001317EA"/>
    <w:rsid w:val="0013185C"/>
    <w:rsid w:val="00131CC4"/>
    <w:rsid w:val="00131E90"/>
    <w:rsid w:val="00131ED5"/>
    <w:rsid w:val="00132C6C"/>
    <w:rsid w:val="0013387B"/>
    <w:rsid w:val="001346DD"/>
    <w:rsid w:val="00135060"/>
    <w:rsid w:val="00135070"/>
    <w:rsid w:val="0013571F"/>
    <w:rsid w:val="00135B0F"/>
    <w:rsid w:val="001366EF"/>
    <w:rsid w:val="001368E8"/>
    <w:rsid w:val="00136972"/>
    <w:rsid w:val="00136A67"/>
    <w:rsid w:val="00136AE8"/>
    <w:rsid w:val="00136C17"/>
    <w:rsid w:val="00136E2F"/>
    <w:rsid w:val="00137102"/>
    <w:rsid w:val="0013785D"/>
    <w:rsid w:val="00137BE0"/>
    <w:rsid w:val="00137E7A"/>
    <w:rsid w:val="00140C91"/>
    <w:rsid w:val="00140D74"/>
    <w:rsid w:val="00141D31"/>
    <w:rsid w:val="00142322"/>
    <w:rsid w:val="00142ABD"/>
    <w:rsid w:val="0014357A"/>
    <w:rsid w:val="00144917"/>
    <w:rsid w:val="00144BF6"/>
    <w:rsid w:val="00144DFD"/>
    <w:rsid w:val="00145BE6"/>
    <w:rsid w:val="00145DDC"/>
    <w:rsid w:val="001464AF"/>
    <w:rsid w:val="00146508"/>
    <w:rsid w:val="00147369"/>
    <w:rsid w:val="00147FAC"/>
    <w:rsid w:val="0015064D"/>
    <w:rsid w:val="00150970"/>
    <w:rsid w:val="00150DAC"/>
    <w:rsid w:val="00151175"/>
    <w:rsid w:val="00151A1C"/>
    <w:rsid w:val="00151C78"/>
    <w:rsid w:val="00152292"/>
    <w:rsid w:val="00152FF6"/>
    <w:rsid w:val="0015311A"/>
    <w:rsid w:val="001534D6"/>
    <w:rsid w:val="001538CA"/>
    <w:rsid w:val="00153E72"/>
    <w:rsid w:val="001549E3"/>
    <w:rsid w:val="00154E4A"/>
    <w:rsid w:val="00154EDB"/>
    <w:rsid w:val="001555F2"/>
    <w:rsid w:val="00155D22"/>
    <w:rsid w:val="00156267"/>
    <w:rsid w:val="00156BFA"/>
    <w:rsid w:val="00156D03"/>
    <w:rsid w:val="001571D6"/>
    <w:rsid w:val="0015779C"/>
    <w:rsid w:val="00157B48"/>
    <w:rsid w:val="00157EB3"/>
    <w:rsid w:val="00157F76"/>
    <w:rsid w:val="001605D2"/>
    <w:rsid w:val="00161A49"/>
    <w:rsid w:val="00161E46"/>
    <w:rsid w:val="0016230E"/>
    <w:rsid w:val="001627DC"/>
    <w:rsid w:val="001629B9"/>
    <w:rsid w:val="00162C8F"/>
    <w:rsid w:val="00163036"/>
    <w:rsid w:val="00163776"/>
    <w:rsid w:val="00163A10"/>
    <w:rsid w:val="0016415B"/>
    <w:rsid w:val="001653B4"/>
    <w:rsid w:val="00165944"/>
    <w:rsid w:val="001664B5"/>
    <w:rsid w:val="00166623"/>
    <w:rsid w:val="001669BC"/>
    <w:rsid w:val="001679AC"/>
    <w:rsid w:val="00167EB2"/>
    <w:rsid w:val="001701F4"/>
    <w:rsid w:val="001708A9"/>
    <w:rsid w:val="00170E9F"/>
    <w:rsid w:val="001717E7"/>
    <w:rsid w:val="0017255B"/>
    <w:rsid w:val="00172A27"/>
    <w:rsid w:val="00172E9B"/>
    <w:rsid w:val="00173543"/>
    <w:rsid w:val="00173ADC"/>
    <w:rsid w:val="00174D9E"/>
    <w:rsid w:val="0017537E"/>
    <w:rsid w:val="0017559A"/>
    <w:rsid w:val="00175B4F"/>
    <w:rsid w:val="00175E64"/>
    <w:rsid w:val="0017688A"/>
    <w:rsid w:val="00176BC7"/>
    <w:rsid w:val="00177462"/>
    <w:rsid w:val="001774D8"/>
    <w:rsid w:val="0017777A"/>
    <w:rsid w:val="00177B73"/>
    <w:rsid w:val="00177B7E"/>
    <w:rsid w:val="00177E35"/>
    <w:rsid w:val="001801D8"/>
    <w:rsid w:val="00181003"/>
    <w:rsid w:val="001817AF"/>
    <w:rsid w:val="001818B1"/>
    <w:rsid w:val="00181A51"/>
    <w:rsid w:val="0018246D"/>
    <w:rsid w:val="00182AF4"/>
    <w:rsid w:val="00182ED2"/>
    <w:rsid w:val="00183030"/>
    <w:rsid w:val="0018347F"/>
    <w:rsid w:val="00183780"/>
    <w:rsid w:val="001837A0"/>
    <w:rsid w:val="00184703"/>
    <w:rsid w:val="001847F9"/>
    <w:rsid w:val="00184CB0"/>
    <w:rsid w:val="00184D9B"/>
    <w:rsid w:val="00185382"/>
    <w:rsid w:val="001853E9"/>
    <w:rsid w:val="00185545"/>
    <w:rsid w:val="001860F1"/>
    <w:rsid w:val="00186207"/>
    <w:rsid w:val="00186F69"/>
    <w:rsid w:val="001874BC"/>
    <w:rsid w:val="0018776C"/>
    <w:rsid w:val="001877D4"/>
    <w:rsid w:val="00187934"/>
    <w:rsid w:val="001905E0"/>
    <w:rsid w:val="0019067E"/>
    <w:rsid w:val="00190715"/>
    <w:rsid w:val="001907D1"/>
    <w:rsid w:val="00190EA1"/>
    <w:rsid w:val="00190EF8"/>
    <w:rsid w:val="00191A4D"/>
    <w:rsid w:val="00191E06"/>
    <w:rsid w:val="00191E33"/>
    <w:rsid w:val="00191EC7"/>
    <w:rsid w:val="00192213"/>
    <w:rsid w:val="00192C5F"/>
    <w:rsid w:val="001933BD"/>
    <w:rsid w:val="00193921"/>
    <w:rsid w:val="00194953"/>
    <w:rsid w:val="001954E4"/>
    <w:rsid w:val="00195981"/>
    <w:rsid w:val="00196357"/>
    <w:rsid w:val="00196649"/>
    <w:rsid w:val="001966CB"/>
    <w:rsid w:val="001968DB"/>
    <w:rsid w:val="00197391"/>
    <w:rsid w:val="001977B0"/>
    <w:rsid w:val="001A1180"/>
    <w:rsid w:val="001A128B"/>
    <w:rsid w:val="001A1305"/>
    <w:rsid w:val="001A1851"/>
    <w:rsid w:val="001A21EB"/>
    <w:rsid w:val="001A231F"/>
    <w:rsid w:val="001A287A"/>
    <w:rsid w:val="001A3E24"/>
    <w:rsid w:val="001A42B8"/>
    <w:rsid w:val="001A4716"/>
    <w:rsid w:val="001A487A"/>
    <w:rsid w:val="001A489B"/>
    <w:rsid w:val="001A4E62"/>
    <w:rsid w:val="001A5CC5"/>
    <w:rsid w:val="001A5E59"/>
    <w:rsid w:val="001A63CE"/>
    <w:rsid w:val="001A7398"/>
    <w:rsid w:val="001A7D61"/>
    <w:rsid w:val="001B036E"/>
    <w:rsid w:val="001B0A44"/>
    <w:rsid w:val="001B0C97"/>
    <w:rsid w:val="001B16C8"/>
    <w:rsid w:val="001B1A86"/>
    <w:rsid w:val="001B1A89"/>
    <w:rsid w:val="001B1E06"/>
    <w:rsid w:val="001B25AD"/>
    <w:rsid w:val="001B26BA"/>
    <w:rsid w:val="001B2757"/>
    <w:rsid w:val="001B2A92"/>
    <w:rsid w:val="001B2EE4"/>
    <w:rsid w:val="001B2F36"/>
    <w:rsid w:val="001B2F4A"/>
    <w:rsid w:val="001B33B0"/>
    <w:rsid w:val="001B33DC"/>
    <w:rsid w:val="001B3B79"/>
    <w:rsid w:val="001B3F72"/>
    <w:rsid w:val="001B47D3"/>
    <w:rsid w:val="001B481D"/>
    <w:rsid w:val="001B4A8C"/>
    <w:rsid w:val="001B4B57"/>
    <w:rsid w:val="001B4CE3"/>
    <w:rsid w:val="001B5087"/>
    <w:rsid w:val="001B5673"/>
    <w:rsid w:val="001B5B23"/>
    <w:rsid w:val="001B5C5E"/>
    <w:rsid w:val="001B5E9A"/>
    <w:rsid w:val="001B6078"/>
    <w:rsid w:val="001B609E"/>
    <w:rsid w:val="001B65DB"/>
    <w:rsid w:val="001B71DE"/>
    <w:rsid w:val="001C0630"/>
    <w:rsid w:val="001C10F5"/>
    <w:rsid w:val="001C13FE"/>
    <w:rsid w:val="001C1A3A"/>
    <w:rsid w:val="001C1B01"/>
    <w:rsid w:val="001C2000"/>
    <w:rsid w:val="001C2E3E"/>
    <w:rsid w:val="001C2F72"/>
    <w:rsid w:val="001C315C"/>
    <w:rsid w:val="001C40D3"/>
    <w:rsid w:val="001C43B4"/>
    <w:rsid w:val="001C4952"/>
    <w:rsid w:val="001C4BCC"/>
    <w:rsid w:val="001C4BF6"/>
    <w:rsid w:val="001C51C0"/>
    <w:rsid w:val="001C5550"/>
    <w:rsid w:val="001C56C9"/>
    <w:rsid w:val="001C58E1"/>
    <w:rsid w:val="001C6338"/>
    <w:rsid w:val="001C6FC0"/>
    <w:rsid w:val="001C713B"/>
    <w:rsid w:val="001C7BC2"/>
    <w:rsid w:val="001C7E84"/>
    <w:rsid w:val="001C7EBC"/>
    <w:rsid w:val="001C7FC2"/>
    <w:rsid w:val="001D03CF"/>
    <w:rsid w:val="001D05A9"/>
    <w:rsid w:val="001D08CE"/>
    <w:rsid w:val="001D0986"/>
    <w:rsid w:val="001D1F21"/>
    <w:rsid w:val="001D1FC8"/>
    <w:rsid w:val="001D2700"/>
    <w:rsid w:val="001D2C5C"/>
    <w:rsid w:val="001D333D"/>
    <w:rsid w:val="001D34DC"/>
    <w:rsid w:val="001D4017"/>
    <w:rsid w:val="001D4424"/>
    <w:rsid w:val="001D482A"/>
    <w:rsid w:val="001D487A"/>
    <w:rsid w:val="001D4C3A"/>
    <w:rsid w:val="001D4E15"/>
    <w:rsid w:val="001D5001"/>
    <w:rsid w:val="001D5515"/>
    <w:rsid w:val="001D5A27"/>
    <w:rsid w:val="001D5B5F"/>
    <w:rsid w:val="001D5E73"/>
    <w:rsid w:val="001D6019"/>
    <w:rsid w:val="001D64F1"/>
    <w:rsid w:val="001D6C23"/>
    <w:rsid w:val="001D6F3A"/>
    <w:rsid w:val="001D74B0"/>
    <w:rsid w:val="001E02E8"/>
    <w:rsid w:val="001E0DE4"/>
    <w:rsid w:val="001E0E4E"/>
    <w:rsid w:val="001E0EAA"/>
    <w:rsid w:val="001E1363"/>
    <w:rsid w:val="001E1855"/>
    <w:rsid w:val="001E1894"/>
    <w:rsid w:val="001E1E77"/>
    <w:rsid w:val="001E292C"/>
    <w:rsid w:val="001E29C2"/>
    <w:rsid w:val="001E2AE8"/>
    <w:rsid w:val="001E2BD9"/>
    <w:rsid w:val="001E33B6"/>
    <w:rsid w:val="001E399C"/>
    <w:rsid w:val="001E39CF"/>
    <w:rsid w:val="001E468D"/>
    <w:rsid w:val="001E4750"/>
    <w:rsid w:val="001E4EA4"/>
    <w:rsid w:val="001E5796"/>
    <w:rsid w:val="001E6016"/>
    <w:rsid w:val="001E6983"/>
    <w:rsid w:val="001E7278"/>
    <w:rsid w:val="001E7C04"/>
    <w:rsid w:val="001F0FB4"/>
    <w:rsid w:val="001F1271"/>
    <w:rsid w:val="001F15DA"/>
    <w:rsid w:val="001F1685"/>
    <w:rsid w:val="001F2E09"/>
    <w:rsid w:val="001F2F6B"/>
    <w:rsid w:val="001F30DB"/>
    <w:rsid w:val="001F3FB2"/>
    <w:rsid w:val="001F421C"/>
    <w:rsid w:val="001F46B3"/>
    <w:rsid w:val="001F4852"/>
    <w:rsid w:val="001F51F7"/>
    <w:rsid w:val="001F5B18"/>
    <w:rsid w:val="001F75A1"/>
    <w:rsid w:val="001F7702"/>
    <w:rsid w:val="001F79BA"/>
    <w:rsid w:val="00200050"/>
    <w:rsid w:val="00200A6D"/>
    <w:rsid w:val="00200CCB"/>
    <w:rsid w:val="00200EDF"/>
    <w:rsid w:val="002015D1"/>
    <w:rsid w:val="002018D4"/>
    <w:rsid w:val="00202478"/>
    <w:rsid w:val="0020264E"/>
    <w:rsid w:val="002026D1"/>
    <w:rsid w:val="0020419A"/>
    <w:rsid w:val="0020443A"/>
    <w:rsid w:val="00204F98"/>
    <w:rsid w:val="00205326"/>
    <w:rsid w:val="00205F55"/>
    <w:rsid w:val="00205F72"/>
    <w:rsid w:val="00206088"/>
    <w:rsid w:val="00206306"/>
    <w:rsid w:val="0020634B"/>
    <w:rsid w:val="0020700F"/>
    <w:rsid w:val="002070A5"/>
    <w:rsid w:val="0020729E"/>
    <w:rsid w:val="002079EF"/>
    <w:rsid w:val="00207DA9"/>
    <w:rsid w:val="00207DB5"/>
    <w:rsid w:val="0021100E"/>
    <w:rsid w:val="002120A5"/>
    <w:rsid w:val="00212171"/>
    <w:rsid w:val="0021258F"/>
    <w:rsid w:val="00212919"/>
    <w:rsid w:val="00213740"/>
    <w:rsid w:val="00213E8F"/>
    <w:rsid w:val="0021423B"/>
    <w:rsid w:val="00214F24"/>
    <w:rsid w:val="002156A4"/>
    <w:rsid w:val="00215AE7"/>
    <w:rsid w:val="00215EC9"/>
    <w:rsid w:val="00216092"/>
    <w:rsid w:val="0021644E"/>
    <w:rsid w:val="0021646F"/>
    <w:rsid w:val="002165F3"/>
    <w:rsid w:val="00216751"/>
    <w:rsid w:val="00217ED4"/>
    <w:rsid w:val="00220300"/>
    <w:rsid w:val="002203E9"/>
    <w:rsid w:val="00220E7B"/>
    <w:rsid w:val="00221E13"/>
    <w:rsid w:val="00221EE7"/>
    <w:rsid w:val="00221F1B"/>
    <w:rsid w:val="00222004"/>
    <w:rsid w:val="002221B3"/>
    <w:rsid w:val="00222291"/>
    <w:rsid w:val="00222B8F"/>
    <w:rsid w:val="00222E67"/>
    <w:rsid w:val="002238C1"/>
    <w:rsid w:val="00223AB3"/>
    <w:rsid w:val="00224B3B"/>
    <w:rsid w:val="00224B40"/>
    <w:rsid w:val="00225160"/>
    <w:rsid w:val="002257B4"/>
    <w:rsid w:val="00225A4C"/>
    <w:rsid w:val="00225F05"/>
    <w:rsid w:val="002260AF"/>
    <w:rsid w:val="0022674A"/>
    <w:rsid w:val="00226B7C"/>
    <w:rsid w:val="002274DA"/>
    <w:rsid w:val="00227C0E"/>
    <w:rsid w:val="0023067F"/>
    <w:rsid w:val="00230921"/>
    <w:rsid w:val="00230A6D"/>
    <w:rsid w:val="00230E12"/>
    <w:rsid w:val="002310E2"/>
    <w:rsid w:val="00231999"/>
    <w:rsid w:val="00231A1E"/>
    <w:rsid w:val="00232609"/>
    <w:rsid w:val="002339FD"/>
    <w:rsid w:val="00233D18"/>
    <w:rsid w:val="00233D31"/>
    <w:rsid w:val="00235332"/>
    <w:rsid w:val="00235F25"/>
    <w:rsid w:val="0023701F"/>
    <w:rsid w:val="002376D1"/>
    <w:rsid w:val="002378D2"/>
    <w:rsid w:val="002407F7"/>
    <w:rsid w:val="00240ACF"/>
    <w:rsid w:val="00240EC0"/>
    <w:rsid w:val="00241DFA"/>
    <w:rsid w:val="002422EF"/>
    <w:rsid w:val="00242608"/>
    <w:rsid w:val="00242DE8"/>
    <w:rsid w:val="002437E7"/>
    <w:rsid w:val="00243B6F"/>
    <w:rsid w:val="00243D5D"/>
    <w:rsid w:val="00243F1B"/>
    <w:rsid w:val="00243FD1"/>
    <w:rsid w:val="0024401A"/>
    <w:rsid w:val="0024417A"/>
    <w:rsid w:val="002449BD"/>
    <w:rsid w:val="00244AC1"/>
    <w:rsid w:val="00244B58"/>
    <w:rsid w:val="00244D31"/>
    <w:rsid w:val="00245688"/>
    <w:rsid w:val="002456DA"/>
    <w:rsid w:val="00246347"/>
    <w:rsid w:val="0024684C"/>
    <w:rsid w:val="00246C6E"/>
    <w:rsid w:val="002504D9"/>
    <w:rsid w:val="00250F6C"/>
    <w:rsid w:val="00251718"/>
    <w:rsid w:val="0025184F"/>
    <w:rsid w:val="002519CC"/>
    <w:rsid w:val="00252397"/>
    <w:rsid w:val="00252852"/>
    <w:rsid w:val="00252945"/>
    <w:rsid w:val="002529B0"/>
    <w:rsid w:val="00252A2C"/>
    <w:rsid w:val="00253BD5"/>
    <w:rsid w:val="002545E4"/>
    <w:rsid w:val="002548F2"/>
    <w:rsid w:val="00254B33"/>
    <w:rsid w:val="00254C1D"/>
    <w:rsid w:val="0025505D"/>
    <w:rsid w:val="0025534D"/>
    <w:rsid w:val="0025587A"/>
    <w:rsid w:val="00255F0A"/>
    <w:rsid w:val="00256018"/>
    <w:rsid w:val="00256511"/>
    <w:rsid w:val="00256F83"/>
    <w:rsid w:val="002571DD"/>
    <w:rsid w:val="0025725A"/>
    <w:rsid w:val="002575DD"/>
    <w:rsid w:val="0025779F"/>
    <w:rsid w:val="002601C3"/>
    <w:rsid w:val="002602AE"/>
    <w:rsid w:val="00261750"/>
    <w:rsid w:val="00262135"/>
    <w:rsid w:val="002625AC"/>
    <w:rsid w:val="002634F1"/>
    <w:rsid w:val="00264DEB"/>
    <w:rsid w:val="002656DC"/>
    <w:rsid w:val="00265928"/>
    <w:rsid w:val="00266114"/>
    <w:rsid w:val="002674AB"/>
    <w:rsid w:val="0026765C"/>
    <w:rsid w:val="00267A91"/>
    <w:rsid w:val="00267C6E"/>
    <w:rsid w:val="00267F27"/>
    <w:rsid w:val="002711C5"/>
    <w:rsid w:val="00271DEB"/>
    <w:rsid w:val="00273487"/>
    <w:rsid w:val="0027376E"/>
    <w:rsid w:val="002737FE"/>
    <w:rsid w:val="002738B3"/>
    <w:rsid w:val="00273A20"/>
    <w:rsid w:val="00273BC5"/>
    <w:rsid w:val="002743B4"/>
    <w:rsid w:val="002748AB"/>
    <w:rsid w:val="00275CDC"/>
    <w:rsid w:val="00276205"/>
    <w:rsid w:val="002766AC"/>
    <w:rsid w:val="00276835"/>
    <w:rsid w:val="002772D1"/>
    <w:rsid w:val="002804A4"/>
    <w:rsid w:val="00280B52"/>
    <w:rsid w:val="0028179D"/>
    <w:rsid w:val="0028194C"/>
    <w:rsid w:val="00281F59"/>
    <w:rsid w:val="002821AF"/>
    <w:rsid w:val="00282D3C"/>
    <w:rsid w:val="00283B6D"/>
    <w:rsid w:val="00283CE3"/>
    <w:rsid w:val="00284104"/>
    <w:rsid w:val="002842FF"/>
    <w:rsid w:val="00284555"/>
    <w:rsid w:val="0028469D"/>
    <w:rsid w:val="00284800"/>
    <w:rsid w:val="00284EC9"/>
    <w:rsid w:val="00284FA5"/>
    <w:rsid w:val="00285037"/>
    <w:rsid w:val="002850F1"/>
    <w:rsid w:val="00285CE3"/>
    <w:rsid w:val="00286545"/>
    <w:rsid w:val="0028660D"/>
    <w:rsid w:val="002868FF"/>
    <w:rsid w:val="00286C73"/>
    <w:rsid w:val="00286E2B"/>
    <w:rsid w:val="00286ED4"/>
    <w:rsid w:val="0028763A"/>
    <w:rsid w:val="002879DB"/>
    <w:rsid w:val="00287CBE"/>
    <w:rsid w:val="00287D9D"/>
    <w:rsid w:val="002906FC"/>
    <w:rsid w:val="0029100F"/>
    <w:rsid w:val="00291049"/>
    <w:rsid w:val="0029137A"/>
    <w:rsid w:val="00291B59"/>
    <w:rsid w:val="00291D5B"/>
    <w:rsid w:val="00291F1C"/>
    <w:rsid w:val="0029323E"/>
    <w:rsid w:val="0029382D"/>
    <w:rsid w:val="00293943"/>
    <w:rsid w:val="002944E6"/>
    <w:rsid w:val="00294E62"/>
    <w:rsid w:val="0029504D"/>
    <w:rsid w:val="002956DE"/>
    <w:rsid w:val="00295899"/>
    <w:rsid w:val="002959D8"/>
    <w:rsid w:val="00295AD8"/>
    <w:rsid w:val="00296B2D"/>
    <w:rsid w:val="00297316"/>
    <w:rsid w:val="00297362"/>
    <w:rsid w:val="0029759A"/>
    <w:rsid w:val="00297AE9"/>
    <w:rsid w:val="00297F40"/>
    <w:rsid w:val="002A031B"/>
    <w:rsid w:val="002A0800"/>
    <w:rsid w:val="002A0A76"/>
    <w:rsid w:val="002A1905"/>
    <w:rsid w:val="002A20F1"/>
    <w:rsid w:val="002A3086"/>
    <w:rsid w:val="002A3268"/>
    <w:rsid w:val="002A33EB"/>
    <w:rsid w:val="002A3498"/>
    <w:rsid w:val="002A3780"/>
    <w:rsid w:val="002A403E"/>
    <w:rsid w:val="002A4559"/>
    <w:rsid w:val="002A4B4B"/>
    <w:rsid w:val="002A4D2C"/>
    <w:rsid w:val="002A57A9"/>
    <w:rsid w:val="002A6323"/>
    <w:rsid w:val="002A67BA"/>
    <w:rsid w:val="002A6B08"/>
    <w:rsid w:val="002A6F73"/>
    <w:rsid w:val="002A7295"/>
    <w:rsid w:val="002B045C"/>
    <w:rsid w:val="002B068F"/>
    <w:rsid w:val="002B0784"/>
    <w:rsid w:val="002B079B"/>
    <w:rsid w:val="002B201D"/>
    <w:rsid w:val="002B20C7"/>
    <w:rsid w:val="002B2227"/>
    <w:rsid w:val="002B26CB"/>
    <w:rsid w:val="002B2BA5"/>
    <w:rsid w:val="002B2C19"/>
    <w:rsid w:val="002B3352"/>
    <w:rsid w:val="002B3626"/>
    <w:rsid w:val="002B3D8A"/>
    <w:rsid w:val="002B4083"/>
    <w:rsid w:val="002B415F"/>
    <w:rsid w:val="002B42DB"/>
    <w:rsid w:val="002B43B7"/>
    <w:rsid w:val="002B4558"/>
    <w:rsid w:val="002B4613"/>
    <w:rsid w:val="002B4920"/>
    <w:rsid w:val="002B4A4D"/>
    <w:rsid w:val="002B4DFA"/>
    <w:rsid w:val="002B5294"/>
    <w:rsid w:val="002B5569"/>
    <w:rsid w:val="002B6124"/>
    <w:rsid w:val="002B6632"/>
    <w:rsid w:val="002B692C"/>
    <w:rsid w:val="002B6CB9"/>
    <w:rsid w:val="002B7145"/>
    <w:rsid w:val="002B72D9"/>
    <w:rsid w:val="002C0F6D"/>
    <w:rsid w:val="002C1275"/>
    <w:rsid w:val="002C130D"/>
    <w:rsid w:val="002C1656"/>
    <w:rsid w:val="002C1C0E"/>
    <w:rsid w:val="002C1F79"/>
    <w:rsid w:val="002C216E"/>
    <w:rsid w:val="002C2170"/>
    <w:rsid w:val="002C2241"/>
    <w:rsid w:val="002C29C1"/>
    <w:rsid w:val="002C2D38"/>
    <w:rsid w:val="002C2FBF"/>
    <w:rsid w:val="002C3088"/>
    <w:rsid w:val="002C3AB2"/>
    <w:rsid w:val="002C3E74"/>
    <w:rsid w:val="002C4BA5"/>
    <w:rsid w:val="002C4CFA"/>
    <w:rsid w:val="002C52CE"/>
    <w:rsid w:val="002C5314"/>
    <w:rsid w:val="002C573F"/>
    <w:rsid w:val="002C5BDC"/>
    <w:rsid w:val="002C5C80"/>
    <w:rsid w:val="002C5CA5"/>
    <w:rsid w:val="002C6054"/>
    <w:rsid w:val="002C7781"/>
    <w:rsid w:val="002C7EE8"/>
    <w:rsid w:val="002D0173"/>
    <w:rsid w:val="002D078C"/>
    <w:rsid w:val="002D0E6E"/>
    <w:rsid w:val="002D15CB"/>
    <w:rsid w:val="002D27D5"/>
    <w:rsid w:val="002D2986"/>
    <w:rsid w:val="002D35FB"/>
    <w:rsid w:val="002D3610"/>
    <w:rsid w:val="002D3BFE"/>
    <w:rsid w:val="002D45C1"/>
    <w:rsid w:val="002D4BCC"/>
    <w:rsid w:val="002D5C8F"/>
    <w:rsid w:val="002D5FAB"/>
    <w:rsid w:val="002D6122"/>
    <w:rsid w:val="002D6C20"/>
    <w:rsid w:val="002D6F82"/>
    <w:rsid w:val="002D743F"/>
    <w:rsid w:val="002E0290"/>
    <w:rsid w:val="002E0C60"/>
    <w:rsid w:val="002E0F78"/>
    <w:rsid w:val="002E1615"/>
    <w:rsid w:val="002E1B22"/>
    <w:rsid w:val="002E2275"/>
    <w:rsid w:val="002E2948"/>
    <w:rsid w:val="002E2D37"/>
    <w:rsid w:val="002E30EE"/>
    <w:rsid w:val="002E3691"/>
    <w:rsid w:val="002E372B"/>
    <w:rsid w:val="002E3A39"/>
    <w:rsid w:val="002E3D7D"/>
    <w:rsid w:val="002E3EB5"/>
    <w:rsid w:val="002E4737"/>
    <w:rsid w:val="002E4D2F"/>
    <w:rsid w:val="002E4F9A"/>
    <w:rsid w:val="002E5047"/>
    <w:rsid w:val="002E560F"/>
    <w:rsid w:val="002E5680"/>
    <w:rsid w:val="002E5ABE"/>
    <w:rsid w:val="002E5EFF"/>
    <w:rsid w:val="002E6128"/>
    <w:rsid w:val="002E774C"/>
    <w:rsid w:val="002F038F"/>
    <w:rsid w:val="002F04DF"/>
    <w:rsid w:val="002F06F1"/>
    <w:rsid w:val="002F08D0"/>
    <w:rsid w:val="002F0C48"/>
    <w:rsid w:val="002F166C"/>
    <w:rsid w:val="002F17B6"/>
    <w:rsid w:val="002F180C"/>
    <w:rsid w:val="002F1883"/>
    <w:rsid w:val="002F1A76"/>
    <w:rsid w:val="002F1ADB"/>
    <w:rsid w:val="002F1B24"/>
    <w:rsid w:val="002F1C73"/>
    <w:rsid w:val="002F21C9"/>
    <w:rsid w:val="002F21EF"/>
    <w:rsid w:val="002F2CBE"/>
    <w:rsid w:val="002F3136"/>
    <w:rsid w:val="002F3816"/>
    <w:rsid w:val="002F392A"/>
    <w:rsid w:val="002F39E5"/>
    <w:rsid w:val="002F3C53"/>
    <w:rsid w:val="002F3EFD"/>
    <w:rsid w:val="002F3F05"/>
    <w:rsid w:val="002F41E5"/>
    <w:rsid w:val="002F4398"/>
    <w:rsid w:val="002F44B2"/>
    <w:rsid w:val="002F4CCF"/>
    <w:rsid w:val="002F5F06"/>
    <w:rsid w:val="002F5F88"/>
    <w:rsid w:val="002F7630"/>
    <w:rsid w:val="002F77B8"/>
    <w:rsid w:val="002F77CC"/>
    <w:rsid w:val="002F7C71"/>
    <w:rsid w:val="002F7E0A"/>
    <w:rsid w:val="002F7F3A"/>
    <w:rsid w:val="003000D1"/>
    <w:rsid w:val="00300241"/>
    <w:rsid w:val="0030041D"/>
    <w:rsid w:val="00300646"/>
    <w:rsid w:val="0030066E"/>
    <w:rsid w:val="00300EC1"/>
    <w:rsid w:val="00300F73"/>
    <w:rsid w:val="00301524"/>
    <w:rsid w:val="00301A18"/>
    <w:rsid w:val="00301AFF"/>
    <w:rsid w:val="00301CA6"/>
    <w:rsid w:val="00302152"/>
    <w:rsid w:val="00302431"/>
    <w:rsid w:val="0030269A"/>
    <w:rsid w:val="003039FB"/>
    <w:rsid w:val="00304A9F"/>
    <w:rsid w:val="00304AB0"/>
    <w:rsid w:val="00304DAF"/>
    <w:rsid w:val="00304F3D"/>
    <w:rsid w:val="00305810"/>
    <w:rsid w:val="00305D39"/>
    <w:rsid w:val="00306205"/>
    <w:rsid w:val="00306B10"/>
    <w:rsid w:val="003078A4"/>
    <w:rsid w:val="00307F8B"/>
    <w:rsid w:val="00310AD6"/>
    <w:rsid w:val="003114E4"/>
    <w:rsid w:val="003119F8"/>
    <w:rsid w:val="00311EAF"/>
    <w:rsid w:val="00312387"/>
    <w:rsid w:val="0031271B"/>
    <w:rsid w:val="003127FE"/>
    <w:rsid w:val="00312E57"/>
    <w:rsid w:val="003132EE"/>
    <w:rsid w:val="003136C3"/>
    <w:rsid w:val="00313D0F"/>
    <w:rsid w:val="003141B0"/>
    <w:rsid w:val="0031460B"/>
    <w:rsid w:val="0031462F"/>
    <w:rsid w:val="003148D8"/>
    <w:rsid w:val="00314A49"/>
    <w:rsid w:val="00314D1F"/>
    <w:rsid w:val="003159E0"/>
    <w:rsid w:val="00315BBE"/>
    <w:rsid w:val="00316539"/>
    <w:rsid w:val="00317378"/>
    <w:rsid w:val="00317E99"/>
    <w:rsid w:val="00317EDB"/>
    <w:rsid w:val="00320D2F"/>
    <w:rsid w:val="00321B2E"/>
    <w:rsid w:val="003225EA"/>
    <w:rsid w:val="0032269A"/>
    <w:rsid w:val="00322833"/>
    <w:rsid w:val="0032311F"/>
    <w:rsid w:val="00323188"/>
    <w:rsid w:val="00323550"/>
    <w:rsid w:val="003235E3"/>
    <w:rsid w:val="00323626"/>
    <w:rsid w:val="00323972"/>
    <w:rsid w:val="00324019"/>
    <w:rsid w:val="003246EA"/>
    <w:rsid w:val="00324C70"/>
    <w:rsid w:val="00324CD6"/>
    <w:rsid w:val="00324E68"/>
    <w:rsid w:val="00326C60"/>
    <w:rsid w:val="003273BE"/>
    <w:rsid w:val="003275E8"/>
    <w:rsid w:val="00327F19"/>
    <w:rsid w:val="00327F2A"/>
    <w:rsid w:val="00330733"/>
    <w:rsid w:val="00330775"/>
    <w:rsid w:val="00330825"/>
    <w:rsid w:val="00330F44"/>
    <w:rsid w:val="003310D9"/>
    <w:rsid w:val="0033255C"/>
    <w:rsid w:val="00332611"/>
    <w:rsid w:val="00332B48"/>
    <w:rsid w:val="00333FE0"/>
    <w:rsid w:val="0033414E"/>
    <w:rsid w:val="00334B82"/>
    <w:rsid w:val="0033512B"/>
    <w:rsid w:val="0033531B"/>
    <w:rsid w:val="00335339"/>
    <w:rsid w:val="0033617C"/>
    <w:rsid w:val="003365DB"/>
    <w:rsid w:val="00336A08"/>
    <w:rsid w:val="0033710E"/>
    <w:rsid w:val="0033787A"/>
    <w:rsid w:val="00340022"/>
    <w:rsid w:val="0034046D"/>
    <w:rsid w:val="00340548"/>
    <w:rsid w:val="00340A2C"/>
    <w:rsid w:val="00340D03"/>
    <w:rsid w:val="003412C0"/>
    <w:rsid w:val="00341A02"/>
    <w:rsid w:val="00341C4C"/>
    <w:rsid w:val="003420A8"/>
    <w:rsid w:val="003421DA"/>
    <w:rsid w:val="0034278A"/>
    <w:rsid w:val="0034323E"/>
    <w:rsid w:val="003439B7"/>
    <w:rsid w:val="0034479A"/>
    <w:rsid w:val="00344B60"/>
    <w:rsid w:val="003455F0"/>
    <w:rsid w:val="0034691B"/>
    <w:rsid w:val="00346D35"/>
    <w:rsid w:val="00346F62"/>
    <w:rsid w:val="00347034"/>
    <w:rsid w:val="003474EF"/>
    <w:rsid w:val="00347651"/>
    <w:rsid w:val="00347E57"/>
    <w:rsid w:val="0035007B"/>
    <w:rsid w:val="00351DC3"/>
    <w:rsid w:val="003528D6"/>
    <w:rsid w:val="0035292A"/>
    <w:rsid w:val="00352ED5"/>
    <w:rsid w:val="00353839"/>
    <w:rsid w:val="00353B28"/>
    <w:rsid w:val="00353DBC"/>
    <w:rsid w:val="00353FDF"/>
    <w:rsid w:val="00354C14"/>
    <w:rsid w:val="003554D4"/>
    <w:rsid w:val="003554E5"/>
    <w:rsid w:val="00355A76"/>
    <w:rsid w:val="00355C19"/>
    <w:rsid w:val="00355FD2"/>
    <w:rsid w:val="0035643A"/>
    <w:rsid w:val="00356950"/>
    <w:rsid w:val="0035713D"/>
    <w:rsid w:val="00357A19"/>
    <w:rsid w:val="00357AF5"/>
    <w:rsid w:val="00357DED"/>
    <w:rsid w:val="00360280"/>
    <w:rsid w:val="003604D4"/>
    <w:rsid w:val="00361110"/>
    <w:rsid w:val="0036203F"/>
    <w:rsid w:val="0036232C"/>
    <w:rsid w:val="003637AC"/>
    <w:rsid w:val="00363EF5"/>
    <w:rsid w:val="00364309"/>
    <w:rsid w:val="0036442B"/>
    <w:rsid w:val="00365458"/>
    <w:rsid w:val="003654DC"/>
    <w:rsid w:val="0036564E"/>
    <w:rsid w:val="00366D3B"/>
    <w:rsid w:val="00366F19"/>
    <w:rsid w:val="00367FA3"/>
    <w:rsid w:val="003704EC"/>
    <w:rsid w:val="00370833"/>
    <w:rsid w:val="00370BC6"/>
    <w:rsid w:val="0037111B"/>
    <w:rsid w:val="003721F2"/>
    <w:rsid w:val="00372A93"/>
    <w:rsid w:val="00373DCF"/>
    <w:rsid w:val="003745CB"/>
    <w:rsid w:val="00374968"/>
    <w:rsid w:val="00375513"/>
    <w:rsid w:val="00376022"/>
    <w:rsid w:val="0037632F"/>
    <w:rsid w:val="003766F9"/>
    <w:rsid w:val="003770EA"/>
    <w:rsid w:val="00377724"/>
    <w:rsid w:val="00377B70"/>
    <w:rsid w:val="00377C0B"/>
    <w:rsid w:val="00377C7B"/>
    <w:rsid w:val="00377C84"/>
    <w:rsid w:val="0038004E"/>
    <w:rsid w:val="00380172"/>
    <w:rsid w:val="00380531"/>
    <w:rsid w:val="00380550"/>
    <w:rsid w:val="003816E8"/>
    <w:rsid w:val="0038279B"/>
    <w:rsid w:val="00382CE6"/>
    <w:rsid w:val="00383494"/>
    <w:rsid w:val="003836E1"/>
    <w:rsid w:val="00383B8F"/>
    <w:rsid w:val="00383BA6"/>
    <w:rsid w:val="00383F96"/>
    <w:rsid w:val="00383FAE"/>
    <w:rsid w:val="003840CF"/>
    <w:rsid w:val="00384167"/>
    <w:rsid w:val="00384AB4"/>
    <w:rsid w:val="003852E9"/>
    <w:rsid w:val="00385447"/>
    <w:rsid w:val="00385A97"/>
    <w:rsid w:val="00385C57"/>
    <w:rsid w:val="00385D8B"/>
    <w:rsid w:val="00386729"/>
    <w:rsid w:val="00386915"/>
    <w:rsid w:val="00386C88"/>
    <w:rsid w:val="003872D2"/>
    <w:rsid w:val="00387E3C"/>
    <w:rsid w:val="00390071"/>
    <w:rsid w:val="00390347"/>
    <w:rsid w:val="0039051D"/>
    <w:rsid w:val="00390ABE"/>
    <w:rsid w:val="0039105E"/>
    <w:rsid w:val="00391162"/>
    <w:rsid w:val="00391B61"/>
    <w:rsid w:val="00392C8D"/>
    <w:rsid w:val="00393075"/>
    <w:rsid w:val="00393331"/>
    <w:rsid w:val="00393A8B"/>
    <w:rsid w:val="00394047"/>
    <w:rsid w:val="00394B9E"/>
    <w:rsid w:val="00394F10"/>
    <w:rsid w:val="0039551D"/>
    <w:rsid w:val="00395BD8"/>
    <w:rsid w:val="0039634D"/>
    <w:rsid w:val="0039716C"/>
    <w:rsid w:val="00397FF5"/>
    <w:rsid w:val="003A02DA"/>
    <w:rsid w:val="003A11D6"/>
    <w:rsid w:val="003A19F4"/>
    <w:rsid w:val="003A1AF5"/>
    <w:rsid w:val="003A1DA2"/>
    <w:rsid w:val="003A1E33"/>
    <w:rsid w:val="003A1E5C"/>
    <w:rsid w:val="003A2BE0"/>
    <w:rsid w:val="003A2E44"/>
    <w:rsid w:val="003A3019"/>
    <w:rsid w:val="003A3129"/>
    <w:rsid w:val="003A3399"/>
    <w:rsid w:val="003A37E5"/>
    <w:rsid w:val="003A3D3E"/>
    <w:rsid w:val="003A447C"/>
    <w:rsid w:val="003A45D3"/>
    <w:rsid w:val="003A5493"/>
    <w:rsid w:val="003A5870"/>
    <w:rsid w:val="003A60E7"/>
    <w:rsid w:val="003A647F"/>
    <w:rsid w:val="003A6625"/>
    <w:rsid w:val="003A6852"/>
    <w:rsid w:val="003A6932"/>
    <w:rsid w:val="003A69F2"/>
    <w:rsid w:val="003A7186"/>
    <w:rsid w:val="003A739F"/>
    <w:rsid w:val="003A7FEF"/>
    <w:rsid w:val="003B0214"/>
    <w:rsid w:val="003B02EB"/>
    <w:rsid w:val="003B0633"/>
    <w:rsid w:val="003B06F4"/>
    <w:rsid w:val="003B0745"/>
    <w:rsid w:val="003B097C"/>
    <w:rsid w:val="003B0A80"/>
    <w:rsid w:val="003B0DD7"/>
    <w:rsid w:val="003B2413"/>
    <w:rsid w:val="003B2AC1"/>
    <w:rsid w:val="003B2F04"/>
    <w:rsid w:val="003B2F58"/>
    <w:rsid w:val="003B302D"/>
    <w:rsid w:val="003B38AA"/>
    <w:rsid w:val="003B39B2"/>
    <w:rsid w:val="003B3DA7"/>
    <w:rsid w:val="003B3E42"/>
    <w:rsid w:val="003B4225"/>
    <w:rsid w:val="003B46CE"/>
    <w:rsid w:val="003B47F7"/>
    <w:rsid w:val="003B4A65"/>
    <w:rsid w:val="003B5329"/>
    <w:rsid w:val="003B5DEC"/>
    <w:rsid w:val="003B60A2"/>
    <w:rsid w:val="003B6A77"/>
    <w:rsid w:val="003B6DA7"/>
    <w:rsid w:val="003B6FB1"/>
    <w:rsid w:val="003B7419"/>
    <w:rsid w:val="003B7529"/>
    <w:rsid w:val="003C04E7"/>
    <w:rsid w:val="003C0753"/>
    <w:rsid w:val="003C1DA5"/>
    <w:rsid w:val="003C2443"/>
    <w:rsid w:val="003C25D3"/>
    <w:rsid w:val="003C2AE4"/>
    <w:rsid w:val="003C2D69"/>
    <w:rsid w:val="003C2F97"/>
    <w:rsid w:val="003C36FC"/>
    <w:rsid w:val="003C50B9"/>
    <w:rsid w:val="003C59A4"/>
    <w:rsid w:val="003C5BD9"/>
    <w:rsid w:val="003C680D"/>
    <w:rsid w:val="003C68AE"/>
    <w:rsid w:val="003C6EC3"/>
    <w:rsid w:val="003C7318"/>
    <w:rsid w:val="003C75FA"/>
    <w:rsid w:val="003C7863"/>
    <w:rsid w:val="003C7F13"/>
    <w:rsid w:val="003D08AE"/>
    <w:rsid w:val="003D0FB0"/>
    <w:rsid w:val="003D102D"/>
    <w:rsid w:val="003D120C"/>
    <w:rsid w:val="003D21BC"/>
    <w:rsid w:val="003D2AA5"/>
    <w:rsid w:val="003D2E4D"/>
    <w:rsid w:val="003D2F20"/>
    <w:rsid w:val="003D2FD9"/>
    <w:rsid w:val="003D32C6"/>
    <w:rsid w:val="003D337D"/>
    <w:rsid w:val="003D3F78"/>
    <w:rsid w:val="003D46BA"/>
    <w:rsid w:val="003D4851"/>
    <w:rsid w:val="003D4DFE"/>
    <w:rsid w:val="003D5903"/>
    <w:rsid w:val="003D6171"/>
    <w:rsid w:val="003D63A0"/>
    <w:rsid w:val="003D63B4"/>
    <w:rsid w:val="003D7929"/>
    <w:rsid w:val="003D7A7F"/>
    <w:rsid w:val="003E0242"/>
    <w:rsid w:val="003E030D"/>
    <w:rsid w:val="003E05A1"/>
    <w:rsid w:val="003E0770"/>
    <w:rsid w:val="003E0C1F"/>
    <w:rsid w:val="003E0D92"/>
    <w:rsid w:val="003E16CA"/>
    <w:rsid w:val="003E1B7C"/>
    <w:rsid w:val="003E1CB1"/>
    <w:rsid w:val="003E1D7B"/>
    <w:rsid w:val="003E20C1"/>
    <w:rsid w:val="003E269C"/>
    <w:rsid w:val="003E2885"/>
    <w:rsid w:val="003E2F23"/>
    <w:rsid w:val="003E2FA7"/>
    <w:rsid w:val="003E3C10"/>
    <w:rsid w:val="003E424E"/>
    <w:rsid w:val="003E49C2"/>
    <w:rsid w:val="003E4A7A"/>
    <w:rsid w:val="003E5D74"/>
    <w:rsid w:val="003E6773"/>
    <w:rsid w:val="003E7084"/>
    <w:rsid w:val="003E7447"/>
    <w:rsid w:val="003F0E8D"/>
    <w:rsid w:val="003F1278"/>
    <w:rsid w:val="003F1652"/>
    <w:rsid w:val="003F1983"/>
    <w:rsid w:val="003F1A25"/>
    <w:rsid w:val="003F1A9B"/>
    <w:rsid w:val="003F20B3"/>
    <w:rsid w:val="003F2DB3"/>
    <w:rsid w:val="003F32B7"/>
    <w:rsid w:val="003F4A42"/>
    <w:rsid w:val="003F53B6"/>
    <w:rsid w:val="003F5543"/>
    <w:rsid w:val="003F5941"/>
    <w:rsid w:val="003F6360"/>
    <w:rsid w:val="003F69BF"/>
    <w:rsid w:val="003F6ABD"/>
    <w:rsid w:val="003F6F88"/>
    <w:rsid w:val="003F73A6"/>
    <w:rsid w:val="003F7E6A"/>
    <w:rsid w:val="004016F4"/>
    <w:rsid w:val="00401CF1"/>
    <w:rsid w:val="00402141"/>
    <w:rsid w:val="00402E82"/>
    <w:rsid w:val="00403AA7"/>
    <w:rsid w:val="00403FC0"/>
    <w:rsid w:val="00403FE2"/>
    <w:rsid w:val="0040404B"/>
    <w:rsid w:val="00404998"/>
    <w:rsid w:val="00404F8F"/>
    <w:rsid w:val="00405193"/>
    <w:rsid w:val="00405277"/>
    <w:rsid w:val="00405399"/>
    <w:rsid w:val="0040611F"/>
    <w:rsid w:val="004064B7"/>
    <w:rsid w:val="00406728"/>
    <w:rsid w:val="0040687D"/>
    <w:rsid w:val="00406A81"/>
    <w:rsid w:val="00407B9F"/>
    <w:rsid w:val="00407DCD"/>
    <w:rsid w:val="00410CC0"/>
    <w:rsid w:val="004114C1"/>
    <w:rsid w:val="00411612"/>
    <w:rsid w:val="00411F51"/>
    <w:rsid w:val="004122A3"/>
    <w:rsid w:val="004125BD"/>
    <w:rsid w:val="00412CF1"/>
    <w:rsid w:val="00412F61"/>
    <w:rsid w:val="00413472"/>
    <w:rsid w:val="00413846"/>
    <w:rsid w:val="004139C5"/>
    <w:rsid w:val="00413AC1"/>
    <w:rsid w:val="0041420A"/>
    <w:rsid w:val="00414DDB"/>
    <w:rsid w:val="00415446"/>
    <w:rsid w:val="0041634D"/>
    <w:rsid w:val="004175F2"/>
    <w:rsid w:val="00417B6E"/>
    <w:rsid w:val="00421031"/>
    <w:rsid w:val="0042137A"/>
    <w:rsid w:val="00421439"/>
    <w:rsid w:val="004214BF"/>
    <w:rsid w:val="00421A72"/>
    <w:rsid w:val="00421EB3"/>
    <w:rsid w:val="00422487"/>
    <w:rsid w:val="0042273B"/>
    <w:rsid w:val="00422BED"/>
    <w:rsid w:val="00422C5D"/>
    <w:rsid w:val="00422FE4"/>
    <w:rsid w:val="004237E2"/>
    <w:rsid w:val="004244F6"/>
    <w:rsid w:val="00424560"/>
    <w:rsid w:val="00424B0E"/>
    <w:rsid w:val="00425EC4"/>
    <w:rsid w:val="004262F3"/>
    <w:rsid w:val="00426391"/>
    <w:rsid w:val="004264BF"/>
    <w:rsid w:val="00426D94"/>
    <w:rsid w:val="00426E70"/>
    <w:rsid w:val="00426F6C"/>
    <w:rsid w:val="00427112"/>
    <w:rsid w:val="0042741F"/>
    <w:rsid w:val="0042748D"/>
    <w:rsid w:val="0042794E"/>
    <w:rsid w:val="004304AC"/>
    <w:rsid w:val="00430B02"/>
    <w:rsid w:val="00430D4B"/>
    <w:rsid w:val="00430E79"/>
    <w:rsid w:val="0043143E"/>
    <w:rsid w:val="004316DB"/>
    <w:rsid w:val="00431759"/>
    <w:rsid w:val="00431DDD"/>
    <w:rsid w:val="004320E1"/>
    <w:rsid w:val="004326DF"/>
    <w:rsid w:val="00432BB1"/>
    <w:rsid w:val="00432F15"/>
    <w:rsid w:val="00434378"/>
    <w:rsid w:val="004347B7"/>
    <w:rsid w:val="004347F7"/>
    <w:rsid w:val="00434C87"/>
    <w:rsid w:val="004354CB"/>
    <w:rsid w:val="00435BA7"/>
    <w:rsid w:val="00435F4B"/>
    <w:rsid w:val="0043607F"/>
    <w:rsid w:val="00436EBF"/>
    <w:rsid w:val="004372ED"/>
    <w:rsid w:val="0043783A"/>
    <w:rsid w:val="004379D3"/>
    <w:rsid w:val="00437B61"/>
    <w:rsid w:val="00437B8B"/>
    <w:rsid w:val="00437E9C"/>
    <w:rsid w:val="00440226"/>
    <w:rsid w:val="00440511"/>
    <w:rsid w:val="00440539"/>
    <w:rsid w:val="0044056E"/>
    <w:rsid w:val="004408D9"/>
    <w:rsid w:val="004409D9"/>
    <w:rsid w:val="00440BBF"/>
    <w:rsid w:val="00441096"/>
    <w:rsid w:val="004410D1"/>
    <w:rsid w:val="004414F9"/>
    <w:rsid w:val="00441D07"/>
    <w:rsid w:val="0044272A"/>
    <w:rsid w:val="00442A33"/>
    <w:rsid w:val="00442EAF"/>
    <w:rsid w:val="00443E78"/>
    <w:rsid w:val="0044424C"/>
    <w:rsid w:val="00444568"/>
    <w:rsid w:val="00444C71"/>
    <w:rsid w:val="00444F54"/>
    <w:rsid w:val="00445552"/>
    <w:rsid w:val="004459AA"/>
    <w:rsid w:val="00446987"/>
    <w:rsid w:val="00446F12"/>
    <w:rsid w:val="004472F2"/>
    <w:rsid w:val="004473E8"/>
    <w:rsid w:val="00447884"/>
    <w:rsid w:val="00447EAE"/>
    <w:rsid w:val="0045072C"/>
    <w:rsid w:val="00450789"/>
    <w:rsid w:val="0045092B"/>
    <w:rsid w:val="00450EE1"/>
    <w:rsid w:val="004516B4"/>
    <w:rsid w:val="00451CF4"/>
    <w:rsid w:val="004522A5"/>
    <w:rsid w:val="00452412"/>
    <w:rsid w:val="00452A50"/>
    <w:rsid w:val="00453B83"/>
    <w:rsid w:val="00453BD6"/>
    <w:rsid w:val="00454546"/>
    <w:rsid w:val="004547F4"/>
    <w:rsid w:val="00455235"/>
    <w:rsid w:val="004555DB"/>
    <w:rsid w:val="004556C5"/>
    <w:rsid w:val="004557A6"/>
    <w:rsid w:val="0045605B"/>
    <w:rsid w:val="0045617B"/>
    <w:rsid w:val="0045644D"/>
    <w:rsid w:val="00456794"/>
    <w:rsid w:val="00456872"/>
    <w:rsid w:val="00456CA0"/>
    <w:rsid w:val="00457145"/>
    <w:rsid w:val="004574CC"/>
    <w:rsid w:val="00457885"/>
    <w:rsid w:val="00460369"/>
    <w:rsid w:val="0046064C"/>
    <w:rsid w:val="00460A6A"/>
    <w:rsid w:val="00460D6A"/>
    <w:rsid w:val="00460E25"/>
    <w:rsid w:val="00460E8C"/>
    <w:rsid w:val="00460F5D"/>
    <w:rsid w:val="00461049"/>
    <w:rsid w:val="00461415"/>
    <w:rsid w:val="00461BCF"/>
    <w:rsid w:val="00461E2C"/>
    <w:rsid w:val="00462B46"/>
    <w:rsid w:val="0046329E"/>
    <w:rsid w:val="004633BA"/>
    <w:rsid w:val="004638F8"/>
    <w:rsid w:val="00463F2F"/>
    <w:rsid w:val="0046587D"/>
    <w:rsid w:val="00465D9E"/>
    <w:rsid w:val="00465F43"/>
    <w:rsid w:val="004661BF"/>
    <w:rsid w:val="00466312"/>
    <w:rsid w:val="0046678B"/>
    <w:rsid w:val="00466BF2"/>
    <w:rsid w:val="004671D7"/>
    <w:rsid w:val="004679B8"/>
    <w:rsid w:val="00467E4D"/>
    <w:rsid w:val="00467F28"/>
    <w:rsid w:val="004701CD"/>
    <w:rsid w:val="0047039C"/>
    <w:rsid w:val="004708D9"/>
    <w:rsid w:val="00470F00"/>
    <w:rsid w:val="00470FE8"/>
    <w:rsid w:val="0047139C"/>
    <w:rsid w:val="00471734"/>
    <w:rsid w:val="00471B5F"/>
    <w:rsid w:val="00472058"/>
    <w:rsid w:val="004724D6"/>
    <w:rsid w:val="004730CA"/>
    <w:rsid w:val="00473778"/>
    <w:rsid w:val="00473791"/>
    <w:rsid w:val="00473A65"/>
    <w:rsid w:val="00474142"/>
    <w:rsid w:val="004741EE"/>
    <w:rsid w:val="0047454B"/>
    <w:rsid w:val="00474C1E"/>
    <w:rsid w:val="0047510C"/>
    <w:rsid w:val="00476355"/>
    <w:rsid w:val="004763EB"/>
    <w:rsid w:val="004768A4"/>
    <w:rsid w:val="00476966"/>
    <w:rsid w:val="00477F30"/>
    <w:rsid w:val="004803C6"/>
    <w:rsid w:val="0048044E"/>
    <w:rsid w:val="004806AE"/>
    <w:rsid w:val="00480B15"/>
    <w:rsid w:val="00480F92"/>
    <w:rsid w:val="00481917"/>
    <w:rsid w:val="00481993"/>
    <w:rsid w:val="00481C64"/>
    <w:rsid w:val="00482067"/>
    <w:rsid w:val="00482241"/>
    <w:rsid w:val="0048278F"/>
    <w:rsid w:val="00482B3C"/>
    <w:rsid w:val="00482DF2"/>
    <w:rsid w:val="00483612"/>
    <w:rsid w:val="00483D12"/>
    <w:rsid w:val="00483EFB"/>
    <w:rsid w:val="004845B1"/>
    <w:rsid w:val="00484609"/>
    <w:rsid w:val="0048496E"/>
    <w:rsid w:val="00484F14"/>
    <w:rsid w:val="0048653F"/>
    <w:rsid w:val="00486DA6"/>
    <w:rsid w:val="00486F10"/>
    <w:rsid w:val="00487554"/>
    <w:rsid w:val="0048761E"/>
    <w:rsid w:val="00490868"/>
    <w:rsid w:val="00491F2F"/>
    <w:rsid w:val="0049293C"/>
    <w:rsid w:val="00492CD5"/>
    <w:rsid w:val="00492E70"/>
    <w:rsid w:val="004935E4"/>
    <w:rsid w:val="00494CE7"/>
    <w:rsid w:val="004952E6"/>
    <w:rsid w:val="004954D8"/>
    <w:rsid w:val="0049550C"/>
    <w:rsid w:val="004959AE"/>
    <w:rsid w:val="00495BDC"/>
    <w:rsid w:val="00495F0E"/>
    <w:rsid w:val="004965C5"/>
    <w:rsid w:val="00496FAA"/>
    <w:rsid w:val="004973F8"/>
    <w:rsid w:val="0049798A"/>
    <w:rsid w:val="004979B7"/>
    <w:rsid w:val="004A010A"/>
    <w:rsid w:val="004A0B23"/>
    <w:rsid w:val="004A0E6E"/>
    <w:rsid w:val="004A0F51"/>
    <w:rsid w:val="004A12C4"/>
    <w:rsid w:val="004A145F"/>
    <w:rsid w:val="004A1A07"/>
    <w:rsid w:val="004A1BBC"/>
    <w:rsid w:val="004A1C55"/>
    <w:rsid w:val="004A2940"/>
    <w:rsid w:val="004A4055"/>
    <w:rsid w:val="004A4A7E"/>
    <w:rsid w:val="004A4AD5"/>
    <w:rsid w:val="004A4FDE"/>
    <w:rsid w:val="004A5449"/>
    <w:rsid w:val="004A548A"/>
    <w:rsid w:val="004A552B"/>
    <w:rsid w:val="004A60EF"/>
    <w:rsid w:val="004A788F"/>
    <w:rsid w:val="004A7AB7"/>
    <w:rsid w:val="004B0317"/>
    <w:rsid w:val="004B083F"/>
    <w:rsid w:val="004B0D59"/>
    <w:rsid w:val="004B0DF0"/>
    <w:rsid w:val="004B125F"/>
    <w:rsid w:val="004B2C56"/>
    <w:rsid w:val="004B312E"/>
    <w:rsid w:val="004B390D"/>
    <w:rsid w:val="004B3997"/>
    <w:rsid w:val="004B4636"/>
    <w:rsid w:val="004B489D"/>
    <w:rsid w:val="004B5359"/>
    <w:rsid w:val="004B5C29"/>
    <w:rsid w:val="004B60DE"/>
    <w:rsid w:val="004B67A3"/>
    <w:rsid w:val="004B6AA6"/>
    <w:rsid w:val="004B7E8C"/>
    <w:rsid w:val="004C06EC"/>
    <w:rsid w:val="004C12C1"/>
    <w:rsid w:val="004C15EC"/>
    <w:rsid w:val="004C19D9"/>
    <w:rsid w:val="004C1C3F"/>
    <w:rsid w:val="004C2263"/>
    <w:rsid w:val="004C264A"/>
    <w:rsid w:val="004C286C"/>
    <w:rsid w:val="004C2C7C"/>
    <w:rsid w:val="004C35F1"/>
    <w:rsid w:val="004C3697"/>
    <w:rsid w:val="004C37D1"/>
    <w:rsid w:val="004C3925"/>
    <w:rsid w:val="004C4295"/>
    <w:rsid w:val="004C43C1"/>
    <w:rsid w:val="004C44E0"/>
    <w:rsid w:val="004C4879"/>
    <w:rsid w:val="004C4D64"/>
    <w:rsid w:val="004C5121"/>
    <w:rsid w:val="004C51A2"/>
    <w:rsid w:val="004C5519"/>
    <w:rsid w:val="004C5D29"/>
    <w:rsid w:val="004C6727"/>
    <w:rsid w:val="004C6824"/>
    <w:rsid w:val="004C6C12"/>
    <w:rsid w:val="004C6C94"/>
    <w:rsid w:val="004C6DA0"/>
    <w:rsid w:val="004C6ECF"/>
    <w:rsid w:val="004C6F42"/>
    <w:rsid w:val="004C7ABF"/>
    <w:rsid w:val="004C7B0B"/>
    <w:rsid w:val="004D008A"/>
    <w:rsid w:val="004D07E9"/>
    <w:rsid w:val="004D0BBE"/>
    <w:rsid w:val="004D0FAF"/>
    <w:rsid w:val="004D1229"/>
    <w:rsid w:val="004D14DF"/>
    <w:rsid w:val="004D15B2"/>
    <w:rsid w:val="004D1B6B"/>
    <w:rsid w:val="004D1DF1"/>
    <w:rsid w:val="004D1E05"/>
    <w:rsid w:val="004D2438"/>
    <w:rsid w:val="004D2699"/>
    <w:rsid w:val="004D276E"/>
    <w:rsid w:val="004D2DAA"/>
    <w:rsid w:val="004D3843"/>
    <w:rsid w:val="004D3A3D"/>
    <w:rsid w:val="004D3AA7"/>
    <w:rsid w:val="004D3C97"/>
    <w:rsid w:val="004D3F19"/>
    <w:rsid w:val="004D3FC8"/>
    <w:rsid w:val="004D4ED0"/>
    <w:rsid w:val="004D5109"/>
    <w:rsid w:val="004D5440"/>
    <w:rsid w:val="004D57B4"/>
    <w:rsid w:val="004D5A94"/>
    <w:rsid w:val="004D65CC"/>
    <w:rsid w:val="004D712E"/>
    <w:rsid w:val="004D734A"/>
    <w:rsid w:val="004D7356"/>
    <w:rsid w:val="004D75E1"/>
    <w:rsid w:val="004D780B"/>
    <w:rsid w:val="004D7B8E"/>
    <w:rsid w:val="004D7E63"/>
    <w:rsid w:val="004E00D2"/>
    <w:rsid w:val="004E01FF"/>
    <w:rsid w:val="004E0610"/>
    <w:rsid w:val="004E0F1B"/>
    <w:rsid w:val="004E13F2"/>
    <w:rsid w:val="004E152A"/>
    <w:rsid w:val="004E15B1"/>
    <w:rsid w:val="004E18AC"/>
    <w:rsid w:val="004E1986"/>
    <w:rsid w:val="004E1FA6"/>
    <w:rsid w:val="004E277A"/>
    <w:rsid w:val="004E2BF7"/>
    <w:rsid w:val="004E31A2"/>
    <w:rsid w:val="004E39C4"/>
    <w:rsid w:val="004E4031"/>
    <w:rsid w:val="004E4223"/>
    <w:rsid w:val="004E4E4E"/>
    <w:rsid w:val="004E57A6"/>
    <w:rsid w:val="004E6479"/>
    <w:rsid w:val="004E6CCF"/>
    <w:rsid w:val="004E7445"/>
    <w:rsid w:val="004E7929"/>
    <w:rsid w:val="004E7E37"/>
    <w:rsid w:val="004E7E67"/>
    <w:rsid w:val="004F0741"/>
    <w:rsid w:val="004F0864"/>
    <w:rsid w:val="004F0991"/>
    <w:rsid w:val="004F0A91"/>
    <w:rsid w:val="004F0BD9"/>
    <w:rsid w:val="004F0C63"/>
    <w:rsid w:val="004F0F39"/>
    <w:rsid w:val="004F1D75"/>
    <w:rsid w:val="004F1DB1"/>
    <w:rsid w:val="004F24A7"/>
    <w:rsid w:val="004F2E0D"/>
    <w:rsid w:val="004F2FF8"/>
    <w:rsid w:val="004F36E4"/>
    <w:rsid w:val="004F37DB"/>
    <w:rsid w:val="004F397B"/>
    <w:rsid w:val="004F4169"/>
    <w:rsid w:val="004F4303"/>
    <w:rsid w:val="004F43E9"/>
    <w:rsid w:val="004F593F"/>
    <w:rsid w:val="004F5E67"/>
    <w:rsid w:val="004F7A7F"/>
    <w:rsid w:val="004F7B38"/>
    <w:rsid w:val="004F7C43"/>
    <w:rsid w:val="00500583"/>
    <w:rsid w:val="00500715"/>
    <w:rsid w:val="0050072E"/>
    <w:rsid w:val="005011DD"/>
    <w:rsid w:val="005016D6"/>
    <w:rsid w:val="00501974"/>
    <w:rsid w:val="00501F4F"/>
    <w:rsid w:val="005024B3"/>
    <w:rsid w:val="005039A8"/>
    <w:rsid w:val="00504643"/>
    <w:rsid w:val="005047BC"/>
    <w:rsid w:val="005048FD"/>
    <w:rsid w:val="00504A4B"/>
    <w:rsid w:val="00504E1D"/>
    <w:rsid w:val="00504EE1"/>
    <w:rsid w:val="00504F11"/>
    <w:rsid w:val="00505E00"/>
    <w:rsid w:val="00505EE1"/>
    <w:rsid w:val="005064AF"/>
    <w:rsid w:val="00506B22"/>
    <w:rsid w:val="00507134"/>
    <w:rsid w:val="005076E5"/>
    <w:rsid w:val="00507DBF"/>
    <w:rsid w:val="00510B48"/>
    <w:rsid w:val="00510E78"/>
    <w:rsid w:val="00512FD1"/>
    <w:rsid w:val="00513134"/>
    <w:rsid w:val="005133CF"/>
    <w:rsid w:val="00513502"/>
    <w:rsid w:val="0051357D"/>
    <w:rsid w:val="00513B69"/>
    <w:rsid w:val="00513C10"/>
    <w:rsid w:val="00513CDF"/>
    <w:rsid w:val="00514616"/>
    <w:rsid w:val="00514875"/>
    <w:rsid w:val="00514D90"/>
    <w:rsid w:val="00514E4E"/>
    <w:rsid w:val="00515884"/>
    <w:rsid w:val="00515BF6"/>
    <w:rsid w:val="00516893"/>
    <w:rsid w:val="00516AA3"/>
    <w:rsid w:val="00516DBD"/>
    <w:rsid w:val="00517FB9"/>
    <w:rsid w:val="005202AD"/>
    <w:rsid w:val="00520985"/>
    <w:rsid w:val="00520A77"/>
    <w:rsid w:val="0052238B"/>
    <w:rsid w:val="00522C53"/>
    <w:rsid w:val="0052336C"/>
    <w:rsid w:val="00523440"/>
    <w:rsid w:val="005235DC"/>
    <w:rsid w:val="005246F0"/>
    <w:rsid w:val="00524AF1"/>
    <w:rsid w:val="00524F33"/>
    <w:rsid w:val="00524FE5"/>
    <w:rsid w:val="00526632"/>
    <w:rsid w:val="00526658"/>
    <w:rsid w:val="00526C09"/>
    <w:rsid w:val="00527F0F"/>
    <w:rsid w:val="0053046D"/>
    <w:rsid w:val="0053054C"/>
    <w:rsid w:val="005314D6"/>
    <w:rsid w:val="00531829"/>
    <w:rsid w:val="0053186F"/>
    <w:rsid w:val="00531C4A"/>
    <w:rsid w:val="00531EED"/>
    <w:rsid w:val="00532069"/>
    <w:rsid w:val="00532910"/>
    <w:rsid w:val="00533052"/>
    <w:rsid w:val="005331E0"/>
    <w:rsid w:val="0053322C"/>
    <w:rsid w:val="005334A4"/>
    <w:rsid w:val="00533BC6"/>
    <w:rsid w:val="00533C95"/>
    <w:rsid w:val="00533EAF"/>
    <w:rsid w:val="005345E0"/>
    <w:rsid w:val="00535B04"/>
    <w:rsid w:val="00537AE3"/>
    <w:rsid w:val="00537B37"/>
    <w:rsid w:val="00537F02"/>
    <w:rsid w:val="0054057E"/>
    <w:rsid w:val="00540CDB"/>
    <w:rsid w:val="00541A83"/>
    <w:rsid w:val="00541C25"/>
    <w:rsid w:val="0054231F"/>
    <w:rsid w:val="0054359A"/>
    <w:rsid w:val="00543CB7"/>
    <w:rsid w:val="005440FD"/>
    <w:rsid w:val="005448B3"/>
    <w:rsid w:val="00544D70"/>
    <w:rsid w:val="00545151"/>
    <w:rsid w:val="0054584B"/>
    <w:rsid w:val="005461B7"/>
    <w:rsid w:val="00546A5D"/>
    <w:rsid w:val="00546D43"/>
    <w:rsid w:val="00547270"/>
    <w:rsid w:val="005478AA"/>
    <w:rsid w:val="00547A2B"/>
    <w:rsid w:val="00547E2D"/>
    <w:rsid w:val="00550147"/>
    <w:rsid w:val="0055015E"/>
    <w:rsid w:val="005508C4"/>
    <w:rsid w:val="00550CE8"/>
    <w:rsid w:val="00550D32"/>
    <w:rsid w:val="00551814"/>
    <w:rsid w:val="00551B6B"/>
    <w:rsid w:val="00552248"/>
    <w:rsid w:val="005527D5"/>
    <w:rsid w:val="00553AF8"/>
    <w:rsid w:val="00553B08"/>
    <w:rsid w:val="00554518"/>
    <w:rsid w:val="005545F1"/>
    <w:rsid w:val="00554795"/>
    <w:rsid w:val="00555042"/>
    <w:rsid w:val="00555500"/>
    <w:rsid w:val="005558FE"/>
    <w:rsid w:val="00555B6A"/>
    <w:rsid w:val="0055626C"/>
    <w:rsid w:val="005564C9"/>
    <w:rsid w:val="005566AA"/>
    <w:rsid w:val="00556CC3"/>
    <w:rsid w:val="00556F1E"/>
    <w:rsid w:val="00557216"/>
    <w:rsid w:val="00557758"/>
    <w:rsid w:val="00557D4C"/>
    <w:rsid w:val="00557FD9"/>
    <w:rsid w:val="0056027C"/>
    <w:rsid w:val="00560409"/>
    <w:rsid w:val="005606EA"/>
    <w:rsid w:val="00560A1E"/>
    <w:rsid w:val="0056100F"/>
    <w:rsid w:val="0056156F"/>
    <w:rsid w:val="0056182C"/>
    <w:rsid w:val="00561A02"/>
    <w:rsid w:val="00561E96"/>
    <w:rsid w:val="005624EA"/>
    <w:rsid w:val="005627CD"/>
    <w:rsid w:val="00562E80"/>
    <w:rsid w:val="00564B7F"/>
    <w:rsid w:val="00564BA9"/>
    <w:rsid w:val="0056534B"/>
    <w:rsid w:val="00565EB7"/>
    <w:rsid w:val="00566377"/>
    <w:rsid w:val="005663AD"/>
    <w:rsid w:val="00566882"/>
    <w:rsid w:val="0056696D"/>
    <w:rsid w:val="00566C0F"/>
    <w:rsid w:val="0056755F"/>
    <w:rsid w:val="00567ADA"/>
    <w:rsid w:val="00567D08"/>
    <w:rsid w:val="00567EE3"/>
    <w:rsid w:val="005718CC"/>
    <w:rsid w:val="00571B9E"/>
    <w:rsid w:val="00571D1C"/>
    <w:rsid w:val="00571DC6"/>
    <w:rsid w:val="00571ED2"/>
    <w:rsid w:val="005727EE"/>
    <w:rsid w:val="005727F9"/>
    <w:rsid w:val="00572E04"/>
    <w:rsid w:val="00573107"/>
    <w:rsid w:val="0057322E"/>
    <w:rsid w:val="0057328E"/>
    <w:rsid w:val="00573579"/>
    <w:rsid w:val="00573633"/>
    <w:rsid w:val="005749AE"/>
    <w:rsid w:val="00574EB0"/>
    <w:rsid w:val="005752F2"/>
    <w:rsid w:val="0057590F"/>
    <w:rsid w:val="00576C2B"/>
    <w:rsid w:val="00576D00"/>
    <w:rsid w:val="005776AE"/>
    <w:rsid w:val="00580394"/>
    <w:rsid w:val="005808CA"/>
    <w:rsid w:val="00580A73"/>
    <w:rsid w:val="00580D98"/>
    <w:rsid w:val="00580F2E"/>
    <w:rsid w:val="00581151"/>
    <w:rsid w:val="00581E1A"/>
    <w:rsid w:val="0058288E"/>
    <w:rsid w:val="00582E5E"/>
    <w:rsid w:val="00583128"/>
    <w:rsid w:val="00585888"/>
    <w:rsid w:val="00585C3B"/>
    <w:rsid w:val="00586542"/>
    <w:rsid w:val="00587216"/>
    <w:rsid w:val="00587C9F"/>
    <w:rsid w:val="00587D28"/>
    <w:rsid w:val="00587E3E"/>
    <w:rsid w:val="00590284"/>
    <w:rsid w:val="0059054E"/>
    <w:rsid w:val="00590E22"/>
    <w:rsid w:val="00593017"/>
    <w:rsid w:val="00593A2A"/>
    <w:rsid w:val="00593BDF"/>
    <w:rsid w:val="00594017"/>
    <w:rsid w:val="0059417B"/>
    <w:rsid w:val="0059527F"/>
    <w:rsid w:val="00595846"/>
    <w:rsid w:val="00595CF5"/>
    <w:rsid w:val="005961DD"/>
    <w:rsid w:val="00596915"/>
    <w:rsid w:val="00596DAD"/>
    <w:rsid w:val="00596DE5"/>
    <w:rsid w:val="00597391"/>
    <w:rsid w:val="005974C1"/>
    <w:rsid w:val="00597620"/>
    <w:rsid w:val="005976E6"/>
    <w:rsid w:val="00597947"/>
    <w:rsid w:val="00597C89"/>
    <w:rsid w:val="00597CF7"/>
    <w:rsid w:val="00597D78"/>
    <w:rsid w:val="005A0069"/>
    <w:rsid w:val="005A0C59"/>
    <w:rsid w:val="005A1BCB"/>
    <w:rsid w:val="005A1C7B"/>
    <w:rsid w:val="005A2140"/>
    <w:rsid w:val="005A2E99"/>
    <w:rsid w:val="005A301C"/>
    <w:rsid w:val="005A32AA"/>
    <w:rsid w:val="005A3561"/>
    <w:rsid w:val="005A3566"/>
    <w:rsid w:val="005A421E"/>
    <w:rsid w:val="005A472A"/>
    <w:rsid w:val="005A4A20"/>
    <w:rsid w:val="005A50F1"/>
    <w:rsid w:val="005A53D2"/>
    <w:rsid w:val="005A5BCB"/>
    <w:rsid w:val="005A6E8B"/>
    <w:rsid w:val="005A7828"/>
    <w:rsid w:val="005B00A8"/>
    <w:rsid w:val="005B0BE8"/>
    <w:rsid w:val="005B0C52"/>
    <w:rsid w:val="005B1232"/>
    <w:rsid w:val="005B1A5A"/>
    <w:rsid w:val="005B1A7C"/>
    <w:rsid w:val="005B1D54"/>
    <w:rsid w:val="005B2BEA"/>
    <w:rsid w:val="005B2E24"/>
    <w:rsid w:val="005B326C"/>
    <w:rsid w:val="005B328B"/>
    <w:rsid w:val="005B3418"/>
    <w:rsid w:val="005B3562"/>
    <w:rsid w:val="005B35DF"/>
    <w:rsid w:val="005B3F46"/>
    <w:rsid w:val="005B42A4"/>
    <w:rsid w:val="005B4418"/>
    <w:rsid w:val="005B446C"/>
    <w:rsid w:val="005B4A2F"/>
    <w:rsid w:val="005B510D"/>
    <w:rsid w:val="005B55A9"/>
    <w:rsid w:val="005B5807"/>
    <w:rsid w:val="005B5EE4"/>
    <w:rsid w:val="005B5FC8"/>
    <w:rsid w:val="005B644E"/>
    <w:rsid w:val="005B6880"/>
    <w:rsid w:val="005B68AB"/>
    <w:rsid w:val="005B6957"/>
    <w:rsid w:val="005B7585"/>
    <w:rsid w:val="005B7932"/>
    <w:rsid w:val="005C0AA0"/>
    <w:rsid w:val="005C0D66"/>
    <w:rsid w:val="005C0D8D"/>
    <w:rsid w:val="005C10C9"/>
    <w:rsid w:val="005C178F"/>
    <w:rsid w:val="005C1844"/>
    <w:rsid w:val="005C3175"/>
    <w:rsid w:val="005C3388"/>
    <w:rsid w:val="005C3402"/>
    <w:rsid w:val="005C381B"/>
    <w:rsid w:val="005C395E"/>
    <w:rsid w:val="005C3CAD"/>
    <w:rsid w:val="005C3EF6"/>
    <w:rsid w:val="005C4389"/>
    <w:rsid w:val="005C5630"/>
    <w:rsid w:val="005C622B"/>
    <w:rsid w:val="005C7058"/>
    <w:rsid w:val="005C7405"/>
    <w:rsid w:val="005C752C"/>
    <w:rsid w:val="005C7634"/>
    <w:rsid w:val="005C7E9A"/>
    <w:rsid w:val="005D0262"/>
    <w:rsid w:val="005D02BF"/>
    <w:rsid w:val="005D02E5"/>
    <w:rsid w:val="005D09DF"/>
    <w:rsid w:val="005D262F"/>
    <w:rsid w:val="005D2826"/>
    <w:rsid w:val="005D288E"/>
    <w:rsid w:val="005D3B59"/>
    <w:rsid w:val="005D476B"/>
    <w:rsid w:val="005D4933"/>
    <w:rsid w:val="005D4A84"/>
    <w:rsid w:val="005D4E22"/>
    <w:rsid w:val="005D522D"/>
    <w:rsid w:val="005D619D"/>
    <w:rsid w:val="005D69A1"/>
    <w:rsid w:val="005D69C4"/>
    <w:rsid w:val="005D6D0D"/>
    <w:rsid w:val="005D715F"/>
    <w:rsid w:val="005E0016"/>
    <w:rsid w:val="005E0ABC"/>
    <w:rsid w:val="005E0D7A"/>
    <w:rsid w:val="005E163E"/>
    <w:rsid w:val="005E1DD1"/>
    <w:rsid w:val="005E1F98"/>
    <w:rsid w:val="005E2025"/>
    <w:rsid w:val="005E2302"/>
    <w:rsid w:val="005E276C"/>
    <w:rsid w:val="005E32E6"/>
    <w:rsid w:val="005E46C1"/>
    <w:rsid w:val="005E52EA"/>
    <w:rsid w:val="005E5388"/>
    <w:rsid w:val="005E56FB"/>
    <w:rsid w:val="005E59CB"/>
    <w:rsid w:val="005E6416"/>
    <w:rsid w:val="005E6B03"/>
    <w:rsid w:val="005E74FB"/>
    <w:rsid w:val="005E7E95"/>
    <w:rsid w:val="005F03A0"/>
    <w:rsid w:val="005F0668"/>
    <w:rsid w:val="005F155D"/>
    <w:rsid w:val="005F1B17"/>
    <w:rsid w:val="005F20B4"/>
    <w:rsid w:val="005F240D"/>
    <w:rsid w:val="005F2C73"/>
    <w:rsid w:val="005F395A"/>
    <w:rsid w:val="005F3B64"/>
    <w:rsid w:val="005F46C7"/>
    <w:rsid w:val="005F49DA"/>
    <w:rsid w:val="005F4DA8"/>
    <w:rsid w:val="005F4E4D"/>
    <w:rsid w:val="005F4E80"/>
    <w:rsid w:val="005F519C"/>
    <w:rsid w:val="005F5C60"/>
    <w:rsid w:val="005F6075"/>
    <w:rsid w:val="005F616F"/>
    <w:rsid w:val="005F65CE"/>
    <w:rsid w:val="005F7A04"/>
    <w:rsid w:val="005F7E60"/>
    <w:rsid w:val="0060044A"/>
    <w:rsid w:val="0060062D"/>
    <w:rsid w:val="006007A7"/>
    <w:rsid w:val="006009FD"/>
    <w:rsid w:val="00600A00"/>
    <w:rsid w:val="00601977"/>
    <w:rsid w:val="00601A07"/>
    <w:rsid w:val="00601A15"/>
    <w:rsid w:val="00601DA7"/>
    <w:rsid w:val="0060213D"/>
    <w:rsid w:val="00602A5A"/>
    <w:rsid w:val="00603108"/>
    <w:rsid w:val="006033B3"/>
    <w:rsid w:val="006036C8"/>
    <w:rsid w:val="0060381C"/>
    <w:rsid w:val="00603D44"/>
    <w:rsid w:val="0060472B"/>
    <w:rsid w:val="00604819"/>
    <w:rsid w:val="0060494C"/>
    <w:rsid w:val="00604BA8"/>
    <w:rsid w:val="00604E9D"/>
    <w:rsid w:val="00604F21"/>
    <w:rsid w:val="00605218"/>
    <w:rsid w:val="006057A4"/>
    <w:rsid w:val="00606421"/>
    <w:rsid w:val="00606946"/>
    <w:rsid w:val="0060744A"/>
    <w:rsid w:val="00607D55"/>
    <w:rsid w:val="0061155C"/>
    <w:rsid w:val="00611BAA"/>
    <w:rsid w:val="00611D8C"/>
    <w:rsid w:val="0061210D"/>
    <w:rsid w:val="00612139"/>
    <w:rsid w:val="0061276F"/>
    <w:rsid w:val="006127B2"/>
    <w:rsid w:val="00612F90"/>
    <w:rsid w:val="00613062"/>
    <w:rsid w:val="006137B4"/>
    <w:rsid w:val="00613EC7"/>
    <w:rsid w:val="00613EFC"/>
    <w:rsid w:val="00614A68"/>
    <w:rsid w:val="00614ABD"/>
    <w:rsid w:val="00614F3F"/>
    <w:rsid w:val="00614F59"/>
    <w:rsid w:val="00615057"/>
    <w:rsid w:val="0061522C"/>
    <w:rsid w:val="006153B3"/>
    <w:rsid w:val="00615A83"/>
    <w:rsid w:val="00615B7A"/>
    <w:rsid w:val="00615CB6"/>
    <w:rsid w:val="00616E8C"/>
    <w:rsid w:val="00620701"/>
    <w:rsid w:val="00620927"/>
    <w:rsid w:val="00620A1C"/>
    <w:rsid w:val="006212A0"/>
    <w:rsid w:val="006215AB"/>
    <w:rsid w:val="00621629"/>
    <w:rsid w:val="006217C9"/>
    <w:rsid w:val="00621A13"/>
    <w:rsid w:val="006230F1"/>
    <w:rsid w:val="006232FE"/>
    <w:rsid w:val="00623D32"/>
    <w:rsid w:val="0062432E"/>
    <w:rsid w:val="00624622"/>
    <w:rsid w:val="00624D6C"/>
    <w:rsid w:val="00625167"/>
    <w:rsid w:val="00626ABB"/>
    <w:rsid w:val="00626AF4"/>
    <w:rsid w:val="0062747D"/>
    <w:rsid w:val="006303F9"/>
    <w:rsid w:val="00630EB2"/>
    <w:rsid w:val="00631851"/>
    <w:rsid w:val="006319F0"/>
    <w:rsid w:val="006324BE"/>
    <w:rsid w:val="00632A82"/>
    <w:rsid w:val="0063324F"/>
    <w:rsid w:val="00633609"/>
    <w:rsid w:val="00633B46"/>
    <w:rsid w:val="00633CEA"/>
    <w:rsid w:val="006347B1"/>
    <w:rsid w:val="00634B61"/>
    <w:rsid w:val="00635210"/>
    <w:rsid w:val="0063555E"/>
    <w:rsid w:val="006367EC"/>
    <w:rsid w:val="00636B3D"/>
    <w:rsid w:val="00637147"/>
    <w:rsid w:val="00637C58"/>
    <w:rsid w:val="00640755"/>
    <w:rsid w:val="00640893"/>
    <w:rsid w:val="00640A4B"/>
    <w:rsid w:val="00640B45"/>
    <w:rsid w:val="00641A04"/>
    <w:rsid w:val="00641D84"/>
    <w:rsid w:val="006424F3"/>
    <w:rsid w:val="006426B4"/>
    <w:rsid w:val="00642A1F"/>
    <w:rsid w:val="00642B15"/>
    <w:rsid w:val="006433DB"/>
    <w:rsid w:val="00643F4D"/>
    <w:rsid w:val="00644069"/>
    <w:rsid w:val="00644201"/>
    <w:rsid w:val="00644380"/>
    <w:rsid w:val="00644A73"/>
    <w:rsid w:val="00644BAF"/>
    <w:rsid w:val="0064500D"/>
    <w:rsid w:val="006466E9"/>
    <w:rsid w:val="006478F4"/>
    <w:rsid w:val="00650043"/>
    <w:rsid w:val="006500C9"/>
    <w:rsid w:val="00650827"/>
    <w:rsid w:val="00650A6D"/>
    <w:rsid w:val="006512DF"/>
    <w:rsid w:val="00651592"/>
    <w:rsid w:val="0065177D"/>
    <w:rsid w:val="00651858"/>
    <w:rsid w:val="0065265F"/>
    <w:rsid w:val="00652983"/>
    <w:rsid w:val="006530EB"/>
    <w:rsid w:val="006542FF"/>
    <w:rsid w:val="006544B3"/>
    <w:rsid w:val="006545C4"/>
    <w:rsid w:val="0065486B"/>
    <w:rsid w:val="00654A7F"/>
    <w:rsid w:val="00654CCE"/>
    <w:rsid w:val="00654D8F"/>
    <w:rsid w:val="00655ACF"/>
    <w:rsid w:val="006560AF"/>
    <w:rsid w:val="00656135"/>
    <w:rsid w:val="00657634"/>
    <w:rsid w:val="00657950"/>
    <w:rsid w:val="00657FCE"/>
    <w:rsid w:val="0066017F"/>
    <w:rsid w:val="0066053E"/>
    <w:rsid w:val="00661A7E"/>
    <w:rsid w:val="00661F02"/>
    <w:rsid w:val="0066215F"/>
    <w:rsid w:val="0066260B"/>
    <w:rsid w:val="00662955"/>
    <w:rsid w:val="00662DF0"/>
    <w:rsid w:val="006632E7"/>
    <w:rsid w:val="006634BF"/>
    <w:rsid w:val="00663ADF"/>
    <w:rsid w:val="00663B76"/>
    <w:rsid w:val="006645F8"/>
    <w:rsid w:val="00665739"/>
    <w:rsid w:val="006657F0"/>
    <w:rsid w:val="00665811"/>
    <w:rsid w:val="00665B13"/>
    <w:rsid w:val="00665EE4"/>
    <w:rsid w:val="006662D2"/>
    <w:rsid w:val="00667494"/>
    <w:rsid w:val="00667C4B"/>
    <w:rsid w:val="006705F9"/>
    <w:rsid w:val="00670A75"/>
    <w:rsid w:val="006711F4"/>
    <w:rsid w:val="0067138B"/>
    <w:rsid w:val="0067178F"/>
    <w:rsid w:val="006725A6"/>
    <w:rsid w:val="00672A27"/>
    <w:rsid w:val="00672F7E"/>
    <w:rsid w:val="006733F9"/>
    <w:rsid w:val="00673536"/>
    <w:rsid w:val="00673D6D"/>
    <w:rsid w:val="0067532F"/>
    <w:rsid w:val="0067631C"/>
    <w:rsid w:val="006763D4"/>
    <w:rsid w:val="00677608"/>
    <w:rsid w:val="0067773B"/>
    <w:rsid w:val="00677DEB"/>
    <w:rsid w:val="00677DEE"/>
    <w:rsid w:val="00680724"/>
    <w:rsid w:val="00680A95"/>
    <w:rsid w:val="00680F0E"/>
    <w:rsid w:val="00681085"/>
    <w:rsid w:val="00681697"/>
    <w:rsid w:val="00681753"/>
    <w:rsid w:val="00681AEE"/>
    <w:rsid w:val="006821E3"/>
    <w:rsid w:val="00682E45"/>
    <w:rsid w:val="00682EA3"/>
    <w:rsid w:val="00682FC2"/>
    <w:rsid w:val="00683058"/>
    <w:rsid w:val="00683588"/>
    <w:rsid w:val="006839A5"/>
    <w:rsid w:val="00683D20"/>
    <w:rsid w:val="006848DB"/>
    <w:rsid w:val="00684E2B"/>
    <w:rsid w:val="00684FA3"/>
    <w:rsid w:val="0068538E"/>
    <w:rsid w:val="006867EF"/>
    <w:rsid w:val="006869C2"/>
    <w:rsid w:val="00686BFF"/>
    <w:rsid w:val="006873BE"/>
    <w:rsid w:val="00687AE9"/>
    <w:rsid w:val="006906EF"/>
    <w:rsid w:val="006907D2"/>
    <w:rsid w:val="006909AD"/>
    <w:rsid w:val="0069119D"/>
    <w:rsid w:val="006914E3"/>
    <w:rsid w:val="00692665"/>
    <w:rsid w:val="00693222"/>
    <w:rsid w:val="006934B4"/>
    <w:rsid w:val="0069389E"/>
    <w:rsid w:val="00693AF5"/>
    <w:rsid w:val="00693CCA"/>
    <w:rsid w:val="006948EE"/>
    <w:rsid w:val="00695504"/>
    <w:rsid w:val="006957A8"/>
    <w:rsid w:val="00695BE7"/>
    <w:rsid w:val="00695D65"/>
    <w:rsid w:val="00696763"/>
    <w:rsid w:val="0069692F"/>
    <w:rsid w:val="00696DCD"/>
    <w:rsid w:val="00697E30"/>
    <w:rsid w:val="006A052B"/>
    <w:rsid w:val="006A11D0"/>
    <w:rsid w:val="006A1900"/>
    <w:rsid w:val="006A1A0B"/>
    <w:rsid w:val="006A1C67"/>
    <w:rsid w:val="006A1D83"/>
    <w:rsid w:val="006A295E"/>
    <w:rsid w:val="006A34B1"/>
    <w:rsid w:val="006A3957"/>
    <w:rsid w:val="006A39D6"/>
    <w:rsid w:val="006A3BFC"/>
    <w:rsid w:val="006A467A"/>
    <w:rsid w:val="006A5E09"/>
    <w:rsid w:val="006A5E2A"/>
    <w:rsid w:val="006A6006"/>
    <w:rsid w:val="006A6453"/>
    <w:rsid w:val="006A7378"/>
    <w:rsid w:val="006A7536"/>
    <w:rsid w:val="006A76F6"/>
    <w:rsid w:val="006A7B85"/>
    <w:rsid w:val="006A7E49"/>
    <w:rsid w:val="006A7E74"/>
    <w:rsid w:val="006B03FD"/>
    <w:rsid w:val="006B0652"/>
    <w:rsid w:val="006B077A"/>
    <w:rsid w:val="006B0E57"/>
    <w:rsid w:val="006B1481"/>
    <w:rsid w:val="006B19A0"/>
    <w:rsid w:val="006B2D52"/>
    <w:rsid w:val="006B328F"/>
    <w:rsid w:val="006B383A"/>
    <w:rsid w:val="006B4247"/>
    <w:rsid w:val="006B4C60"/>
    <w:rsid w:val="006B5223"/>
    <w:rsid w:val="006B539A"/>
    <w:rsid w:val="006B58A4"/>
    <w:rsid w:val="006B5F33"/>
    <w:rsid w:val="006B6BF0"/>
    <w:rsid w:val="006B70A4"/>
    <w:rsid w:val="006B7498"/>
    <w:rsid w:val="006B7642"/>
    <w:rsid w:val="006B7808"/>
    <w:rsid w:val="006B7C10"/>
    <w:rsid w:val="006C012C"/>
    <w:rsid w:val="006C0471"/>
    <w:rsid w:val="006C09BF"/>
    <w:rsid w:val="006C09F5"/>
    <w:rsid w:val="006C0ED9"/>
    <w:rsid w:val="006C13F7"/>
    <w:rsid w:val="006C1637"/>
    <w:rsid w:val="006C2C39"/>
    <w:rsid w:val="006C316D"/>
    <w:rsid w:val="006C332E"/>
    <w:rsid w:val="006C3C06"/>
    <w:rsid w:val="006C3F95"/>
    <w:rsid w:val="006C49A7"/>
    <w:rsid w:val="006C4B01"/>
    <w:rsid w:val="006C4EA8"/>
    <w:rsid w:val="006C523D"/>
    <w:rsid w:val="006C5A6E"/>
    <w:rsid w:val="006C6176"/>
    <w:rsid w:val="006C61EE"/>
    <w:rsid w:val="006C7C91"/>
    <w:rsid w:val="006D0417"/>
    <w:rsid w:val="006D0CB2"/>
    <w:rsid w:val="006D13FB"/>
    <w:rsid w:val="006D1980"/>
    <w:rsid w:val="006D1B8E"/>
    <w:rsid w:val="006D1C2E"/>
    <w:rsid w:val="006D1E13"/>
    <w:rsid w:val="006D20C3"/>
    <w:rsid w:val="006D2361"/>
    <w:rsid w:val="006D2750"/>
    <w:rsid w:val="006D2E0E"/>
    <w:rsid w:val="006D2F04"/>
    <w:rsid w:val="006D3B8B"/>
    <w:rsid w:val="006D4A17"/>
    <w:rsid w:val="006D4F8B"/>
    <w:rsid w:val="006D5182"/>
    <w:rsid w:val="006D595D"/>
    <w:rsid w:val="006D5AC4"/>
    <w:rsid w:val="006D65B5"/>
    <w:rsid w:val="006D669E"/>
    <w:rsid w:val="006D7152"/>
    <w:rsid w:val="006D77ED"/>
    <w:rsid w:val="006D7E0D"/>
    <w:rsid w:val="006E0BAB"/>
    <w:rsid w:val="006E0FF1"/>
    <w:rsid w:val="006E18A2"/>
    <w:rsid w:val="006E1E3F"/>
    <w:rsid w:val="006E1FB4"/>
    <w:rsid w:val="006E27E3"/>
    <w:rsid w:val="006E2BA3"/>
    <w:rsid w:val="006E2D90"/>
    <w:rsid w:val="006E4748"/>
    <w:rsid w:val="006E49C4"/>
    <w:rsid w:val="006E4A41"/>
    <w:rsid w:val="006E4AF9"/>
    <w:rsid w:val="006E4B0A"/>
    <w:rsid w:val="006E6458"/>
    <w:rsid w:val="006E6FA8"/>
    <w:rsid w:val="006E72D7"/>
    <w:rsid w:val="006E74D3"/>
    <w:rsid w:val="006E7B06"/>
    <w:rsid w:val="006E7F17"/>
    <w:rsid w:val="006E7F2C"/>
    <w:rsid w:val="006F12C9"/>
    <w:rsid w:val="006F1591"/>
    <w:rsid w:val="006F1951"/>
    <w:rsid w:val="006F2174"/>
    <w:rsid w:val="006F3492"/>
    <w:rsid w:val="006F3D13"/>
    <w:rsid w:val="006F407B"/>
    <w:rsid w:val="006F4256"/>
    <w:rsid w:val="006F46B0"/>
    <w:rsid w:val="006F4FF9"/>
    <w:rsid w:val="006F523F"/>
    <w:rsid w:val="006F58C0"/>
    <w:rsid w:val="006F5920"/>
    <w:rsid w:val="006F5ABD"/>
    <w:rsid w:val="006F5E7F"/>
    <w:rsid w:val="006F6359"/>
    <w:rsid w:val="006F644C"/>
    <w:rsid w:val="006F68D1"/>
    <w:rsid w:val="006F6A1E"/>
    <w:rsid w:val="00700DC9"/>
    <w:rsid w:val="00700EA7"/>
    <w:rsid w:val="00701231"/>
    <w:rsid w:val="0070186D"/>
    <w:rsid w:val="00702085"/>
    <w:rsid w:val="00702130"/>
    <w:rsid w:val="00702789"/>
    <w:rsid w:val="007038F1"/>
    <w:rsid w:val="007039FE"/>
    <w:rsid w:val="00704DD3"/>
    <w:rsid w:val="00705302"/>
    <w:rsid w:val="00705BA6"/>
    <w:rsid w:val="007064A4"/>
    <w:rsid w:val="00706EF3"/>
    <w:rsid w:val="00706FBF"/>
    <w:rsid w:val="0070765E"/>
    <w:rsid w:val="00707DDC"/>
    <w:rsid w:val="00707EA3"/>
    <w:rsid w:val="00707F29"/>
    <w:rsid w:val="00710559"/>
    <w:rsid w:val="007108B5"/>
    <w:rsid w:val="007109B8"/>
    <w:rsid w:val="00710ED1"/>
    <w:rsid w:val="007110D5"/>
    <w:rsid w:val="00711250"/>
    <w:rsid w:val="00711969"/>
    <w:rsid w:val="00711AD9"/>
    <w:rsid w:val="00711C74"/>
    <w:rsid w:val="00711F55"/>
    <w:rsid w:val="0071278F"/>
    <w:rsid w:val="007128DC"/>
    <w:rsid w:val="00712CB4"/>
    <w:rsid w:val="007138EC"/>
    <w:rsid w:val="0071467A"/>
    <w:rsid w:val="0071475B"/>
    <w:rsid w:val="00714D0F"/>
    <w:rsid w:val="00714F69"/>
    <w:rsid w:val="00714FF0"/>
    <w:rsid w:val="007157A3"/>
    <w:rsid w:val="007162E1"/>
    <w:rsid w:val="0071657C"/>
    <w:rsid w:val="007167AE"/>
    <w:rsid w:val="00716AA8"/>
    <w:rsid w:val="00716AED"/>
    <w:rsid w:val="00716D95"/>
    <w:rsid w:val="00717738"/>
    <w:rsid w:val="007204BC"/>
    <w:rsid w:val="00720618"/>
    <w:rsid w:val="00720BE7"/>
    <w:rsid w:val="0072139E"/>
    <w:rsid w:val="007213D0"/>
    <w:rsid w:val="00721890"/>
    <w:rsid w:val="007218F0"/>
    <w:rsid w:val="00721F38"/>
    <w:rsid w:val="00722AA5"/>
    <w:rsid w:val="00722BF6"/>
    <w:rsid w:val="00722CA0"/>
    <w:rsid w:val="00722FD3"/>
    <w:rsid w:val="0072367A"/>
    <w:rsid w:val="0072445A"/>
    <w:rsid w:val="007244D9"/>
    <w:rsid w:val="0072499A"/>
    <w:rsid w:val="00724BE7"/>
    <w:rsid w:val="00724FAB"/>
    <w:rsid w:val="00725328"/>
    <w:rsid w:val="0072668A"/>
    <w:rsid w:val="00726CE9"/>
    <w:rsid w:val="00726F7C"/>
    <w:rsid w:val="00727278"/>
    <w:rsid w:val="00727826"/>
    <w:rsid w:val="00727F58"/>
    <w:rsid w:val="007304F1"/>
    <w:rsid w:val="00730D0E"/>
    <w:rsid w:val="00730E30"/>
    <w:rsid w:val="0073111A"/>
    <w:rsid w:val="0073191E"/>
    <w:rsid w:val="00731BB9"/>
    <w:rsid w:val="00731EF5"/>
    <w:rsid w:val="00732032"/>
    <w:rsid w:val="00732692"/>
    <w:rsid w:val="00732D0F"/>
    <w:rsid w:val="007338E8"/>
    <w:rsid w:val="007340D2"/>
    <w:rsid w:val="00734153"/>
    <w:rsid w:val="007347D3"/>
    <w:rsid w:val="00734E58"/>
    <w:rsid w:val="00734F5B"/>
    <w:rsid w:val="00735870"/>
    <w:rsid w:val="00735D1F"/>
    <w:rsid w:val="007365F5"/>
    <w:rsid w:val="007369CA"/>
    <w:rsid w:val="00736B7B"/>
    <w:rsid w:val="00737038"/>
    <w:rsid w:val="00737BFE"/>
    <w:rsid w:val="00737DDA"/>
    <w:rsid w:val="007405AC"/>
    <w:rsid w:val="00740721"/>
    <w:rsid w:val="00740FCA"/>
    <w:rsid w:val="0074120B"/>
    <w:rsid w:val="0074291C"/>
    <w:rsid w:val="0074338A"/>
    <w:rsid w:val="0074391B"/>
    <w:rsid w:val="00743F39"/>
    <w:rsid w:val="007444B1"/>
    <w:rsid w:val="00744A2D"/>
    <w:rsid w:val="00744AA1"/>
    <w:rsid w:val="00744B8A"/>
    <w:rsid w:val="00744BE8"/>
    <w:rsid w:val="00744E44"/>
    <w:rsid w:val="007464B1"/>
    <w:rsid w:val="00746821"/>
    <w:rsid w:val="007468E2"/>
    <w:rsid w:val="007469A5"/>
    <w:rsid w:val="007469B3"/>
    <w:rsid w:val="00746C01"/>
    <w:rsid w:val="007471F9"/>
    <w:rsid w:val="00750A56"/>
    <w:rsid w:val="00750F70"/>
    <w:rsid w:val="007518DC"/>
    <w:rsid w:val="0075252E"/>
    <w:rsid w:val="00752947"/>
    <w:rsid w:val="007531CF"/>
    <w:rsid w:val="007533AF"/>
    <w:rsid w:val="0075346F"/>
    <w:rsid w:val="00753643"/>
    <w:rsid w:val="00753EE1"/>
    <w:rsid w:val="00754472"/>
    <w:rsid w:val="0075498D"/>
    <w:rsid w:val="00754B7A"/>
    <w:rsid w:val="00754D5E"/>
    <w:rsid w:val="00754E24"/>
    <w:rsid w:val="0075500E"/>
    <w:rsid w:val="0075532F"/>
    <w:rsid w:val="007558B9"/>
    <w:rsid w:val="00755CA2"/>
    <w:rsid w:val="00755F7A"/>
    <w:rsid w:val="00756372"/>
    <w:rsid w:val="007575D1"/>
    <w:rsid w:val="00757A64"/>
    <w:rsid w:val="00757E0D"/>
    <w:rsid w:val="00760AC0"/>
    <w:rsid w:val="00761164"/>
    <w:rsid w:val="007617AE"/>
    <w:rsid w:val="007617F5"/>
    <w:rsid w:val="00761C07"/>
    <w:rsid w:val="00761CEE"/>
    <w:rsid w:val="00761DCC"/>
    <w:rsid w:val="00761F4F"/>
    <w:rsid w:val="0076230F"/>
    <w:rsid w:val="00762799"/>
    <w:rsid w:val="007630E9"/>
    <w:rsid w:val="0076344D"/>
    <w:rsid w:val="00763C2F"/>
    <w:rsid w:val="00763F2F"/>
    <w:rsid w:val="00763FDB"/>
    <w:rsid w:val="00765015"/>
    <w:rsid w:val="007652E0"/>
    <w:rsid w:val="00765E01"/>
    <w:rsid w:val="00765EE2"/>
    <w:rsid w:val="007664B8"/>
    <w:rsid w:val="00766942"/>
    <w:rsid w:val="00766EB1"/>
    <w:rsid w:val="0076734B"/>
    <w:rsid w:val="007674F7"/>
    <w:rsid w:val="0076791C"/>
    <w:rsid w:val="0077056F"/>
    <w:rsid w:val="00771DE4"/>
    <w:rsid w:val="00773350"/>
    <w:rsid w:val="0077364B"/>
    <w:rsid w:val="007737BD"/>
    <w:rsid w:val="007744D8"/>
    <w:rsid w:val="0077497C"/>
    <w:rsid w:val="00775321"/>
    <w:rsid w:val="0077562E"/>
    <w:rsid w:val="0077575A"/>
    <w:rsid w:val="0077578F"/>
    <w:rsid w:val="00775C56"/>
    <w:rsid w:val="00776757"/>
    <w:rsid w:val="0077698E"/>
    <w:rsid w:val="00776C03"/>
    <w:rsid w:val="00776D0D"/>
    <w:rsid w:val="007800E0"/>
    <w:rsid w:val="0078066C"/>
    <w:rsid w:val="00780815"/>
    <w:rsid w:val="00780CBE"/>
    <w:rsid w:val="00780EAF"/>
    <w:rsid w:val="00781355"/>
    <w:rsid w:val="007816F2"/>
    <w:rsid w:val="00781C8F"/>
    <w:rsid w:val="00781E5F"/>
    <w:rsid w:val="00781EF3"/>
    <w:rsid w:val="00781F81"/>
    <w:rsid w:val="00782290"/>
    <w:rsid w:val="007824C4"/>
    <w:rsid w:val="007824C5"/>
    <w:rsid w:val="0078259B"/>
    <w:rsid w:val="00783019"/>
    <w:rsid w:val="00783043"/>
    <w:rsid w:val="00784106"/>
    <w:rsid w:val="0078437E"/>
    <w:rsid w:val="0078498F"/>
    <w:rsid w:val="007851F4"/>
    <w:rsid w:val="00785334"/>
    <w:rsid w:val="00785399"/>
    <w:rsid w:val="007854AB"/>
    <w:rsid w:val="007861C3"/>
    <w:rsid w:val="007864F7"/>
    <w:rsid w:val="0078654B"/>
    <w:rsid w:val="00786D51"/>
    <w:rsid w:val="00786DC6"/>
    <w:rsid w:val="00787D16"/>
    <w:rsid w:val="007902AF"/>
    <w:rsid w:val="00790698"/>
    <w:rsid w:val="00790DF7"/>
    <w:rsid w:val="00790EF1"/>
    <w:rsid w:val="007912E3"/>
    <w:rsid w:val="007914F6"/>
    <w:rsid w:val="00791E2E"/>
    <w:rsid w:val="00791E89"/>
    <w:rsid w:val="007920A9"/>
    <w:rsid w:val="0079305E"/>
    <w:rsid w:val="00793E5A"/>
    <w:rsid w:val="007945E8"/>
    <w:rsid w:val="007950BF"/>
    <w:rsid w:val="00795668"/>
    <w:rsid w:val="007958D2"/>
    <w:rsid w:val="0079592F"/>
    <w:rsid w:val="00795F1C"/>
    <w:rsid w:val="00795F27"/>
    <w:rsid w:val="007966FC"/>
    <w:rsid w:val="007970E1"/>
    <w:rsid w:val="0079719F"/>
    <w:rsid w:val="0079768B"/>
    <w:rsid w:val="0079776D"/>
    <w:rsid w:val="007A0826"/>
    <w:rsid w:val="007A08C8"/>
    <w:rsid w:val="007A102E"/>
    <w:rsid w:val="007A16C2"/>
    <w:rsid w:val="007A1AFA"/>
    <w:rsid w:val="007A3089"/>
    <w:rsid w:val="007A3559"/>
    <w:rsid w:val="007A37CF"/>
    <w:rsid w:val="007A3BF6"/>
    <w:rsid w:val="007A3D99"/>
    <w:rsid w:val="007A44E1"/>
    <w:rsid w:val="007A4D76"/>
    <w:rsid w:val="007A536F"/>
    <w:rsid w:val="007A5A38"/>
    <w:rsid w:val="007A5B8C"/>
    <w:rsid w:val="007A62A0"/>
    <w:rsid w:val="007B08A1"/>
    <w:rsid w:val="007B0BE5"/>
    <w:rsid w:val="007B107C"/>
    <w:rsid w:val="007B1A1F"/>
    <w:rsid w:val="007B295D"/>
    <w:rsid w:val="007B29B1"/>
    <w:rsid w:val="007B31E4"/>
    <w:rsid w:val="007B35AA"/>
    <w:rsid w:val="007B35DE"/>
    <w:rsid w:val="007B39AB"/>
    <w:rsid w:val="007B39DF"/>
    <w:rsid w:val="007B3A4D"/>
    <w:rsid w:val="007B4005"/>
    <w:rsid w:val="007B4114"/>
    <w:rsid w:val="007B445D"/>
    <w:rsid w:val="007B4615"/>
    <w:rsid w:val="007B4B08"/>
    <w:rsid w:val="007B4FAA"/>
    <w:rsid w:val="007B5483"/>
    <w:rsid w:val="007B5724"/>
    <w:rsid w:val="007B5B7C"/>
    <w:rsid w:val="007B600B"/>
    <w:rsid w:val="007B65FE"/>
    <w:rsid w:val="007B6760"/>
    <w:rsid w:val="007B6CD4"/>
    <w:rsid w:val="007B74A0"/>
    <w:rsid w:val="007B7B63"/>
    <w:rsid w:val="007B7BE2"/>
    <w:rsid w:val="007C035C"/>
    <w:rsid w:val="007C0EDA"/>
    <w:rsid w:val="007C0F25"/>
    <w:rsid w:val="007C1032"/>
    <w:rsid w:val="007C1202"/>
    <w:rsid w:val="007C1813"/>
    <w:rsid w:val="007C266A"/>
    <w:rsid w:val="007C2B45"/>
    <w:rsid w:val="007C2D2F"/>
    <w:rsid w:val="007C3712"/>
    <w:rsid w:val="007C38B9"/>
    <w:rsid w:val="007C398D"/>
    <w:rsid w:val="007C39EF"/>
    <w:rsid w:val="007C3BA1"/>
    <w:rsid w:val="007C3D34"/>
    <w:rsid w:val="007C40A0"/>
    <w:rsid w:val="007C517A"/>
    <w:rsid w:val="007C5620"/>
    <w:rsid w:val="007C57F7"/>
    <w:rsid w:val="007C61D7"/>
    <w:rsid w:val="007C63D6"/>
    <w:rsid w:val="007C6773"/>
    <w:rsid w:val="007C6AA7"/>
    <w:rsid w:val="007C723D"/>
    <w:rsid w:val="007C72C7"/>
    <w:rsid w:val="007C7C9C"/>
    <w:rsid w:val="007D0463"/>
    <w:rsid w:val="007D04AB"/>
    <w:rsid w:val="007D0662"/>
    <w:rsid w:val="007D0C48"/>
    <w:rsid w:val="007D16C6"/>
    <w:rsid w:val="007D17A1"/>
    <w:rsid w:val="007D1985"/>
    <w:rsid w:val="007D1CE7"/>
    <w:rsid w:val="007D1D8B"/>
    <w:rsid w:val="007D1FEB"/>
    <w:rsid w:val="007D25F0"/>
    <w:rsid w:val="007D3137"/>
    <w:rsid w:val="007D31BE"/>
    <w:rsid w:val="007D372C"/>
    <w:rsid w:val="007D4095"/>
    <w:rsid w:val="007D4942"/>
    <w:rsid w:val="007D509E"/>
    <w:rsid w:val="007D5316"/>
    <w:rsid w:val="007D653C"/>
    <w:rsid w:val="007D718C"/>
    <w:rsid w:val="007D7287"/>
    <w:rsid w:val="007D7AE0"/>
    <w:rsid w:val="007E0C9A"/>
    <w:rsid w:val="007E1398"/>
    <w:rsid w:val="007E13AF"/>
    <w:rsid w:val="007E13F5"/>
    <w:rsid w:val="007E28D8"/>
    <w:rsid w:val="007E290D"/>
    <w:rsid w:val="007E33A1"/>
    <w:rsid w:val="007E3C21"/>
    <w:rsid w:val="007E4C7A"/>
    <w:rsid w:val="007E521C"/>
    <w:rsid w:val="007E5339"/>
    <w:rsid w:val="007E56A5"/>
    <w:rsid w:val="007E60E9"/>
    <w:rsid w:val="007E6700"/>
    <w:rsid w:val="007E6797"/>
    <w:rsid w:val="007E6ACD"/>
    <w:rsid w:val="007E6FE3"/>
    <w:rsid w:val="007E7166"/>
    <w:rsid w:val="007E738C"/>
    <w:rsid w:val="007E79C5"/>
    <w:rsid w:val="007E7CB1"/>
    <w:rsid w:val="007F0BF3"/>
    <w:rsid w:val="007F1352"/>
    <w:rsid w:val="007F1426"/>
    <w:rsid w:val="007F19DA"/>
    <w:rsid w:val="007F1F1A"/>
    <w:rsid w:val="007F226D"/>
    <w:rsid w:val="007F2290"/>
    <w:rsid w:val="007F29E2"/>
    <w:rsid w:val="007F387A"/>
    <w:rsid w:val="007F45CC"/>
    <w:rsid w:val="007F45E2"/>
    <w:rsid w:val="007F495E"/>
    <w:rsid w:val="007F4D17"/>
    <w:rsid w:val="007F50F8"/>
    <w:rsid w:val="007F5446"/>
    <w:rsid w:val="007F5AB8"/>
    <w:rsid w:val="007F610A"/>
    <w:rsid w:val="007F6501"/>
    <w:rsid w:val="007F666C"/>
    <w:rsid w:val="007F668F"/>
    <w:rsid w:val="007F6B0A"/>
    <w:rsid w:val="007F753E"/>
    <w:rsid w:val="007F79A4"/>
    <w:rsid w:val="007F7B56"/>
    <w:rsid w:val="007F7BA0"/>
    <w:rsid w:val="008006CE"/>
    <w:rsid w:val="0080142E"/>
    <w:rsid w:val="00801893"/>
    <w:rsid w:val="008022D1"/>
    <w:rsid w:val="00802B69"/>
    <w:rsid w:val="00802C92"/>
    <w:rsid w:val="00803201"/>
    <w:rsid w:val="0080420F"/>
    <w:rsid w:val="008045A7"/>
    <w:rsid w:val="00804958"/>
    <w:rsid w:val="00805321"/>
    <w:rsid w:val="00805530"/>
    <w:rsid w:val="00805602"/>
    <w:rsid w:val="00805EC7"/>
    <w:rsid w:val="0080677C"/>
    <w:rsid w:val="00806816"/>
    <w:rsid w:val="008073DD"/>
    <w:rsid w:val="00807405"/>
    <w:rsid w:val="008074FC"/>
    <w:rsid w:val="00807529"/>
    <w:rsid w:val="00807CBF"/>
    <w:rsid w:val="0081009E"/>
    <w:rsid w:val="00810E63"/>
    <w:rsid w:val="0081121D"/>
    <w:rsid w:val="00811356"/>
    <w:rsid w:val="00812885"/>
    <w:rsid w:val="00812E64"/>
    <w:rsid w:val="0081352A"/>
    <w:rsid w:val="0081401B"/>
    <w:rsid w:val="00814686"/>
    <w:rsid w:val="008151B1"/>
    <w:rsid w:val="0081570B"/>
    <w:rsid w:val="00815937"/>
    <w:rsid w:val="00816030"/>
    <w:rsid w:val="00816A06"/>
    <w:rsid w:val="00817044"/>
    <w:rsid w:val="0081719F"/>
    <w:rsid w:val="00817A61"/>
    <w:rsid w:val="00817D79"/>
    <w:rsid w:val="00820156"/>
    <w:rsid w:val="00820205"/>
    <w:rsid w:val="008208B6"/>
    <w:rsid w:val="00820D8D"/>
    <w:rsid w:val="00820EA1"/>
    <w:rsid w:val="008210A3"/>
    <w:rsid w:val="00821114"/>
    <w:rsid w:val="008217FB"/>
    <w:rsid w:val="00821CAD"/>
    <w:rsid w:val="00821F2E"/>
    <w:rsid w:val="008222E3"/>
    <w:rsid w:val="00822570"/>
    <w:rsid w:val="008226C1"/>
    <w:rsid w:val="00822A4B"/>
    <w:rsid w:val="00822F90"/>
    <w:rsid w:val="008231D7"/>
    <w:rsid w:val="0082327E"/>
    <w:rsid w:val="00824019"/>
    <w:rsid w:val="008242A8"/>
    <w:rsid w:val="00824A91"/>
    <w:rsid w:val="00825481"/>
    <w:rsid w:val="00825A4A"/>
    <w:rsid w:val="008260A4"/>
    <w:rsid w:val="0082674E"/>
    <w:rsid w:val="0082699F"/>
    <w:rsid w:val="0082740B"/>
    <w:rsid w:val="008275F3"/>
    <w:rsid w:val="00827A0D"/>
    <w:rsid w:val="00830161"/>
    <w:rsid w:val="00830405"/>
    <w:rsid w:val="00831439"/>
    <w:rsid w:val="008318DD"/>
    <w:rsid w:val="008327B2"/>
    <w:rsid w:val="00833501"/>
    <w:rsid w:val="008339DE"/>
    <w:rsid w:val="00833AC0"/>
    <w:rsid w:val="008341FF"/>
    <w:rsid w:val="00834664"/>
    <w:rsid w:val="0083575C"/>
    <w:rsid w:val="00835C84"/>
    <w:rsid w:val="00836218"/>
    <w:rsid w:val="0084030F"/>
    <w:rsid w:val="00840A12"/>
    <w:rsid w:val="00840A40"/>
    <w:rsid w:val="00840E2F"/>
    <w:rsid w:val="008412E7"/>
    <w:rsid w:val="008412F4"/>
    <w:rsid w:val="008427C6"/>
    <w:rsid w:val="00842E64"/>
    <w:rsid w:val="00842EA5"/>
    <w:rsid w:val="00843D06"/>
    <w:rsid w:val="00843D6B"/>
    <w:rsid w:val="00843F91"/>
    <w:rsid w:val="00844366"/>
    <w:rsid w:val="00844B1E"/>
    <w:rsid w:val="00844CD5"/>
    <w:rsid w:val="00844EB8"/>
    <w:rsid w:val="0084572C"/>
    <w:rsid w:val="0084618C"/>
    <w:rsid w:val="008468F1"/>
    <w:rsid w:val="00846AD4"/>
    <w:rsid w:val="00846F2E"/>
    <w:rsid w:val="0084771D"/>
    <w:rsid w:val="00847B46"/>
    <w:rsid w:val="0085007C"/>
    <w:rsid w:val="008501BA"/>
    <w:rsid w:val="00850322"/>
    <w:rsid w:val="008503E5"/>
    <w:rsid w:val="0085068C"/>
    <w:rsid w:val="00850DC0"/>
    <w:rsid w:val="00850DD6"/>
    <w:rsid w:val="00850E1B"/>
    <w:rsid w:val="00851125"/>
    <w:rsid w:val="00851669"/>
    <w:rsid w:val="00852291"/>
    <w:rsid w:val="008528A8"/>
    <w:rsid w:val="00853524"/>
    <w:rsid w:val="0085387A"/>
    <w:rsid w:val="00854527"/>
    <w:rsid w:val="0085460F"/>
    <w:rsid w:val="00854F9E"/>
    <w:rsid w:val="00855981"/>
    <w:rsid w:val="0085665E"/>
    <w:rsid w:val="00856C3B"/>
    <w:rsid w:val="008571C5"/>
    <w:rsid w:val="00857935"/>
    <w:rsid w:val="00860734"/>
    <w:rsid w:val="008614C0"/>
    <w:rsid w:val="008616C3"/>
    <w:rsid w:val="00861E6F"/>
    <w:rsid w:val="0086293A"/>
    <w:rsid w:val="00862D4B"/>
    <w:rsid w:val="0086321B"/>
    <w:rsid w:val="00863252"/>
    <w:rsid w:val="00863BAF"/>
    <w:rsid w:val="00863E53"/>
    <w:rsid w:val="008644AF"/>
    <w:rsid w:val="0086465A"/>
    <w:rsid w:val="00864EB4"/>
    <w:rsid w:val="00865164"/>
    <w:rsid w:val="0086517D"/>
    <w:rsid w:val="00865C6D"/>
    <w:rsid w:val="00865E43"/>
    <w:rsid w:val="0086604B"/>
    <w:rsid w:val="00866989"/>
    <w:rsid w:val="00866CBC"/>
    <w:rsid w:val="0086717C"/>
    <w:rsid w:val="00867541"/>
    <w:rsid w:val="00867A18"/>
    <w:rsid w:val="00867A62"/>
    <w:rsid w:val="00867A6A"/>
    <w:rsid w:val="008708CA"/>
    <w:rsid w:val="008709CD"/>
    <w:rsid w:val="00871512"/>
    <w:rsid w:val="00871BC0"/>
    <w:rsid w:val="00872186"/>
    <w:rsid w:val="008729A7"/>
    <w:rsid w:val="00873D10"/>
    <w:rsid w:val="0087496B"/>
    <w:rsid w:val="00875179"/>
    <w:rsid w:val="00875282"/>
    <w:rsid w:val="008761B8"/>
    <w:rsid w:val="00876433"/>
    <w:rsid w:val="00880215"/>
    <w:rsid w:val="00880257"/>
    <w:rsid w:val="00880369"/>
    <w:rsid w:val="00880AC5"/>
    <w:rsid w:val="00880ADE"/>
    <w:rsid w:val="00880BBE"/>
    <w:rsid w:val="00881717"/>
    <w:rsid w:val="0088204B"/>
    <w:rsid w:val="0088276E"/>
    <w:rsid w:val="008827F1"/>
    <w:rsid w:val="00883C90"/>
    <w:rsid w:val="0088409B"/>
    <w:rsid w:val="00884143"/>
    <w:rsid w:val="008841AC"/>
    <w:rsid w:val="0088517B"/>
    <w:rsid w:val="008858A9"/>
    <w:rsid w:val="00885F5D"/>
    <w:rsid w:val="008863F3"/>
    <w:rsid w:val="00886824"/>
    <w:rsid w:val="00886E21"/>
    <w:rsid w:val="00886F74"/>
    <w:rsid w:val="008871A7"/>
    <w:rsid w:val="00887F3B"/>
    <w:rsid w:val="00887FBC"/>
    <w:rsid w:val="008900EE"/>
    <w:rsid w:val="00890122"/>
    <w:rsid w:val="008903DA"/>
    <w:rsid w:val="0089081A"/>
    <w:rsid w:val="008908D7"/>
    <w:rsid w:val="00891691"/>
    <w:rsid w:val="00892CA2"/>
    <w:rsid w:val="00892F05"/>
    <w:rsid w:val="00893014"/>
    <w:rsid w:val="00894D3C"/>
    <w:rsid w:val="00895906"/>
    <w:rsid w:val="008959F7"/>
    <w:rsid w:val="00895D32"/>
    <w:rsid w:val="00895E22"/>
    <w:rsid w:val="00896C2F"/>
    <w:rsid w:val="0089712C"/>
    <w:rsid w:val="00897477"/>
    <w:rsid w:val="00897A37"/>
    <w:rsid w:val="008A0133"/>
    <w:rsid w:val="008A0B41"/>
    <w:rsid w:val="008A0F9B"/>
    <w:rsid w:val="008A10AD"/>
    <w:rsid w:val="008A14DF"/>
    <w:rsid w:val="008A178D"/>
    <w:rsid w:val="008A19F5"/>
    <w:rsid w:val="008A1BC8"/>
    <w:rsid w:val="008A21C8"/>
    <w:rsid w:val="008A2578"/>
    <w:rsid w:val="008A2A11"/>
    <w:rsid w:val="008A3030"/>
    <w:rsid w:val="008A3364"/>
    <w:rsid w:val="008A4A0D"/>
    <w:rsid w:val="008A4FF3"/>
    <w:rsid w:val="008A5CE8"/>
    <w:rsid w:val="008A60CC"/>
    <w:rsid w:val="008A632B"/>
    <w:rsid w:val="008A633A"/>
    <w:rsid w:val="008A64C3"/>
    <w:rsid w:val="008A75B8"/>
    <w:rsid w:val="008A7D7E"/>
    <w:rsid w:val="008B00F0"/>
    <w:rsid w:val="008B04F9"/>
    <w:rsid w:val="008B0EA5"/>
    <w:rsid w:val="008B112A"/>
    <w:rsid w:val="008B1C1A"/>
    <w:rsid w:val="008B2234"/>
    <w:rsid w:val="008B35B6"/>
    <w:rsid w:val="008B37B2"/>
    <w:rsid w:val="008B3F8B"/>
    <w:rsid w:val="008B4785"/>
    <w:rsid w:val="008B4992"/>
    <w:rsid w:val="008B49ED"/>
    <w:rsid w:val="008B4A47"/>
    <w:rsid w:val="008B502F"/>
    <w:rsid w:val="008B52F5"/>
    <w:rsid w:val="008B5824"/>
    <w:rsid w:val="008B5C26"/>
    <w:rsid w:val="008B62B6"/>
    <w:rsid w:val="008B64C5"/>
    <w:rsid w:val="008B6943"/>
    <w:rsid w:val="008B72E3"/>
    <w:rsid w:val="008B780E"/>
    <w:rsid w:val="008B7F63"/>
    <w:rsid w:val="008C092E"/>
    <w:rsid w:val="008C16E8"/>
    <w:rsid w:val="008C181F"/>
    <w:rsid w:val="008C1956"/>
    <w:rsid w:val="008C197F"/>
    <w:rsid w:val="008C1CF5"/>
    <w:rsid w:val="008C2396"/>
    <w:rsid w:val="008C262B"/>
    <w:rsid w:val="008C276B"/>
    <w:rsid w:val="008C38CB"/>
    <w:rsid w:val="008C3FD8"/>
    <w:rsid w:val="008C435D"/>
    <w:rsid w:val="008C4A95"/>
    <w:rsid w:val="008C53CE"/>
    <w:rsid w:val="008C5466"/>
    <w:rsid w:val="008C6010"/>
    <w:rsid w:val="008C6D13"/>
    <w:rsid w:val="008D0F6B"/>
    <w:rsid w:val="008D147A"/>
    <w:rsid w:val="008D18D9"/>
    <w:rsid w:val="008D22E5"/>
    <w:rsid w:val="008D2329"/>
    <w:rsid w:val="008D29E9"/>
    <w:rsid w:val="008D3855"/>
    <w:rsid w:val="008D457F"/>
    <w:rsid w:val="008D48B5"/>
    <w:rsid w:val="008D48E5"/>
    <w:rsid w:val="008D5363"/>
    <w:rsid w:val="008D53FB"/>
    <w:rsid w:val="008D5BE9"/>
    <w:rsid w:val="008D5FBD"/>
    <w:rsid w:val="008D6227"/>
    <w:rsid w:val="008D637C"/>
    <w:rsid w:val="008D6933"/>
    <w:rsid w:val="008E03D6"/>
    <w:rsid w:val="008E041A"/>
    <w:rsid w:val="008E07AF"/>
    <w:rsid w:val="008E1D02"/>
    <w:rsid w:val="008E21A6"/>
    <w:rsid w:val="008E2A3C"/>
    <w:rsid w:val="008E2B34"/>
    <w:rsid w:val="008E2BB4"/>
    <w:rsid w:val="008E2D5A"/>
    <w:rsid w:val="008E304F"/>
    <w:rsid w:val="008E3B72"/>
    <w:rsid w:val="008E3DD3"/>
    <w:rsid w:val="008E3FEF"/>
    <w:rsid w:val="008E43BE"/>
    <w:rsid w:val="008E4559"/>
    <w:rsid w:val="008E4AE4"/>
    <w:rsid w:val="008E4BEB"/>
    <w:rsid w:val="008E5290"/>
    <w:rsid w:val="008E5392"/>
    <w:rsid w:val="008E59CF"/>
    <w:rsid w:val="008E5B49"/>
    <w:rsid w:val="008E5B96"/>
    <w:rsid w:val="008E63B8"/>
    <w:rsid w:val="008E64BA"/>
    <w:rsid w:val="008E6AE5"/>
    <w:rsid w:val="008E72A5"/>
    <w:rsid w:val="008E7780"/>
    <w:rsid w:val="008E7A80"/>
    <w:rsid w:val="008E7C8C"/>
    <w:rsid w:val="008F039D"/>
    <w:rsid w:val="008F0BCE"/>
    <w:rsid w:val="008F1001"/>
    <w:rsid w:val="008F14F1"/>
    <w:rsid w:val="008F2191"/>
    <w:rsid w:val="008F2612"/>
    <w:rsid w:val="008F2631"/>
    <w:rsid w:val="008F29DA"/>
    <w:rsid w:val="008F2E9F"/>
    <w:rsid w:val="008F2EAA"/>
    <w:rsid w:val="008F36D7"/>
    <w:rsid w:val="008F5DA5"/>
    <w:rsid w:val="008F63A5"/>
    <w:rsid w:val="008F65BD"/>
    <w:rsid w:val="008F6C6A"/>
    <w:rsid w:val="008F7A22"/>
    <w:rsid w:val="0090044B"/>
    <w:rsid w:val="0090048E"/>
    <w:rsid w:val="009018E9"/>
    <w:rsid w:val="00901B99"/>
    <w:rsid w:val="00901FB4"/>
    <w:rsid w:val="00902110"/>
    <w:rsid w:val="009022FE"/>
    <w:rsid w:val="00902364"/>
    <w:rsid w:val="00902498"/>
    <w:rsid w:val="00902C9D"/>
    <w:rsid w:val="00902D38"/>
    <w:rsid w:val="009034B9"/>
    <w:rsid w:val="009037A1"/>
    <w:rsid w:val="009037D8"/>
    <w:rsid w:val="009039E4"/>
    <w:rsid w:val="00903AE2"/>
    <w:rsid w:val="00903C43"/>
    <w:rsid w:val="00903EEC"/>
    <w:rsid w:val="009041E1"/>
    <w:rsid w:val="00904524"/>
    <w:rsid w:val="00904C63"/>
    <w:rsid w:val="00904CE6"/>
    <w:rsid w:val="00904E40"/>
    <w:rsid w:val="0090572F"/>
    <w:rsid w:val="009057C0"/>
    <w:rsid w:val="00906330"/>
    <w:rsid w:val="00906831"/>
    <w:rsid w:val="00906B4B"/>
    <w:rsid w:val="00906E90"/>
    <w:rsid w:val="00907371"/>
    <w:rsid w:val="009073EE"/>
    <w:rsid w:val="00907461"/>
    <w:rsid w:val="00907576"/>
    <w:rsid w:val="00907692"/>
    <w:rsid w:val="009076A3"/>
    <w:rsid w:val="00907BC5"/>
    <w:rsid w:val="00907CB1"/>
    <w:rsid w:val="00907E83"/>
    <w:rsid w:val="009105BF"/>
    <w:rsid w:val="009107FE"/>
    <w:rsid w:val="00910A6F"/>
    <w:rsid w:val="009117D7"/>
    <w:rsid w:val="009118A6"/>
    <w:rsid w:val="00911AD5"/>
    <w:rsid w:val="00911F83"/>
    <w:rsid w:val="00912296"/>
    <w:rsid w:val="00912AAC"/>
    <w:rsid w:val="00913414"/>
    <w:rsid w:val="00913918"/>
    <w:rsid w:val="00913A26"/>
    <w:rsid w:val="00913F91"/>
    <w:rsid w:val="00914155"/>
    <w:rsid w:val="00914882"/>
    <w:rsid w:val="0091489B"/>
    <w:rsid w:val="00914E83"/>
    <w:rsid w:val="0091539D"/>
    <w:rsid w:val="00915A29"/>
    <w:rsid w:val="00915FFC"/>
    <w:rsid w:val="0091699B"/>
    <w:rsid w:val="009169B1"/>
    <w:rsid w:val="00916BF2"/>
    <w:rsid w:val="00916C6D"/>
    <w:rsid w:val="00916C8C"/>
    <w:rsid w:val="00916DD7"/>
    <w:rsid w:val="00916EF6"/>
    <w:rsid w:val="009172D1"/>
    <w:rsid w:val="009173A1"/>
    <w:rsid w:val="0091747F"/>
    <w:rsid w:val="00917F4B"/>
    <w:rsid w:val="009202BC"/>
    <w:rsid w:val="00920783"/>
    <w:rsid w:val="00920925"/>
    <w:rsid w:val="00920E1F"/>
    <w:rsid w:val="00920EA2"/>
    <w:rsid w:val="00920F6F"/>
    <w:rsid w:val="009212EB"/>
    <w:rsid w:val="00921880"/>
    <w:rsid w:val="00921AA1"/>
    <w:rsid w:val="00921E90"/>
    <w:rsid w:val="00922B1A"/>
    <w:rsid w:val="00922F1C"/>
    <w:rsid w:val="009230C6"/>
    <w:rsid w:val="00923573"/>
    <w:rsid w:val="00923CF8"/>
    <w:rsid w:val="009242E1"/>
    <w:rsid w:val="0092496F"/>
    <w:rsid w:val="00925B6C"/>
    <w:rsid w:val="00926AA6"/>
    <w:rsid w:val="0092797D"/>
    <w:rsid w:val="00930203"/>
    <w:rsid w:val="0093056C"/>
    <w:rsid w:val="00930727"/>
    <w:rsid w:val="00930DC8"/>
    <w:rsid w:val="009313DF"/>
    <w:rsid w:val="00931AB3"/>
    <w:rsid w:val="00931BFE"/>
    <w:rsid w:val="009321EA"/>
    <w:rsid w:val="00932A4D"/>
    <w:rsid w:val="00932DD6"/>
    <w:rsid w:val="00933412"/>
    <w:rsid w:val="009337FA"/>
    <w:rsid w:val="00934145"/>
    <w:rsid w:val="009346C9"/>
    <w:rsid w:val="009346D8"/>
    <w:rsid w:val="00934B57"/>
    <w:rsid w:val="00934D33"/>
    <w:rsid w:val="00935799"/>
    <w:rsid w:val="00935FBF"/>
    <w:rsid w:val="009367B4"/>
    <w:rsid w:val="00936898"/>
    <w:rsid w:val="00936C00"/>
    <w:rsid w:val="00937139"/>
    <w:rsid w:val="00937967"/>
    <w:rsid w:val="009379DF"/>
    <w:rsid w:val="009379F2"/>
    <w:rsid w:val="00937A7B"/>
    <w:rsid w:val="00937EAC"/>
    <w:rsid w:val="0094019A"/>
    <w:rsid w:val="00940707"/>
    <w:rsid w:val="009409D5"/>
    <w:rsid w:val="00940B2F"/>
    <w:rsid w:val="00940CCE"/>
    <w:rsid w:val="00940F4B"/>
    <w:rsid w:val="0094104C"/>
    <w:rsid w:val="0094125C"/>
    <w:rsid w:val="009413B1"/>
    <w:rsid w:val="00941C5D"/>
    <w:rsid w:val="00941DF8"/>
    <w:rsid w:val="009427BB"/>
    <w:rsid w:val="0094379E"/>
    <w:rsid w:val="00944656"/>
    <w:rsid w:val="00944983"/>
    <w:rsid w:val="00944E7D"/>
    <w:rsid w:val="00944FEE"/>
    <w:rsid w:val="00945BF3"/>
    <w:rsid w:val="00945F1D"/>
    <w:rsid w:val="00946198"/>
    <w:rsid w:val="00946260"/>
    <w:rsid w:val="009463E7"/>
    <w:rsid w:val="0094705A"/>
    <w:rsid w:val="009473E3"/>
    <w:rsid w:val="009475D0"/>
    <w:rsid w:val="00950484"/>
    <w:rsid w:val="009511E3"/>
    <w:rsid w:val="00951CC0"/>
    <w:rsid w:val="00951D33"/>
    <w:rsid w:val="009532FF"/>
    <w:rsid w:val="00954220"/>
    <w:rsid w:val="00955247"/>
    <w:rsid w:val="009559EE"/>
    <w:rsid w:val="00955DCA"/>
    <w:rsid w:val="0095708B"/>
    <w:rsid w:val="009570FC"/>
    <w:rsid w:val="00957224"/>
    <w:rsid w:val="00957BB0"/>
    <w:rsid w:val="0096000A"/>
    <w:rsid w:val="009605BD"/>
    <w:rsid w:val="00960AC0"/>
    <w:rsid w:val="0096188B"/>
    <w:rsid w:val="00961C35"/>
    <w:rsid w:val="00961C4E"/>
    <w:rsid w:val="009624F9"/>
    <w:rsid w:val="00962FCB"/>
    <w:rsid w:val="0096337F"/>
    <w:rsid w:val="00963815"/>
    <w:rsid w:val="0096389B"/>
    <w:rsid w:val="009639E7"/>
    <w:rsid w:val="00964A24"/>
    <w:rsid w:val="00964EBE"/>
    <w:rsid w:val="0096509C"/>
    <w:rsid w:val="0096543C"/>
    <w:rsid w:val="0096545E"/>
    <w:rsid w:val="00965FE8"/>
    <w:rsid w:val="00966328"/>
    <w:rsid w:val="00966A8A"/>
    <w:rsid w:val="00966BD7"/>
    <w:rsid w:val="009675C7"/>
    <w:rsid w:val="009675DF"/>
    <w:rsid w:val="009678A6"/>
    <w:rsid w:val="00967F03"/>
    <w:rsid w:val="009700D8"/>
    <w:rsid w:val="0097180F"/>
    <w:rsid w:val="00971AAB"/>
    <w:rsid w:val="009723BF"/>
    <w:rsid w:val="00972918"/>
    <w:rsid w:val="00972C46"/>
    <w:rsid w:val="00972EE0"/>
    <w:rsid w:val="00973190"/>
    <w:rsid w:val="00973540"/>
    <w:rsid w:val="0097406F"/>
    <w:rsid w:val="009740CE"/>
    <w:rsid w:val="009741E4"/>
    <w:rsid w:val="00974EC0"/>
    <w:rsid w:val="00976450"/>
    <w:rsid w:val="00976670"/>
    <w:rsid w:val="0097672A"/>
    <w:rsid w:val="00977B82"/>
    <w:rsid w:val="00981029"/>
    <w:rsid w:val="00981D77"/>
    <w:rsid w:val="0098222F"/>
    <w:rsid w:val="00982801"/>
    <w:rsid w:val="00982DA8"/>
    <w:rsid w:val="0098329C"/>
    <w:rsid w:val="00983B66"/>
    <w:rsid w:val="00983DFD"/>
    <w:rsid w:val="00984830"/>
    <w:rsid w:val="00984D6C"/>
    <w:rsid w:val="009854F9"/>
    <w:rsid w:val="00985C4C"/>
    <w:rsid w:val="0098671F"/>
    <w:rsid w:val="00986AD4"/>
    <w:rsid w:val="00987C70"/>
    <w:rsid w:val="00987E7C"/>
    <w:rsid w:val="009905C3"/>
    <w:rsid w:val="0099115C"/>
    <w:rsid w:val="00991401"/>
    <w:rsid w:val="00991779"/>
    <w:rsid w:val="00991CDB"/>
    <w:rsid w:val="00991DB9"/>
    <w:rsid w:val="00991F41"/>
    <w:rsid w:val="00991FDC"/>
    <w:rsid w:val="009923E8"/>
    <w:rsid w:val="009926E0"/>
    <w:rsid w:val="00992D7C"/>
    <w:rsid w:val="009931DA"/>
    <w:rsid w:val="00993336"/>
    <w:rsid w:val="00993974"/>
    <w:rsid w:val="00993EDD"/>
    <w:rsid w:val="009941FB"/>
    <w:rsid w:val="00994890"/>
    <w:rsid w:val="00994A99"/>
    <w:rsid w:val="00994DDA"/>
    <w:rsid w:val="00994EA5"/>
    <w:rsid w:val="0099530E"/>
    <w:rsid w:val="009959AC"/>
    <w:rsid w:val="00995F8A"/>
    <w:rsid w:val="009962D6"/>
    <w:rsid w:val="00996B24"/>
    <w:rsid w:val="00996B28"/>
    <w:rsid w:val="00996E79"/>
    <w:rsid w:val="00996ECC"/>
    <w:rsid w:val="00996EF4"/>
    <w:rsid w:val="00997059"/>
    <w:rsid w:val="00997BC0"/>
    <w:rsid w:val="00997FE8"/>
    <w:rsid w:val="009A0632"/>
    <w:rsid w:val="009A0EB7"/>
    <w:rsid w:val="009A12BA"/>
    <w:rsid w:val="009A1C6D"/>
    <w:rsid w:val="009A1D3D"/>
    <w:rsid w:val="009A2249"/>
    <w:rsid w:val="009A27D4"/>
    <w:rsid w:val="009A281B"/>
    <w:rsid w:val="009A345C"/>
    <w:rsid w:val="009A3541"/>
    <w:rsid w:val="009A4197"/>
    <w:rsid w:val="009A4420"/>
    <w:rsid w:val="009A47E8"/>
    <w:rsid w:val="009A47EE"/>
    <w:rsid w:val="009A4C52"/>
    <w:rsid w:val="009A4E11"/>
    <w:rsid w:val="009A4E3D"/>
    <w:rsid w:val="009A53AE"/>
    <w:rsid w:val="009A5ADD"/>
    <w:rsid w:val="009A5C3F"/>
    <w:rsid w:val="009A63A1"/>
    <w:rsid w:val="009A6523"/>
    <w:rsid w:val="009A7911"/>
    <w:rsid w:val="009A7B37"/>
    <w:rsid w:val="009B065B"/>
    <w:rsid w:val="009B11CA"/>
    <w:rsid w:val="009B152E"/>
    <w:rsid w:val="009B1718"/>
    <w:rsid w:val="009B1F68"/>
    <w:rsid w:val="009B25C1"/>
    <w:rsid w:val="009B28A7"/>
    <w:rsid w:val="009B31A8"/>
    <w:rsid w:val="009B35EC"/>
    <w:rsid w:val="009B3B0A"/>
    <w:rsid w:val="009B409F"/>
    <w:rsid w:val="009B5C4B"/>
    <w:rsid w:val="009B60C3"/>
    <w:rsid w:val="009B6AE0"/>
    <w:rsid w:val="009B7325"/>
    <w:rsid w:val="009B736D"/>
    <w:rsid w:val="009B789B"/>
    <w:rsid w:val="009B7D1B"/>
    <w:rsid w:val="009B7F2F"/>
    <w:rsid w:val="009C01CD"/>
    <w:rsid w:val="009C03D7"/>
    <w:rsid w:val="009C0574"/>
    <w:rsid w:val="009C0941"/>
    <w:rsid w:val="009C0945"/>
    <w:rsid w:val="009C16AC"/>
    <w:rsid w:val="009C1EC1"/>
    <w:rsid w:val="009C2835"/>
    <w:rsid w:val="009C2A02"/>
    <w:rsid w:val="009C2D99"/>
    <w:rsid w:val="009C3382"/>
    <w:rsid w:val="009C3478"/>
    <w:rsid w:val="009C3CC7"/>
    <w:rsid w:val="009C3DBB"/>
    <w:rsid w:val="009C40DA"/>
    <w:rsid w:val="009C4BDD"/>
    <w:rsid w:val="009C516E"/>
    <w:rsid w:val="009C5520"/>
    <w:rsid w:val="009C5E90"/>
    <w:rsid w:val="009C5F3D"/>
    <w:rsid w:val="009C6250"/>
    <w:rsid w:val="009C6A81"/>
    <w:rsid w:val="009C6F66"/>
    <w:rsid w:val="009C6FDC"/>
    <w:rsid w:val="009D0772"/>
    <w:rsid w:val="009D0BDC"/>
    <w:rsid w:val="009D12F2"/>
    <w:rsid w:val="009D13A1"/>
    <w:rsid w:val="009D16A4"/>
    <w:rsid w:val="009D1983"/>
    <w:rsid w:val="009D20D8"/>
    <w:rsid w:val="009D2338"/>
    <w:rsid w:val="009D26DE"/>
    <w:rsid w:val="009D2738"/>
    <w:rsid w:val="009D2808"/>
    <w:rsid w:val="009D2D2A"/>
    <w:rsid w:val="009D2D2C"/>
    <w:rsid w:val="009D37CF"/>
    <w:rsid w:val="009D3DD9"/>
    <w:rsid w:val="009D3DFA"/>
    <w:rsid w:val="009D4AD5"/>
    <w:rsid w:val="009D4C92"/>
    <w:rsid w:val="009D5B79"/>
    <w:rsid w:val="009D5BEF"/>
    <w:rsid w:val="009D751C"/>
    <w:rsid w:val="009D789E"/>
    <w:rsid w:val="009E0306"/>
    <w:rsid w:val="009E0604"/>
    <w:rsid w:val="009E0D23"/>
    <w:rsid w:val="009E14BA"/>
    <w:rsid w:val="009E1631"/>
    <w:rsid w:val="009E1A59"/>
    <w:rsid w:val="009E2576"/>
    <w:rsid w:val="009E2717"/>
    <w:rsid w:val="009E2822"/>
    <w:rsid w:val="009E28DD"/>
    <w:rsid w:val="009E29D2"/>
    <w:rsid w:val="009E2E3B"/>
    <w:rsid w:val="009E3057"/>
    <w:rsid w:val="009E3060"/>
    <w:rsid w:val="009E3079"/>
    <w:rsid w:val="009E314F"/>
    <w:rsid w:val="009E3D35"/>
    <w:rsid w:val="009E402B"/>
    <w:rsid w:val="009E4AAE"/>
    <w:rsid w:val="009E518C"/>
    <w:rsid w:val="009E56AD"/>
    <w:rsid w:val="009E5705"/>
    <w:rsid w:val="009E5B6F"/>
    <w:rsid w:val="009E64E4"/>
    <w:rsid w:val="009E7182"/>
    <w:rsid w:val="009E7A8E"/>
    <w:rsid w:val="009E7C32"/>
    <w:rsid w:val="009E7C78"/>
    <w:rsid w:val="009F03C1"/>
    <w:rsid w:val="009F052C"/>
    <w:rsid w:val="009F0614"/>
    <w:rsid w:val="009F32DD"/>
    <w:rsid w:val="009F32E6"/>
    <w:rsid w:val="009F3B4B"/>
    <w:rsid w:val="009F3C5B"/>
    <w:rsid w:val="009F3ECF"/>
    <w:rsid w:val="009F3FEB"/>
    <w:rsid w:val="009F424B"/>
    <w:rsid w:val="009F447D"/>
    <w:rsid w:val="009F654C"/>
    <w:rsid w:val="009F6F42"/>
    <w:rsid w:val="009F72FB"/>
    <w:rsid w:val="009F7E8A"/>
    <w:rsid w:val="009F7FAE"/>
    <w:rsid w:val="00A003B4"/>
    <w:rsid w:val="00A00967"/>
    <w:rsid w:val="00A00977"/>
    <w:rsid w:val="00A00AF2"/>
    <w:rsid w:val="00A01255"/>
    <w:rsid w:val="00A01832"/>
    <w:rsid w:val="00A01B76"/>
    <w:rsid w:val="00A01C56"/>
    <w:rsid w:val="00A0235E"/>
    <w:rsid w:val="00A02448"/>
    <w:rsid w:val="00A024FB"/>
    <w:rsid w:val="00A02590"/>
    <w:rsid w:val="00A025EC"/>
    <w:rsid w:val="00A026A6"/>
    <w:rsid w:val="00A02CAB"/>
    <w:rsid w:val="00A02D5C"/>
    <w:rsid w:val="00A02DD5"/>
    <w:rsid w:val="00A0343E"/>
    <w:rsid w:val="00A0389E"/>
    <w:rsid w:val="00A041ED"/>
    <w:rsid w:val="00A044CC"/>
    <w:rsid w:val="00A047D1"/>
    <w:rsid w:val="00A05F40"/>
    <w:rsid w:val="00A07831"/>
    <w:rsid w:val="00A07888"/>
    <w:rsid w:val="00A07BD9"/>
    <w:rsid w:val="00A07F53"/>
    <w:rsid w:val="00A10643"/>
    <w:rsid w:val="00A11217"/>
    <w:rsid w:val="00A114F6"/>
    <w:rsid w:val="00A115DC"/>
    <w:rsid w:val="00A11685"/>
    <w:rsid w:val="00A117E0"/>
    <w:rsid w:val="00A11C37"/>
    <w:rsid w:val="00A11C80"/>
    <w:rsid w:val="00A12130"/>
    <w:rsid w:val="00A129D9"/>
    <w:rsid w:val="00A12C6A"/>
    <w:rsid w:val="00A12E1F"/>
    <w:rsid w:val="00A12E4D"/>
    <w:rsid w:val="00A13121"/>
    <w:rsid w:val="00A1366C"/>
    <w:rsid w:val="00A14677"/>
    <w:rsid w:val="00A14C68"/>
    <w:rsid w:val="00A16DA5"/>
    <w:rsid w:val="00A16F89"/>
    <w:rsid w:val="00A16F9B"/>
    <w:rsid w:val="00A17220"/>
    <w:rsid w:val="00A1731B"/>
    <w:rsid w:val="00A17668"/>
    <w:rsid w:val="00A17C67"/>
    <w:rsid w:val="00A20036"/>
    <w:rsid w:val="00A2019B"/>
    <w:rsid w:val="00A20AAF"/>
    <w:rsid w:val="00A20CF0"/>
    <w:rsid w:val="00A20EE5"/>
    <w:rsid w:val="00A20FCD"/>
    <w:rsid w:val="00A21131"/>
    <w:rsid w:val="00A2154B"/>
    <w:rsid w:val="00A21703"/>
    <w:rsid w:val="00A21B93"/>
    <w:rsid w:val="00A224EB"/>
    <w:rsid w:val="00A230F0"/>
    <w:rsid w:val="00A231AB"/>
    <w:rsid w:val="00A2326E"/>
    <w:rsid w:val="00A232B6"/>
    <w:rsid w:val="00A23A0B"/>
    <w:rsid w:val="00A23BC6"/>
    <w:rsid w:val="00A24E6F"/>
    <w:rsid w:val="00A25302"/>
    <w:rsid w:val="00A25523"/>
    <w:rsid w:val="00A25DF8"/>
    <w:rsid w:val="00A26042"/>
    <w:rsid w:val="00A2604E"/>
    <w:rsid w:val="00A2694A"/>
    <w:rsid w:val="00A271A2"/>
    <w:rsid w:val="00A27279"/>
    <w:rsid w:val="00A273EE"/>
    <w:rsid w:val="00A274FB"/>
    <w:rsid w:val="00A27DA7"/>
    <w:rsid w:val="00A27F03"/>
    <w:rsid w:val="00A27F29"/>
    <w:rsid w:val="00A27FF8"/>
    <w:rsid w:val="00A30A08"/>
    <w:rsid w:val="00A3108C"/>
    <w:rsid w:val="00A3168C"/>
    <w:rsid w:val="00A317FA"/>
    <w:rsid w:val="00A325E1"/>
    <w:rsid w:val="00A3329C"/>
    <w:rsid w:val="00A333E6"/>
    <w:rsid w:val="00A34524"/>
    <w:rsid w:val="00A3489C"/>
    <w:rsid w:val="00A34DD2"/>
    <w:rsid w:val="00A34E64"/>
    <w:rsid w:val="00A352B6"/>
    <w:rsid w:val="00A35D38"/>
    <w:rsid w:val="00A36D79"/>
    <w:rsid w:val="00A370ED"/>
    <w:rsid w:val="00A3725E"/>
    <w:rsid w:val="00A3799A"/>
    <w:rsid w:val="00A37C90"/>
    <w:rsid w:val="00A40139"/>
    <w:rsid w:val="00A403B9"/>
    <w:rsid w:val="00A409CC"/>
    <w:rsid w:val="00A40AC4"/>
    <w:rsid w:val="00A417F9"/>
    <w:rsid w:val="00A41801"/>
    <w:rsid w:val="00A41DDE"/>
    <w:rsid w:val="00A44A37"/>
    <w:rsid w:val="00A44F1A"/>
    <w:rsid w:val="00A45777"/>
    <w:rsid w:val="00A46035"/>
    <w:rsid w:val="00A46100"/>
    <w:rsid w:val="00A46182"/>
    <w:rsid w:val="00A462A7"/>
    <w:rsid w:val="00A4631A"/>
    <w:rsid w:val="00A463C2"/>
    <w:rsid w:val="00A46ED2"/>
    <w:rsid w:val="00A47194"/>
    <w:rsid w:val="00A4736C"/>
    <w:rsid w:val="00A4791F"/>
    <w:rsid w:val="00A47D73"/>
    <w:rsid w:val="00A509DF"/>
    <w:rsid w:val="00A50D35"/>
    <w:rsid w:val="00A52258"/>
    <w:rsid w:val="00A5248C"/>
    <w:rsid w:val="00A5249D"/>
    <w:rsid w:val="00A5305E"/>
    <w:rsid w:val="00A5338E"/>
    <w:rsid w:val="00A5351A"/>
    <w:rsid w:val="00A538DC"/>
    <w:rsid w:val="00A53A87"/>
    <w:rsid w:val="00A53CE0"/>
    <w:rsid w:val="00A544BB"/>
    <w:rsid w:val="00A54A48"/>
    <w:rsid w:val="00A54AC6"/>
    <w:rsid w:val="00A54ED7"/>
    <w:rsid w:val="00A557A1"/>
    <w:rsid w:val="00A55C05"/>
    <w:rsid w:val="00A56191"/>
    <w:rsid w:val="00A564A4"/>
    <w:rsid w:val="00A56919"/>
    <w:rsid w:val="00A56BC5"/>
    <w:rsid w:val="00A56DCC"/>
    <w:rsid w:val="00A57A03"/>
    <w:rsid w:val="00A57B22"/>
    <w:rsid w:val="00A607F4"/>
    <w:rsid w:val="00A60A44"/>
    <w:rsid w:val="00A60CFA"/>
    <w:rsid w:val="00A6172F"/>
    <w:rsid w:val="00A61838"/>
    <w:rsid w:val="00A6184A"/>
    <w:rsid w:val="00A61E68"/>
    <w:rsid w:val="00A61FBC"/>
    <w:rsid w:val="00A6233E"/>
    <w:rsid w:val="00A6243E"/>
    <w:rsid w:val="00A62529"/>
    <w:rsid w:val="00A62B2F"/>
    <w:rsid w:val="00A62B46"/>
    <w:rsid w:val="00A63BDD"/>
    <w:rsid w:val="00A6449C"/>
    <w:rsid w:val="00A64DB5"/>
    <w:rsid w:val="00A64E56"/>
    <w:rsid w:val="00A655B6"/>
    <w:rsid w:val="00A65D0E"/>
    <w:rsid w:val="00A664CD"/>
    <w:rsid w:val="00A66725"/>
    <w:rsid w:val="00A66BF8"/>
    <w:rsid w:val="00A66E6A"/>
    <w:rsid w:val="00A6715C"/>
    <w:rsid w:val="00A6721F"/>
    <w:rsid w:val="00A676A6"/>
    <w:rsid w:val="00A67DA3"/>
    <w:rsid w:val="00A7021A"/>
    <w:rsid w:val="00A70405"/>
    <w:rsid w:val="00A70698"/>
    <w:rsid w:val="00A70EA8"/>
    <w:rsid w:val="00A7188C"/>
    <w:rsid w:val="00A71B8A"/>
    <w:rsid w:val="00A734C4"/>
    <w:rsid w:val="00A73512"/>
    <w:rsid w:val="00A73882"/>
    <w:rsid w:val="00A745E7"/>
    <w:rsid w:val="00A74FAE"/>
    <w:rsid w:val="00A756F6"/>
    <w:rsid w:val="00A75883"/>
    <w:rsid w:val="00A761A5"/>
    <w:rsid w:val="00A7659F"/>
    <w:rsid w:val="00A76BA3"/>
    <w:rsid w:val="00A770BA"/>
    <w:rsid w:val="00A77B8F"/>
    <w:rsid w:val="00A77BA3"/>
    <w:rsid w:val="00A77F9B"/>
    <w:rsid w:val="00A808F8"/>
    <w:rsid w:val="00A80E80"/>
    <w:rsid w:val="00A8105D"/>
    <w:rsid w:val="00A819C7"/>
    <w:rsid w:val="00A8239C"/>
    <w:rsid w:val="00A8257D"/>
    <w:rsid w:val="00A82C80"/>
    <w:rsid w:val="00A8332C"/>
    <w:rsid w:val="00A8369F"/>
    <w:rsid w:val="00A839DA"/>
    <w:rsid w:val="00A84127"/>
    <w:rsid w:val="00A84414"/>
    <w:rsid w:val="00A8569D"/>
    <w:rsid w:val="00A85710"/>
    <w:rsid w:val="00A857CD"/>
    <w:rsid w:val="00A85A03"/>
    <w:rsid w:val="00A85AA9"/>
    <w:rsid w:val="00A85C0B"/>
    <w:rsid w:val="00A85D03"/>
    <w:rsid w:val="00A86417"/>
    <w:rsid w:val="00A86479"/>
    <w:rsid w:val="00A86562"/>
    <w:rsid w:val="00A86AF2"/>
    <w:rsid w:val="00A86C2D"/>
    <w:rsid w:val="00A876E7"/>
    <w:rsid w:val="00A876FA"/>
    <w:rsid w:val="00A878CC"/>
    <w:rsid w:val="00A90006"/>
    <w:rsid w:val="00A90BB5"/>
    <w:rsid w:val="00A90BD9"/>
    <w:rsid w:val="00A913FB"/>
    <w:rsid w:val="00A917DA"/>
    <w:rsid w:val="00A91B8E"/>
    <w:rsid w:val="00A91F87"/>
    <w:rsid w:val="00A92C32"/>
    <w:rsid w:val="00A92CE3"/>
    <w:rsid w:val="00A931EC"/>
    <w:rsid w:val="00A934FF"/>
    <w:rsid w:val="00A93797"/>
    <w:rsid w:val="00A93A0E"/>
    <w:rsid w:val="00A93FA9"/>
    <w:rsid w:val="00A94FBC"/>
    <w:rsid w:val="00A955DE"/>
    <w:rsid w:val="00A95BF0"/>
    <w:rsid w:val="00A95C4D"/>
    <w:rsid w:val="00A9679A"/>
    <w:rsid w:val="00A96F3A"/>
    <w:rsid w:val="00A971F5"/>
    <w:rsid w:val="00A9728E"/>
    <w:rsid w:val="00A976A0"/>
    <w:rsid w:val="00A97A3F"/>
    <w:rsid w:val="00A97C99"/>
    <w:rsid w:val="00A97E06"/>
    <w:rsid w:val="00AA01A4"/>
    <w:rsid w:val="00AA0487"/>
    <w:rsid w:val="00AA0538"/>
    <w:rsid w:val="00AA092F"/>
    <w:rsid w:val="00AA0A4E"/>
    <w:rsid w:val="00AA0AE5"/>
    <w:rsid w:val="00AA0CAF"/>
    <w:rsid w:val="00AA0CB7"/>
    <w:rsid w:val="00AA1753"/>
    <w:rsid w:val="00AA1765"/>
    <w:rsid w:val="00AA1C0F"/>
    <w:rsid w:val="00AA20EB"/>
    <w:rsid w:val="00AA2CA6"/>
    <w:rsid w:val="00AA2DAC"/>
    <w:rsid w:val="00AA3139"/>
    <w:rsid w:val="00AA3163"/>
    <w:rsid w:val="00AA3482"/>
    <w:rsid w:val="00AA4911"/>
    <w:rsid w:val="00AA4D49"/>
    <w:rsid w:val="00AA57B8"/>
    <w:rsid w:val="00AA6690"/>
    <w:rsid w:val="00AA6BB5"/>
    <w:rsid w:val="00AA6F92"/>
    <w:rsid w:val="00AA7A96"/>
    <w:rsid w:val="00AA7AD6"/>
    <w:rsid w:val="00AA7EDB"/>
    <w:rsid w:val="00AB01AC"/>
    <w:rsid w:val="00AB0E1D"/>
    <w:rsid w:val="00AB12DA"/>
    <w:rsid w:val="00AB136F"/>
    <w:rsid w:val="00AB1FC3"/>
    <w:rsid w:val="00AB2674"/>
    <w:rsid w:val="00AB2885"/>
    <w:rsid w:val="00AB3020"/>
    <w:rsid w:val="00AB43B1"/>
    <w:rsid w:val="00AB4482"/>
    <w:rsid w:val="00AB5025"/>
    <w:rsid w:val="00AB5207"/>
    <w:rsid w:val="00AB549F"/>
    <w:rsid w:val="00AB5860"/>
    <w:rsid w:val="00AB5A9C"/>
    <w:rsid w:val="00AB5CA2"/>
    <w:rsid w:val="00AB7078"/>
    <w:rsid w:val="00AB7308"/>
    <w:rsid w:val="00AB7B0C"/>
    <w:rsid w:val="00AB7FF8"/>
    <w:rsid w:val="00AC049E"/>
    <w:rsid w:val="00AC05AD"/>
    <w:rsid w:val="00AC0A1D"/>
    <w:rsid w:val="00AC14D0"/>
    <w:rsid w:val="00AC1FF1"/>
    <w:rsid w:val="00AC2109"/>
    <w:rsid w:val="00AC21E6"/>
    <w:rsid w:val="00AC24AA"/>
    <w:rsid w:val="00AC28A9"/>
    <w:rsid w:val="00AC29E4"/>
    <w:rsid w:val="00AC2BC2"/>
    <w:rsid w:val="00AC35D3"/>
    <w:rsid w:val="00AC35F6"/>
    <w:rsid w:val="00AC3ED8"/>
    <w:rsid w:val="00AC3FF4"/>
    <w:rsid w:val="00AC4B00"/>
    <w:rsid w:val="00AC5BE1"/>
    <w:rsid w:val="00AC5D54"/>
    <w:rsid w:val="00AC62E1"/>
    <w:rsid w:val="00AC6363"/>
    <w:rsid w:val="00AC66D7"/>
    <w:rsid w:val="00AC6DF7"/>
    <w:rsid w:val="00AC786E"/>
    <w:rsid w:val="00AC7FEE"/>
    <w:rsid w:val="00AD0326"/>
    <w:rsid w:val="00AD226A"/>
    <w:rsid w:val="00AD2AF0"/>
    <w:rsid w:val="00AD2E99"/>
    <w:rsid w:val="00AD3B55"/>
    <w:rsid w:val="00AD3BA2"/>
    <w:rsid w:val="00AD3D48"/>
    <w:rsid w:val="00AD4625"/>
    <w:rsid w:val="00AD48BA"/>
    <w:rsid w:val="00AD4F2F"/>
    <w:rsid w:val="00AD595D"/>
    <w:rsid w:val="00AD60EA"/>
    <w:rsid w:val="00AD6805"/>
    <w:rsid w:val="00AD6E37"/>
    <w:rsid w:val="00AD715D"/>
    <w:rsid w:val="00AD72B0"/>
    <w:rsid w:val="00AD73B3"/>
    <w:rsid w:val="00AD76B1"/>
    <w:rsid w:val="00AD7D20"/>
    <w:rsid w:val="00AD7F6D"/>
    <w:rsid w:val="00AD7FEC"/>
    <w:rsid w:val="00AE0D84"/>
    <w:rsid w:val="00AE11F5"/>
    <w:rsid w:val="00AE145F"/>
    <w:rsid w:val="00AE1B3A"/>
    <w:rsid w:val="00AE21E6"/>
    <w:rsid w:val="00AE3193"/>
    <w:rsid w:val="00AE3364"/>
    <w:rsid w:val="00AE37FA"/>
    <w:rsid w:val="00AE3884"/>
    <w:rsid w:val="00AE41E1"/>
    <w:rsid w:val="00AE4275"/>
    <w:rsid w:val="00AE46A8"/>
    <w:rsid w:val="00AE4848"/>
    <w:rsid w:val="00AE48D1"/>
    <w:rsid w:val="00AE5A5D"/>
    <w:rsid w:val="00AE5EEF"/>
    <w:rsid w:val="00AE6227"/>
    <w:rsid w:val="00AE65BB"/>
    <w:rsid w:val="00AE6A4E"/>
    <w:rsid w:val="00AE7089"/>
    <w:rsid w:val="00AE726B"/>
    <w:rsid w:val="00AE7488"/>
    <w:rsid w:val="00AE7ECD"/>
    <w:rsid w:val="00AF0651"/>
    <w:rsid w:val="00AF08CA"/>
    <w:rsid w:val="00AF0DE2"/>
    <w:rsid w:val="00AF0F7D"/>
    <w:rsid w:val="00AF1638"/>
    <w:rsid w:val="00AF19C8"/>
    <w:rsid w:val="00AF19D4"/>
    <w:rsid w:val="00AF1C22"/>
    <w:rsid w:val="00AF1C83"/>
    <w:rsid w:val="00AF3467"/>
    <w:rsid w:val="00AF3803"/>
    <w:rsid w:val="00AF3C0D"/>
    <w:rsid w:val="00AF3C68"/>
    <w:rsid w:val="00AF3F09"/>
    <w:rsid w:val="00AF3F2F"/>
    <w:rsid w:val="00AF522C"/>
    <w:rsid w:val="00AF5BE1"/>
    <w:rsid w:val="00AF5E72"/>
    <w:rsid w:val="00AF6120"/>
    <w:rsid w:val="00AF62A4"/>
    <w:rsid w:val="00AF7984"/>
    <w:rsid w:val="00AF79B4"/>
    <w:rsid w:val="00B00C4F"/>
    <w:rsid w:val="00B00FE6"/>
    <w:rsid w:val="00B010DC"/>
    <w:rsid w:val="00B016F5"/>
    <w:rsid w:val="00B0198B"/>
    <w:rsid w:val="00B026D9"/>
    <w:rsid w:val="00B0345B"/>
    <w:rsid w:val="00B036C2"/>
    <w:rsid w:val="00B037CF"/>
    <w:rsid w:val="00B037E5"/>
    <w:rsid w:val="00B03C8B"/>
    <w:rsid w:val="00B0403F"/>
    <w:rsid w:val="00B04347"/>
    <w:rsid w:val="00B04E7C"/>
    <w:rsid w:val="00B05515"/>
    <w:rsid w:val="00B055E7"/>
    <w:rsid w:val="00B057D9"/>
    <w:rsid w:val="00B05C68"/>
    <w:rsid w:val="00B05D0A"/>
    <w:rsid w:val="00B07B7F"/>
    <w:rsid w:val="00B07DAD"/>
    <w:rsid w:val="00B1051A"/>
    <w:rsid w:val="00B1084B"/>
    <w:rsid w:val="00B110C0"/>
    <w:rsid w:val="00B11C29"/>
    <w:rsid w:val="00B11D96"/>
    <w:rsid w:val="00B1288B"/>
    <w:rsid w:val="00B1296F"/>
    <w:rsid w:val="00B13391"/>
    <w:rsid w:val="00B13CA3"/>
    <w:rsid w:val="00B153F2"/>
    <w:rsid w:val="00B15D03"/>
    <w:rsid w:val="00B165B8"/>
    <w:rsid w:val="00B166A1"/>
    <w:rsid w:val="00B171F7"/>
    <w:rsid w:val="00B174CB"/>
    <w:rsid w:val="00B178C8"/>
    <w:rsid w:val="00B21714"/>
    <w:rsid w:val="00B220BA"/>
    <w:rsid w:val="00B22189"/>
    <w:rsid w:val="00B22CDF"/>
    <w:rsid w:val="00B22F66"/>
    <w:rsid w:val="00B233EA"/>
    <w:rsid w:val="00B23DCE"/>
    <w:rsid w:val="00B23E90"/>
    <w:rsid w:val="00B2467E"/>
    <w:rsid w:val="00B248C4"/>
    <w:rsid w:val="00B25374"/>
    <w:rsid w:val="00B25F57"/>
    <w:rsid w:val="00B262B4"/>
    <w:rsid w:val="00B26829"/>
    <w:rsid w:val="00B26B6E"/>
    <w:rsid w:val="00B27CCC"/>
    <w:rsid w:val="00B30915"/>
    <w:rsid w:val="00B30E03"/>
    <w:rsid w:val="00B30E62"/>
    <w:rsid w:val="00B30F5B"/>
    <w:rsid w:val="00B33481"/>
    <w:rsid w:val="00B33914"/>
    <w:rsid w:val="00B34652"/>
    <w:rsid w:val="00B347EE"/>
    <w:rsid w:val="00B348AD"/>
    <w:rsid w:val="00B3497E"/>
    <w:rsid w:val="00B34BE0"/>
    <w:rsid w:val="00B34E69"/>
    <w:rsid w:val="00B355BE"/>
    <w:rsid w:val="00B369EF"/>
    <w:rsid w:val="00B36B87"/>
    <w:rsid w:val="00B36E11"/>
    <w:rsid w:val="00B3768C"/>
    <w:rsid w:val="00B37D04"/>
    <w:rsid w:val="00B4056C"/>
    <w:rsid w:val="00B40626"/>
    <w:rsid w:val="00B4077E"/>
    <w:rsid w:val="00B408D9"/>
    <w:rsid w:val="00B40A00"/>
    <w:rsid w:val="00B4149E"/>
    <w:rsid w:val="00B41838"/>
    <w:rsid w:val="00B42235"/>
    <w:rsid w:val="00B428AB"/>
    <w:rsid w:val="00B4310F"/>
    <w:rsid w:val="00B43184"/>
    <w:rsid w:val="00B43E5B"/>
    <w:rsid w:val="00B43F41"/>
    <w:rsid w:val="00B44239"/>
    <w:rsid w:val="00B4449E"/>
    <w:rsid w:val="00B44554"/>
    <w:rsid w:val="00B44894"/>
    <w:rsid w:val="00B449EE"/>
    <w:rsid w:val="00B44DC7"/>
    <w:rsid w:val="00B44FF0"/>
    <w:rsid w:val="00B46275"/>
    <w:rsid w:val="00B469F9"/>
    <w:rsid w:val="00B471E5"/>
    <w:rsid w:val="00B47338"/>
    <w:rsid w:val="00B475AC"/>
    <w:rsid w:val="00B47684"/>
    <w:rsid w:val="00B47B3D"/>
    <w:rsid w:val="00B47E6C"/>
    <w:rsid w:val="00B47F8A"/>
    <w:rsid w:val="00B500F4"/>
    <w:rsid w:val="00B503F5"/>
    <w:rsid w:val="00B50601"/>
    <w:rsid w:val="00B507E6"/>
    <w:rsid w:val="00B50ADB"/>
    <w:rsid w:val="00B51211"/>
    <w:rsid w:val="00B51A59"/>
    <w:rsid w:val="00B51BC2"/>
    <w:rsid w:val="00B51BE1"/>
    <w:rsid w:val="00B51D3E"/>
    <w:rsid w:val="00B51E9B"/>
    <w:rsid w:val="00B5210F"/>
    <w:rsid w:val="00B523EF"/>
    <w:rsid w:val="00B52419"/>
    <w:rsid w:val="00B53310"/>
    <w:rsid w:val="00B53886"/>
    <w:rsid w:val="00B53A02"/>
    <w:rsid w:val="00B54E7B"/>
    <w:rsid w:val="00B557F2"/>
    <w:rsid w:val="00B55ED5"/>
    <w:rsid w:val="00B56691"/>
    <w:rsid w:val="00B56833"/>
    <w:rsid w:val="00B56B26"/>
    <w:rsid w:val="00B56FFD"/>
    <w:rsid w:val="00B570F8"/>
    <w:rsid w:val="00B57416"/>
    <w:rsid w:val="00B5744F"/>
    <w:rsid w:val="00B5793E"/>
    <w:rsid w:val="00B57AFD"/>
    <w:rsid w:val="00B57B08"/>
    <w:rsid w:val="00B60092"/>
    <w:rsid w:val="00B60966"/>
    <w:rsid w:val="00B61189"/>
    <w:rsid w:val="00B612BF"/>
    <w:rsid w:val="00B613E6"/>
    <w:rsid w:val="00B61B85"/>
    <w:rsid w:val="00B623DA"/>
    <w:rsid w:val="00B62BCF"/>
    <w:rsid w:val="00B63811"/>
    <w:rsid w:val="00B638D3"/>
    <w:rsid w:val="00B63B87"/>
    <w:rsid w:val="00B64894"/>
    <w:rsid w:val="00B64A18"/>
    <w:rsid w:val="00B64E02"/>
    <w:rsid w:val="00B653C8"/>
    <w:rsid w:val="00B65CAD"/>
    <w:rsid w:val="00B65E2D"/>
    <w:rsid w:val="00B66268"/>
    <w:rsid w:val="00B664E0"/>
    <w:rsid w:val="00B6666A"/>
    <w:rsid w:val="00B669E5"/>
    <w:rsid w:val="00B66B6D"/>
    <w:rsid w:val="00B66BF8"/>
    <w:rsid w:val="00B66DFE"/>
    <w:rsid w:val="00B672F0"/>
    <w:rsid w:val="00B67581"/>
    <w:rsid w:val="00B679E0"/>
    <w:rsid w:val="00B67B0D"/>
    <w:rsid w:val="00B67B64"/>
    <w:rsid w:val="00B67C09"/>
    <w:rsid w:val="00B67D03"/>
    <w:rsid w:val="00B703CF"/>
    <w:rsid w:val="00B705A0"/>
    <w:rsid w:val="00B70937"/>
    <w:rsid w:val="00B7099A"/>
    <w:rsid w:val="00B71322"/>
    <w:rsid w:val="00B717F6"/>
    <w:rsid w:val="00B71CBE"/>
    <w:rsid w:val="00B71D07"/>
    <w:rsid w:val="00B71EEB"/>
    <w:rsid w:val="00B72E5F"/>
    <w:rsid w:val="00B73894"/>
    <w:rsid w:val="00B73E28"/>
    <w:rsid w:val="00B73EA5"/>
    <w:rsid w:val="00B73F6D"/>
    <w:rsid w:val="00B74600"/>
    <w:rsid w:val="00B75077"/>
    <w:rsid w:val="00B752DD"/>
    <w:rsid w:val="00B7574A"/>
    <w:rsid w:val="00B758C7"/>
    <w:rsid w:val="00B759AB"/>
    <w:rsid w:val="00B774F3"/>
    <w:rsid w:val="00B77D5D"/>
    <w:rsid w:val="00B77F7D"/>
    <w:rsid w:val="00B801E1"/>
    <w:rsid w:val="00B803B7"/>
    <w:rsid w:val="00B80467"/>
    <w:rsid w:val="00B808C3"/>
    <w:rsid w:val="00B810D7"/>
    <w:rsid w:val="00B8252B"/>
    <w:rsid w:val="00B829D0"/>
    <w:rsid w:val="00B82C71"/>
    <w:rsid w:val="00B83083"/>
    <w:rsid w:val="00B8336A"/>
    <w:rsid w:val="00B8397A"/>
    <w:rsid w:val="00B83A48"/>
    <w:rsid w:val="00B840A5"/>
    <w:rsid w:val="00B8489F"/>
    <w:rsid w:val="00B85026"/>
    <w:rsid w:val="00B865A5"/>
    <w:rsid w:val="00B87349"/>
    <w:rsid w:val="00B8743B"/>
    <w:rsid w:val="00B879F2"/>
    <w:rsid w:val="00B87E96"/>
    <w:rsid w:val="00B90320"/>
    <w:rsid w:val="00B90C7E"/>
    <w:rsid w:val="00B90C92"/>
    <w:rsid w:val="00B90CD6"/>
    <w:rsid w:val="00B914F6"/>
    <w:rsid w:val="00B917B7"/>
    <w:rsid w:val="00B92CBD"/>
    <w:rsid w:val="00B92CE8"/>
    <w:rsid w:val="00B938D1"/>
    <w:rsid w:val="00B93ADE"/>
    <w:rsid w:val="00B947DB"/>
    <w:rsid w:val="00B94DD3"/>
    <w:rsid w:val="00B94F05"/>
    <w:rsid w:val="00B95002"/>
    <w:rsid w:val="00B9550B"/>
    <w:rsid w:val="00B95AE3"/>
    <w:rsid w:val="00B95D8A"/>
    <w:rsid w:val="00B9660D"/>
    <w:rsid w:val="00B97474"/>
    <w:rsid w:val="00B97973"/>
    <w:rsid w:val="00B97C08"/>
    <w:rsid w:val="00BA097C"/>
    <w:rsid w:val="00BA117C"/>
    <w:rsid w:val="00BA1977"/>
    <w:rsid w:val="00BA2026"/>
    <w:rsid w:val="00BA2217"/>
    <w:rsid w:val="00BA22A1"/>
    <w:rsid w:val="00BA25C2"/>
    <w:rsid w:val="00BA275D"/>
    <w:rsid w:val="00BA29EE"/>
    <w:rsid w:val="00BA2BDB"/>
    <w:rsid w:val="00BA3080"/>
    <w:rsid w:val="00BA338A"/>
    <w:rsid w:val="00BA3F34"/>
    <w:rsid w:val="00BA400D"/>
    <w:rsid w:val="00BA481F"/>
    <w:rsid w:val="00BA4C12"/>
    <w:rsid w:val="00BA4D6D"/>
    <w:rsid w:val="00BA4E0C"/>
    <w:rsid w:val="00BA5F70"/>
    <w:rsid w:val="00BA63D5"/>
    <w:rsid w:val="00BA700A"/>
    <w:rsid w:val="00BA77CD"/>
    <w:rsid w:val="00BA7806"/>
    <w:rsid w:val="00BA7BC9"/>
    <w:rsid w:val="00BB05A6"/>
    <w:rsid w:val="00BB12DB"/>
    <w:rsid w:val="00BB1450"/>
    <w:rsid w:val="00BB179A"/>
    <w:rsid w:val="00BB1865"/>
    <w:rsid w:val="00BB1D04"/>
    <w:rsid w:val="00BB266E"/>
    <w:rsid w:val="00BB2773"/>
    <w:rsid w:val="00BB33A9"/>
    <w:rsid w:val="00BB33DD"/>
    <w:rsid w:val="00BB350E"/>
    <w:rsid w:val="00BB365B"/>
    <w:rsid w:val="00BB3B09"/>
    <w:rsid w:val="00BB3CD6"/>
    <w:rsid w:val="00BB3F44"/>
    <w:rsid w:val="00BB4551"/>
    <w:rsid w:val="00BB4557"/>
    <w:rsid w:val="00BB45D4"/>
    <w:rsid w:val="00BB4978"/>
    <w:rsid w:val="00BB4B56"/>
    <w:rsid w:val="00BB5130"/>
    <w:rsid w:val="00BB566D"/>
    <w:rsid w:val="00BB5D27"/>
    <w:rsid w:val="00BB600C"/>
    <w:rsid w:val="00BB64D3"/>
    <w:rsid w:val="00BB6E91"/>
    <w:rsid w:val="00BB6EBE"/>
    <w:rsid w:val="00BB7F02"/>
    <w:rsid w:val="00BC0F75"/>
    <w:rsid w:val="00BC160B"/>
    <w:rsid w:val="00BC1886"/>
    <w:rsid w:val="00BC1D01"/>
    <w:rsid w:val="00BC2960"/>
    <w:rsid w:val="00BC31B6"/>
    <w:rsid w:val="00BC32EE"/>
    <w:rsid w:val="00BC3866"/>
    <w:rsid w:val="00BC3DBA"/>
    <w:rsid w:val="00BC42D1"/>
    <w:rsid w:val="00BC43C3"/>
    <w:rsid w:val="00BC5025"/>
    <w:rsid w:val="00BC5848"/>
    <w:rsid w:val="00BC5C92"/>
    <w:rsid w:val="00BC5C99"/>
    <w:rsid w:val="00BC6A3F"/>
    <w:rsid w:val="00BC7086"/>
    <w:rsid w:val="00BC756A"/>
    <w:rsid w:val="00BC7847"/>
    <w:rsid w:val="00BC789D"/>
    <w:rsid w:val="00BD002F"/>
    <w:rsid w:val="00BD05B2"/>
    <w:rsid w:val="00BD0A02"/>
    <w:rsid w:val="00BD0EE6"/>
    <w:rsid w:val="00BD1470"/>
    <w:rsid w:val="00BD2178"/>
    <w:rsid w:val="00BD2242"/>
    <w:rsid w:val="00BD29D3"/>
    <w:rsid w:val="00BD2BB1"/>
    <w:rsid w:val="00BD2CC0"/>
    <w:rsid w:val="00BD2D05"/>
    <w:rsid w:val="00BD2D17"/>
    <w:rsid w:val="00BD3FFF"/>
    <w:rsid w:val="00BD406F"/>
    <w:rsid w:val="00BD4287"/>
    <w:rsid w:val="00BD4339"/>
    <w:rsid w:val="00BD49A9"/>
    <w:rsid w:val="00BD4C6A"/>
    <w:rsid w:val="00BD4C9D"/>
    <w:rsid w:val="00BD508A"/>
    <w:rsid w:val="00BD6491"/>
    <w:rsid w:val="00BD7237"/>
    <w:rsid w:val="00BD73A5"/>
    <w:rsid w:val="00BD7411"/>
    <w:rsid w:val="00BE0090"/>
    <w:rsid w:val="00BE00F3"/>
    <w:rsid w:val="00BE0423"/>
    <w:rsid w:val="00BE0592"/>
    <w:rsid w:val="00BE0A40"/>
    <w:rsid w:val="00BE13B2"/>
    <w:rsid w:val="00BE163E"/>
    <w:rsid w:val="00BE1B74"/>
    <w:rsid w:val="00BE2B05"/>
    <w:rsid w:val="00BE3010"/>
    <w:rsid w:val="00BE31EF"/>
    <w:rsid w:val="00BE3872"/>
    <w:rsid w:val="00BE38CE"/>
    <w:rsid w:val="00BE3943"/>
    <w:rsid w:val="00BE3AF4"/>
    <w:rsid w:val="00BE457E"/>
    <w:rsid w:val="00BE5A26"/>
    <w:rsid w:val="00BE5F9F"/>
    <w:rsid w:val="00BE612F"/>
    <w:rsid w:val="00BE6630"/>
    <w:rsid w:val="00BE66E6"/>
    <w:rsid w:val="00BE6DBE"/>
    <w:rsid w:val="00BE70C6"/>
    <w:rsid w:val="00BE7332"/>
    <w:rsid w:val="00BE74EF"/>
    <w:rsid w:val="00BE7908"/>
    <w:rsid w:val="00BE7A82"/>
    <w:rsid w:val="00BE7D72"/>
    <w:rsid w:val="00BF0033"/>
    <w:rsid w:val="00BF0148"/>
    <w:rsid w:val="00BF03BF"/>
    <w:rsid w:val="00BF0A08"/>
    <w:rsid w:val="00BF127D"/>
    <w:rsid w:val="00BF1335"/>
    <w:rsid w:val="00BF1561"/>
    <w:rsid w:val="00BF1715"/>
    <w:rsid w:val="00BF19D6"/>
    <w:rsid w:val="00BF1B52"/>
    <w:rsid w:val="00BF1B6F"/>
    <w:rsid w:val="00BF3173"/>
    <w:rsid w:val="00BF45D2"/>
    <w:rsid w:val="00BF480E"/>
    <w:rsid w:val="00BF4823"/>
    <w:rsid w:val="00BF5747"/>
    <w:rsid w:val="00BF5BB8"/>
    <w:rsid w:val="00BF5BCE"/>
    <w:rsid w:val="00BF6198"/>
    <w:rsid w:val="00C00614"/>
    <w:rsid w:val="00C006E0"/>
    <w:rsid w:val="00C0172A"/>
    <w:rsid w:val="00C019EE"/>
    <w:rsid w:val="00C01BC5"/>
    <w:rsid w:val="00C01F89"/>
    <w:rsid w:val="00C03537"/>
    <w:rsid w:val="00C040E3"/>
    <w:rsid w:val="00C04AE9"/>
    <w:rsid w:val="00C04DAB"/>
    <w:rsid w:val="00C058EE"/>
    <w:rsid w:val="00C05AF7"/>
    <w:rsid w:val="00C05B18"/>
    <w:rsid w:val="00C05E50"/>
    <w:rsid w:val="00C062E8"/>
    <w:rsid w:val="00C06593"/>
    <w:rsid w:val="00C065E4"/>
    <w:rsid w:val="00C06B76"/>
    <w:rsid w:val="00C07582"/>
    <w:rsid w:val="00C100F5"/>
    <w:rsid w:val="00C105D2"/>
    <w:rsid w:val="00C10990"/>
    <w:rsid w:val="00C10B11"/>
    <w:rsid w:val="00C10C94"/>
    <w:rsid w:val="00C1136E"/>
    <w:rsid w:val="00C11813"/>
    <w:rsid w:val="00C11AF0"/>
    <w:rsid w:val="00C11E0E"/>
    <w:rsid w:val="00C13328"/>
    <w:rsid w:val="00C138A0"/>
    <w:rsid w:val="00C14337"/>
    <w:rsid w:val="00C1498D"/>
    <w:rsid w:val="00C15099"/>
    <w:rsid w:val="00C15140"/>
    <w:rsid w:val="00C1527A"/>
    <w:rsid w:val="00C15570"/>
    <w:rsid w:val="00C15E1D"/>
    <w:rsid w:val="00C16227"/>
    <w:rsid w:val="00C16A63"/>
    <w:rsid w:val="00C16C20"/>
    <w:rsid w:val="00C1783F"/>
    <w:rsid w:val="00C17C34"/>
    <w:rsid w:val="00C203B4"/>
    <w:rsid w:val="00C2052A"/>
    <w:rsid w:val="00C20F42"/>
    <w:rsid w:val="00C2149A"/>
    <w:rsid w:val="00C215BE"/>
    <w:rsid w:val="00C216DD"/>
    <w:rsid w:val="00C21EC8"/>
    <w:rsid w:val="00C21FF1"/>
    <w:rsid w:val="00C2216F"/>
    <w:rsid w:val="00C22B96"/>
    <w:rsid w:val="00C2344A"/>
    <w:rsid w:val="00C239D5"/>
    <w:rsid w:val="00C23BB4"/>
    <w:rsid w:val="00C24200"/>
    <w:rsid w:val="00C24BB2"/>
    <w:rsid w:val="00C25374"/>
    <w:rsid w:val="00C25A63"/>
    <w:rsid w:val="00C25B05"/>
    <w:rsid w:val="00C25E5A"/>
    <w:rsid w:val="00C262C7"/>
    <w:rsid w:val="00C26699"/>
    <w:rsid w:val="00C269FA"/>
    <w:rsid w:val="00C270C9"/>
    <w:rsid w:val="00C27A97"/>
    <w:rsid w:val="00C27B22"/>
    <w:rsid w:val="00C31154"/>
    <w:rsid w:val="00C319D3"/>
    <w:rsid w:val="00C319D8"/>
    <w:rsid w:val="00C31F30"/>
    <w:rsid w:val="00C326F0"/>
    <w:rsid w:val="00C32BC9"/>
    <w:rsid w:val="00C32E35"/>
    <w:rsid w:val="00C33215"/>
    <w:rsid w:val="00C33AF2"/>
    <w:rsid w:val="00C34115"/>
    <w:rsid w:val="00C3428C"/>
    <w:rsid w:val="00C345A0"/>
    <w:rsid w:val="00C345B8"/>
    <w:rsid w:val="00C34CA8"/>
    <w:rsid w:val="00C34CFA"/>
    <w:rsid w:val="00C34FE5"/>
    <w:rsid w:val="00C3521F"/>
    <w:rsid w:val="00C354BA"/>
    <w:rsid w:val="00C359EE"/>
    <w:rsid w:val="00C36A96"/>
    <w:rsid w:val="00C36DBD"/>
    <w:rsid w:val="00C36F4E"/>
    <w:rsid w:val="00C371A4"/>
    <w:rsid w:val="00C371F3"/>
    <w:rsid w:val="00C4058C"/>
    <w:rsid w:val="00C408AC"/>
    <w:rsid w:val="00C412A4"/>
    <w:rsid w:val="00C42985"/>
    <w:rsid w:val="00C42F65"/>
    <w:rsid w:val="00C44201"/>
    <w:rsid w:val="00C447AB"/>
    <w:rsid w:val="00C44F79"/>
    <w:rsid w:val="00C44FC0"/>
    <w:rsid w:val="00C4510B"/>
    <w:rsid w:val="00C46111"/>
    <w:rsid w:val="00C47011"/>
    <w:rsid w:val="00C470CB"/>
    <w:rsid w:val="00C47120"/>
    <w:rsid w:val="00C478EE"/>
    <w:rsid w:val="00C50450"/>
    <w:rsid w:val="00C504A7"/>
    <w:rsid w:val="00C50F86"/>
    <w:rsid w:val="00C51561"/>
    <w:rsid w:val="00C5245D"/>
    <w:rsid w:val="00C5246E"/>
    <w:rsid w:val="00C53F55"/>
    <w:rsid w:val="00C53F86"/>
    <w:rsid w:val="00C542CB"/>
    <w:rsid w:val="00C544B7"/>
    <w:rsid w:val="00C548B4"/>
    <w:rsid w:val="00C550E5"/>
    <w:rsid w:val="00C55BC0"/>
    <w:rsid w:val="00C5674D"/>
    <w:rsid w:val="00C569E6"/>
    <w:rsid w:val="00C56CC5"/>
    <w:rsid w:val="00C56EAB"/>
    <w:rsid w:val="00C578B1"/>
    <w:rsid w:val="00C60249"/>
    <w:rsid w:val="00C60715"/>
    <w:rsid w:val="00C607B3"/>
    <w:rsid w:val="00C612F9"/>
    <w:rsid w:val="00C61CB2"/>
    <w:rsid w:val="00C6223E"/>
    <w:rsid w:val="00C62B25"/>
    <w:rsid w:val="00C62CC8"/>
    <w:rsid w:val="00C6312E"/>
    <w:rsid w:val="00C637C9"/>
    <w:rsid w:val="00C638E9"/>
    <w:rsid w:val="00C63ABC"/>
    <w:rsid w:val="00C63EE3"/>
    <w:rsid w:val="00C641F7"/>
    <w:rsid w:val="00C64353"/>
    <w:rsid w:val="00C6452F"/>
    <w:rsid w:val="00C64762"/>
    <w:rsid w:val="00C64A6F"/>
    <w:rsid w:val="00C65A0C"/>
    <w:rsid w:val="00C65AD3"/>
    <w:rsid w:val="00C65CE3"/>
    <w:rsid w:val="00C671EA"/>
    <w:rsid w:val="00C674F3"/>
    <w:rsid w:val="00C67B1A"/>
    <w:rsid w:val="00C67B4E"/>
    <w:rsid w:val="00C67CA3"/>
    <w:rsid w:val="00C70214"/>
    <w:rsid w:val="00C70CC8"/>
    <w:rsid w:val="00C71600"/>
    <w:rsid w:val="00C71E63"/>
    <w:rsid w:val="00C727D7"/>
    <w:rsid w:val="00C739E8"/>
    <w:rsid w:val="00C73EA3"/>
    <w:rsid w:val="00C73F7F"/>
    <w:rsid w:val="00C74053"/>
    <w:rsid w:val="00C74582"/>
    <w:rsid w:val="00C74724"/>
    <w:rsid w:val="00C751C9"/>
    <w:rsid w:val="00C756B1"/>
    <w:rsid w:val="00C75879"/>
    <w:rsid w:val="00C75EC5"/>
    <w:rsid w:val="00C76289"/>
    <w:rsid w:val="00C76607"/>
    <w:rsid w:val="00C76648"/>
    <w:rsid w:val="00C76664"/>
    <w:rsid w:val="00C766FA"/>
    <w:rsid w:val="00C767EF"/>
    <w:rsid w:val="00C77791"/>
    <w:rsid w:val="00C7790A"/>
    <w:rsid w:val="00C808E5"/>
    <w:rsid w:val="00C80CD3"/>
    <w:rsid w:val="00C80DD1"/>
    <w:rsid w:val="00C81100"/>
    <w:rsid w:val="00C81427"/>
    <w:rsid w:val="00C8167B"/>
    <w:rsid w:val="00C81D04"/>
    <w:rsid w:val="00C839EE"/>
    <w:rsid w:val="00C83D32"/>
    <w:rsid w:val="00C83E1C"/>
    <w:rsid w:val="00C8548D"/>
    <w:rsid w:val="00C85605"/>
    <w:rsid w:val="00C857E9"/>
    <w:rsid w:val="00C85FD4"/>
    <w:rsid w:val="00C8697A"/>
    <w:rsid w:val="00C8734E"/>
    <w:rsid w:val="00C8743C"/>
    <w:rsid w:val="00C877CB"/>
    <w:rsid w:val="00C90E99"/>
    <w:rsid w:val="00C915AB"/>
    <w:rsid w:val="00C91F3C"/>
    <w:rsid w:val="00C924FE"/>
    <w:rsid w:val="00C926CB"/>
    <w:rsid w:val="00C93012"/>
    <w:rsid w:val="00C932CC"/>
    <w:rsid w:val="00C94011"/>
    <w:rsid w:val="00C940D5"/>
    <w:rsid w:val="00C94A9F"/>
    <w:rsid w:val="00C94CE3"/>
    <w:rsid w:val="00C955F7"/>
    <w:rsid w:val="00C957FD"/>
    <w:rsid w:val="00C958AD"/>
    <w:rsid w:val="00C95C1A"/>
    <w:rsid w:val="00C95DCC"/>
    <w:rsid w:val="00C96D39"/>
    <w:rsid w:val="00C9708A"/>
    <w:rsid w:val="00C97F63"/>
    <w:rsid w:val="00CA0295"/>
    <w:rsid w:val="00CA083A"/>
    <w:rsid w:val="00CA0A80"/>
    <w:rsid w:val="00CA0BEA"/>
    <w:rsid w:val="00CA0D55"/>
    <w:rsid w:val="00CA125B"/>
    <w:rsid w:val="00CA1414"/>
    <w:rsid w:val="00CA1F4D"/>
    <w:rsid w:val="00CA23DA"/>
    <w:rsid w:val="00CA3A20"/>
    <w:rsid w:val="00CA3AB9"/>
    <w:rsid w:val="00CA3F44"/>
    <w:rsid w:val="00CA4336"/>
    <w:rsid w:val="00CA4B4A"/>
    <w:rsid w:val="00CA4B98"/>
    <w:rsid w:val="00CA536D"/>
    <w:rsid w:val="00CA6168"/>
    <w:rsid w:val="00CA623E"/>
    <w:rsid w:val="00CA6316"/>
    <w:rsid w:val="00CA638F"/>
    <w:rsid w:val="00CA6435"/>
    <w:rsid w:val="00CA64B8"/>
    <w:rsid w:val="00CA6730"/>
    <w:rsid w:val="00CA6905"/>
    <w:rsid w:val="00CA7F1D"/>
    <w:rsid w:val="00CA7F22"/>
    <w:rsid w:val="00CA7FBE"/>
    <w:rsid w:val="00CB04A2"/>
    <w:rsid w:val="00CB1997"/>
    <w:rsid w:val="00CB1DDC"/>
    <w:rsid w:val="00CB2064"/>
    <w:rsid w:val="00CB298E"/>
    <w:rsid w:val="00CB309D"/>
    <w:rsid w:val="00CB3491"/>
    <w:rsid w:val="00CB37AB"/>
    <w:rsid w:val="00CB3C56"/>
    <w:rsid w:val="00CB6061"/>
    <w:rsid w:val="00CB65B3"/>
    <w:rsid w:val="00CB6679"/>
    <w:rsid w:val="00CB6CA1"/>
    <w:rsid w:val="00CB6CA9"/>
    <w:rsid w:val="00CB6F1A"/>
    <w:rsid w:val="00CB7EB1"/>
    <w:rsid w:val="00CC097A"/>
    <w:rsid w:val="00CC16F0"/>
    <w:rsid w:val="00CC1B53"/>
    <w:rsid w:val="00CC1FDB"/>
    <w:rsid w:val="00CC2163"/>
    <w:rsid w:val="00CC22C3"/>
    <w:rsid w:val="00CC2F9C"/>
    <w:rsid w:val="00CC4199"/>
    <w:rsid w:val="00CC46B6"/>
    <w:rsid w:val="00CC4A68"/>
    <w:rsid w:val="00CC4B45"/>
    <w:rsid w:val="00CC4BF4"/>
    <w:rsid w:val="00CC517C"/>
    <w:rsid w:val="00CC5629"/>
    <w:rsid w:val="00CC607C"/>
    <w:rsid w:val="00CC62CA"/>
    <w:rsid w:val="00CC6AC2"/>
    <w:rsid w:val="00CC7949"/>
    <w:rsid w:val="00CC7D1A"/>
    <w:rsid w:val="00CC7F07"/>
    <w:rsid w:val="00CD0146"/>
    <w:rsid w:val="00CD05F7"/>
    <w:rsid w:val="00CD0A7E"/>
    <w:rsid w:val="00CD15D8"/>
    <w:rsid w:val="00CD1741"/>
    <w:rsid w:val="00CD193D"/>
    <w:rsid w:val="00CD1B77"/>
    <w:rsid w:val="00CD1D89"/>
    <w:rsid w:val="00CD20CD"/>
    <w:rsid w:val="00CD2542"/>
    <w:rsid w:val="00CD2C85"/>
    <w:rsid w:val="00CD3218"/>
    <w:rsid w:val="00CD3682"/>
    <w:rsid w:val="00CD3FCC"/>
    <w:rsid w:val="00CD407B"/>
    <w:rsid w:val="00CD41B1"/>
    <w:rsid w:val="00CD4AC7"/>
    <w:rsid w:val="00CD4BAC"/>
    <w:rsid w:val="00CD4E22"/>
    <w:rsid w:val="00CD5C99"/>
    <w:rsid w:val="00CD5D4F"/>
    <w:rsid w:val="00CD6257"/>
    <w:rsid w:val="00CD6261"/>
    <w:rsid w:val="00CD666D"/>
    <w:rsid w:val="00CD6D39"/>
    <w:rsid w:val="00CD7619"/>
    <w:rsid w:val="00CD7BF7"/>
    <w:rsid w:val="00CD7C43"/>
    <w:rsid w:val="00CE005A"/>
    <w:rsid w:val="00CE1072"/>
    <w:rsid w:val="00CE10DC"/>
    <w:rsid w:val="00CE25EF"/>
    <w:rsid w:val="00CE37EE"/>
    <w:rsid w:val="00CE38A3"/>
    <w:rsid w:val="00CE41EB"/>
    <w:rsid w:val="00CE4977"/>
    <w:rsid w:val="00CE4A75"/>
    <w:rsid w:val="00CE4D24"/>
    <w:rsid w:val="00CE53A4"/>
    <w:rsid w:val="00CE56F7"/>
    <w:rsid w:val="00CE5E95"/>
    <w:rsid w:val="00CE5F5D"/>
    <w:rsid w:val="00CE684B"/>
    <w:rsid w:val="00CE73FA"/>
    <w:rsid w:val="00CE7F3E"/>
    <w:rsid w:val="00CF0336"/>
    <w:rsid w:val="00CF0860"/>
    <w:rsid w:val="00CF08F1"/>
    <w:rsid w:val="00CF0D1D"/>
    <w:rsid w:val="00CF0D67"/>
    <w:rsid w:val="00CF178A"/>
    <w:rsid w:val="00CF1DFC"/>
    <w:rsid w:val="00CF1ECE"/>
    <w:rsid w:val="00CF21BD"/>
    <w:rsid w:val="00CF25F8"/>
    <w:rsid w:val="00CF27A2"/>
    <w:rsid w:val="00CF29DB"/>
    <w:rsid w:val="00CF3870"/>
    <w:rsid w:val="00CF3F2A"/>
    <w:rsid w:val="00CF51F4"/>
    <w:rsid w:val="00CF5310"/>
    <w:rsid w:val="00CF542F"/>
    <w:rsid w:val="00CF59AF"/>
    <w:rsid w:val="00CF5CA4"/>
    <w:rsid w:val="00CF5EA1"/>
    <w:rsid w:val="00CF5FA1"/>
    <w:rsid w:val="00CF645A"/>
    <w:rsid w:val="00CF6E8F"/>
    <w:rsid w:val="00CF7BC4"/>
    <w:rsid w:val="00CF7C9B"/>
    <w:rsid w:val="00CF7E17"/>
    <w:rsid w:val="00CF7E84"/>
    <w:rsid w:val="00D009D6"/>
    <w:rsid w:val="00D00A84"/>
    <w:rsid w:val="00D00DBD"/>
    <w:rsid w:val="00D01092"/>
    <w:rsid w:val="00D011B8"/>
    <w:rsid w:val="00D01559"/>
    <w:rsid w:val="00D01B32"/>
    <w:rsid w:val="00D02075"/>
    <w:rsid w:val="00D02209"/>
    <w:rsid w:val="00D0377B"/>
    <w:rsid w:val="00D03A64"/>
    <w:rsid w:val="00D045FF"/>
    <w:rsid w:val="00D051EC"/>
    <w:rsid w:val="00D06352"/>
    <w:rsid w:val="00D0638B"/>
    <w:rsid w:val="00D0657E"/>
    <w:rsid w:val="00D074D6"/>
    <w:rsid w:val="00D07A06"/>
    <w:rsid w:val="00D07EBB"/>
    <w:rsid w:val="00D116DE"/>
    <w:rsid w:val="00D11F6A"/>
    <w:rsid w:val="00D120F2"/>
    <w:rsid w:val="00D121E9"/>
    <w:rsid w:val="00D126FC"/>
    <w:rsid w:val="00D134AA"/>
    <w:rsid w:val="00D136CE"/>
    <w:rsid w:val="00D13D2F"/>
    <w:rsid w:val="00D15ADF"/>
    <w:rsid w:val="00D161D6"/>
    <w:rsid w:val="00D163DB"/>
    <w:rsid w:val="00D163EE"/>
    <w:rsid w:val="00D165A0"/>
    <w:rsid w:val="00D169E6"/>
    <w:rsid w:val="00D17411"/>
    <w:rsid w:val="00D17835"/>
    <w:rsid w:val="00D17B36"/>
    <w:rsid w:val="00D20484"/>
    <w:rsid w:val="00D206AE"/>
    <w:rsid w:val="00D20AB0"/>
    <w:rsid w:val="00D20AE5"/>
    <w:rsid w:val="00D20B2B"/>
    <w:rsid w:val="00D23496"/>
    <w:rsid w:val="00D23C2B"/>
    <w:rsid w:val="00D251DC"/>
    <w:rsid w:val="00D25B00"/>
    <w:rsid w:val="00D25BD8"/>
    <w:rsid w:val="00D264F0"/>
    <w:rsid w:val="00D26A1F"/>
    <w:rsid w:val="00D27009"/>
    <w:rsid w:val="00D27694"/>
    <w:rsid w:val="00D30E80"/>
    <w:rsid w:val="00D312DA"/>
    <w:rsid w:val="00D31428"/>
    <w:rsid w:val="00D3185B"/>
    <w:rsid w:val="00D31A66"/>
    <w:rsid w:val="00D31E09"/>
    <w:rsid w:val="00D325BA"/>
    <w:rsid w:val="00D328DF"/>
    <w:rsid w:val="00D336D2"/>
    <w:rsid w:val="00D338DA"/>
    <w:rsid w:val="00D33C41"/>
    <w:rsid w:val="00D341C8"/>
    <w:rsid w:val="00D344FF"/>
    <w:rsid w:val="00D34CD1"/>
    <w:rsid w:val="00D351B7"/>
    <w:rsid w:val="00D35248"/>
    <w:rsid w:val="00D353AA"/>
    <w:rsid w:val="00D3567D"/>
    <w:rsid w:val="00D35BC1"/>
    <w:rsid w:val="00D362AE"/>
    <w:rsid w:val="00D3670A"/>
    <w:rsid w:val="00D36769"/>
    <w:rsid w:val="00D3680D"/>
    <w:rsid w:val="00D369F2"/>
    <w:rsid w:val="00D372BB"/>
    <w:rsid w:val="00D373B3"/>
    <w:rsid w:val="00D377A7"/>
    <w:rsid w:val="00D37D2D"/>
    <w:rsid w:val="00D40171"/>
    <w:rsid w:val="00D40778"/>
    <w:rsid w:val="00D407E3"/>
    <w:rsid w:val="00D4173A"/>
    <w:rsid w:val="00D417DE"/>
    <w:rsid w:val="00D42418"/>
    <w:rsid w:val="00D432A6"/>
    <w:rsid w:val="00D4353F"/>
    <w:rsid w:val="00D43AAE"/>
    <w:rsid w:val="00D43B76"/>
    <w:rsid w:val="00D43C2E"/>
    <w:rsid w:val="00D43F41"/>
    <w:rsid w:val="00D44846"/>
    <w:rsid w:val="00D44F52"/>
    <w:rsid w:val="00D45041"/>
    <w:rsid w:val="00D45310"/>
    <w:rsid w:val="00D454D8"/>
    <w:rsid w:val="00D45533"/>
    <w:rsid w:val="00D45576"/>
    <w:rsid w:val="00D457F6"/>
    <w:rsid w:val="00D465C7"/>
    <w:rsid w:val="00D466DF"/>
    <w:rsid w:val="00D46D1C"/>
    <w:rsid w:val="00D4727B"/>
    <w:rsid w:val="00D4767D"/>
    <w:rsid w:val="00D47E14"/>
    <w:rsid w:val="00D508DB"/>
    <w:rsid w:val="00D5276E"/>
    <w:rsid w:val="00D52D38"/>
    <w:rsid w:val="00D52FE3"/>
    <w:rsid w:val="00D53A0E"/>
    <w:rsid w:val="00D53B21"/>
    <w:rsid w:val="00D5453C"/>
    <w:rsid w:val="00D54AEC"/>
    <w:rsid w:val="00D54C9F"/>
    <w:rsid w:val="00D554F9"/>
    <w:rsid w:val="00D55531"/>
    <w:rsid w:val="00D55A3B"/>
    <w:rsid w:val="00D561C6"/>
    <w:rsid w:val="00D567C1"/>
    <w:rsid w:val="00D56D02"/>
    <w:rsid w:val="00D573C7"/>
    <w:rsid w:val="00D57440"/>
    <w:rsid w:val="00D57E64"/>
    <w:rsid w:val="00D57FDF"/>
    <w:rsid w:val="00D602F2"/>
    <w:rsid w:val="00D6053D"/>
    <w:rsid w:val="00D60969"/>
    <w:rsid w:val="00D60A31"/>
    <w:rsid w:val="00D61439"/>
    <w:rsid w:val="00D61F06"/>
    <w:rsid w:val="00D6212D"/>
    <w:rsid w:val="00D6256B"/>
    <w:rsid w:val="00D63DA4"/>
    <w:rsid w:val="00D645CC"/>
    <w:rsid w:val="00D64D17"/>
    <w:rsid w:val="00D64D63"/>
    <w:rsid w:val="00D64E3F"/>
    <w:rsid w:val="00D6538D"/>
    <w:rsid w:val="00D659B3"/>
    <w:rsid w:val="00D65B13"/>
    <w:rsid w:val="00D661E6"/>
    <w:rsid w:val="00D66978"/>
    <w:rsid w:val="00D6729F"/>
    <w:rsid w:val="00D677FA"/>
    <w:rsid w:val="00D67F72"/>
    <w:rsid w:val="00D70616"/>
    <w:rsid w:val="00D70AC2"/>
    <w:rsid w:val="00D716EB"/>
    <w:rsid w:val="00D71CE2"/>
    <w:rsid w:val="00D737D0"/>
    <w:rsid w:val="00D74928"/>
    <w:rsid w:val="00D74DC6"/>
    <w:rsid w:val="00D7514F"/>
    <w:rsid w:val="00D7534C"/>
    <w:rsid w:val="00D759C0"/>
    <w:rsid w:val="00D759D7"/>
    <w:rsid w:val="00D75CB1"/>
    <w:rsid w:val="00D76331"/>
    <w:rsid w:val="00D77746"/>
    <w:rsid w:val="00D77C1F"/>
    <w:rsid w:val="00D800DA"/>
    <w:rsid w:val="00D803AC"/>
    <w:rsid w:val="00D8136C"/>
    <w:rsid w:val="00D816F3"/>
    <w:rsid w:val="00D82038"/>
    <w:rsid w:val="00D822B4"/>
    <w:rsid w:val="00D823FD"/>
    <w:rsid w:val="00D8240D"/>
    <w:rsid w:val="00D825E1"/>
    <w:rsid w:val="00D8262E"/>
    <w:rsid w:val="00D82A00"/>
    <w:rsid w:val="00D82E7E"/>
    <w:rsid w:val="00D830EE"/>
    <w:rsid w:val="00D835F6"/>
    <w:rsid w:val="00D840F1"/>
    <w:rsid w:val="00D84577"/>
    <w:rsid w:val="00D84BA2"/>
    <w:rsid w:val="00D85A26"/>
    <w:rsid w:val="00D85BEB"/>
    <w:rsid w:val="00D85D8A"/>
    <w:rsid w:val="00D85E56"/>
    <w:rsid w:val="00D85EB4"/>
    <w:rsid w:val="00D85EC3"/>
    <w:rsid w:val="00D85F6B"/>
    <w:rsid w:val="00D86BEA"/>
    <w:rsid w:val="00D86DBD"/>
    <w:rsid w:val="00D873DA"/>
    <w:rsid w:val="00D87826"/>
    <w:rsid w:val="00D87DC4"/>
    <w:rsid w:val="00D901F8"/>
    <w:rsid w:val="00D917BD"/>
    <w:rsid w:val="00D91EE6"/>
    <w:rsid w:val="00D922CB"/>
    <w:rsid w:val="00D922FD"/>
    <w:rsid w:val="00D928E8"/>
    <w:rsid w:val="00D93064"/>
    <w:rsid w:val="00D938BF"/>
    <w:rsid w:val="00D9392C"/>
    <w:rsid w:val="00D94275"/>
    <w:rsid w:val="00D945D2"/>
    <w:rsid w:val="00D954FD"/>
    <w:rsid w:val="00D9551E"/>
    <w:rsid w:val="00D95F0E"/>
    <w:rsid w:val="00D96660"/>
    <w:rsid w:val="00D96E00"/>
    <w:rsid w:val="00DA0F40"/>
    <w:rsid w:val="00DA16B1"/>
    <w:rsid w:val="00DA1700"/>
    <w:rsid w:val="00DA1E33"/>
    <w:rsid w:val="00DA219E"/>
    <w:rsid w:val="00DA22D4"/>
    <w:rsid w:val="00DA2D4E"/>
    <w:rsid w:val="00DA2E85"/>
    <w:rsid w:val="00DA32D3"/>
    <w:rsid w:val="00DA3470"/>
    <w:rsid w:val="00DA3DFF"/>
    <w:rsid w:val="00DA4435"/>
    <w:rsid w:val="00DA46C3"/>
    <w:rsid w:val="00DA58B6"/>
    <w:rsid w:val="00DA5B99"/>
    <w:rsid w:val="00DA69BF"/>
    <w:rsid w:val="00DA6C1E"/>
    <w:rsid w:val="00DA74CB"/>
    <w:rsid w:val="00DB030B"/>
    <w:rsid w:val="00DB0AAF"/>
    <w:rsid w:val="00DB1462"/>
    <w:rsid w:val="00DB18CC"/>
    <w:rsid w:val="00DB1D3E"/>
    <w:rsid w:val="00DB1E66"/>
    <w:rsid w:val="00DB224D"/>
    <w:rsid w:val="00DB2D16"/>
    <w:rsid w:val="00DB30F7"/>
    <w:rsid w:val="00DB3364"/>
    <w:rsid w:val="00DB38E8"/>
    <w:rsid w:val="00DB3CC7"/>
    <w:rsid w:val="00DB3E64"/>
    <w:rsid w:val="00DB3F68"/>
    <w:rsid w:val="00DB46E6"/>
    <w:rsid w:val="00DB4A3F"/>
    <w:rsid w:val="00DB4C64"/>
    <w:rsid w:val="00DB5D1B"/>
    <w:rsid w:val="00DB6356"/>
    <w:rsid w:val="00DB67ED"/>
    <w:rsid w:val="00DB7241"/>
    <w:rsid w:val="00DB7B35"/>
    <w:rsid w:val="00DC038F"/>
    <w:rsid w:val="00DC0AB6"/>
    <w:rsid w:val="00DC0E67"/>
    <w:rsid w:val="00DC128B"/>
    <w:rsid w:val="00DC139B"/>
    <w:rsid w:val="00DC280D"/>
    <w:rsid w:val="00DC2979"/>
    <w:rsid w:val="00DC311C"/>
    <w:rsid w:val="00DC3465"/>
    <w:rsid w:val="00DC35CB"/>
    <w:rsid w:val="00DC3C86"/>
    <w:rsid w:val="00DC3E62"/>
    <w:rsid w:val="00DC43B4"/>
    <w:rsid w:val="00DC4F36"/>
    <w:rsid w:val="00DC5490"/>
    <w:rsid w:val="00DC5559"/>
    <w:rsid w:val="00DC555F"/>
    <w:rsid w:val="00DC591A"/>
    <w:rsid w:val="00DC6073"/>
    <w:rsid w:val="00DC66F5"/>
    <w:rsid w:val="00DC6DFA"/>
    <w:rsid w:val="00DC7198"/>
    <w:rsid w:val="00DC731B"/>
    <w:rsid w:val="00DC78FF"/>
    <w:rsid w:val="00DC795F"/>
    <w:rsid w:val="00DD017E"/>
    <w:rsid w:val="00DD01C1"/>
    <w:rsid w:val="00DD0C01"/>
    <w:rsid w:val="00DD1F15"/>
    <w:rsid w:val="00DD1FFE"/>
    <w:rsid w:val="00DD2166"/>
    <w:rsid w:val="00DD2F93"/>
    <w:rsid w:val="00DD3822"/>
    <w:rsid w:val="00DD3896"/>
    <w:rsid w:val="00DD45F3"/>
    <w:rsid w:val="00DD4D3C"/>
    <w:rsid w:val="00DD5161"/>
    <w:rsid w:val="00DD5221"/>
    <w:rsid w:val="00DD5440"/>
    <w:rsid w:val="00DD66D9"/>
    <w:rsid w:val="00DD7079"/>
    <w:rsid w:val="00DD7338"/>
    <w:rsid w:val="00DD7885"/>
    <w:rsid w:val="00DD799B"/>
    <w:rsid w:val="00DD7EC7"/>
    <w:rsid w:val="00DE01DD"/>
    <w:rsid w:val="00DE0205"/>
    <w:rsid w:val="00DE12A7"/>
    <w:rsid w:val="00DE1569"/>
    <w:rsid w:val="00DE16A0"/>
    <w:rsid w:val="00DE173C"/>
    <w:rsid w:val="00DE1A44"/>
    <w:rsid w:val="00DE208C"/>
    <w:rsid w:val="00DE2334"/>
    <w:rsid w:val="00DE276E"/>
    <w:rsid w:val="00DE2D91"/>
    <w:rsid w:val="00DE3143"/>
    <w:rsid w:val="00DE3426"/>
    <w:rsid w:val="00DE360B"/>
    <w:rsid w:val="00DE39D1"/>
    <w:rsid w:val="00DE4237"/>
    <w:rsid w:val="00DE44FF"/>
    <w:rsid w:val="00DE5627"/>
    <w:rsid w:val="00DE5690"/>
    <w:rsid w:val="00DE59C2"/>
    <w:rsid w:val="00DE59C6"/>
    <w:rsid w:val="00DE5E86"/>
    <w:rsid w:val="00DE61BE"/>
    <w:rsid w:val="00DE64C5"/>
    <w:rsid w:val="00DE6B8B"/>
    <w:rsid w:val="00DE702E"/>
    <w:rsid w:val="00DE725C"/>
    <w:rsid w:val="00DE7790"/>
    <w:rsid w:val="00DF1747"/>
    <w:rsid w:val="00DF2347"/>
    <w:rsid w:val="00DF24D3"/>
    <w:rsid w:val="00DF27CC"/>
    <w:rsid w:val="00DF3241"/>
    <w:rsid w:val="00DF3B80"/>
    <w:rsid w:val="00DF3D8B"/>
    <w:rsid w:val="00DF4ABA"/>
    <w:rsid w:val="00DF5130"/>
    <w:rsid w:val="00DF5BB9"/>
    <w:rsid w:val="00DF5F00"/>
    <w:rsid w:val="00DF60D5"/>
    <w:rsid w:val="00DF6610"/>
    <w:rsid w:val="00DF6F5F"/>
    <w:rsid w:val="00DF7452"/>
    <w:rsid w:val="00DF766B"/>
    <w:rsid w:val="00E00515"/>
    <w:rsid w:val="00E007B9"/>
    <w:rsid w:val="00E00801"/>
    <w:rsid w:val="00E00A46"/>
    <w:rsid w:val="00E00A5D"/>
    <w:rsid w:val="00E00BFD"/>
    <w:rsid w:val="00E00DC7"/>
    <w:rsid w:val="00E01700"/>
    <w:rsid w:val="00E018A3"/>
    <w:rsid w:val="00E01F73"/>
    <w:rsid w:val="00E023A0"/>
    <w:rsid w:val="00E02D5B"/>
    <w:rsid w:val="00E031E6"/>
    <w:rsid w:val="00E03AB7"/>
    <w:rsid w:val="00E03B60"/>
    <w:rsid w:val="00E0446D"/>
    <w:rsid w:val="00E045E2"/>
    <w:rsid w:val="00E04643"/>
    <w:rsid w:val="00E04BF9"/>
    <w:rsid w:val="00E04D32"/>
    <w:rsid w:val="00E04F99"/>
    <w:rsid w:val="00E05166"/>
    <w:rsid w:val="00E051B9"/>
    <w:rsid w:val="00E05CED"/>
    <w:rsid w:val="00E05DA3"/>
    <w:rsid w:val="00E06038"/>
    <w:rsid w:val="00E060E7"/>
    <w:rsid w:val="00E06253"/>
    <w:rsid w:val="00E06A58"/>
    <w:rsid w:val="00E06C8B"/>
    <w:rsid w:val="00E06DF6"/>
    <w:rsid w:val="00E07289"/>
    <w:rsid w:val="00E079BD"/>
    <w:rsid w:val="00E07AED"/>
    <w:rsid w:val="00E07EFC"/>
    <w:rsid w:val="00E1049D"/>
    <w:rsid w:val="00E1099C"/>
    <w:rsid w:val="00E10B06"/>
    <w:rsid w:val="00E11593"/>
    <w:rsid w:val="00E117F6"/>
    <w:rsid w:val="00E11C29"/>
    <w:rsid w:val="00E11E5A"/>
    <w:rsid w:val="00E11E6D"/>
    <w:rsid w:val="00E11E81"/>
    <w:rsid w:val="00E131AC"/>
    <w:rsid w:val="00E1347F"/>
    <w:rsid w:val="00E1358B"/>
    <w:rsid w:val="00E13B9E"/>
    <w:rsid w:val="00E14298"/>
    <w:rsid w:val="00E1441A"/>
    <w:rsid w:val="00E146EA"/>
    <w:rsid w:val="00E14B63"/>
    <w:rsid w:val="00E15FFC"/>
    <w:rsid w:val="00E16142"/>
    <w:rsid w:val="00E16764"/>
    <w:rsid w:val="00E16B43"/>
    <w:rsid w:val="00E16C5E"/>
    <w:rsid w:val="00E20051"/>
    <w:rsid w:val="00E20226"/>
    <w:rsid w:val="00E203BD"/>
    <w:rsid w:val="00E21227"/>
    <w:rsid w:val="00E21293"/>
    <w:rsid w:val="00E216D7"/>
    <w:rsid w:val="00E219D7"/>
    <w:rsid w:val="00E21CBD"/>
    <w:rsid w:val="00E21E1A"/>
    <w:rsid w:val="00E2201A"/>
    <w:rsid w:val="00E226D8"/>
    <w:rsid w:val="00E22C8B"/>
    <w:rsid w:val="00E23A7C"/>
    <w:rsid w:val="00E23AAF"/>
    <w:rsid w:val="00E2469A"/>
    <w:rsid w:val="00E2562B"/>
    <w:rsid w:val="00E25F19"/>
    <w:rsid w:val="00E262FC"/>
    <w:rsid w:val="00E269F2"/>
    <w:rsid w:val="00E26D81"/>
    <w:rsid w:val="00E26E2A"/>
    <w:rsid w:val="00E27436"/>
    <w:rsid w:val="00E2777B"/>
    <w:rsid w:val="00E27B33"/>
    <w:rsid w:val="00E30298"/>
    <w:rsid w:val="00E302AF"/>
    <w:rsid w:val="00E305B2"/>
    <w:rsid w:val="00E312CA"/>
    <w:rsid w:val="00E31BA4"/>
    <w:rsid w:val="00E31C3C"/>
    <w:rsid w:val="00E31F8D"/>
    <w:rsid w:val="00E32187"/>
    <w:rsid w:val="00E32E92"/>
    <w:rsid w:val="00E33335"/>
    <w:rsid w:val="00E3334D"/>
    <w:rsid w:val="00E341B6"/>
    <w:rsid w:val="00E34E7C"/>
    <w:rsid w:val="00E3653A"/>
    <w:rsid w:val="00E36BF1"/>
    <w:rsid w:val="00E37F4F"/>
    <w:rsid w:val="00E4074B"/>
    <w:rsid w:val="00E40E2E"/>
    <w:rsid w:val="00E415D6"/>
    <w:rsid w:val="00E41D5B"/>
    <w:rsid w:val="00E42228"/>
    <w:rsid w:val="00E4286E"/>
    <w:rsid w:val="00E42898"/>
    <w:rsid w:val="00E42A8D"/>
    <w:rsid w:val="00E42B18"/>
    <w:rsid w:val="00E4316A"/>
    <w:rsid w:val="00E439CF"/>
    <w:rsid w:val="00E43A29"/>
    <w:rsid w:val="00E43ABF"/>
    <w:rsid w:val="00E43D5F"/>
    <w:rsid w:val="00E44019"/>
    <w:rsid w:val="00E44330"/>
    <w:rsid w:val="00E44EEC"/>
    <w:rsid w:val="00E454AC"/>
    <w:rsid w:val="00E45849"/>
    <w:rsid w:val="00E45B4E"/>
    <w:rsid w:val="00E45FE1"/>
    <w:rsid w:val="00E46098"/>
    <w:rsid w:val="00E464CE"/>
    <w:rsid w:val="00E4662B"/>
    <w:rsid w:val="00E46BFB"/>
    <w:rsid w:val="00E46EA4"/>
    <w:rsid w:val="00E47150"/>
    <w:rsid w:val="00E47303"/>
    <w:rsid w:val="00E473FC"/>
    <w:rsid w:val="00E476C6"/>
    <w:rsid w:val="00E50008"/>
    <w:rsid w:val="00E500C5"/>
    <w:rsid w:val="00E502EC"/>
    <w:rsid w:val="00E50681"/>
    <w:rsid w:val="00E509D8"/>
    <w:rsid w:val="00E510EE"/>
    <w:rsid w:val="00E51F61"/>
    <w:rsid w:val="00E52052"/>
    <w:rsid w:val="00E52F6C"/>
    <w:rsid w:val="00E536E2"/>
    <w:rsid w:val="00E5394B"/>
    <w:rsid w:val="00E541E5"/>
    <w:rsid w:val="00E54ABC"/>
    <w:rsid w:val="00E54C3A"/>
    <w:rsid w:val="00E55955"/>
    <w:rsid w:val="00E561E4"/>
    <w:rsid w:val="00E5649B"/>
    <w:rsid w:val="00E565B1"/>
    <w:rsid w:val="00E56F8A"/>
    <w:rsid w:val="00E57467"/>
    <w:rsid w:val="00E57DC4"/>
    <w:rsid w:val="00E610BC"/>
    <w:rsid w:val="00E61576"/>
    <w:rsid w:val="00E61D95"/>
    <w:rsid w:val="00E625CA"/>
    <w:rsid w:val="00E6380B"/>
    <w:rsid w:val="00E63923"/>
    <w:rsid w:val="00E645DF"/>
    <w:rsid w:val="00E64D1F"/>
    <w:rsid w:val="00E64D93"/>
    <w:rsid w:val="00E651BA"/>
    <w:rsid w:val="00E655BC"/>
    <w:rsid w:val="00E65CC2"/>
    <w:rsid w:val="00E65F55"/>
    <w:rsid w:val="00E66050"/>
    <w:rsid w:val="00E6620A"/>
    <w:rsid w:val="00E66253"/>
    <w:rsid w:val="00E677A0"/>
    <w:rsid w:val="00E678B2"/>
    <w:rsid w:val="00E70DCD"/>
    <w:rsid w:val="00E727B2"/>
    <w:rsid w:val="00E72E55"/>
    <w:rsid w:val="00E7329C"/>
    <w:rsid w:val="00E73527"/>
    <w:rsid w:val="00E73B5B"/>
    <w:rsid w:val="00E73B8D"/>
    <w:rsid w:val="00E74545"/>
    <w:rsid w:val="00E747A5"/>
    <w:rsid w:val="00E75D7B"/>
    <w:rsid w:val="00E76094"/>
    <w:rsid w:val="00E7643B"/>
    <w:rsid w:val="00E802A6"/>
    <w:rsid w:val="00E8062D"/>
    <w:rsid w:val="00E80CD2"/>
    <w:rsid w:val="00E81A57"/>
    <w:rsid w:val="00E82669"/>
    <w:rsid w:val="00E82A93"/>
    <w:rsid w:val="00E82FC9"/>
    <w:rsid w:val="00E830D6"/>
    <w:rsid w:val="00E83541"/>
    <w:rsid w:val="00E8411A"/>
    <w:rsid w:val="00E8447D"/>
    <w:rsid w:val="00E85186"/>
    <w:rsid w:val="00E85B71"/>
    <w:rsid w:val="00E85BD2"/>
    <w:rsid w:val="00E85DA6"/>
    <w:rsid w:val="00E866DF"/>
    <w:rsid w:val="00E867CD"/>
    <w:rsid w:val="00E86A28"/>
    <w:rsid w:val="00E86E2A"/>
    <w:rsid w:val="00E86FFF"/>
    <w:rsid w:val="00E872CD"/>
    <w:rsid w:val="00E8732C"/>
    <w:rsid w:val="00E907FD"/>
    <w:rsid w:val="00E9138C"/>
    <w:rsid w:val="00E91DE4"/>
    <w:rsid w:val="00E91E9F"/>
    <w:rsid w:val="00E920B8"/>
    <w:rsid w:val="00E9232A"/>
    <w:rsid w:val="00E940EF"/>
    <w:rsid w:val="00E958B7"/>
    <w:rsid w:val="00E95D37"/>
    <w:rsid w:val="00E95F6C"/>
    <w:rsid w:val="00E961A0"/>
    <w:rsid w:val="00E961A7"/>
    <w:rsid w:val="00E963FA"/>
    <w:rsid w:val="00E965A8"/>
    <w:rsid w:val="00E96B7B"/>
    <w:rsid w:val="00E97355"/>
    <w:rsid w:val="00E97726"/>
    <w:rsid w:val="00EA0533"/>
    <w:rsid w:val="00EA0574"/>
    <w:rsid w:val="00EA0E8C"/>
    <w:rsid w:val="00EA178D"/>
    <w:rsid w:val="00EA1F7D"/>
    <w:rsid w:val="00EA2039"/>
    <w:rsid w:val="00EA25FB"/>
    <w:rsid w:val="00EA27BA"/>
    <w:rsid w:val="00EA2999"/>
    <w:rsid w:val="00EA3096"/>
    <w:rsid w:val="00EA3C0E"/>
    <w:rsid w:val="00EA3D00"/>
    <w:rsid w:val="00EA433B"/>
    <w:rsid w:val="00EA43CE"/>
    <w:rsid w:val="00EA443F"/>
    <w:rsid w:val="00EA49B4"/>
    <w:rsid w:val="00EA5082"/>
    <w:rsid w:val="00EA51D8"/>
    <w:rsid w:val="00EA5AEC"/>
    <w:rsid w:val="00EA5BB8"/>
    <w:rsid w:val="00EA5DC6"/>
    <w:rsid w:val="00EA62E5"/>
    <w:rsid w:val="00EA640F"/>
    <w:rsid w:val="00EA72D6"/>
    <w:rsid w:val="00EA757F"/>
    <w:rsid w:val="00EA7D9C"/>
    <w:rsid w:val="00EB0C7B"/>
    <w:rsid w:val="00EB0FC1"/>
    <w:rsid w:val="00EB129F"/>
    <w:rsid w:val="00EB18FE"/>
    <w:rsid w:val="00EB1A62"/>
    <w:rsid w:val="00EB1CBA"/>
    <w:rsid w:val="00EB20CF"/>
    <w:rsid w:val="00EB2AAE"/>
    <w:rsid w:val="00EB2B1C"/>
    <w:rsid w:val="00EB361E"/>
    <w:rsid w:val="00EB37D7"/>
    <w:rsid w:val="00EB3B06"/>
    <w:rsid w:val="00EB41ED"/>
    <w:rsid w:val="00EB4934"/>
    <w:rsid w:val="00EB4B2E"/>
    <w:rsid w:val="00EB4BA3"/>
    <w:rsid w:val="00EB563F"/>
    <w:rsid w:val="00EB5835"/>
    <w:rsid w:val="00EB58B5"/>
    <w:rsid w:val="00EB58FF"/>
    <w:rsid w:val="00EB5CB7"/>
    <w:rsid w:val="00EB5D23"/>
    <w:rsid w:val="00EB69C2"/>
    <w:rsid w:val="00EB72D7"/>
    <w:rsid w:val="00EB7312"/>
    <w:rsid w:val="00EB75B8"/>
    <w:rsid w:val="00EB7C43"/>
    <w:rsid w:val="00EB7D08"/>
    <w:rsid w:val="00EC0076"/>
    <w:rsid w:val="00EC013D"/>
    <w:rsid w:val="00EC02CA"/>
    <w:rsid w:val="00EC02F3"/>
    <w:rsid w:val="00EC0462"/>
    <w:rsid w:val="00EC04B4"/>
    <w:rsid w:val="00EC0504"/>
    <w:rsid w:val="00EC06A2"/>
    <w:rsid w:val="00EC0AD0"/>
    <w:rsid w:val="00EC12F6"/>
    <w:rsid w:val="00EC25E7"/>
    <w:rsid w:val="00EC263A"/>
    <w:rsid w:val="00EC2CF7"/>
    <w:rsid w:val="00EC2D6D"/>
    <w:rsid w:val="00EC2E8C"/>
    <w:rsid w:val="00EC3DF9"/>
    <w:rsid w:val="00EC4412"/>
    <w:rsid w:val="00EC448B"/>
    <w:rsid w:val="00EC4CE3"/>
    <w:rsid w:val="00EC4F46"/>
    <w:rsid w:val="00EC4F68"/>
    <w:rsid w:val="00EC61B2"/>
    <w:rsid w:val="00EC6744"/>
    <w:rsid w:val="00EC67F1"/>
    <w:rsid w:val="00EC7528"/>
    <w:rsid w:val="00EC774F"/>
    <w:rsid w:val="00EC78CD"/>
    <w:rsid w:val="00EC79C7"/>
    <w:rsid w:val="00ED002F"/>
    <w:rsid w:val="00ED0245"/>
    <w:rsid w:val="00ED067E"/>
    <w:rsid w:val="00ED0BA2"/>
    <w:rsid w:val="00ED0BD5"/>
    <w:rsid w:val="00ED20DC"/>
    <w:rsid w:val="00ED231C"/>
    <w:rsid w:val="00ED25E2"/>
    <w:rsid w:val="00ED321D"/>
    <w:rsid w:val="00ED4019"/>
    <w:rsid w:val="00ED40F3"/>
    <w:rsid w:val="00ED49F9"/>
    <w:rsid w:val="00ED4C7E"/>
    <w:rsid w:val="00ED61FE"/>
    <w:rsid w:val="00ED620B"/>
    <w:rsid w:val="00ED6364"/>
    <w:rsid w:val="00ED65E7"/>
    <w:rsid w:val="00ED66BD"/>
    <w:rsid w:val="00ED66F2"/>
    <w:rsid w:val="00ED715D"/>
    <w:rsid w:val="00ED7393"/>
    <w:rsid w:val="00ED750A"/>
    <w:rsid w:val="00EE0098"/>
    <w:rsid w:val="00EE0112"/>
    <w:rsid w:val="00EE0CBF"/>
    <w:rsid w:val="00EE17F6"/>
    <w:rsid w:val="00EE1805"/>
    <w:rsid w:val="00EE187A"/>
    <w:rsid w:val="00EE22CF"/>
    <w:rsid w:val="00EE2E04"/>
    <w:rsid w:val="00EE30E3"/>
    <w:rsid w:val="00EE4407"/>
    <w:rsid w:val="00EE4B89"/>
    <w:rsid w:val="00EE4F11"/>
    <w:rsid w:val="00EE50EB"/>
    <w:rsid w:val="00EE5660"/>
    <w:rsid w:val="00EE5EE8"/>
    <w:rsid w:val="00EE5F91"/>
    <w:rsid w:val="00EE6701"/>
    <w:rsid w:val="00EE67DA"/>
    <w:rsid w:val="00EE6E91"/>
    <w:rsid w:val="00EE7701"/>
    <w:rsid w:val="00EE77B6"/>
    <w:rsid w:val="00EE7866"/>
    <w:rsid w:val="00EE7A9A"/>
    <w:rsid w:val="00EF06D7"/>
    <w:rsid w:val="00EF0F1A"/>
    <w:rsid w:val="00EF1726"/>
    <w:rsid w:val="00EF193A"/>
    <w:rsid w:val="00EF1C26"/>
    <w:rsid w:val="00EF1D23"/>
    <w:rsid w:val="00EF2518"/>
    <w:rsid w:val="00EF2C1C"/>
    <w:rsid w:val="00EF3729"/>
    <w:rsid w:val="00EF3F4C"/>
    <w:rsid w:val="00EF436E"/>
    <w:rsid w:val="00EF4548"/>
    <w:rsid w:val="00EF4DA5"/>
    <w:rsid w:val="00EF56A6"/>
    <w:rsid w:val="00EF586F"/>
    <w:rsid w:val="00EF5AF9"/>
    <w:rsid w:val="00EF5E08"/>
    <w:rsid w:val="00EF68FC"/>
    <w:rsid w:val="00EF7123"/>
    <w:rsid w:val="00EF7D98"/>
    <w:rsid w:val="00EF7DBC"/>
    <w:rsid w:val="00F00D82"/>
    <w:rsid w:val="00F00E7F"/>
    <w:rsid w:val="00F0159A"/>
    <w:rsid w:val="00F01877"/>
    <w:rsid w:val="00F01C32"/>
    <w:rsid w:val="00F01CBE"/>
    <w:rsid w:val="00F01F39"/>
    <w:rsid w:val="00F0263A"/>
    <w:rsid w:val="00F0381B"/>
    <w:rsid w:val="00F03967"/>
    <w:rsid w:val="00F03A42"/>
    <w:rsid w:val="00F04137"/>
    <w:rsid w:val="00F0448B"/>
    <w:rsid w:val="00F047D6"/>
    <w:rsid w:val="00F04EFF"/>
    <w:rsid w:val="00F0507A"/>
    <w:rsid w:val="00F0511C"/>
    <w:rsid w:val="00F06419"/>
    <w:rsid w:val="00F064A4"/>
    <w:rsid w:val="00F0674D"/>
    <w:rsid w:val="00F0689C"/>
    <w:rsid w:val="00F06964"/>
    <w:rsid w:val="00F06967"/>
    <w:rsid w:val="00F06B2A"/>
    <w:rsid w:val="00F07303"/>
    <w:rsid w:val="00F077B1"/>
    <w:rsid w:val="00F078E7"/>
    <w:rsid w:val="00F07A3B"/>
    <w:rsid w:val="00F102EF"/>
    <w:rsid w:val="00F10331"/>
    <w:rsid w:val="00F10374"/>
    <w:rsid w:val="00F10876"/>
    <w:rsid w:val="00F10A5F"/>
    <w:rsid w:val="00F11263"/>
    <w:rsid w:val="00F1171D"/>
    <w:rsid w:val="00F118B4"/>
    <w:rsid w:val="00F118DB"/>
    <w:rsid w:val="00F11D77"/>
    <w:rsid w:val="00F126C5"/>
    <w:rsid w:val="00F12A63"/>
    <w:rsid w:val="00F13543"/>
    <w:rsid w:val="00F135F1"/>
    <w:rsid w:val="00F136F3"/>
    <w:rsid w:val="00F13A5B"/>
    <w:rsid w:val="00F13E3F"/>
    <w:rsid w:val="00F13EA6"/>
    <w:rsid w:val="00F1407C"/>
    <w:rsid w:val="00F141E7"/>
    <w:rsid w:val="00F14587"/>
    <w:rsid w:val="00F1468D"/>
    <w:rsid w:val="00F14BBC"/>
    <w:rsid w:val="00F14E83"/>
    <w:rsid w:val="00F154F6"/>
    <w:rsid w:val="00F1561A"/>
    <w:rsid w:val="00F15C44"/>
    <w:rsid w:val="00F1653D"/>
    <w:rsid w:val="00F16BE5"/>
    <w:rsid w:val="00F1744D"/>
    <w:rsid w:val="00F17EDA"/>
    <w:rsid w:val="00F17F0C"/>
    <w:rsid w:val="00F17F72"/>
    <w:rsid w:val="00F203BE"/>
    <w:rsid w:val="00F209B1"/>
    <w:rsid w:val="00F209B3"/>
    <w:rsid w:val="00F20B15"/>
    <w:rsid w:val="00F20F3B"/>
    <w:rsid w:val="00F20FE0"/>
    <w:rsid w:val="00F2163C"/>
    <w:rsid w:val="00F21A71"/>
    <w:rsid w:val="00F2242D"/>
    <w:rsid w:val="00F225DD"/>
    <w:rsid w:val="00F22C4E"/>
    <w:rsid w:val="00F22C68"/>
    <w:rsid w:val="00F22F9C"/>
    <w:rsid w:val="00F23019"/>
    <w:rsid w:val="00F238EF"/>
    <w:rsid w:val="00F24803"/>
    <w:rsid w:val="00F24B86"/>
    <w:rsid w:val="00F24BFB"/>
    <w:rsid w:val="00F24EAD"/>
    <w:rsid w:val="00F24F3B"/>
    <w:rsid w:val="00F25821"/>
    <w:rsid w:val="00F25A70"/>
    <w:rsid w:val="00F25E0A"/>
    <w:rsid w:val="00F262CB"/>
    <w:rsid w:val="00F263AD"/>
    <w:rsid w:val="00F268AF"/>
    <w:rsid w:val="00F26D5D"/>
    <w:rsid w:val="00F26E60"/>
    <w:rsid w:val="00F27617"/>
    <w:rsid w:val="00F278A5"/>
    <w:rsid w:val="00F30457"/>
    <w:rsid w:val="00F30E67"/>
    <w:rsid w:val="00F311D8"/>
    <w:rsid w:val="00F316E5"/>
    <w:rsid w:val="00F31EFD"/>
    <w:rsid w:val="00F32481"/>
    <w:rsid w:val="00F3277B"/>
    <w:rsid w:val="00F3315F"/>
    <w:rsid w:val="00F33376"/>
    <w:rsid w:val="00F3460E"/>
    <w:rsid w:val="00F34F75"/>
    <w:rsid w:val="00F34F7B"/>
    <w:rsid w:val="00F3501A"/>
    <w:rsid w:val="00F3536F"/>
    <w:rsid w:val="00F35C7F"/>
    <w:rsid w:val="00F3602D"/>
    <w:rsid w:val="00F36153"/>
    <w:rsid w:val="00F36171"/>
    <w:rsid w:val="00F3666F"/>
    <w:rsid w:val="00F36C8B"/>
    <w:rsid w:val="00F36D82"/>
    <w:rsid w:val="00F36EC6"/>
    <w:rsid w:val="00F36FB0"/>
    <w:rsid w:val="00F3714F"/>
    <w:rsid w:val="00F379A8"/>
    <w:rsid w:val="00F37A95"/>
    <w:rsid w:val="00F406F4"/>
    <w:rsid w:val="00F40E70"/>
    <w:rsid w:val="00F414A7"/>
    <w:rsid w:val="00F41673"/>
    <w:rsid w:val="00F4205D"/>
    <w:rsid w:val="00F423A0"/>
    <w:rsid w:val="00F42D96"/>
    <w:rsid w:val="00F43058"/>
    <w:rsid w:val="00F433B0"/>
    <w:rsid w:val="00F43443"/>
    <w:rsid w:val="00F436C3"/>
    <w:rsid w:val="00F441F8"/>
    <w:rsid w:val="00F44798"/>
    <w:rsid w:val="00F45852"/>
    <w:rsid w:val="00F45F24"/>
    <w:rsid w:val="00F46913"/>
    <w:rsid w:val="00F46A8E"/>
    <w:rsid w:val="00F46E45"/>
    <w:rsid w:val="00F476F4"/>
    <w:rsid w:val="00F47760"/>
    <w:rsid w:val="00F47848"/>
    <w:rsid w:val="00F5146D"/>
    <w:rsid w:val="00F516FC"/>
    <w:rsid w:val="00F51D03"/>
    <w:rsid w:val="00F51ECD"/>
    <w:rsid w:val="00F520C2"/>
    <w:rsid w:val="00F525D4"/>
    <w:rsid w:val="00F52865"/>
    <w:rsid w:val="00F52869"/>
    <w:rsid w:val="00F530C8"/>
    <w:rsid w:val="00F53166"/>
    <w:rsid w:val="00F53D1F"/>
    <w:rsid w:val="00F5463F"/>
    <w:rsid w:val="00F5466B"/>
    <w:rsid w:val="00F5494D"/>
    <w:rsid w:val="00F552EC"/>
    <w:rsid w:val="00F5561D"/>
    <w:rsid w:val="00F572DC"/>
    <w:rsid w:val="00F573CD"/>
    <w:rsid w:val="00F57C55"/>
    <w:rsid w:val="00F60225"/>
    <w:rsid w:val="00F605F3"/>
    <w:rsid w:val="00F60766"/>
    <w:rsid w:val="00F60EB5"/>
    <w:rsid w:val="00F61035"/>
    <w:rsid w:val="00F611BB"/>
    <w:rsid w:val="00F61ACC"/>
    <w:rsid w:val="00F6243B"/>
    <w:rsid w:val="00F62552"/>
    <w:rsid w:val="00F62ADF"/>
    <w:rsid w:val="00F62F43"/>
    <w:rsid w:val="00F63168"/>
    <w:rsid w:val="00F63253"/>
    <w:rsid w:val="00F63B63"/>
    <w:rsid w:val="00F640F7"/>
    <w:rsid w:val="00F642B0"/>
    <w:rsid w:val="00F642CB"/>
    <w:rsid w:val="00F6443D"/>
    <w:rsid w:val="00F64C7A"/>
    <w:rsid w:val="00F64D09"/>
    <w:rsid w:val="00F64D20"/>
    <w:rsid w:val="00F650DA"/>
    <w:rsid w:val="00F65130"/>
    <w:rsid w:val="00F65DAC"/>
    <w:rsid w:val="00F66629"/>
    <w:rsid w:val="00F668D4"/>
    <w:rsid w:val="00F66AFF"/>
    <w:rsid w:val="00F66F53"/>
    <w:rsid w:val="00F670F2"/>
    <w:rsid w:val="00F672F4"/>
    <w:rsid w:val="00F675B3"/>
    <w:rsid w:val="00F676F6"/>
    <w:rsid w:val="00F67E40"/>
    <w:rsid w:val="00F701F7"/>
    <w:rsid w:val="00F720AF"/>
    <w:rsid w:val="00F72AC7"/>
    <w:rsid w:val="00F7321B"/>
    <w:rsid w:val="00F73364"/>
    <w:rsid w:val="00F73A6B"/>
    <w:rsid w:val="00F73C5C"/>
    <w:rsid w:val="00F73F98"/>
    <w:rsid w:val="00F7433F"/>
    <w:rsid w:val="00F74A02"/>
    <w:rsid w:val="00F74B1F"/>
    <w:rsid w:val="00F7510B"/>
    <w:rsid w:val="00F752A0"/>
    <w:rsid w:val="00F752C2"/>
    <w:rsid w:val="00F75F1C"/>
    <w:rsid w:val="00F764A4"/>
    <w:rsid w:val="00F764BF"/>
    <w:rsid w:val="00F779D5"/>
    <w:rsid w:val="00F80127"/>
    <w:rsid w:val="00F8040E"/>
    <w:rsid w:val="00F80946"/>
    <w:rsid w:val="00F80989"/>
    <w:rsid w:val="00F80E4E"/>
    <w:rsid w:val="00F8109F"/>
    <w:rsid w:val="00F81C1E"/>
    <w:rsid w:val="00F821C9"/>
    <w:rsid w:val="00F823DE"/>
    <w:rsid w:val="00F82BEE"/>
    <w:rsid w:val="00F830EF"/>
    <w:rsid w:val="00F8316D"/>
    <w:rsid w:val="00F8341B"/>
    <w:rsid w:val="00F83D0A"/>
    <w:rsid w:val="00F83E0B"/>
    <w:rsid w:val="00F84B69"/>
    <w:rsid w:val="00F84CE1"/>
    <w:rsid w:val="00F854F5"/>
    <w:rsid w:val="00F855D0"/>
    <w:rsid w:val="00F8597C"/>
    <w:rsid w:val="00F85B81"/>
    <w:rsid w:val="00F85D2B"/>
    <w:rsid w:val="00F85F34"/>
    <w:rsid w:val="00F8641A"/>
    <w:rsid w:val="00F864E1"/>
    <w:rsid w:val="00F87331"/>
    <w:rsid w:val="00F87843"/>
    <w:rsid w:val="00F90295"/>
    <w:rsid w:val="00F9043A"/>
    <w:rsid w:val="00F90627"/>
    <w:rsid w:val="00F90BAC"/>
    <w:rsid w:val="00F91364"/>
    <w:rsid w:val="00F9290F"/>
    <w:rsid w:val="00F92CA4"/>
    <w:rsid w:val="00F92CE0"/>
    <w:rsid w:val="00F936C6"/>
    <w:rsid w:val="00F93A73"/>
    <w:rsid w:val="00F93DA1"/>
    <w:rsid w:val="00F940EA"/>
    <w:rsid w:val="00F94866"/>
    <w:rsid w:val="00F948F3"/>
    <w:rsid w:val="00F94E5D"/>
    <w:rsid w:val="00F95027"/>
    <w:rsid w:val="00F950DE"/>
    <w:rsid w:val="00F9516F"/>
    <w:rsid w:val="00F9536F"/>
    <w:rsid w:val="00F959F7"/>
    <w:rsid w:val="00F95B8E"/>
    <w:rsid w:val="00F95E06"/>
    <w:rsid w:val="00F95E2B"/>
    <w:rsid w:val="00F9637F"/>
    <w:rsid w:val="00F96762"/>
    <w:rsid w:val="00F97082"/>
    <w:rsid w:val="00F979F4"/>
    <w:rsid w:val="00FA000B"/>
    <w:rsid w:val="00FA0420"/>
    <w:rsid w:val="00FA0491"/>
    <w:rsid w:val="00FA1BD2"/>
    <w:rsid w:val="00FA204A"/>
    <w:rsid w:val="00FA27AE"/>
    <w:rsid w:val="00FA2DEB"/>
    <w:rsid w:val="00FA32A0"/>
    <w:rsid w:val="00FA3753"/>
    <w:rsid w:val="00FA3ABA"/>
    <w:rsid w:val="00FA3FB7"/>
    <w:rsid w:val="00FA4622"/>
    <w:rsid w:val="00FA4A4F"/>
    <w:rsid w:val="00FA4B64"/>
    <w:rsid w:val="00FA4F1E"/>
    <w:rsid w:val="00FA4F7F"/>
    <w:rsid w:val="00FA59AC"/>
    <w:rsid w:val="00FA5D0A"/>
    <w:rsid w:val="00FA5F00"/>
    <w:rsid w:val="00FA5F3F"/>
    <w:rsid w:val="00FA6295"/>
    <w:rsid w:val="00FA7348"/>
    <w:rsid w:val="00FA741D"/>
    <w:rsid w:val="00FA7FB9"/>
    <w:rsid w:val="00FB03FB"/>
    <w:rsid w:val="00FB06A0"/>
    <w:rsid w:val="00FB1CCE"/>
    <w:rsid w:val="00FB2503"/>
    <w:rsid w:val="00FB2747"/>
    <w:rsid w:val="00FB2924"/>
    <w:rsid w:val="00FB2D74"/>
    <w:rsid w:val="00FB32D2"/>
    <w:rsid w:val="00FB331D"/>
    <w:rsid w:val="00FB39FE"/>
    <w:rsid w:val="00FB3BA3"/>
    <w:rsid w:val="00FB3E00"/>
    <w:rsid w:val="00FB4463"/>
    <w:rsid w:val="00FB4682"/>
    <w:rsid w:val="00FB4AAD"/>
    <w:rsid w:val="00FB534E"/>
    <w:rsid w:val="00FB58EC"/>
    <w:rsid w:val="00FB61E7"/>
    <w:rsid w:val="00FB63CB"/>
    <w:rsid w:val="00FB660C"/>
    <w:rsid w:val="00FB70C6"/>
    <w:rsid w:val="00FB7B76"/>
    <w:rsid w:val="00FC0BBB"/>
    <w:rsid w:val="00FC0D50"/>
    <w:rsid w:val="00FC2604"/>
    <w:rsid w:val="00FC26DF"/>
    <w:rsid w:val="00FC36FE"/>
    <w:rsid w:val="00FC3852"/>
    <w:rsid w:val="00FC3869"/>
    <w:rsid w:val="00FC483A"/>
    <w:rsid w:val="00FC4D21"/>
    <w:rsid w:val="00FC5248"/>
    <w:rsid w:val="00FC57A3"/>
    <w:rsid w:val="00FC620D"/>
    <w:rsid w:val="00FC6507"/>
    <w:rsid w:val="00FC6BBB"/>
    <w:rsid w:val="00FC7095"/>
    <w:rsid w:val="00FC792C"/>
    <w:rsid w:val="00FD1486"/>
    <w:rsid w:val="00FD1531"/>
    <w:rsid w:val="00FD1F68"/>
    <w:rsid w:val="00FD238F"/>
    <w:rsid w:val="00FD2B91"/>
    <w:rsid w:val="00FD2DA6"/>
    <w:rsid w:val="00FD378C"/>
    <w:rsid w:val="00FD4E5E"/>
    <w:rsid w:val="00FD515F"/>
    <w:rsid w:val="00FD578A"/>
    <w:rsid w:val="00FD5AEF"/>
    <w:rsid w:val="00FD5CAC"/>
    <w:rsid w:val="00FD63EB"/>
    <w:rsid w:val="00FD6450"/>
    <w:rsid w:val="00FD6497"/>
    <w:rsid w:val="00FD75FD"/>
    <w:rsid w:val="00FD7700"/>
    <w:rsid w:val="00FD7E21"/>
    <w:rsid w:val="00FE0F5E"/>
    <w:rsid w:val="00FE1D05"/>
    <w:rsid w:val="00FE2787"/>
    <w:rsid w:val="00FE296E"/>
    <w:rsid w:val="00FE29B7"/>
    <w:rsid w:val="00FE3447"/>
    <w:rsid w:val="00FE3A0B"/>
    <w:rsid w:val="00FE4FB2"/>
    <w:rsid w:val="00FE5126"/>
    <w:rsid w:val="00FE53FF"/>
    <w:rsid w:val="00FE58FB"/>
    <w:rsid w:val="00FE5A11"/>
    <w:rsid w:val="00FE5DE6"/>
    <w:rsid w:val="00FE6C2B"/>
    <w:rsid w:val="00FE7087"/>
    <w:rsid w:val="00FE70EB"/>
    <w:rsid w:val="00FE7BE9"/>
    <w:rsid w:val="00FE7E7B"/>
    <w:rsid w:val="00FE7EA8"/>
    <w:rsid w:val="00FF0228"/>
    <w:rsid w:val="00FF0837"/>
    <w:rsid w:val="00FF0946"/>
    <w:rsid w:val="00FF13E8"/>
    <w:rsid w:val="00FF168D"/>
    <w:rsid w:val="00FF18DE"/>
    <w:rsid w:val="00FF1BB4"/>
    <w:rsid w:val="00FF295B"/>
    <w:rsid w:val="00FF2D20"/>
    <w:rsid w:val="00FF3000"/>
    <w:rsid w:val="00FF3443"/>
    <w:rsid w:val="00FF3F0A"/>
    <w:rsid w:val="00FF4138"/>
    <w:rsid w:val="00FF4D09"/>
    <w:rsid w:val="00FF553B"/>
    <w:rsid w:val="00FF555E"/>
    <w:rsid w:val="00FF57AE"/>
    <w:rsid w:val="00FF5951"/>
    <w:rsid w:val="00FF6807"/>
    <w:rsid w:val="00FF75B5"/>
    <w:rsid w:val="00FF7819"/>
    <w:rsid w:val="00FF7A8B"/>
    <w:rsid w:val="01035A4A"/>
    <w:rsid w:val="010D1615"/>
    <w:rsid w:val="010D31FC"/>
    <w:rsid w:val="01190BBD"/>
    <w:rsid w:val="01221EEA"/>
    <w:rsid w:val="01277162"/>
    <w:rsid w:val="0128435D"/>
    <w:rsid w:val="014C42A8"/>
    <w:rsid w:val="01576FE7"/>
    <w:rsid w:val="015F6564"/>
    <w:rsid w:val="016B56B8"/>
    <w:rsid w:val="01810C7A"/>
    <w:rsid w:val="01AF7276"/>
    <w:rsid w:val="01B5188B"/>
    <w:rsid w:val="01B51A8D"/>
    <w:rsid w:val="01B66783"/>
    <w:rsid w:val="01BF2018"/>
    <w:rsid w:val="01C654B2"/>
    <w:rsid w:val="01E705D2"/>
    <w:rsid w:val="01F2759D"/>
    <w:rsid w:val="020261D9"/>
    <w:rsid w:val="02046559"/>
    <w:rsid w:val="02085F8C"/>
    <w:rsid w:val="0227136C"/>
    <w:rsid w:val="02280E92"/>
    <w:rsid w:val="022D39C5"/>
    <w:rsid w:val="02335C47"/>
    <w:rsid w:val="02344CAA"/>
    <w:rsid w:val="024B510F"/>
    <w:rsid w:val="025D4751"/>
    <w:rsid w:val="025D77B7"/>
    <w:rsid w:val="0288318F"/>
    <w:rsid w:val="028860D8"/>
    <w:rsid w:val="028F0843"/>
    <w:rsid w:val="028F746F"/>
    <w:rsid w:val="02936A01"/>
    <w:rsid w:val="029B4678"/>
    <w:rsid w:val="02A20490"/>
    <w:rsid w:val="02A31DEE"/>
    <w:rsid w:val="02A824AD"/>
    <w:rsid w:val="02A8425B"/>
    <w:rsid w:val="02AB53B9"/>
    <w:rsid w:val="02AC45C0"/>
    <w:rsid w:val="02B1707F"/>
    <w:rsid w:val="02BB1B41"/>
    <w:rsid w:val="02CC3876"/>
    <w:rsid w:val="02CD7DEA"/>
    <w:rsid w:val="02E06D99"/>
    <w:rsid w:val="02E75616"/>
    <w:rsid w:val="02F3718D"/>
    <w:rsid w:val="02F770D3"/>
    <w:rsid w:val="030A29DA"/>
    <w:rsid w:val="030D3631"/>
    <w:rsid w:val="031B41F6"/>
    <w:rsid w:val="03422F5E"/>
    <w:rsid w:val="03441423"/>
    <w:rsid w:val="034F19B6"/>
    <w:rsid w:val="035F4F8E"/>
    <w:rsid w:val="036142A2"/>
    <w:rsid w:val="03680624"/>
    <w:rsid w:val="037A2890"/>
    <w:rsid w:val="037B0AC6"/>
    <w:rsid w:val="03B53F2E"/>
    <w:rsid w:val="03BC739A"/>
    <w:rsid w:val="03BD2548"/>
    <w:rsid w:val="03C41F86"/>
    <w:rsid w:val="03D300F1"/>
    <w:rsid w:val="03DC7DAD"/>
    <w:rsid w:val="03DE5AF4"/>
    <w:rsid w:val="03F6341C"/>
    <w:rsid w:val="04096671"/>
    <w:rsid w:val="04310C8B"/>
    <w:rsid w:val="0449776F"/>
    <w:rsid w:val="04574A44"/>
    <w:rsid w:val="04607696"/>
    <w:rsid w:val="0468055A"/>
    <w:rsid w:val="046C4FB7"/>
    <w:rsid w:val="049E0642"/>
    <w:rsid w:val="049E3128"/>
    <w:rsid w:val="04AC7116"/>
    <w:rsid w:val="04BC5900"/>
    <w:rsid w:val="04D80939"/>
    <w:rsid w:val="04E07136"/>
    <w:rsid w:val="04F46492"/>
    <w:rsid w:val="04FE59C2"/>
    <w:rsid w:val="05045DF2"/>
    <w:rsid w:val="051D3203"/>
    <w:rsid w:val="05237B44"/>
    <w:rsid w:val="05266A85"/>
    <w:rsid w:val="05270200"/>
    <w:rsid w:val="05312ED4"/>
    <w:rsid w:val="0543754F"/>
    <w:rsid w:val="0544024F"/>
    <w:rsid w:val="05671ABC"/>
    <w:rsid w:val="0579670D"/>
    <w:rsid w:val="05933348"/>
    <w:rsid w:val="05A03DB3"/>
    <w:rsid w:val="05A97D5C"/>
    <w:rsid w:val="05BA236F"/>
    <w:rsid w:val="05BC762D"/>
    <w:rsid w:val="05BE281F"/>
    <w:rsid w:val="05C54724"/>
    <w:rsid w:val="05CB46DF"/>
    <w:rsid w:val="05E226E2"/>
    <w:rsid w:val="05E41690"/>
    <w:rsid w:val="05F74D68"/>
    <w:rsid w:val="060C2A1A"/>
    <w:rsid w:val="06161DD3"/>
    <w:rsid w:val="061B4600"/>
    <w:rsid w:val="06221FA2"/>
    <w:rsid w:val="0623599E"/>
    <w:rsid w:val="06275360"/>
    <w:rsid w:val="062834E1"/>
    <w:rsid w:val="063164EF"/>
    <w:rsid w:val="063B611D"/>
    <w:rsid w:val="064E7D20"/>
    <w:rsid w:val="06540ACE"/>
    <w:rsid w:val="0663371B"/>
    <w:rsid w:val="06652ECB"/>
    <w:rsid w:val="066E3125"/>
    <w:rsid w:val="06704CDB"/>
    <w:rsid w:val="0697166E"/>
    <w:rsid w:val="069B3464"/>
    <w:rsid w:val="069C700D"/>
    <w:rsid w:val="06AF599F"/>
    <w:rsid w:val="06BE6DAE"/>
    <w:rsid w:val="06DC354B"/>
    <w:rsid w:val="06F03716"/>
    <w:rsid w:val="06F974B2"/>
    <w:rsid w:val="0723163E"/>
    <w:rsid w:val="072F1EBE"/>
    <w:rsid w:val="07323271"/>
    <w:rsid w:val="073573BF"/>
    <w:rsid w:val="073D5143"/>
    <w:rsid w:val="074663EF"/>
    <w:rsid w:val="074F739B"/>
    <w:rsid w:val="07675F9A"/>
    <w:rsid w:val="07714654"/>
    <w:rsid w:val="077658DA"/>
    <w:rsid w:val="079E3D3D"/>
    <w:rsid w:val="07A373E1"/>
    <w:rsid w:val="07B56C2A"/>
    <w:rsid w:val="07C0413B"/>
    <w:rsid w:val="07F520EA"/>
    <w:rsid w:val="080255FE"/>
    <w:rsid w:val="08054D67"/>
    <w:rsid w:val="080C1004"/>
    <w:rsid w:val="08126026"/>
    <w:rsid w:val="081F14C2"/>
    <w:rsid w:val="081F4D9B"/>
    <w:rsid w:val="08434ADA"/>
    <w:rsid w:val="084C6AC4"/>
    <w:rsid w:val="084F38D1"/>
    <w:rsid w:val="08540ABF"/>
    <w:rsid w:val="08613CE9"/>
    <w:rsid w:val="087E5FDC"/>
    <w:rsid w:val="088153EE"/>
    <w:rsid w:val="08896101"/>
    <w:rsid w:val="089B7678"/>
    <w:rsid w:val="08A16C0F"/>
    <w:rsid w:val="08A91BBF"/>
    <w:rsid w:val="08B518EE"/>
    <w:rsid w:val="08B85821"/>
    <w:rsid w:val="08BC20B7"/>
    <w:rsid w:val="08C95435"/>
    <w:rsid w:val="08CB68A8"/>
    <w:rsid w:val="08D120CB"/>
    <w:rsid w:val="08EB6D4B"/>
    <w:rsid w:val="08FB5F13"/>
    <w:rsid w:val="090439C4"/>
    <w:rsid w:val="09044670"/>
    <w:rsid w:val="09194E2D"/>
    <w:rsid w:val="09402434"/>
    <w:rsid w:val="095C6D6B"/>
    <w:rsid w:val="095E6897"/>
    <w:rsid w:val="09600303"/>
    <w:rsid w:val="09654943"/>
    <w:rsid w:val="09715DED"/>
    <w:rsid w:val="0979275C"/>
    <w:rsid w:val="097A4477"/>
    <w:rsid w:val="09807F9A"/>
    <w:rsid w:val="09907385"/>
    <w:rsid w:val="099C5C92"/>
    <w:rsid w:val="09AF1B97"/>
    <w:rsid w:val="09B42832"/>
    <w:rsid w:val="09B60C78"/>
    <w:rsid w:val="09BF3C37"/>
    <w:rsid w:val="09C04865"/>
    <w:rsid w:val="09DD1878"/>
    <w:rsid w:val="0A02154E"/>
    <w:rsid w:val="0A0B50CF"/>
    <w:rsid w:val="0A16676E"/>
    <w:rsid w:val="0A275CC7"/>
    <w:rsid w:val="0A276914"/>
    <w:rsid w:val="0A353A27"/>
    <w:rsid w:val="0A3F43B8"/>
    <w:rsid w:val="0A416461"/>
    <w:rsid w:val="0A6773DB"/>
    <w:rsid w:val="0A6F1995"/>
    <w:rsid w:val="0A77224F"/>
    <w:rsid w:val="0A8E4BF6"/>
    <w:rsid w:val="0A992117"/>
    <w:rsid w:val="0A9C7661"/>
    <w:rsid w:val="0ABB765F"/>
    <w:rsid w:val="0AC076B5"/>
    <w:rsid w:val="0AC1487F"/>
    <w:rsid w:val="0AC54792"/>
    <w:rsid w:val="0AC70C28"/>
    <w:rsid w:val="0ACA05A5"/>
    <w:rsid w:val="0ACB775E"/>
    <w:rsid w:val="0AD057A3"/>
    <w:rsid w:val="0AD21B74"/>
    <w:rsid w:val="0AD60F46"/>
    <w:rsid w:val="0AFC1748"/>
    <w:rsid w:val="0B09556A"/>
    <w:rsid w:val="0B1159A2"/>
    <w:rsid w:val="0B1539D8"/>
    <w:rsid w:val="0B164E7F"/>
    <w:rsid w:val="0B3516CA"/>
    <w:rsid w:val="0B473F0B"/>
    <w:rsid w:val="0B5B2F06"/>
    <w:rsid w:val="0B62514C"/>
    <w:rsid w:val="0B6F4FD7"/>
    <w:rsid w:val="0B703B36"/>
    <w:rsid w:val="0B861332"/>
    <w:rsid w:val="0B9353AC"/>
    <w:rsid w:val="0BAF7584"/>
    <w:rsid w:val="0BC775A1"/>
    <w:rsid w:val="0BCF1C28"/>
    <w:rsid w:val="0BE80A69"/>
    <w:rsid w:val="0BF40DB7"/>
    <w:rsid w:val="0BFD39BD"/>
    <w:rsid w:val="0C014665"/>
    <w:rsid w:val="0C0C2768"/>
    <w:rsid w:val="0C242225"/>
    <w:rsid w:val="0C2B4511"/>
    <w:rsid w:val="0C2C38CC"/>
    <w:rsid w:val="0C3710AD"/>
    <w:rsid w:val="0C3B13BF"/>
    <w:rsid w:val="0C42178A"/>
    <w:rsid w:val="0C4E6B07"/>
    <w:rsid w:val="0C8400B2"/>
    <w:rsid w:val="0C8C3049"/>
    <w:rsid w:val="0C9B0846"/>
    <w:rsid w:val="0CAF2631"/>
    <w:rsid w:val="0CCC7E91"/>
    <w:rsid w:val="0CE52FAC"/>
    <w:rsid w:val="0CEA2457"/>
    <w:rsid w:val="0CEF0346"/>
    <w:rsid w:val="0CF124F4"/>
    <w:rsid w:val="0D047038"/>
    <w:rsid w:val="0D052A78"/>
    <w:rsid w:val="0D14115A"/>
    <w:rsid w:val="0D1D1757"/>
    <w:rsid w:val="0D210A00"/>
    <w:rsid w:val="0D215E7F"/>
    <w:rsid w:val="0D22705B"/>
    <w:rsid w:val="0D295292"/>
    <w:rsid w:val="0D3D2A77"/>
    <w:rsid w:val="0D4016EF"/>
    <w:rsid w:val="0D5A2857"/>
    <w:rsid w:val="0D6963C4"/>
    <w:rsid w:val="0D737389"/>
    <w:rsid w:val="0D860DB3"/>
    <w:rsid w:val="0D873397"/>
    <w:rsid w:val="0D8C23DB"/>
    <w:rsid w:val="0D9241E7"/>
    <w:rsid w:val="0D97192F"/>
    <w:rsid w:val="0DA57C49"/>
    <w:rsid w:val="0DAB6878"/>
    <w:rsid w:val="0DC41F1D"/>
    <w:rsid w:val="0DCE157B"/>
    <w:rsid w:val="0DD84DFE"/>
    <w:rsid w:val="0DEB4344"/>
    <w:rsid w:val="0DF1779C"/>
    <w:rsid w:val="0DF82EE5"/>
    <w:rsid w:val="0DFA6F91"/>
    <w:rsid w:val="0E023B36"/>
    <w:rsid w:val="0E036774"/>
    <w:rsid w:val="0E176E16"/>
    <w:rsid w:val="0E1869F6"/>
    <w:rsid w:val="0E2A069A"/>
    <w:rsid w:val="0E35345B"/>
    <w:rsid w:val="0E3955E4"/>
    <w:rsid w:val="0E3D67DF"/>
    <w:rsid w:val="0E452D14"/>
    <w:rsid w:val="0E4839EC"/>
    <w:rsid w:val="0E4903E6"/>
    <w:rsid w:val="0E5A602F"/>
    <w:rsid w:val="0E6D5CE9"/>
    <w:rsid w:val="0E715E4F"/>
    <w:rsid w:val="0E866133"/>
    <w:rsid w:val="0E8E719D"/>
    <w:rsid w:val="0E9263AA"/>
    <w:rsid w:val="0E973DAE"/>
    <w:rsid w:val="0EA12C13"/>
    <w:rsid w:val="0EAB607D"/>
    <w:rsid w:val="0EAB6210"/>
    <w:rsid w:val="0EB2486B"/>
    <w:rsid w:val="0EB832AC"/>
    <w:rsid w:val="0EBB21E7"/>
    <w:rsid w:val="0EC74C02"/>
    <w:rsid w:val="0ED96881"/>
    <w:rsid w:val="0EE93236"/>
    <w:rsid w:val="0EEE4A22"/>
    <w:rsid w:val="0EFB52D8"/>
    <w:rsid w:val="0F222C5C"/>
    <w:rsid w:val="0F27065B"/>
    <w:rsid w:val="0F2B2713"/>
    <w:rsid w:val="0F2E43FA"/>
    <w:rsid w:val="0F3F06E4"/>
    <w:rsid w:val="0F4012D0"/>
    <w:rsid w:val="0F5A1050"/>
    <w:rsid w:val="0F5C0376"/>
    <w:rsid w:val="0F696B20"/>
    <w:rsid w:val="0F6F5B89"/>
    <w:rsid w:val="0F711EC5"/>
    <w:rsid w:val="0F8E4945"/>
    <w:rsid w:val="0FC33735"/>
    <w:rsid w:val="0FC67118"/>
    <w:rsid w:val="0FD06EF0"/>
    <w:rsid w:val="0FDB32FD"/>
    <w:rsid w:val="0FF6646C"/>
    <w:rsid w:val="100A5625"/>
    <w:rsid w:val="10172BC7"/>
    <w:rsid w:val="103177F1"/>
    <w:rsid w:val="1033007C"/>
    <w:rsid w:val="10341F39"/>
    <w:rsid w:val="103D0AF1"/>
    <w:rsid w:val="10462BF8"/>
    <w:rsid w:val="104759AE"/>
    <w:rsid w:val="104D7034"/>
    <w:rsid w:val="10624F0A"/>
    <w:rsid w:val="106E52BA"/>
    <w:rsid w:val="10794FB1"/>
    <w:rsid w:val="10A84739"/>
    <w:rsid w:val="10B969C6"/>
    <w:rsid w:val="10BB5EF9"/>
    <w:rsid w:val="10BD2C64"/>
    <w:rsid w:val="10C15E19"/>
    <w:rsid w:val="10C205F4"/>
    <w:rsid w:val="10D07F9B"/>
    <w:rsid w:val="10DE1740"/>
    <w:rsid w:val="10E47C71"/>
    <w:rsid w:val="10EC6B10"/>
    <w:rsid w:val="11020FDA"/>
    <w:rsid w:val="11117798"/>
    <w:rsid w:val="1113396C"/>
    <w:rsid w:val="11245616"/>
    <w:rsid w:val="112F5B59"/>
    <w:rsid w:val="1132004A"/>
    <w:rsid w:val="1136407F"/>
    <w:rsid w:val="1147745B"/>
    <w:rsid w:val="115F5130"/>
    <w:rsid w:val="11710219"/>
    <w:rsid w:val="11785302"/>
    <w:rsid w:val="117873DA"/>
    <w:rsid w:val="11793C17"/>
    <w:rsid w:val="11794C10"/>
    <w:rsid w:val="117D1A7C"/>
    <w:rsid w:val="118519E5"/>
    <w:rsid w:val="1193506B"/>
    <w:rsid w:val="11A940FB"/>
    <w:rsid w:val="11B37FDD"/>
    <w:rsid w:val="11B472A3"/>
    <w:rsid w:val="11C246F5"/>
    <w:rsid w:val="11C63C9D"/>
    <w:rsid w:val="11DC3D16"/>
    <w:rsid w:val="11EC6747"/>
    <w:rsid w:val="11FA36B5"/>
    <w:rsid w:val="121214A2"/>
    <w:rsid w:val="12124E2E"/>
    <w:rsid w:val="12423EAB"/>
    <w:rsid w:val="124A2F62"/>
    <w:rsid w:val="124A7CBB"/>
    <w:rsid w:val="12520565"/>
    <w:rsid w:val="128802B3"/>
    <w:rsid w:val="128A3A0F"/>
    <w:rsid w:val="12927BA7"/>
    <w:rsid w:val="12A27A08"/>
    <w:rsid w:val="12C30E72"/>
    <w:rsid w:val="12CC33E0"/>
    <w:rsid w:val="12D95EC7"/>
    <w:rsid w:val="12DB43E2"/>
    <w:rsid w:val="12DF77AA"/>
    <w:rsid w:val="12F8687A"/>
    <w:rsid w:val="12F87783"/>
    <w:rsid w:val="12FA6B74"/>
    <w:rsid w:val="130A4401"/>
    <w:rsid w:val="13133960"/>
    <w:rsid w:val="13155336"/>
    <w:rsid w:val="132D4CE1"/>
    <w:rsid w:val="13471CF4"/>
    <w:rsid w:val="13501075"/>
    <w:rsid w:val="135B0C21"/>
    <w:rsid w:val="135C6DD0"/>
    <w:rsid w:val="13621499"/>
    <w:rsid w:val="1374103D"/>
    <w:rsid w:val="137562BE"/>
    <w:rsid w:val="13787DD4"/>
    <w:rsid w:val="138E25EA"/>
    <w:rsid w:val="139B4A02"/>
    <w:rsid w:val="13A64ADE"/>
    <w:rsid w:val="13AE4A3B"/>
    <w:rsid w:val="13B62699"/>
    <w:rsid w:val="13B81CC4"/>
    <w:rsid w:val="13BB5594"/>
    <w:rsid w:val="13BD1B1A"/>
    <w:rsid w:val="13C07DD5"/>
    <w:rsid w:val="13C5652C"/>
    <w:rsid w:val="13C94E3E"/>
    <w:rsid w:val="13CD23CE"/>
    <w:rsid w:val="13D76148"/>
    <w:rsid w:val="13DC7CDB"/>
    <w:rsid w:val="13E05429"/>
    <w:rsid w:val="13E802B9"/>
    <w:rsid w:val="13EE088C"/>
    <w:rsid w:val="13F108E0"/>
    <w:rsid w:val="14092746"/>
    <w:rsid w:val="140A5329"/>
    <w:rsid w:val="140E6222"/>
    <w:rsid w:val="141A2340"/>
    <w:rsid w:val="141B3972"/>
    <w:rsid w:val="14215901"/>
    <w:rsid w:val="143F2B9D"/>
    <w:rsid w:val="145826C1"/>
    <w:rsid w:val="146408CE"/>
    <w:rsid w:val="146D7A7E"/>
    <w:rsid w:val="146E5017"/>
    <w:rsid w:val="1477324C"/>
    <w:rsid w:val="149905A9"/>
    <w:rsid w:val="14AE4BCF"/>
    <w:rsid w:val="14BC2069"/>
    <w:rsid w:val="14C01D30"/>
    <w:rsid w:val="14D85321"/>
    <w:rsid w:val="14F975B5"/>
    <w:rsid w:val="15047242"/>
    <w:rsid w:val="150E1C6A"/>
    <w:rsid w:val="15120708"/>
    <w:rsid w:val="151F2958"/>
    <w:rsid w:val="152702A1"/>
    <w:rsid w:val="15302A3F"/>
    <w:rsid w:val="153A751F"/>
    <w:rsid w:val="153F6B59"/>
    <w:rsid w:val="154204B8"/>
    <w:rsid w:val="15427C6E"/>
    <w:rsid w:val="1543089E"/>
    <w:rsid w:val="1547149C"/>
    <w:rsid w:val="154F56AE"/>
    <w:rsid w:val="155B32C1"/>
    <w:rsid w:val="155D0E79"/>
    <w:rsid w:val="155D540A"/>
    <w:rsid w:val="156538A5"/>
    <w:rsid w:val="1569030F"/>
    <w:rsid w:val="15692ACB"/>
    <w:rsid w:val="156E3BD4"/>
    <w:rsid w:val="157448C4"/>
    <w:rsid w:val="15753955"/>
    <w:rsid w:val="157D7874"/>
    <w:rsid w:val="15C1732E"/>
    <w:rsid w:val="15C33D2D"/>
    <w:rsid w:val="15C61C8D"/>
    <w:rsid w:val="15C65ADF"/>
    <w:rsid w:val="15EB7FAE"/>
    <w:rsid w:val="15FC6BE3"/>
    <w:rsid w:val="1601021C"/>
    <w:rsid w:val="1608434A"/>
    <w:rsid w:val="161629C6"/>
    <w:rsid w:val="161F0FBC"/>
    <w:rsid w:val="164646BF"/>
    <w:rsid w:val="165A05F7"/>
    <w:rsid w:val="166B565E"/>
    <w:rsid w:val="166C7FC1"/>
    <w:rsid w:val="16754F66"/>
    <w:rsid w:val="1684159B"/>
    <w:rsid w:val="168F5B5D"/>
    <w:rsid w:val="16973BD2"/>
    <w:rsid w:val="16C20C7F"/>
    <w:rsid w:val="16DA4C16"/>
    <w:rsid w:val="16DD5DB0"/>
    <w:rsid w:val="16E9232C"/>
    <w:rsid w:val="16FD1958"/>
    <w:rsid w:val="171F47C7"/>
    <w:rsid w:val="173B4854"/>
    <w:rsid w:val="174A2B55"/>
    <w:rsid w:val="174E1159"/>
    <w:rsid w:val="174F1A9F"/>
    <w:rsid w:val="176A78E7"/>
    <w:rsid w:val="17751D70"/>
    <w:rsid w:val="17892210"/>
    <w:rsid w:val="179C14D9"/>
    <w:rsid w:val="179C2F3D"/>
    <w:rsid w:val="17A4169E"/>
    <w:rsid w:val="17A43CDA"/>
    <w:rsid w:val="17B84028"/>
    <w:rsid w:val="17C63107"/>
    <w:rsid w:val="17DA135D"/>
    <w:rsid w:val="17E9709F"/>
    <w:rsid w:val="17F44061"/>
    <w:rsid w:val="17F95A37"/>
    <w:rsid w:val="180057FC"/>
    <w:rsid w:val="18081460"/>
    <w:rsid w:val="18137D49"/>
    <w:rsid w:val="18187972"/>
    <w:rsid w:val="181B6E25"/>
    <w:rsid w:val="181D5B75"/>
    <w:rsid w:val="1820374E"/>
    <w:rsid w:val="18223E1D"/>
    <w:rsid w:val="18251E58"/>
    <w:rsid w:val="183658CC"/>
    <w:rsid w:val="18374E08"/>
    <w:rsid w:val="185143B5"/>
    <w:rsid w:val="1872635C"/>
    <w:rsid w:val="189762B4"/>
    <w:rsid w:val="189A1BEB"/>
    <w:rsid w:val="18A14962"/>
    <w:rsid w:val="18A35F59"/>
    <w:rsid w:val="18A40EF7"/>
    <w:rsid w:val="18A721D3"/>
    <w:rsid w:val="18AC3B51"/>
    <w:rsid w:val="18B02199"/>
    <w:rsid w:val="18BA731E"/>
    <w:rsid w:val="18BC3375"/>
    <w:rsid w:val="18C958A1"/>
    <w:rsid w:val="18DC0D6A"/>
    <w:rsid w:val="18E20657"/>
    <w:rsid w:val="18F0176D"/>
    <w:rsid w:val="18F20CB4"/>
    <w:rsid w:val="19011F39"/>
    <w:rsid w:val="19046AF6"/>
    <w:rsid w:val="19110BE3"/>
    <w:rsid w:val="19167D0A"/>
    <w:rsid w:val="19394785"/>
    <w:rsid w:val="19511D4B"/>
    <w:rsid w:val="1954595C"/>
    <w:rsid w:val="197A419F"/>
    <w:rsid w:val="199331CB"/>
    <w:rsid w:val="19993F31"/>
    <w:rsid w:val="199C0C69"/>
    <w:rsid w:val="19BC2DAD"/>
    <w:rsid w:val="19C149B0"/>
    <w:rsid w:val="19C479FF"/>
    <w:rsid w:val="19C80F82"/>
    <w:rsid w:val="19CB27CF"/>
    <w:rsid w:val="19CF2DED"/>
    <w:rsid w:val="19D60291"/>
    <w:rsid w:val="19D85325"/>
    <w:rsid w:val="19E0364C"/>
    <w:rsid w:val="19F02C2F"/>
    <w:rsid w:val="1A1678FB"/>
    <w:rsid w:val="1A192A60"/>
    <w:rsid w:val="1A25607C"/>
    <w:rsid w:val="1A2A3FBF"/>
    <w:rsid w:val="1A322AD6"/>
    <w:rsid w:val="1A396A6A"/>
    <w:rsid w:val="1A540D8F"/>
    <w:rsid w:val="1A577A93"/>
    <w:rsid w:val="1A68351D"/>
    <w:rsid w:val="1A685F09"/>
    <w:rsid w:val="1A6F2A8E"/>
    <w:rsid w:val="1A824BFB"/>
    <w:rsid w:val="1A874BAA"/>
    <w:rsid w:val="1AA407A9"/>
    <w:rsid w:val="1AAB256C"/>
    <w:rsid w:val="1AAE7C4A"/>
    <w:rsid w:val="1AB310F4"/>
    <w:rsid w:val="1ABC39F5"/>
    <w:rsid w:val="1AC15D90"/>
    <w:rsid w:val="1ACE6618"/>
    <w:rsid w:val="1AD77137"/>
    <w:rsid w:val="1AF02101"/>
    <w:rsid w:val="1AF11931"/>
    <w:rsid w:val="1AF324D6"/>
    <w:rsid w:val="1B1E3F2C"/>
    <w:rsid w:val="1B3348F7"/>
    <w:rsid w:val="1B353CEB"/>
    <w:rsid w:val="1B483992"/>
    <w:rsid w:val="1B4960D9"/>
    <w:rsid w:val="1B7C409A"/>
    <w:rsid w:val="1B815B10"/>
    <w:rsid w:val="1B840D55"/>
    <w:rsid w:val="1B850F10"/>
    <w:rsid w:val="1B8F7D70"/>
    <w:rsid w:val="1B9941DE"/>
    <w:rsid w:val="1B9E4B5B"/>
    <w:rsid w:val="1BB263E4"/>
    <w:rsid w:val="1BBD28D5"/>
    <w:rsid w:val="1BC33122"/>
    <w:rsid w:val="1BD146F0"/>
    <w:rsid w:val="1C06342B"/>
    <w:rsid w:val="1C1710AD"/>
    <w:rsid w:val="1C2A5889"/>
    <w:rsid w:val="1C395C71"/>
    <w:rsid w:val="1C411A0C"/>
    <w:rsid w:val="1C467F78"/>
    <w:rsid w:val="1C4A1062"/>
    <w:rsid w:val="1C4F743C"/>
    <w:rsid w:val="1C5F6658"/>
    <w:rsid w:val="1C627F97"/>
    <w:rsid w:val="1C6778E5"/>
    <w:rsid w:val="1C68473A"/>
    <w:rsid w:val="1C6A0341"/>
    <w:rsid w:val="1C9654AB"/>
    <w:rsid w:val="1C9B56B2"/>
    <w:rsid w:val="1CB81B6E"/>
    <w:rsid w:val="1CCC47BE"/>
    <w:rsid w:val="1CD1430A"/>
    <w:rsid w:val="1CD80695"/>
    <w:rsid w:val="1CF30ABA"/>
    <w:rsid w:val="1D0A4161"/>
    <w:rsid w:val="1D12309B"/>
    <w:rsid w:val="1D1E0086"/>
    <w:rsid w:val="1D1F2953"/>
    <w:rsid w:val="1D245BA2"/>
    <w:rsid w:val="1D2C2E35"/>
    <w:rsid w:val="1D324AD0"/>
    <w:rsid w:val="1D3469DF"/>
    <w:rsid w:val="1D370D06"/>
    <w:rsid w:val="1D4F6D94"/>
    <w:rsid w:val="1D5A0733"/>
    <w:rsid w:val="1D5C1C5F"/>
    <w:rsid w:val="1D5E2778"/>
    <w:rsid w:val="1D783746"/>
    <w:rsid w:val="1D7D7618"/>
    <w:rsid w:val="1D7F2E00"/>
    <w:rsid w:val="1D83464B"/>
    <w:rsid w:val="1D8631AA"/>
    <w:rsid w:val="1D8B7643"/>
    <w:rsid w:val="1DD97C9D"/>
    <w:rsid w:val="1DE97A03"/>
    <w:rsid w:val="1DEB2F13"/>
    <w:rsid w:val="1DF60D84"/>
    <w:rsid w:val="1DFE184A"/>
    <w:rsid w:val="1E1E1B83"/>
    <w:rsid w:val="1E257CF5"/>
    <w:rsid w:val="1E275FCE"/>
    <w:rsid w:val="1E3C548E"/>
    <w:rsid w:val="1E4F5FA2"/>
    <w:rsid w:val="1E5223CB"/>
    <w:rsid w:val="1E53012E"/>
    <w:rsid w:val="1E67764B"/>
    <w:rsid w:val="1E820EBA"/>
    <w:rsid w:val="1E9B30FE"/>
    <w:rsid w:val="1EAF66DD"/>
    <w:rsid w:val="1EB871FA"/>
    <w:rsid w:val="1ECD67E2"/>
    <w:rsid w:val="1ECE48B4"/>
    <w:rsid w:val="1EE01FF6"/>
    <w:rsid w:val="1EE2009F"/>
    <w:rsid w:val="1EF115DD"/>
    <w:rsid w:val="1EFC67D3"/>
    <w:rsid w:val="1EFE60F7"/>
    <w:rsid w:val="1F0411E7"/>
    <w:rsid w:val="1F0A6DD8"/>
    <w:rsid w:val="1F0D2AA6"/>
    <w:rsid w:val="1F12031B"/>
    <w:rsid w:val="1F171A74"/>
    <w:rsid w:val="1F211E5C"/>
    <w:rsid w:val="1F24511D"/>
    <w:rsid w:val="1F31509A"/>
    <w:rsid w:val="1F395A8D"/>
    <w:rsid w:val="1F3A2C89"/>
    <w:rsid w:val="1F472AF7"/>
    <w:rsid w:val="1F4759AA"/>
    <w:rsid w:val="1F495803"/>
    <w:rsid w:val="1F645ACA"/>
    <w:rsid w:val="1F730480"/>
    <w:rsid w:val="1F7A22DE"/>
    <w:rsid w:val="1FA30723"/>
    <w:rsid w:val="1FC17FAD"/>
    <w:rsid w:val="1FC44042"/>
    <w:rsid w:val="1FD464A0"/>
    <w:rsid w:val="1FE91A0D"/>
    <w:rsid w:val="1FEB3581"/>
    <w:rsid w:val="1FF646DA"/>
    <w:rsid w:val="1FF8746C"/>
    <w:rsid w:val="1FFD7BA2"/>
    <w:rsid w:val="20111A4B"/>
    <w:rsid w:val="20202A33"/>
    <w:rsid w:val="202E0C10"/>
    <w:rsid w:val="20305186"/>
    <w:rsid w:val="203E11AB"/>
    <w:rsid w:val="20474C63"/>
    <w:rsid w:val="204B4D0B"/>
    <w:rsid w:val="20543D34"/>
    <w:rsid w:val="207D2E86"/>
    <w:rsid w:val="207E0E01"/>
    <w:rsid w:val="207E2D2C"/>
    <w:rsid w:val="2087355D"/>
    <w:rsid w:val="209751A2"/>
    <w:rsid w:val="209B4FA7"/>
    <w:rsid w:val="20A17D7B"/>
    <w:rsid w:val="20AB4C4F"/>
    <w:rsid w:val="20B24415"/>
    <w:rsid w:val="20C05C69"/>
    <w:rsid w:val="20C811BD"/>
    <w:rsid w:val="20CD602A"/>
    <w:rsid w:val="20E57A2A"/>
    <w:rsid w:val="20F62ECB"/>
    <w:rsid w:val="21052F21"/>
    <w:rsid w:val="210A0FB4"/>
    <w:rsid w:val="210A63F8"/>
    <w:rsid w:val="210F7CD2"/>
    <w:rsid w:val="212215AA"/>
    <w:rsid w:val="213A730B"/>
    <w:rsid w:val="2155668F"/>
    <w:rsid w:val="21646DF4"/>
    <w:rsid w:val="2169477A"/>
    <w:rsid w:val="216D6944"/>
    <w:rsid w:val="217A6FD8"/>
    <w:rsid w:val="217C7DBF"/>
    <w:rsid w:val="218955CD"/>
    <w:rsid w:val="218D5D05"/>
    <w:rsid w:val="2190061B"/>
    <w:rsid w:val="21947693"/>
    <w:rsid w:val="21C770C1"/>
    <w:rsid w:val="21CC3F9E"/>
    <w:rsid w:val="21CD708C"/>
    <w:rsid w:val="21D745AE"/>
    <w:rsid w:val="21F20039"/>
    <w:rsid w:val="22117FFC"/>
    <w:rsid w:val="222A070C"/>
    <w:rsid w:val="222A1184"/>
    <w:rsid w:val="222B21EF"/>
    <w:rsid w:val="223167E9"/>
    <w:rsid w:val="224C3DA2"/>
    <w:rsid w:val="225B7F0D"/>
    <w:rsid w:val="22621189"/>
    <w:rsid w:val="226415A3"/>
    <w:rsid w:val="22825E74"/>
    <w:rsid w:val="2285311F"/>
    <w:rsid w:val="22883C79"/>
    <w:rsid w:val="22AF799C"/>
    <w:rsid w:val="22B9697E"/>
    <w:rsid w:val="22BB3EB5"/>
    <w:rsid w:val="22C21F0A"/>
    <w:rsid w:val="22C30F5F"/>
    <w:rsid w:val="22E076B9"/>
    <w:rsid w:val="22F01C3C"/>
    <w:rsid w:val="22F859FC"/>
    <w:rsid w:val="231040A7"/>
    <w:rsid w:val="231E2146"/>
    <w:rsid w:val="23225D5C"/>
    <w:rsid w:val="23294864"/>
    <w:rsid w:val="232A1CB9"/>
    <w:rsid w:val="232E48B9"/>
    <w:rsid w:val="23351505"/>
    <w:rsid w:val="234620F1"/>
    <w:rsid w:val="235D545E"/>
    <w:rsid w:val="23682936"/>
    <w:rsid w:val="23734176"/>
    <w:rsid w:val="23782C5E"/>
    <w:rsid w:val="237A5348"/>
    <w:rsid w:val="238819FF"/>
    <w:rsid w:val="2392268E"/>
    <w:rsid w:val="23B239F7"/>
    <w:rsid w:val="23BA39B8"/>
    <w:rsid w:val="23BB46A2"/>
    <w:rsid w:val="23CA6BA5"/>
    <w:rsid w:val="23CE5639"/>
    <w:rsid w:val="23D47ABC"/>
    <w:rsid w:val="23D67893"/>
    <w:rsid w:val="240105DA"/>
    <w:rsid w:val="240C3D2D"/>
    <w:rsid w:val="240F7354"/>
    <w:rsid w:val="24290BA9"/>
    <w:rsid w:val="24316F2E"/>
    <w:rsid w:val="24485AB3"/>
    <w:rsid w:val="24523BCF"/>
    <w:rsid w:val="245F3E8E"/>
    <w:rsid w:val="24671E1C"/>
    <w:rsid w:val="24681A86"/>
    <w:rsid w:val="2482062F"/>
    <w:rsid w:val="249340F2"/>
    <w:rsid w:val="249B6F4E"/>
    <w:rsid w:val="249F5EF0"/>
    <w:rsid w:val="24B1116E"/>
    <w:rsid w:val="24BB32E4"/>
    <w:rsid w:val="24BD67A3"/>
    <w:rsid w:val="24C93DED"/>
    <w:rsid w:val="24CA478B"/>
    <w:rsid w:val="24D23A06"/>
    <w:rsid w:val="24D47FA8"/>
    <w:rsid w:val="24DB3015"/>
    <w:rsid w:val="24EA78D2"/>
    <w:rsid w:val="24F467DB"/>
    <w:rsid w:val="24FA6B2D"/>
    <w:rsid w:val="24FB6646"/>
    <w:rsid w:val="25043771"/>
    <w:rsid w:val="25194FD1"/>
    <w:rsid w:val="251A0CA5"/>
    <w:rsid w:val="2524130D"/>
    <w:rsid w:val="25266E96"/>
    <w:rsid w:val="252B38A4"/>
    <w:rsid w:val="25740ACB"/>
    <w:rsid w:val="257E25A8"/>
    <w:rsid w:val="25835573"/>
    <w:rsid w:val="258A5F33"/>
    <w:rsid w:val="258C3C4A"/>
    <w:rsid w:val="258D7F2B"/>
    <w:rsid w:val="259A11BC"/>
    <w:rsid w:val="25A71F88"/>
    <w:rsid w:val="25B80F04"/>
    <w:rsid w:val="25D44406"/>
    <w:rsid w:val="25DD0D18"/>
    <w:rsid w:val="260560F5"/>
    <w:rsid w:val="26071F9D"/>
    <w:rsid w:val="26097207"/>
    <w:rsid w:val="26104F8D"/>
    <w:rsid w:val="2619162E"/>
    <w:rsid w:val="261B3231"/>
    <w:rsid w:val="2628095C"/>
    <w:rsid w:val="26312BBA"/>
    <w:rsid w:val="263A69B0"/>
    <w:rsid w:val="265558A5"/>
    <w:rsid w:val="265C5351"/>
    <w:rsid w:val="266035CB"/>
    <w:rsid w:val="26720558"/>
    <w:rsid w:val="26756B52"/>
    <w:rsid w:val="26860A54"/>
    <w:rsid w:val="26904424"/>
    <w:rsid w:val="2694011E"/>
    <w:rsid w:val="269C0D82"/>
    <w:rsid w:val="26A45F6C"/>
    <w:rsid w:val="26A83165"/>
    <w:rsid w:val="26AB4FF0"/>
    <w:rsid w:val="26B7115B"/>
    <w:rsid w:val="26DA0808"/>
    <w:rsid w:val="26DD0DEE"/>
    <w:rsid w:val="26ED0355"/>
    <w:rsid w:val="27021872"/>
    <w:rsid w:val="271A227E"/>
    <w:rsid w:val="272320D3"/>
    <w:rsid w:val="274F125D"/>
    <w:rsid w:val="275572C9"/>
    <w:rsid w:val="2765535C"/>
    <w:rsid w:val="276910CC"/>
    <w:rsid w:val="277C3420"/>
    <w:rsid w:val="27856DEE"/>
    <w:rsid w:val="278A607D"/>
    <w:rsid w:val="27933933"/>
    <w:rsid w:val="27967EDE"/>
    <w:rsid w:val="27974576"/>
    <w:rsid w:val="27A37DA8"/>
    <w:rsid w:val="27A81F1B"/>
    <w:rsid w:val="27B81337"/>
    <w:rsid w:val="27C2149A"/>
    <w:rsid w:val="27CC4A56"/>
    <w:rsid w:val="27D9214A"/>
    <w:rsid w:val="27E934F0"/>
    <w:rsid w:val="27F36179"/>
    <w:rsid w:val="280E6368"/>
    <w:rsid w:val="281A522F"/>
    <w:rsid w:val="2826510E"/>
    <w:rsid w:val="28442379"/>
    <w:rsid w:val="28531FED"/>
    <w:rsid w:val="28536027"/>
    <w:rsid w:val="285A25C5"/>
    <w:rsid w:val="285B0A4C"/>
    <w:rsid w:val="28636ACB"/>
    <w:rsid w:val="2868441F"/>
    <w:rsid w:val="2868573B"/>
    <w:rsid w:val="287C0071"/>
    <w:rsid w:val="28812DD5"/>
    <w:rsid w:val="28841887"/>
    <w:rsid w:val="28845177"/>
    <w:rsid w:val="28A401E1"/>
    <w:rsid w:val="28A80669"/>
    <w:rsid w:val="28A9103B"/>
    <w:rsid w:val="28DE652E"/>
    <w:rsid w:val="28E3253B"/>
    <w:rsid w:val="28E337E7"/>
    <w:rsid w:val="28E96AD9"/>
    <w:rsid w:val="28F63E77"/>
    <w:rsid w:val="29300F7A"/>
    <w:rsid w:val="29323413"/>
    <w:rsid w:val="293577E4"/>
    <w:rsid w:val="293A71B9"/>
    <w:rsid w:val="29650BE6"/>
    <w:rsid w:val="29653694"/>
    <w:rsid w:val="29853528"/>
    <w:rsid w:val="298B6310"/>
    <w:rsid w:val="29921A9A"/>
    <w:rsid w:val="29977461"/>
    <w:rsid w:val="299C0D0C"/>
    <w:rsid w:val="29BB63BF"/>
    <w:rsid w:val="29BB64AC"/>
    <w:rsid w:val="29F47DC1"/>
    <w:rsid w:val="2A101390"/>
    <w:rsid w:val="2A1051F2"/>
    <w:rsid w:val="2A151C32"/>
    <w:rsid w:val="2A174FAD"/>
    <w:rsid w:val="2A5220A9"/>
    <w:rsid w:val="2A56484E"/>
    <w:rsid w:val="2A5C696E"/>
    <w:rsid w:val="2A5D7109"/>
    <w:rsid w:val="2A65292F"/>
    <w:rsid w:val="2A7E3AB1"/>
    <w:rsid w:val="2A830AA6"/>
    <w:rsid w:val="2A8A3CAB"/>
    <w:rsid w:val="2A8B683A"/>
    <w:rsid w:val="2A9E50F1"/>
    <w:rsid w:val="2A9F6E26"/>
    <w:rsid w:val="2AAA2721"/>
    <w:rsid w:val="2AC25CFD"/>
    <w:rsid w:val="2AE27B47"/>
    <w:rsid w:val="2B0F6376"/>
    <w:rsid w:val="2B1559FD"/>
    <w:rsid w:val="2B171233"/>
    <w:rsid w:val="2B183BE1"/>
    <w:rsid w:val="2B1D0CBD"/>
    <w:rsid w:val="2B361B54"/>
    <w:rsid w:val="2B55698C"/>
    <w:rsid w:val="2B6426CD"/>
    <w:rsid w:val="2B652FDF"/>
    <w:rsid w:val="2B682D2E"/>
    <w:rsid w:val="2B786992"/>
    <w:rsid w:val="2B7D4AD0"/>
    <w:rsid w:val="2B881FEF"/>
    <w:rsid w:val="2BB67E5C"/>
    <w:rsid w:val="2BB87EE5"/>
    <w:rsid w:val="2BC60E95"/>
    <w:rsid w:val="2BCC115E"/>
    <w:rsid w:val="2BD3293C"/>
    <w:rsid w:val="2BE56E77"/>
    <w:rsid w:val="2BF156B0"/>
    <w:rsid w:val="2BF33A63"/>
    <w:rsid w:val="2C050004"/>
    <w:rsid w:val="2C0D2A29"/>
    <w:rsid w:val="2C0E4343"/>
    <w:rsid w:val="2C155195"/>
    <w:rsid w:val="2C1B755E"/>
    <w:rsid w:val="2C1F5491"/>
    <w:rsid w:val="2C273251"/>
    <w:rsid w:val="2C295787"/>
    <w:rsid w:val="2C302172"/>
    <w:rsid w:val="2C3267EA"/>
    <w:rsid w:val="2C35382B"/>
    <w:rsid w:val="2C392CC2"/>
    <w:rsid w:val="2C4114B9"/>
    <w:rsid w:val="2C4A3121"/>
    <w:rsid w:val="2C660432"/>
    <w:rsid w:val="2C671456"/>
    <w:rsid w:val="2C6B4970"/>
    <w:rsid w:val="2C9805ED"/>
    <w:rsid w:val="2CAD2137"/>
    <w:rsid w:val="2CB52442"/>
    <w:rsid w:val="2CD10923"/>
    <w:rsid w:val="2CDF3CEE"/>
    <w:rsid w:val="2CE03C9E"/>
    <w:rsid w:val="2CE11F94"/>
    <w:rsid w:val="2CF419D8"/>
    <w:rsid w:val="2CF61DFE"/>
    <w:rsid w:val="2CFA376A"/>
    <w:rsid w:val="2D086B7A"/>
    <w:rsid w:val="2D2131AA"/>
    <w:rsid w:val="2D2D475C"/>
    <w:rsid w:val="2D341166"/>
    <w:rsid w:val="2D3863D2"/>
    <w:rsid w:val="2D4514FD"/>
    <w:rsid w:val="2D5271BA"/>
    <w:rsid w:val="2D5304DB"/>
    <w:rsid w:val="2D585879"/>
    <w:rsid w:val="2D5E2525"/>
    <w:rsid w:val="2D6B4210"/>
    <w:rsid w:val="2D7617C8"/>
    <w:rsid w:val="2D850B71"/>
    <w:rsid w:val="2D9B01C4"/>
    <w:rsid w:val="2DA30AC8"/>
    <w:rsid w:val="2DB85078"/>
    <w:rsid w:val="2DC363A8"/>
    <w:rsid w:val="2DC85AC8"/>
    <w:rsid w:val="2DCD1B46"/>
    <w:rsid w:val="2DD00B6B"/>
    <w:rsid w:val="2DE423F6"/>
    <w:rsid w:val="2DE42EEA"/>
    <w:rsid w:val="2DE73A05"/>
    <w:rsid w:val="2DE84C51"/>
    <w:rsid w:val="2DEC725B"/>
    <w:rsid w:val="2E0E5048"/>
    <w:rsid w:val="2E0F6C22"/>
    <w:rsid w:val="2E103E0D"/>
    <w:rsid w:val="2E184D7C"/>
    <w:rsid w:val="2E3A3D2C"/>
    <w:rsid w:val="2E556A0D"/>
    <w:rsid w:val="2E5779C4"/>
    <w:rsid w:val="2E69328B"/>
    <w:rsid w:val="2E6F3D8C"/>
    <w:rsid w:val="2E823F9B"/>
    <w:rsid w:val="2E841153"/>
    <w:rsid w:val="2E846AD5"/>
    <w:rsid w:val="2E9A1D5A"/>
    <w:rsid w:val="2E9C4F02"/>
    <w:rsid w:val="2E9E3CB8"/>
    <w:rsid w:val="2ECD0DAD"/>
    <w:rsid w:val="2ED82AA9"/>
    <w:rsid w:val="2EE4521C"/>
    <w:rsid w:val="2EE6362E"/>
    <w:rsid w:val="2EF213F1"/>
    <w:rsid w:val="2EFA1C39"/>
    <w:rsid w:val="2F211FB1"/>
    <w:rsid w:val="2F491C0B"/>
    <w:rsid w:val="2F4A74DF"/>
    <w:rsid w:val="2F4C6CF6"/>
    <w:rsid w:val="2F5016D4"/>
    <w:rsid w:val="2F533B6A"/>
    <w:rsid w:val="2F555497"/>
    <w:rsid w:val="2F706A1C"/>
    <w:rsid w:val="2F7C57E3"/>
    <w:rsid w:val="2F870F73"/>
    <w:rsid w:val="2F885CBA"/>
    <w:rsid w:val="2F8A210A"/>
    <w:rsid w:val="2FC96F4D"/>
    <w:rsid w:val="2FF27EF5"/>
    <w:rsid w:val="300956B9"/>
    <w:rsid w:val="3017583F"/>
    <w:rsid w:val="301E5B54"/>
    <w:rsid w:val="302A5BF1"/>
    <w:rsid w:val="304A7D92"/>
    <w:rsid w:val="304D25D7"/>
    <w:rsid w:val="304E6130"/>
    <w:rsid w:val="305057E0"/>
    <w:rsid w:val="30511106"/>
    <w:rsid w:val="30523F83"/>
    <w:rsid w:val="305B1226"/>
    <w:rsid w:val="306F51C7"/>
    <w:rsid w:val="3070728D"/>
    <w:rsid w:val="30750BB9"/>
    <w:rsid w:val="30782058"/>
    <w:rsid w:val="307A5D98"/>
    <w:rsid w:val="307D6477"/>
    <w:rsid w:val="30805EAC"/>
    <w:rsid w:val="308B62DC"/>
    <w:rsid w:val="30A437CD"/>
    <w:rsid w:val="30CA57A8"/>
    <w:rsid w:val="30D97787"/>
    <w:rsid w:val="30DF7A33"/>
    <w:rsid w:val="30F57186"/>
    <w:rsid w:val="311704CD"/>
    <w:rsid w:val="31173B52"/>
    <w:rsid w:val="312754AD"/>
    <w:rsid w:val="313034EA"/>
    <w:rsid w:val="31397457"/>
    <w:rsid w:val="313F6D14"/>
    <w:rsid w:val="31470539"/>
    <w:rsid w:val="314C4C95"/>
    <w:rsid w:val="315B003E"/>
    <w:rsid w:val="31617017"/>
    <w:rsid w:val="31667A5F"/>
    <w:rsid w:val="316E37D9"/>
    <w:rsid w:val="31796840"/>
    <w:rsid w:val="31A03888"/>
    <w:rsid w:val="31A542BC"/>
    <w:rsid w:val="31BA39B2"/>
    <w:rsid w:val="31CA57E6"/>
    <w:rsid w:val="31F74DF2"/>
    <w:rsid w:val="32291F79"/>
    <w:rsid w:val="322D0015"/>
    <w:rsid w:val="325E52FA"/>
    <w:rsid w:val="325F5D8E"/>
    <w:rsid w:val="32610B83"/>
    <w:rsid w:val="32640FDA"/>
    <w:rsid w:val="327721BB"/>
    <w:rsid w:val="32871B10"/>
    <w:rsid w:val="32881493"/>
    <w:rsid w:val="32986985"/>
    <w:rsid w:val="32AC37C5"/>
    <w:rsid w:val="32B843D2"/>
    <w:rsid w:val="32BE672D"/>
    <w:rsid w:val="32C90757"/>
    <w:rsid w:val="32D72277"/>
    <w:rsid w:val="33084131"/>
    <w:rsid w:val="3309186F"/>
    <w:rsid w:val="330C6C16"/>
    <w:rsid w:val="330F5B6B"/>
    <w:rsid w:val="3325432A"/>
    <w:rsid w:val="332E27BB"/>
    <w:rsid w:val="33362E9B"/>
    <w:rsid w:val="3343065C"/>
    <w:rsid w:val="334D07E9"/>
    <w:rsid w:val="33511734"/>
    <w:rsid w:val="335520D3"/>
    <w:rsid w:val="336F1FFB"/>
    <w:rsid w:val="33722748"/>
    <w:rsid w:val="338317F2"/>
    <w:rsid w:val="338B1B32"/>
    <w:rsid w:val="339261D1"/>
    <w:rsid w:val="33A04AB6"/>
    <w:rsid w:val="33A239A6"/>
    <w:rsid w:val="33A53F16"/>
    <w:rsid w:val="33F42E9E"/>
    <w:rsid w:val="3406579A"/>
    <w:rsid w:val="34090E58"/>
    <w:rsid w:val="340D03E8"/>
    <w:rsid w:val="341A1389"/>
    <w:rsid w:val="34221E92"/>
    <w:rsid w:val="34237125"/>
    <w:rsid w:val="34326022"/>
    <w:rsid w:val="34435E81"/>
    <w:rsid w:val="3444440B"/>
    <w:rsid w:val="346D0BE4"/>
    <w:rsid w:val="348071C0"/>
    <w:rsid w:val="34956077"/>
    <w:rsid w:val="34A57BB5"/>
    <w:rsid w:val="34AE4681"/>
    <w:rsid w:val="34C477CE"/>
    <w:rsid w:val="34D8365B"/>
    <w:rsid w:val="34F02769"/>
    <w:rsid w:val="3538419A"/>
    <w:rsid w:val="3543315F"/>
    <w:rsid w:val="35524C03"/>
    <w:rsid w:val="355366C8"/>
    <w:rsid w:val="35541C0C"/>
    <w:rsid w:val="35567E75"/>
    <w:rsid w:val="356820CF"/>
    <w:rsid w:val="356B6E5A"/>
    <w:rsid w:val="357D3D07"/>
    <w:rsid w:val="357F2511"/>
    <w:rsid w:val="358165F7"/>
    <w:rsid w:val="35853E7A"/>
    <w:rsid w:val="35876F78"/>
    <w:rsid w:val="358C2EA1"/>
    <w:rsid w:val="358D3C11"/>
    <w:rsid w:val="35926521"/>
    <w:rsid w:val="359814A6"/>
    <w:rsid w:val="35B66958"/>
    <w:rsid w:val="35C46EC2"/>
    <w:rsid w:val="35D348B1"/>
    <w:rsid w:val="35F91167"/>
    <w:rsid w:val="360400C4"/>
    <w:rsid w:val="360549EF"/>
    <w:rsid w:val="3616383B"/>
    <w:rsid w:val="361D12BA"/>
    <w:rsid w:val="361E2896"/>
    <w:rsid w:val="361F5E5E"/>
    <w:rsid w:val="36225302"/>
    <w:rsid w:val="362930F7"/>
    <w:rsid w:val="36370855"/>
    <w:rsid w:val="363C29EA"/>
    <w:rsid w:val="36505E1E"/>
    <w:rsid w:val="3660183A"/>
    <w:rsid w:val="367678C3"/>
    <w:rsid w:val="367C3B77"/>
    <w:rsid w:val="368C11C2"/>
    <w:rsid w:val="368C165F"/>
    <w:rsid w:val="3693738C"/>
    <w:rsid w:val="36A30FDE"/>
    <w:rsid w:val="36A33058"/>
    <w:rsid w:val="36A45529"/>
    <w:rsid w:val="36B47245"/>
    <w:rsid w:val="36B74C66"/>
    <w:rsid w:val="36B85362"/>
    <w:rsid w:val="36BE2FBB"/>
    <w:rsid w:val="36C54C66"/>
    <w:rsid w:val="36C8527B"/>
    <w:rsid w:val="36D43F81"/>
    <w:rsid w:val="36D519FB"/>
    <w:rsid w:val="36E14325"/>
    <w:rsid w:val="36E27034"/>
    <w:rsid w:val="36EC5B17"/>
    <w:rsid w:val="36EF6A36"/>
    <w:rsid w:val="36F47657"/>
    <w:rsid w:val="37020FA7"/>
    <w:rsid w:val="37184242"/>
    <w:rsid w:val="371A0935"/>
    <w:rsid w:val="37251ACB"/>
    <w:rsid w:val="37252814"/>
    <w:rsid w:val="37390701"/>
    <w:rsid w:val="37413F7C"/>
    <w:rsid w:val="374E47CF"/>
    <w:rsid w:val="375353C6"/>
    <w:rsid w:val="37626D66"/>
    <w:rsid w:val="376478B5"/>
    <w:rsid w:val="377612B8"/>
    <w:rsid w:val="37831FC4"/>
    <w:rsid w:val="379D7CFC"/>
    <w:rsid w:val="37AD0095"/>
    <w:rsid w:val="37B74E02"/>
    <w:rsid w:val="37B84AE6"/>
    <w:rsid w:val="37BC293C"/>
    <w:rsid w:val="37BE0B01"/>
    <w:rsid w:val="37C1078C"/>
    <w:rsid w:val="37C20E34"/>
    <w:rsid w:val="37CF68FA"/>
    <w:rsid w:val="37D62031"/>
    <w:rsid w:val="37EC19E5"/>
    <w:rsid w:val="37FA5680"/>
    <w:rsid w:val="381C1B50"/>
    <w:rsid w:val="381F6693"/>
    <w:rsid w:val="38214461"/>
    <w:rsid w:val="38214DF0"/>
    <w:rsid w:val="383C427F"/>
    <w:rsid w:val="384A0E93"/>
    <w:rsid w:val="3852152C"/>
    <w:rsid w:val="385E49AF"/>
    <w:rsid w:val="38672A1D"/>
    <w:rsid w:val="386A47EC"/>
    <w:rsid w:val="38752FDA"/>
    <w:rsid w:val="38880797"/>
    <w:rsid w:val="38896F2E"/>
    <w:rsid w:val="3899161C"/>
    <w:rsid w:val="389C514F"/>
    <w:rsid w:val="38A94E2A"/>
    <w:rsid w:val="38B46488"/>
    <w:rsid w:val="38B51F9A"/>
    <w:rsid w:val="38C00073"/>
    <w:rsid w:val="38C71818"/>
    <w:rsid w:val="38D33914"/>
    <w:rsid w:val="38FD5389"/>
    <w:rsid w:val="39044BA0"/>
    <w:rsid w:val="390A5E3E"/>
    <w:rsid w:val="3910019B"/>
    <w:rsid w:val="39235BC7"/>
    <w:rsid w:val="39351A6D"/>
    <w:rsid w:val="394A61F1"/>
    <w:rsid w:val="394E34C3"/>
    <w:rsid w:val="395244D5"/>
    <w:rsid w:val="395247E6"/>
    <w:rsid w:val="39791CA3"/>
    <w:rsid w:val="39856AD9"/>
    <w:rsid w:val="399378EE"/>
    <w:rsid w:val="399F1D96"/>
    <w:rsid w:val="39A073FB"/>
    <w:rsid w:val="39A94467"/>
    <w:rsid w:val="39B76B2E"/>
    <w:rsid w:val="39B87A13"/>
    <w:rsid w:val="39BD138C"/>
    <w:rsid w:val="39C211F5"/>
    <w:rsid w:val="39C74768"/>
    <w:rsid w:val="39D546A6"/>
    <w:rsid w:val="39D932F6"/>
    <w:rsid w:val="39E937C0"/>
    <w:rsid w:val="39EC5EDB"/>
    <w:rsid w:val="3A020314"/>
    <w:rsid w:val="3A030B34"/>
    <w:rsid w:val="3A036FE4"/>
    <w:rsid w:val="3A21119D"/>
    <w:rsid w:val="3A27499C"/>
    <w:rsid w:val="3A320443"/>
    <w:rsid w:val="3A33286A"/>
    <w:rsid w:val="3A6508DA"/>
    <w:rsid w:val="3A6F6F30"/>
    <w:rsid w:val="3A8A62F3"/>
    <w:rsid w:val="3A940659"/>
    <w:rsid w:val="3ABE1210"/>
    <w:rsid w:val="3AD17928"/>
    <w:rsid w:val="3AD7153C"/>
    <w:rsid w:val="3AE809BE"/>
    <w:rsid w:val="3AEF0B93"/>
    <w:rsid w:val="3AFA2D4B"/>
    <w:rsid w:val="3B057354"/>
    <w:rsid w:val="3B195BF2"/>
    <w:rsid w:val="3B20299E"/>
    <w:rsid w:val="3B3D2A8B"/>
    <w:rsid w:val="3B425D1B"/>
    <w:rsid w:val="3B4C1CE2"/>
    <w:rsid w:val="3B522135"/>
    <w:rsid w:val="3B560250"/>
    <w:rsid w:val="3B5634D7"/>
    <w:rsid w:val="3B7E1D91"/>
    <w:rsid w:val="3B7F3F97"/>
    <w:rsid w:val="3B937499"/>
    <w:rsid w:val="3BB84719"/>
    <w:rsid w:val="3BBA36CF"/>
    <w:rsid w:val="3BC437A7"/>
    <w:rsid w:val="3BDF7FE6"/>
    <w:rsid w:val="3BE13EB9"/>
    <w:rsid w:val="3BE72C11"/>
    <w:rsid w:val="3BED480E"/>
    <w:rsid w:val="3BF83EF0"/>
    <w:rsid w:val="3BFE3213"/>
    <w:rsid w:val="3C0407D7"/>
    <w:rsid w:val="3C0A09FF"/>
    <w:rsid w:val="3C0A1B3C"/>
    <w:rsid w:val="3C0B697E"/>
    <w:rsid w:val="3C0F35E2"/>
    <w:rsid w:val="3C125A0E"/>
    <w:rsid w:val="3C1634D6"/>
    <w:rsid w:val="3C2B6A34"/>
    <w:rsid w:val="3C313C09"/>
    <w:rsid w:val="3C393828"/>
    <w:rsid w:val="3C494972"/>
    <w:rsid w:val="3C5413C2"/>
    <w:rsid w:val="3C5E595C"/>
    <w:rsid w:val="3C627F01"/>
    <w:rsid w:val="3C644522"/>
    <w:rsid w:val="3C6E4D87"/>
    <w:rsid w:val="3C7C5555"/>
    <w:rsid w:val="3C90774F"/>
    <w:rsid w:val="3CA32ECD"/>
    <w:rsid w:val="3CA93003"/>
    <w:rsid w:val="3CBC39E5"/>
    <w:rsid w:val="3CBC599A"/>
    <w:rsid w:val="3CBE6CC6"/>
    <w:rsid w:val="3CC10736"/>
    <w:rsid w:val="3CC879EE"/>
    <w:rsid w:val="3CD411DD"/>
    <w:rsid w:val="3CDB2040"/>
    <w:rsid w:val="3CED249E"/>
    <w:rsid w:val="3CF935A6"/>
    <w:rsid w:val="3CFA6919"/>
    <w:rsid w:val="3D0509E0"/>
    <w:rsid w:val="3D0A396D"/>
    <w:rsid w:val="3D112526"/>
    <w:rsid w:val="3D1B32A0"/>
    <w:rsid w:val="3D1B6CA7"/>
    <w:rsid w:val="3D237E7E"/>
    <w:rsid w:val="3D2B6FB0"/>
    <w:rsid w:val="3D2E65F0"/>
    <w:rsid w:val="3D421D5C"/>
    <w:rsid w:val="3D583073"/>
    <w:rsid w:val="3D5868C7"/>
    <w:rsid w:val="3D5A09B8"/>
    <w:rsid w:val="3D6964E3"/>
    <w:rsid w:val="3D6C58AA"/>
    <w:rsid w:val="3D882142"/>
    <w:rsid w:val="3D8A5622"/>
    <w:rsid w:val="3DAD2AFA"/>
    <w:rsid w:val="3DAF0665"/>
    <w:rsid w:val="3DAF14C4"/>
    <w:rsid w:val="3DBF5783"/>
    <w:rsid w:val="3DC00CAF"/>
    <w:rsid w:val="3DC27DA1"/>
    <w:rsid w:val="3DC322FD"/>
    <w:rsid w:val="3DE7293C"/>
    <w:rsid w:val="3DEC371C"/>
    <w:rsid w:val="3DED6C35"/>
    <w:rsid w:val="3DFA0188"/>
    <w:rsid w:val="3DFA4F10"/>
    <w:rsid w:val="3DFD736D"/>
    <w:rsid w:val="3E100C42"/>
    <w:rsid w:val="3E164261"/>
    <w:rsid w:val="3E1B2A2E"/>
    <w:rsid w:val="3E1F2BFB"/>
    <w:rsid w:val="3E3305AF"/>
    <w:rsid w:val="3E370553"/>
    <w:rsid w:val="3E3F6C08"/>
    <w:rsid w:val="3E472808"/>
    <w:rsid w:val="3E5765E8"/>
    <w:rsid w:val="3E582865"/>
    <w:rsid w:val="3E690219"/>
    <w:rsid w:val="3E765822"/>
    <w:rsid w:val="3E7F1FA7"/>
    <w:rsid w:val="3E8343AD"/>
    <w:rsid w:val="3E957EE6"/>
    <w:rsid w:val="3EA00311"/>
    <w:rsid w:val="3EB22D21"/>
    <w:rsid w:val="3ECF1096"/>
    <w:rsid w:val="3ED67EEE"/>
    <w:rsid w:val="3EE344A4"/>
    <w:rsid w:val="3EED12D6"/>
    <w:rsid w:val="3EF06205"/>
    <w:rsid w:val="3EFF3973"/>
    <w:rsid w:val="3F033EEC"/>
    <w:rsid w:val="3F0D0FE5"/>
    <w:rsid w:val="3F297F65"/>
    <w:rsid w:val="3F2E6578"/>
    <w:rsid w:val="3F30319A"/>
    <w:rsid w:val="3F312FA3"/>
    <w:rsid w:val="3F3C70A5"/>
    <w:rsid w:val="3F4107F9"/>
    <w:rsid w:val="3F4717A7"/>
    <w:rsid w:val="3F705B41"/>
    <w:rsid w:val="3F733930"/>
    <w:rsid w:val="3F755B23"/>
    <w:rsid w:val="3F834EA4"/>
    <w:rsid w:val="3FA73AAB"/>
    <w:rsid w:val="3FA7486C"/>
    <w:rsid w:val="3FAB2032"/>
    <w:rsid w:val="3FAE637D"/>
    <w:rsid w:val="3FC67FAD"/>
    <w:rsid w:val="3FD46CFF"/>
    <w:rsid w:val="3FDC10EC"/>
    <w:rsid w:val="3FDE0AAB"/>
    <w:rsid w:val="3FEA79FA"/>
    <w:rsid w:val="400341BD"/>
    <w:rsid w:val="400B56F7"/>
    <w:rsid w:val="400D50F7"/>
    <w:rsid w:val="401547A5"/>
    <w:rsid w:val="401A05FB"/>
    <w:rsid w:val="40315C9C"/>
    <w:rsid w:val="40334A38"/>
    <w:rsid w:val="40393F9B"/>
    <w:rsid w:val="403F20F4"/>
    <w:rsid w:val="403F5FCF"/>
    <w:rsid w:val="406D159C"/>
    <w:rsid w:val="406F7B03"/>
    <w:rsid w:val="40753BE0"/>
    <w:rsid w:val="407A54FD"/>
    <w:rsid w:val="407D4658"/>
    <w:rsid w:val="408612ED"/>
    <w:rsid w:val="4087535E"/>
    <w:rsid w:val="409135FA"/>
    <w:rsid w:val="409229A9"/>
    <w:rsid w:val="409F1B3C"/>
    <w:rsid w:val="40A34017"/>
    <w:rsid w:val="40BA0A03"/>
    <w:rsid w:val="40BD2854"/>
    <w:rsid w:val="40BF08E2"/>
    <w:rsid w:val="40C73BC6"/>
    <w:rsid w:val="40CB6FF9"/>
    <w:rsid w:val="40D966A1"/>
    <w:rsid w:val="40E67EF6"/>
    <w:rsid w:val="40EB76F5"/>
    <w:rsid w:val="40EF18B8"/>
    <w:rsid w:val="40FD4D9D"/>
    <w:rsid w:val="41084DB6"/>
    <w:rsid w:val="412734DB"/>
    <w:rsid w:val="412E7B13"/>
    <w:rsid w:val="41366BC1"/>
    <w:rsid w:val="4139248E"/>
    <w:rsid w:val="414C602A"/>
    <w:rsid w:val="416606D9"/>
    <w:rsid w:val="416C6EED"/>
    <w:rsid w:val="41761F42"/>
    <w:rsid w:val="417A3BC0"/>
    <w:rsid w:val="417A7CB0"/>
    <w:rsid w:val="417E5F1A"/>
    <w:rsid w:val="41851A73"/>
    <w:rsid w:val="418E1D02"/>
    <w:rsid w:val="41940277"/>
    <w:rsid w:val="41A67695"/>
    <w:rsid w:val="41AD760C"/>
    <w:rsid w:val="41B5335F"/>
    <w:rsid w:val="41BA47A3"/>
    <w:rsid w:val="41C83066"/>
    <w:rsid w:val="41E41EF7"/>
    <w:rsid w:val="420B5EA0"/>
    <w:rsid w:val="42121D5E"/>
    <w:rsid w:val="422B65F9"/>
    <w:rsid w:val="423015F2"/>
    <w:rsid w:val="42345C5E"/>
    <w:rsid w:val="4245738C"/>
    <w:rsid w:val="424764AF"/>
    <w:rsid w:val="42494E57"/>
    <w:rsid w:val="42496F03"/>
    <w:rsid w:val="424B3AA3"/>
    <w:rsid w:val="4260530C"/>
    <w:rsid w:val="426C2C66"/>
    <w:rsid w:val="428561BD"/>
    <w:rsid w:val="429500AC"/>
    <w:rsid w:val="42950AAD"/>
    <w:rsid w:val="429E5421"/>
    <w:rsid w:val="42A42845"/>
    <w:rsid w:val="42D245E4"/>
    <w:rsid w:val="42E83624"/>
    <w:rsid w:val="42ED6BDA"/>
    <w:rsid w:val="42ED75DE"/>
    <w:rsid w:val="42F147F3"/>
    <w:rsid w:val="42FE29C4"/>
    <w:rsid w:val="42FF6C92"/>
    <w:rsid w:val="430116F8"/>
    <w:rsid w:val="430265CD"/>
    <w:rsid w:val="43067246"/>
    <w:rsid w:val="43127743"/>
    <w:rsid w:val="4317715B"/>
    <w:rsid w:val="433933BD"/>
    <w:rsid w:val="433B3600"/>
    <w:rsid w:val="434729EA"/>
    <w:rsid w:val="434B681F"/>
    <w:rsid w:val="434F0027"/>
    <w:rsid w:val="435C782E"/>
    <w:rsid w:val="43620C1E"/>
    <w:rsid w:val="43632F8A"/>
    <w:rsid w:val="436A5A9D"/>
    <w:rsid w:val="436B0FB1"/>
    <w:rsid w:val="43753632"/>
    <w:rsid w:val="437F6ABE"/>
    <w:rsid w:val="438073C5"/>
    <w:rsid w:val="43831248"/>
    <w:rsid w:val="43945668"/>
    <w:rsid w:val="439E22AD"/>
    <w:rsid w:val="43A80BFC"/>
    <w:rsid w:val="43AA212A"/>
    <w:rsid w:val="43B203F5"/>
    <w:rsid w:val="43B62377"/>
    <w:rsid w:val="43CF60E9"/>
    <w:rsid w:val="43D0762D"/>
    <w:rsid w:val="43D807A7"/>
    <w:rsid w:val="43DC590D"/>
    <w:rsid w:val="43E04D06"/>
    <w:rsid w:val="43EF0757"/>
    <w:rsid w:val="43EF0A8B"/>
    <w:rsid w:val="43EF4BE4"/>
    <w:rsid w:val="43F213F8"/>
    <w:rsid w:val="43F42155"/>
    <w:rsid w:val="441861B1"/>
    <w:rsid w:val="441B1C40"/>
    <w:rsid w:val="441C6B14"/>
    <w:rsid w:val="44215CD2"/>
    <w:rsid w:val="443263A4"/>
    <w:rsid w:val="44354C47"/>
    <w:rsid w:val="443A28DF"/>
    <w:rsid w:val="444860C3"/>
    <w:rsid w:val="444A3528"/>
    <w:rsid w:val="444A6730"/>
    <w:rsid w:val="44562F02"/>
    <w:rsid w:val="445F176B"/>
    <w:rsid w:val="446C030A"/>
    <w:rsid w:val="44711FD0"/>
    <w:rsid w:val="4482352F"/>
    <w:rsid w:val="448A34DC"/>
    <w:rsid w:val="448E5FC2"/>
    <w:rsid w:val="44985D5B"/>
    <w:rsid w:val="449C2375"/>
    <w:rsid w:val="449C5BDE"/>
    <w:rsid w:val="449F47B6"/>
    <w:rsid w:val="44AC63D5"/>
    <w:rsid w:val="44CF236F"/>
    <w:rsid w:val="44D166AD"/>
    <w:rsid w:val="44D60DF3"/>
    <w:rsid w:val="44E32F53"/>
    <w:rsid w:val="44EB6563"/>
    <w:rsid w:val="44F776E7"/>
    <w:rsid w:val="44FA3F1F"/>
    <w:rsid w:val="44FF2F17"/>
    <w:rsid w:val="45125E77"/>
    <w:rsid w:val="45130207"/>
    <w:rsid w:val="451C5DEC"/>
    <w:rsid w:val="452504C6"/>
    <w:rsid w:val="45275E94"/>
    <w:rsid w:val="452D5DE3"/>
    <w:rsid w:val="454E7903"/>
    <w:rsid w:val="4553383D"/>
    <w:rsid w:val="4555775B"/>
    <w:rsid w:val="45566E45"/>
    <w:rsid w:val="455C5F0E"/>
    <w:rsid w:val="455D443E"/>
    <w:rsid w:val="455F1008"/>
    <w:rsid w:val="456B54B6"/>
    <w:rsid w:val="456E3A7F"/>
    <w:rsid w:val="45A31F17"/>
    <w:rsid w:val="45DA4D26"/>
    <w:rsid w:val="45E058DD"/>
    <w:rsid w:val="45E51EFC"/>
    <w:rsid w:val="45E71A39"/>
    <w:rsid w:val="45ED06C7"/>
    <w:rsid w:val="45F35282"/>
    <w:rsid w:val="45F67DC4"/>
    <w:rsid w:val="45FE46C7"/>
    <w:rsid w:val="460F04EB"/>
    <w:rsid w:val="46131677"/>
    <w:rsid w:val="461E4941"/>
    <w:rsid w:val="462610B6"/>
    <w:rsid w:val="462E3E26"/>
    <w:rsid w:val="463F43B4"/>
    <w:rsid w:val="46406734"/>
    <w:rsid w:val="464555B3"/>
    <w:rsid w:val="46474A3C"/>
    <w:rsid w:val="465D114F"/>
    <w:rsid w:val="46613624"/>
    <w:rsid w:val="466235D0"/>
    <w:rsid w:val="466A6D01"/>
    <w:rsid w:val="466B2C47"/>
    <w:rsid w:val="467C4B1F"/>
    <w:rsid w:val="46885ED6"/>
    <w:rsid w:val="46A37E97"/>
    <w:rsid w:val="46A65EAC"/>
    <w:rsid w:val="46AF060C"/>
    <w:rsid w:val="46C877E3"/>
    <w:rsid w:val="46D42FBF"/>
    <w:rsid w:val="46DC6915"/>
    <w:rsid w:val="46E85BBD"/>
    <w:rsid w:val="46EA47E3"/>
    <w:rsid w:val="46F0752A"/>
    <w:rsid w:val="46F32DF2"/>
    <w:rsid w:val="46F639EA"/>
    <w:rsid w:val="46FF611F"/>
    <w:rsid w:val="470011D8"/>
    <w:rsid w:val="47157D24"/>
    <w:rsid w:val="471613FD"/>
    <w:rsid w:val="47302431"/>
    <w:rsid w:val="473F4D6D"/>
    <w:rsid w:val="475E294E"/>
    <w:rsid w:val="476A40E4"/>
    <w:rsid w:val="476F371A"/>
    <w:rsid w:val="47726166"/>
    <w:rsid w:val="47753586"/>
    <w:rsid w:val="477731F7"/>
    <w:rsid w:val="478004FD"/>
    <w:rsid w:val="4799246D"/>
    <w:rsid w:val="47996DE7"/>
    <w:rsid w:val="47B211CD"/>
    <w:rsid w:val="47B96642"/>
    <w:rsid w:val="47BA42F7"/>
    <w:rsid w:val="47BD6B0C"/>
    <w:rsid w:val="47BE08B8"/>
    <w:rsid w:val="47C1119D"/>
    <w:rsid w:val="47C71CF6"/>
    <w:rsid w:val="47CB05B3"/>
    <w:rsid w:val="47CF48E6"/>
    <w:rsid w:val="47E3417C"/>
    <w:rsid w:val="47E44837"/>
    <w:rsid w:val="47E9232D"/>
    <w:rsid w:val="47FA0290"/>
    <w:rsid w:val="480802D2"/>
    <w:rsid w:val="48202948"/>
    <w:rsid w:val="482C7F3E"/>
    <w:rsid w:val="482F4B42"/>
    <w:rsid w:val="48370732"/>
    <w:rsid w:val="483A3CDC"/>
    <w:rsid w:val="483E3DF4"/>
    <w:rsid w:val="48440B50"/>
    <w:rsid w:val="4845499E"/>
    <w:rsid w:val="48467554"/>
    <w:rsid w:val="484A57C9"/>
    <w:rsid w:val="485869D1"/>
    <w:rsid w:val="485B0CEE"/>
    <w:rsid w:val="486A2F89"/>
    <w:rsid w:val="486A7091"/>
    <w:rsid w:val="487E133B"/>
    <w:rsid w:val="487E1907"/>
    <w:rsid w:val="489302D3"/>
    <w:rsid w:val="48A95587"/>
    <w:rsid w:val="48AB7621"/>
    <w:rsid w:val="48B9640F"/>
    <w:rsid w:val="48D6119E"/>
    <w:rsid w:val="48DC11EF"/>
    <w:rsid w:val="48DC7AB4"/>
    <w:rsid w:val="48F463D7"/>
    <w:rsid w:val="49137CC2"/>
    <w:rsid w:val="49157FF3"/>
    <w:rsid w:val="491D4C4A"/>
    <w:rsid w:val="492B5EE6"/>
    <w:rsid w:val="492E0093"/>
    <w:rsid w:val="494008D5"/>
    <w:rsid w:val="49503494"/>
    <w:rsid w:val="49771AA3"/>
    <w:rsid w:val="4987534B"/>
    <w:rsid w:val="4989479E"/>
    <w:rsid w:val="4990770C"/>
    <w:rsid w:val="49917F8D"/>
    <w:rsid w:val="49A263EF"/>
    <w:rsid w:val="49A425F6"/>
    <w:rsid w:val="49C37312"/>
    <w:rsid w:val="49CA67FB"/>
    <w:rsid w:val="49D64880"/>
    <w:rsid w:val="49DF36FD"/>
    <w:rsid w:val="49FF46EA"/>
    <w:rsid w:val="4A066F45"/>
    <w:rsid w:val="4A29593A"/>
    <w:rsid w:val="4A2D659A"/>
    <w:rsid w:val="4A440F92"/>
    <w:rsid w:val="4A484FA8"/>
    <w:rsid w:val="4A4B31D0"/>
    <w:rsid w:val="4A5008B8"/>
    <w:rsid w:val="4A5327F7"/>
    <w:rsid w:val="4A5D327F"/>
    <w:rsid w:val="4A6031D6"/>
    <w:rsid w:val="4A6C0C9D"/>
    <w:rsid w:val="4A7438F5"/>
    <w:rsid w:val="4A800330"/>
    <w:rsid w:val="4A8A5DD7"/>
    <w:rsid w:val="4A94069F"/>
    <w:rsid w:val="4AAC3DEE"/>
    <w:rsid w:val="4ABA6455"/>
    <w:rsid w:val="4AC13A27"/>
    <w:rsid w:val="4ACC35E4"/>
    <w:rsid w:val="4AD4632E"/>
    <w:rsid w:val="4AD510B3"/>
    <w:rsid w:val="4ADE2157"/>
    <w:rsid w:val="4AEA5A16"/>
    <w:rsid w:val="4B156ED7"/>
    <w:rsid w:val="4B254BBA"/>
    <w:rsid w:val="4B3921F1"/>
    <w:rsid w:val="4B395B93"/>
    <w:rsid w:val="4B3B3F7A"/>
    <w:rsid w:val="4B3C574B"/>
    <w:rsid w:val="4B4C0804"/>
    <w:rsid w:val="4B524B16"/>
    <w:rsid w:val="4B700705"/>
    <w:rsid w:val="4B897E7B"/>
    <w:rsid w:val="4B9E76A1"/>
    <w:rsid w:val="4BA07421"/>
    <w:rsid w:val="4BA47330"/>
    <w:rsid w:val="4BB45D3A"/>
    <w:rsid w:val="4BBD740C"/>
    <w:rsid w:val="4BC61278"/>
    <w:rsid w:val="4BD7195F"/>
    <w:rsid w:val="4BE209B2"/>
    <w:rsid w:val="4BE73AB6"/>
    <w:rsid w:val="4BEB7A29"/>
    <w:rsid w:val="4BF7017C"/>
    <w:rsid w:val="4BFA0524"/>
    <w:rsid w:val="4BFA0B0F"/>
    <w:rsid w:val="4BFE6946"/>
    <w:rsid w:val="4C073373"/>
    <w:rsid w:val="4C142FCB"/>
    <w:rsid w:val="4C205478"/>
    <w:rsid w:val="4C2A48E6"/>
    <w:rsid w:val="4C2D0BBA"/>
    <w:rsid w:val="4C2D4EE5"/>
    <w:rsid w:val="4C3333EA"/>
    <w:rsid w:val="4C3349C8"/>
    <w:rsid w:val="4C3B5CCF"/>
    <w:rsid w:val="4C444BC6"/>
    <w:rsid w:val="4C512762"/>
    <w:rsid w:val="4C5935D6"/>
    <w:rsid w:val="4C5C21F0"/>
    <w:rsid w:val="4C6C66B6"/>
    <w:rsid w:val="4C7354D1"/>
    <w:rsid w:val="4C8133D9"/>
    <w:rsid w:val="4C885087"/>
    <w:rsid w:val="4C887846"/>
    <w:rsid w:val="4C8B4210"/>
    <w:rsid w:val="4C9A603A"/>
    <w:rsid w:val="4C9E3230"/>
    <w:rsid w:val="4CAA47F4"/>
    <w:rsid w:val="4CC50305"/>
    <w:rsid w:val="4CC92E4D"/>
    <w:rsid w:val="4CCE4326"/>
    <w:rsid w:val="4CD83053"/>
    <w:rsid w:val="4CEE2E7B"/>
    <w:rsid w:val="4CF34D09"/>
    <w:rsid w:val="4D1074C4"/>
    <w:rsid w:val="4D1453A1"/>
    <w:rsid w:val="4D160CA4"/>
    <w:rsid w:val="4D182048"/>
    <w:rsid w:val="4D2109C7"/>
    <w:rsid w:val="4D292970"/>
    <w:rsid w:val="4D3A6378"/>
    <w:rsid w:val="4D636AA6"/>
    <w:rsid w:val="4D6C3FF3"/>
    <w:rsid w:val="4D6F06FD"/>
    <w:rsid w:val="4D706416"/>
    <w:rsid w:val="4D712B68"/>
    <w:rsid w:val="4D7152BA"/>
    <w:rsid w:val="4D781BD3"/>
    <w:rsid w:val="4D796952"/>
    <w:rsid w:val="4D8462F2"/>
    <w:rsid w:val="4D8C6FEA"/>
    <w:rsid w:val="4D8D12EA"/>
    <w:rsid w:val="4DA540AA"/>
    <w:rsid w:val="4DA54260"/>
    <w:rsid w:val="4DA6571D"/>
    <w:rsid w:val="4DB943B7"/>
    <w:rsid w:val="4DBA03A5"/>
    <w:rsid w:val="4DBC7E02"/>
    <w:rsid w:val="4DE27231"/>
    <w:rsid w:val="4DEC065F"/>
    <w:rsid w:val="4DFA63A2"/>
    <w:rsid w:val="4E0C0984"/>
    <w:rsid w:val="4E2B24BE"/>
    <w:rsid w:val="4E3319C0"/>
    <w:rsid w:val="4E524B56"/>
    <w:rsid w:val="4E53502D"/>
    <w:rsid w:val="4E5527BD"/>
    <w:rsid w:val="4E5614B2"/>
    <w:rsid w:val="4E670304"/>
    <w:rsid w:val="4E7042AD"/>
    <w:rsid w:val="4E7D14F8"/>
    <w:rsid w:val="4E8207E6"/>
    <w:rsid w:val="4E83414D"/>
    <w:rsid w:val="4E8B6A69"/>
    <w:rsid w:val="4E935707"/>
    <w:rsid w:val="4E960D5A"/>
    <w:rsid w:val="4E9F15A8"/>
    <w:rsid w:val="4EAB14EF"/>
    <w:rsid w:val="4EAE51E1"/>
    <w:rsid w:val="4EB21078"/>
    <w:rsid w:val="4EB43E28"/>
    <w:rsid w:val="4EB93189"/>
    <w:rsid w:val="4EBD3787"/>
    <w:rsid w:val="4ECD42A8"/>
    <w:rsid w:val="4ED36B4B"/>
    <w:rsid w:val="4ED4406E"/>
    <w:rsid w:val="4ED77056"/>
    <w:rsid w:val="4ED95A25"/>
    <w:rsid w:val="4EE91AC3"/>
    <w:rsid w:val="4EF55E8B"/>
    <w:rsid w:val="4EF73041"/>
    <w:rsid w:val="4F005CEA"/>
    <w:rsid w:val="4F0D4D80"/>
    <w:rsid w:val="4F0F3074"/>
    <w:rsid w:val="4F156389"/>
    <w:rsid w:val="4F303395"/>
    <w:rsid w:val="4F3676BD"/>
    <w:rsid w:val="4F3E1584"/>
    <w:rsid w:val="4F493F7E"/>
    <w:rsid w:val="4F744213"/>
    <w:rsid w:val="4F7D5A44"/>
    <w:rsid w:val="4F7E11AA"/>
    <w:rsid w:val="4F833763"/>
    <w:rsid w:val="4FAE70BA"/>
    <w:rsid w:val="4FDA65C7"/>
    <w:rsid w:val="4FE47214"/>
    <w:rsid w:val="4FF21A14"/>
    <w:rsid w:val="4FF37EB5"/>
    <w:rsid w:val="4FFB113A"/>
    <w:rsid w:val="4FFB72CC"/>
    <w:rsid w:val="4FFC6412"/>
    <w:rsid w:val="4FFD7551"/>
    <w:rsid w:val="500371F3"/>
    <w:rsid w:val="50044784"/>
    <w:rsid w:val="500F76AD"/>
    <w:rsid w:val="5011199A"/>
    <w:rsid w:val="503F097C"/>
    <w:rsid w:val="504052FF"/>
    <w:rsid w:val="504C343A"/>
    <w:rsid w:val="505B456E"/>
    <w:rsid w:val="5064188A"/>
    <w:rsid w:val="50663347"/>
    <w:rsid w:val="50901C86"/>
    <w:rsid w:val="50923127"/>
    <w:rsid w:val="509A33BF"/>
    <w:rsid w:val="509F3E73"/>
    <w:rsid w:val="50CD1B44"/>
    <w:rsid w:val="50CE2144"/>
    <w:rsid w:val="50D63F49"/>
    <w:rsid w:val="50DF1410"/>
    <w:rsid w:val="50E64152"/>
    <w:rsid w:val="50EE454C"/>
    <w:rsid w:val="50EF5AAA"/>
    <w:rsid w:val="50F24AB9"/>
    <w:rsid w:val="50FB185E"/>
    <w:rsid w:val="50FB5424"/>
    <w:rsid w:val="510A69FF"/>
    <w:rsid w:val="51356354"/>
    <w:rsid w:val="5147196D"/>
    <w:rsid w:val="51515F0B"/>
    <w:rsid w:val="51660149"/>
    <w:rsid w:val="517F6570"/>
    <w:rsid w:val="51861CEC"/>
    <w:rsid w:val="51954863"/>
    <w:rsid w:val="51B72617"/>
    <w:rsid w:val="51C428A5"/>
    <w:rsid w:val="51D53B07"/>
    <w:rsid w:val="51ED010B"/>
    <w:rsid w:val="51F123C6"/>
    <w:rsid w:val="52003E5F"/>
    <w:rsid w:val="5204497D"/>
    <w:rsid w:val="520D2B9E"/>
    <w:rsid w:val="52116B13"/>
    <w:rsid w:val="52315168"/>
    <w:rsid w:val="52360CD6"/>
    <w:rsid w:val="52525C9B"/>
    <w:rsid w:val="5260378F"/>
    <w:rsid w:val="526A369A"/>
    <w:rsid w:val="52734831"/>
    <w:rsid w:val="52746F37"/>
    <w:rsid w:val="5284259D"/>
    <w:rsid w:val="528A57F2"/>
    <w:rsid w:val="52A218CF"/>
    <w:rsid w:val="52A24834"/>
    <w:rsid w:val="52A41744"/>
    <w:rsid w:val="52AA713C"/>
    <w:rsid w:val="52BB346E"/>
    <w:rsid w:val="52C42A09"/>
    <w:rsid w:val="52D26BEE"/>
    <w:rsid w:val="52E70E29"/>
    <w:rsid w:val="52EB2EE8"/>
    <w:rsid w:val="52EF0E6B"/>
    <w:rsid w:val="52F5703F"/>
    <w:rsid w:val="5302364A"/>
    <w:rsid w:val="530B7675"/>
    <w:rsid w:val="53176D68"/>
    <w:rsid w:val="53182EE8"/>
    <w:rsid w:val="533B0DA2"/>
    <w:rsid w:val="533B282E"/>
    <w:rsid w:val="53435F92"/>
    <w:rsid w:val="5349466B"/>
    <w:rsid w:val="536426EC"/>
    <w:rsid w:val="536A5A73"/>
    <w:rsid w:val="536E084C"/>
    <w:rsid w:val="53723F19"/>
    <w:rsid w:val="53903B0B"/>
    <w:rsid w:val="539F241E"/>
    <w:rsid w:val="53A71CB4"/>
    <w:rsid w:val="53BC4E44"/>
    <w:rsid w:val="53C35A17"/>
    <w:rsid w:val="53C54846"/>
    <w:rsid w:val="53C621F8"/>
    <w:rsid w:val="53C802E7"/>
    <w:rsid w:val="53CC5064"/>
    <w:rsid w:val="53D04307"/>
    <w:rsid w:val="53DE533F"/>
    <w:rsid w:val="53E66D19"/>
    <w:rsid w:val="53EF394D"/>
    <w:rsid w:val="53F33A62"/>
    <w:rsid w:val="53FC1BBC"/>
    <w:rsid w:val="54023A22"/>
    <w:rsid w:val="5413200E"/>
    <w:rsid w:val="54161716"/>
    <w:rsid w:val="54167583"/>
    <w:rsid w:val="542C1A76"/>
    <w:rsid w:val="542D36C4"/>
    <w:rsid w:val="544B16F0"/>
    <w:rsid w:val="545D2468"/>
    <w:rsid w:val="545E2D63"/>
    <w:rsid w:val="54612DF0"/>
    <w:rsid w:val="5470177B"/>
    <w:rsid w:val="54825D78"/>
    <w:rsid w:val="54946345"/>
    <w:rsid w:val="549D2709"/>
    <w:rsid w:val="54B55106"/>
    <w:rsid w:val="54C13598"/>
    <w:rsid w:val="54C15975"/>
    <w:rsid w:val="54E34C01"/>
    <w:rsid w:val="54EA55EC"/>
    <w:rsid w:val="54EF43AE"/>
    <w:rsid w:val="54F27DD2"/>
    <w:rsid w:val="54F46CC6"/>
    <w:rsid w:val="54FE723E"/>
    <w:rsid w:val="55001038"/>
    <w:rsid w:val="55006462"/>
    <w:rsid w:val="55123192"/>
    <w:rsid w:val="55196BA4"/>
    <w:rsid w:val="552504D2"/>
    <w:rsid w:val="55277839"/>
    <w:rsid w:val="55391C56"/>
    <w:rsid w:val="554945E7"/>
    <w:rsid w:val="55522981"/>
    <w:rsid w:val="555645D5"/>
    <w:rsid w:val="556F70D3"/>
    <w:rsid w:val="557D0103"/>
    <w:rsid w:val="558D10BD"/>
    <w:rsid w:val="5590790E"/>
    <w:rsid w:val="55954E44"/>
    <w:rsid w:val="55A634BE"/>
    <w:rsid w:val="55AB1512"/>
    <w:rsid w:val="55AC7F82"/>
    <w:rsid w:val="55CC7809"/>
    <w:rsid w:val="55D74DD0"/>
    <w:rsid w:val="55F04EF7"/>
    <w:rsid w:val="55FD53A7"/>
    <w:rsid w:val="561064BB"/>
    <w:rsid w:val="561D5362"/>
    <w:rsid w:val="563120E6"/>
    <w:rsid w:val="563A61C7"/>
    <w:rsid w:val="56495266"/>
    <w:rsid w:val="564B614A"/>
    <w:rsid w:val="5651403E"/>
    <w:rsid w:val="56540956"/>
    <w:rsid w:val="56701009"/>
    <w:rsid w:val="56775395"/>
    <w:rsid w:val="56A61D41"/>
    <w:rsid w:val="56B73E49"/>
    <w:rsid w:val="56BD0E23"/>
    <w:rsid w:val="56BD121C"/>
    <w:rsid w:val="56D970D9"/>
    <w:rsid w:val="56E84BA2"/>
    <w:rsid w:val="56F931AD"/>
    <w:rsid w:val="573C2A8E"/>
    <w:rsid w:val="574120F7"/>
    <w:rsid w:val="575063C6"/>
    <w:rsid w:val="575600DC"/>
    <w:rsid w:val="575A0B49"/>
    <w:rsid w:val="575A357D"/>
    <w:rsid w:val="5782471B"/>
    <w:rsid w:val="579D7185"/>
    <w:rsid w:val="57AD0E51"/>
    <w:rsid w:val="57B03DC0"/>
    <w:rsid w:val="57C3573D"/>
    <w:rsid w:val="57E43295"/>
    <w:rsid w:val="57F33AB4"/>
    <w:rsid w:val="57F572EC"/>
    <w:rsid w:val="57FE20C4"/>
    <w:rsid w:val="580836A9"/>
    <w:rsid w:val="581A3A8D"/>
    <w:rsid w:val="581A7442"/>
    <w:rsid w:val="581B3C2E"/>
    <w:rsid w:val="581D49D2"/>
    <w:rsid w:val="582F3E21"/>
    <w:rsid w:val="58561CF6"/>
    <w:rsid w:val="585C5A3C"/>
    <w:rsid w:val="58614E02"/>
    <w:rsid w:val="58687C11"/>
    <w:rsid w:val="5872167F"/>
    <w:rsid w:val="587E2C9C"/>
    <w:rsid w:val="58824055"/>
    <w:rsid w:val="5887062C"/>
    <w:rsid w:val="588B2565"/>
    <w:rsid w:val="588C4877"/>
    <w:rsid w:val="589B6AAC"/>
    <w:rsid w:val="58A96C51"/>
    <w:rsid w:val="58AD54F4"/>
    <w:rsid w:val="58B66C6D"/>
    <w:rsid w:val="58C60471"/>
    <w:rsid w:val="58DA3DB2"/>
    <w:rsid w:val="58DF0A00"/>
    <w:rsid w:val="58E85138"/>
    <w:rsid w:val="58E85E32"/>
    <w:rsid w:val="58FC53F2"/>
    <w:rsid w:val="59036F47"/>
    <w:rsid w:val="59064C40"/>
    <w:rsid w:val="59095AEE"/>
    <w:rsid w:val="59227F6D"/>
    <w:rsid w:val="59255C86"/>
    <w:rsid w:val="59300EFA"/>
    <w:rsid w:val="593363C0"/>
    <w:rsid w:val="59345C07"/>
    <w:rsid w:val="593B3AA6"/>
    <w:rsid w:val="594F4B4C"/>
    <w:rsid w:val="594F6669"/>
    <w:rsid w:val="59545B23"/>
    <w:rsid w:val="595474C6"/>
    <w:rsid w:val="5967165C"/>
    <w:rsid w:val="59973B4D"/>
    <w:rsid w:val="59A47DD4"/>
    <w:rsid w:val="59A86BD3"/>
    <w:rsid w:val="59AE0F67"/>
    <w:rsid w:val="59AF7CD8"/>
    <w:rsid w:val="59C516CA"/>
    <w:rsid w:val="59C86C0D"/>
    <w:rsid w:val="59D67BEA"/>
    <w:rsid w:val="59DE11B6"/>
    <w:rsid w:val="59DF37E0"/>
    <w:rsid w:val="59DF60CA"/>
    <w:rsid w:val="59E92D36"/>
    <w:rsid w:val="59F474CF"/>
    <w:rsid w:val="59F659F0"/>
    <w:rsid w:val="5A051343"/>
    <w:rsid w:val="5A1B58B7"/>
    <w:rsid w:val="5A2E4A69"/>
    <w:rsid w:val="5A431FDD"/>
    <w:rsid w:val="5A6736BA"/>
    <w:rsid w:val="5A6E2861"/>
    <w:rsid w:val="5A716BB0"/>
    <w:rsid w:val="5A73645F"/>
    <w:rsid w:val="5A790FE7"/>
    <w:rsid w:val="5A7F2D5A"/>
    <w:rsid w:val="5A8B4DEA"/>
    <w:rsid w:val="5AA52521"/>
    <w:rsid w:val="5AB4071A"/>
    <w:rsid w:val="5AC10FE6"/>
    <w:rsid w:val="5AD84079"/>
    <w:rsid w:val="5AE06DA8"/>
    <w:rsid w:val="5AE21E0D"/>
    <w:rsid w:val="5AE66825"/>
    <w:rsid w:val="5AE83E91"/>
    <w:rsid w:val="5AEF41B3"/>
    <w:rsid w:val="5AF03A67"/>
    <w:rsid w:val="5AFE017F"/>
    <w:rsid w:val="5AFF4BD1"/>
    <w:rsid w:val="5B072190"/>
    <w:rsid w:val="5B077442"/>
    <w:rsid w:val="5B0A418E"/>
    <w:rsid w:val="5B0D1A0C"/>
    <w:rsid w:val="5B1B3E9F"/>
    <w:rsid w:val="5B270D0A"/>
    <w:rsid w:val="5B287728"/>
    <w:rsid w:val="5B2A43F3"/>
    <w:rsid w:val="5B337116"/>
    <w:rsid w:val="5B38708C"/>
    <w:rsid w:val="5B3A076A"/>
    <w:rsid w:val="5B3E4B80"/>
    <w:rsid w:val="5B5759F5"/>
    <w:rsid w:val="5B5B1104"/>
    <w:rsid w:val="5B5F51E7"/>
    <w:rsid w:val="5B6D4108"/>
    <w:rsid w:val="5B6F7B17"/>
    <w:rsid w:val="5B826EA7"/>
    <w:rsid w:val="5B846880"/>
    <w:rsid w:val="5B8B6C44"/>
    <w:rsid w:val="5B967916"/>
    <w:rsid w:val="5B974CD1"/>
    <w:rsid w:val="5B9F093D"/>
    <w:rsid w:val="5BA57979"/>
    <w:rsid w:val="5BA57E3A"/>
    <w:rsid w:val="5BBF76AC"/>
    <w:rsid w:val="5BC55042"/>
    <w:rsid w:val="5BC72D16"/>
    <w:rsid w:val="5BCB22F7"/>
    <w:rsid w:val="5BD6307B"/>
    <w:rsid w:val="5BDD02C7"/>
    <w:rsid w:val="5BE400AC"/>
    <w:rsid w:val="5BF50388"/>
    <w:rsid w:val="5C010583"/>
    <w:rsid w:val="5C0F26F2"/>
    <w:rsid w:val="5C154517"/>
    <w:rsid w:val="5C1661BB"/>
    <w:rsid w:val="5C3201AC"/>
    <w:rsid w:val="5C5054EA"/>
    <w:rsid w:val="5C6911F0"/>
    <w:rsid w:val="5C747C8E"/>
    <w:rsid w:val="5C977D11"/>
    <w:rsid w:val="5CAC5E8E"/>
    <w:rsid w:val="5CB90084"/>
    <w:rsid w:val="5CC06C28"/>
    <w:rsid w:val="5CC12FA2"/>
    <w:rsid w:val="5CD25191"/>
    <w:rsid w:val="5CDD39D2"/>
    <w:rsid w:val="5CDE2AE2"/>
    <w:rsid w:val="5CE239FE"/>
    <w:rsid w:val="5CF356FE"/>
    <w:rsid w:val="5D02541E"/>
    <w:rsid w:val="5D055A44"/>
    <w:rsid w:val="5D0C51F3"/>
    <w:rsid w:val="5D0E4AC4"/>
    <w:rsid w:val="5D450CDE"/>
    <w:rsid w:val="5D574865"/>
    <w:rsid w:val="5D5A4BAB"/>
    <w:rsid w:val="5D6915D4"/>
    <w:rsid w:val="5D6B5A6D"/>
    <w:rsid w:val="5DA83164"/>
    <w:rsid w:val="5DAE62A8"/>
    <w:rsid w:val="5DD574CE"/>
    <w:rsid w:val="5DD66F83"/>
    <w:rsid w:val="5DD71ADB"/>
    <w:rsid w:val="5DE64B56"/>
    <w:rsid w:val="5DF20D41"/>
    <w:rsid w:val="5E041870"/>
    <w:rsid w:val="5E0F1F78"/>
    <w:rsid w:val="5E1734D3"/>
    <w:rsid w:val="5E184EA0"/>
    <w:rsid w:val="5E2956B2"/>
    <w:rsid w:val="5E371C19"/>
    <w:rsid w:val="5E3A6A3C"/>
    <w:rsid w:val="5E3C48D1"/>
    <w:rsid w:val="5E3D56BB"/>
    <w:rsid w:val="5E570970"/>
    <w:rsid w:val="5E5736FC"/>
    <w:rsid w:val="5E57513E"/>
    <w:rsid w:val="5E67680E"/>
    <w:rsid w:val="5E7045F9"/>
    <w:rsid w:val="5E7E3A1E"/>
    <w:rsid w:val="5EA71FBC"/>
    <w:rsid w:val="5EB8449C"/>
    <w:rsid w:val="5EBB710F"/>
    <w:rsid w:val="5ECB1CF7"/>
    <w:rsid w:val="5ED37B26"/>
    <w:rsid w:val="5ED616F2"/>
    <w:rsid w:val="5EE91272"/>
    <w:rsid w:val="5EED6C09"/>
    <w:rsid w:val="5EEE7656"/>
    <w:rsid w:val="5EFC12A6"/>
    <w:rsid w:val="5F073DFF"/>
    <w:rsid w:val="5F09081D"/>
    <w:rsid w:val="5F105689"/>
    <w:rsid w:val="5F18053E"/>
    <w:rsid w:val="5F1C18FE"/>
    <w:rsid w:val="5F201755"/>
    <w:rsid w:val="5F217F23"/>
    <w:rsid w:val="5F2918B8"/>
    <w:rsid w:val="5F2A46E8"/>
    <w:rsid w:val="5F36029E"/>
    <w:rsid w:val="5F3C499B"/>
    <w:rsid w:val="5F453D33"/>
    <w:rsid w:val="5F5C0B96"/>
    <w:rsid w:val="5F5D28A3"/>
    <w:rsid w:val="5F64348D"/>
    <w:rsid w:val="5F7A17B7"/>
    <w:rsid w:val="5F8010D4"/>
    <w:rsid w:val="5F8500EA"/>
    <w:rsid w:val="5F8D61F1"/>
    <w:rsid w:val="5F8F249E"/>
    <w:rsid w:val="5F954E39"/>
    <w:rsid w:val="5F9941F9"/>
    <w:rsid w:val="5FA5269D"/>
    <w:rsid w:val="5FA6034F"/>
    <w:rsid w:val="5FB833C8"/>
    <w:rsid w:val="5FD32CB4"/>
    <w:rsid w:val="5FD764A9"/>
    <w:rsid w:val="5FDB71CF"/>
    <w:rsid w:val="5FEC1CD1"/>
    <w:rsid w:val="5FF947FA"/>
    <w:rsid w:val="5FFD4271"/>
    <w:rsid w:val="6006498B"/>
    <w:rsid w:val="600E426F"/>
    <w:rsid w:val="60156944"/>
    <w:rsid w:val="601A066D"/>
    <w:rsid w:val="60205598"/>
    <w:rsid w:val="602D7EF2"/>
    <w:rsid w:val="604106CF"/>
    <w:rsid w:val="60457CB7"/>
    <w:rsid w:val="604E1779"/>
    <w:rsid w:val="604F6C39"/>
    <w:rsid w:val="60877216"/>
    <w:rsid w:val="608C7AD1"/>
    <w:rsid w:val="608F5286"/>
    <w:rsid w:val="60997EA3"/>
    <w:rsid w:val="60A71AE0"/>
    <w:rsid w:val="60C478CB"/>
    <w:rsid w:val="60DE70EB"/>
    <w:rsid w:val="60F94466"/>
    <w:rsid w:val="60FC0E0C"/>
    <w:rsid w:val="611D49A9"/>
    <w:rsid w:val="613668F2"/>
    <w:rsid w:val="613C5532"/>
    <w:rsid w:val="615A729C"/>
    <w:rsid w:val="616318C8"/>
    <w:rsid w:val="616C0654"/>
    <w:rsid w:val="61751D0C"/>
    <w:rsid w:val="617A2D88"/>
    <w:rsid w:val="617F1E89"/>
    <w:rsid w:val="617F41E8"/>
    <w:rsid w:val="618F7A6A"/>
    <w:rsid w:val="619344AE"/>
    <w:rsid w:val="619C5D45"/>
    <w:rsid w:val="61B22094"/>
    <w:rsid w:val="61B772AC"/>
    <w:rsid w:val="61C30942"/>
    <w:rsid w:val="61CA313F"/>
    <w:rsid w:val="61CA66C1"/>
    <w:rsid w:val="61E167D5"/>
    <w:rsid w:val="61F05C53"/>
    <w:rsid w:val="61F81E22"/>
    <w:rsid w:val="62152D36"/>
    <w:rsid w:val="621648D7"/>
    <w:rsid w:val="62201FDB"/>
    <w:rsid w:val="622944CD"/>
    <w:rsid w:val="62322927"/>
    <w:rsid w:val="62421483"/>
    <w:rsid w:val="62490A98"/>
    <w:rsid w:val="624B4A75"/>
    <w:rsid w:val="624D5BFD"/>
    <w:rsid w:val="62690B27"/>
    <w:rsid w:val="62691365"/>
    <w:rsid w:val="626C425D"/>
    <w:rsid w:val="627C5FAA"/>
    <w:rsid w:val="628D506D"/>
    <w:rsid w:val="62977436"/>
    <w:rsid w:val="629E3DC2"/>
    <w:rsid w:val="62A9227D"/>
    <w:rsid w:val="62AB111E"/>
    <w:rsid w:val="62B072EC"/>
    <w:rsid w:val="62BB1838"/>
    <w:rsid w:val="62BC123C"/>
    <w:rsid w:val="62C32938"/>
    <w:rsid w:val="62C343B2"/>
    <w:rsid w:val="62E6522C"/>
    <w:rsid w:val="62FB5F59"/>
    <w:rsid w:val="63000A92"/>
    <w:rsid w:val="63196A83"/>
    <w:rsid w:val="632E4782"/>
    <w:rsid w:val="633B1904"/>
    <w:rsid w:val="633E7A88"/>
    <w:rsid w:val="634066F3"/>
    <w:rsid w:val="634A3868"/>
    <w:rsid w:val="635054B9"/>
    <w:rsid w:val="63544735"/>
    <w:rsid w:val="6355725B"/>
    <w:rsid w:val="635F4555"/>
    <w:rsid w:val="637D1BB8"/>
    <w:rsid w:val="6398406E"/>
    <w:rsid w:val="63A80124"/>
    <w:rsid w:val="63A90D89"/>
    <w:rsid w:val="63A92568"/>
    <w:rsid w:val="63BB5182"/>
    <w:rsid w:val="63BE0A16"/>
    <w:rsid w:val="63BF1B2C"/>
    <w:rsid w:val="63C14686"/>
    <w:rsid w:val="63C57E66"/>
    <w:rsid w:val="63C91672"/>
    <w:rsid w:val="63CB0279"/>
    <w:rsid w:val="63CC1027"/>
    <w:rsid w:val="63D10717"/>
    <w:rsid w:val="63D76760"/>
    <w:rsid w:val="63DF29CA"/>
    <w:rsid w:val="63E70EB7"/>
    <w:rsid w:val="63F1612D"/>
    <w:rsid w:val="63F32133"/>
    <w:rsid w:val="642C7B45"/>
    <w:rsid w:val="64386E35"/>
    <w:rsid w:val="643B4CAF"/>
    <w:rsid w:val="643C5A34"/>
    <w:rsid w:val="64455DB8"/>
    <w:rsid w:val="644E0333"/>
    <w:rsid w:val="64574448"/>
    <w:rsid w:val="64687561"/>
    <w:rsid w:val="64762777"/>
    <w:rsid w:val="64766053"/>
    <w:rsid w:val="647679E5"/>
    <w:rsid w:val="647C22B5"/>
    <w:rsid w:val="648363B3"/>
    <w:rsid w:val="648B2BD9"/>
    <w:rsid w:val="648B7D3E"/>
    <w:rsid w:val="64A63279"/>
    <w:rsid w:val="64A6394F"/>
    <w:rsid w:val="64F8164D"/>
    <w:rsid w:val="650508D4"/>
    <w:rsid w:val="65097F76"/>
    <w:rsid w:val="65120612"/>
    <w:rsid w:val="65151140"/>
    <w:rsid w:val="65174F17"/>
    <w:rsid w:val="6521582A"/>
    <w:rsid w:val="65273CC4"/>
    <w:rsid w:val="65416B85"/>
    <w:rsid w:val="654E1BA2"/>
    <w:rsid w:val="6550480E"/>
    <w:rsid w:val="65554D64"/>
    <w:rsid w:val="655C1165"/>
    <w:rsid w:val="657D2315"/>
    <w:rsid w:val="65BF0815"/>
    <w:rsid w:val="65C77DFB"/>
    <w:rsid w:val="65C86A12"/>
    <w:rsid w:val="65D82353"/>
    <w:rsid w:val="65D84815"/>
    <w:rsid w:val="65DF7A74"/>
    <w:rsid w:val="65E01687"/>
    <w:rsid w:val="65FA438A"/>
    <w:rsid w:val="660306A1"/>
    <w:rsid w:val="66100AA7"/>
    <w:rsid w:val="661D6C86"/>
    <w:rsid w:val="66205C2A"/>
    <w:rsid w:val="66374911"/>
    <w:rsid w:val="663D76CD"/>
    <w:rsid w:val="664F661D"/>
    <w:rsid w:val="6658066A"/>
    <w:rsid w:val="665A13F7"/>
    <w:rsid w:val="665A239F"/>
    <w:rsid w:val="665E0479"/>
    <w:rsid w:val="668112EB"/>
    <w:rsid w:val="66875941"/>
    <w:rsid w:val="66880A33"/>
    <w:rsid w:val="66892EE9"/>
    <w:rsid w:val="668A1E0E"/>
    <w:rsid w:val="66AA569C"/>
    <w:rsid w:val="66AB1793"/>
    <w:rsid w:val="66B7053A"/>
    <w:rsid w:val="66BA1630"/>
    <w:rsid w:val="66BF6A73"/>
    <w:rsid w:val="66E64177"/>
    <w:rsid w:val="66F027F2"/>
    <w:rsid w:val="66F97B60"/>
    <w:rsid w:val="670467A0"/>
    <w:rsid w:val="6725584E"/>
    <w:rsid w:val="675134E1"/>
    <w:rsid w:val="676C21DD"/>
    <w:rsid w:val="676F0B6C"/>
    <w:rsid w:val="67743870"/>
    <w:rsid w:val="67766E52"/>
    <w:rsid w:val="67863CF5"/>
    <w:rsid w:val="678917C9"/>
    <w:rsid w:val="678D19AE"/>
    <w:rsid w:val="67B665D9"/>
    <w:rsid w:val="67D308DB"/>
    <w:rsid w:val="67D77C40"/>
    <w:rsid w:val="67D92BFB"/>
    <w:rsid w:val="67E368F7"/>
    <w:rsid w:val="67E96B17"/>
    <w:rsid w:val="67EB20EB"/>
    <w:rsid w:val="67F716EF"/>
    <w:rsid w:val="68005DDB"/>
    <w:rsid w:val="681859C5"/>
    <w:rsid w:val="68261D90"/>
    <w:rsid w:val="682920E9"/>
    <w:rsid w:val="682D620A"/>
    <w:rsid w:val="683F7421"/>
    <w:rsid w:val="68401021"/>
    <w:rsid w:val="684245F2"/>
    <w:rsid w:val="68493B79"/>
    <w:rsid w:val="684D4684"/>
    <w:rsid w:val="684E0B38"/>
    <w:rsid w:val="68865715"/>
    <w:rsid w:val="688A1070"/>
    <w:rsid w:val="688D2C95"/>
    <w:rsid w:val="688E4C11"/>
    <w:rsid w:val="68913226"/>
    <w:rsid w:val="68A047F9"/>
    <w:rsid w:val="68B4000D"/>
    <w:rsid w:val="68B434E4"/>
    <w:rsid w:val="68B43ADD"/>
    <w:rsid w:val="68B458A9"/>
    <w:rsid w:val="68C05259"/>
    <w:rsid w:val="68D403F8"/>
    <w:rsid w:val="68D55961"/>
    <w:rsid w:val="68E94ADB"/>
    <w:rsid w:val="68F91A55"/>
    <w:rsid w:val="68FA5D4A"/>
    <w:rsid w:val="69006A7C"/>
    <w:rsid w:val="690F4277"/>
    <w:rsid w:val="692F6C62"/>
    <w:rsid w:val="693639E6"/>
    <w:rsid w:val="69400062"/>
    <w:rsid w:val="694712D5"/>
    <w:rsid w:val="69474CC9"/>
    <w:rsid w:val="694D49EB"/>
    <w:rsid w:val="695942A5"/>
    <w:rsid w:val="695A75C6"/>
    <w:rsid w:val="69693E8B"/>
    <w:rsid w:val="696C0B95"/>
    <w:rsid w:val="69901A12"/>
    <w:rsid w:val="699B327D"/>
    <w:rsid w:val="69BF34DE"/>
    <w:rsid w:val="69C0725A"/>
    <w:rsid w:val="69C3670A"/>
    <w:rsid w:val="69C935CD"/>
    <w:rsid w:val="69D23B44"/>
    <w:rsid w:val="69D25E31"/>
    <w:rsid w:val="69D7762B"/>
    <w:rsid w:val="69F55B7F"/>
    <w:rsid w:val="69FB0C9E"/>
    <w:rsid w:val="69FD41F4"/>
    <w:rsid w:val="69FE15A8"/>
    <w:rsid w:val="6A2627B9"/>
    <w:rsid w:val="6A282EB0"/>
    <w:rsid w:val="6A2D1B16"/>
    <w:rsid w:val="6A314466"/>
    <w:rsid w:val="6A3B4E95"/>
    <w:rsid w:val="6A4348BA"/>
    <w:rsid w:val="6A447958"/>
    <w:rsid w:val="6A4F3F74"/>
    <w:rsid w:val="6A526965"/>
    <w:rsid w:val="6A7001F5"/>
    <w:rsid w:val="6A7A6FA8"/>
    <w:rsid w:val="6A7C29D5"/>
    <w:rsid w:val="6A860AC5"/>
    <w:rsid w:val="6A89643E"/>
    <w:rsid w:val="6A9126EB"/>
    <w:rsid w:val="6AA07575"/>
    <w:rsid w:val="6AA2482D"/>
    <w:rsid w:val="6AAE77A7"/>
    <w:rsid w:val="6AB67AB0"/>
    <w:rsid w:val="6AB77620"/>
    <w:rsid w:val="6AB803EF"/>
    <w:rsid w:val="6AC25CDE"/>
    <w:rsid w:val="6ACA352A"/>
    <w:rsid w:val="6AD30F95"/>
    <w:rsid w:val="6ADB61BD"/>
    <w:rsid w:val="6ADB64FD"/>
    <w:rsid w:val="6AE22976"/>
    <w:rsid w:val="6AEE6BFF"/>
    <w:rsid w:val="6AFA0492"/>
    <w:rsid w:val="6B1747F7"/>
    <w:rsid w:val="6B2B434E"/>
    <w:rsid w:val="6B333F65"/>
    <w:rsid w:val="6B425549"/>
    <w:rsid w:val="6B4C2121"/>
    <w:rsid w:val="6B59700B"/>
    <w:rsid w:val="6B6A6C8C"/>
    <w:rsid w:val="6B7A57B1"/>
    <w:rsid w:val="6B821FE5"/>
    <w:rsid w:val="6B8232C0"/>
    <w:rsid w:val="6B85116D"/>
    <w:rsid w:val="6B88353A"/>
    <w:rsid w:val="6B9273A9"/>
    <w:rsid w:val="6BA735E2"/>
    <w:rsid w:val="6BA93342"/>
    <w:rsid w:val="6BAB79AE"/>
    <w:rsid w:val="6BAE1143"/>
    <w:rsid w:val="6BC3690A"/>
    <w:rsid w:val="6BD11F20"/>
    <w:rsid w:val="6C076EA1"/>
    <w:rsid w:val="6C0D08D1"/>
    <w:rsid w:val="6C1265E4"/>
    <w:rsid w:val="6C210A32"/>
    <w:rsid w:val="6C280291"/>
    <w:rsid w:val="6C2D5ECD"/>
    <w:rsid w:val="6C3333B5"/>
    <w:rsid w:val="6C341A80"/>
    <w:rsid w:val="6C4F6260"/>
    <w:rsid w:val="6C585E7A"/>
    <w:rsid w:val="6C591ED8"/>
    <w:rsid w:val="6C5A0938"/>
    <w:rsid w:val="6C5B79FA"/>
    <w:rsid w:val="6C770B6C"/>
    <w:rsid w:val="6C77463D"/>
    <w:rsid w:val="6C7C575B"/>
    <w:rsid w:val="6C7E31D6"/>
    <w:rsid w:val="6C812E28"/>
    <w:rsid w:val="6CAB33EC"/>
    <w:rsid w:val="6CB81C06"/>
    <w:rsid w:val="6CBB3926"/>
    <w:rsid w:val="6CC10308"/>
    <w:rsid w:val="6CCD33BE"/>
    <w:rsid w:val="6CCD64C5"/>
    <w:rsid w:val="6CE30C28"/>
    <w:rsid w:val="6CEA4B11"/>
    <w:rsid w:val="6CF00F41"/>
    <w:rsid w:val="6D1936EC"/>
    <w:rsid w:val="6D204F6A"/>
    <w:rsid w:val="6D273CD9"/>
    <w:rsid w:val="6D2E0ABA"/>
    <w:rsid w:val="6D2F6DA2"/>
    <w:rsid w:val="6D3D46B0"/>
    <w:rsid w:val="6D5A5C56"/>
    <w:rsid w:val="6D5E1518"/>
    <w:rsid w:val="6D6044B4"/>
    <w:rsid w:val="6D9A5037"/>
    <w:rsid w:val="6D9E6162"/>
    <w:rsid w:val="6DA75C51"/>
    <w:rsid w:val="6DB46ADA"/>
    <w:rsid w:val="6DB8003C"/>
    <w:rsid w:val="6DC24A70"/>
    <w:rsid w:val="6DDE2F4B"/>
    <w:rsid w:val="6E0F167B"/>
    <w:rsid w:val="6E104CE7"/>
    <w:rsid w:val="6E396736"/>
    <w:rsid w:val="6E3E25E1"/>
    <w:rsid w:val="6E4426A5"/>
    <w:rsid w:val="6E4C14A6"/>
    <w:rsid w:val="6E523F29"/>
    <w:rsid w:val="6E552B14"/>
    <w:rsid w:val="6E60448C"/>
    <w:rsid w:val="6E63170B"/>
    <w:rsid w:val="6E670966"/>
    <w:rsid w:val="6E71044F"/>
    <w:rsid w:val="6E7524FE"/>
    <w:rsid w:val="6E872839"/>
    <w:rsid w:val="6E8A6231"/>
    <w:rsid w:val="6E8E6542"/>
    <w:rsid w:val="6E9820FF"/>
    <w:rsid w:val="6E9F7E6E"/>
    <w:rsid w:val="6EA02CF8"/>
    <w:rsid w:val="6EA50D85"/>
    <w:rsid w:val="6EA907D0"/>
    <w:rsid w:val="6EA9725E"/>
    <w:rsid w:val="6EAB5A9C"/>
    <w:rsid w:val="6EB67172"/>
    <w:rsid w:val="6EC6296A"/>
    <w:rsid w:val="6ECA1372"/>
    <w:rsid w:val="6ECF720D"/>
    <w:rsid w:val="6EEB39D1"/>
    <w:rsid w:val="6EF03E95"/>
    <w:rsid w:val="6EF41DE6"/>
    <w:rsid w:val="6F037D4B"/>
    <w:rsid w:val="6F0C3CAD"/>
    <w:rsid w:val="6F2058FB"/>
    <w:rsid w:val="6F350F09"/>
    <w:rsid w:val="6F3627C4"/>
    <w:rsid w:val="6F4018CD"/>
    <w:rsid w:val="6F4969D5"/>
    <w:rsid w:val="6F4B7031"/>
    <w:rsid w:val="6F5E3EB6"/>
    <w:rsid w:val="6F70172E"/>
    <w:rsid w:val="6F7A3C58"/>
    <w:rsid w:val="6F8F31B9"/>
    <w:rsid w:val="6F9053D0"/>
    <w:rsid w:val="6F921047"/>
    <w:rsid w:val="6FA71243"/>
    <w:rsid w:val="6FA96FCE"/>
    <w:rsid w:val="6FAA4ED8"/>
    <w:rsid w:val="6FB86F4A"/>
    <w:rsid w:val="6FC1281D"/>
    <w:rsid w:val="6FC92B7B"/>
    <w:rsid w:val="6FCD0606"/>
    <w:rsid w:val="6FD533F8"/>
    <w:rsid w:val="6FE67F72"/>
    <w:rsid w:val="70060E34"/>
    <w:rsid w:val="701B1403"/>
    <w:rsid w:val="701F4953"/>
    <w:rsid w:val="70327C59"/>
    <w:rsid w:val="703E3DB0"/>
    <w:rsid w:val="704012F4"/>
    <w:rsid w:val="705A1E30"/>
    <w:rsid w:val="706D2FE7"/>
    <w:rsid w:val="707A394A"/>
    <w:rsid w:val="70861729"/>
    <w:rsid w:val="708C3F01"/>
    <w:rsid w:val="70990F5C"/>
    <w:rsid w:val="70C4572E"/>
    <w:rsid w:val="70E9418A"/>
    <w:rsid w:val="70F76F0B"/>
    <w:rsid w:val="70F8071C"/>
    <w:rsid w:val="7106526D"/>
    <w:rsid w:val="710819A3"/>
    <w:rsid w:val="710B331C"/>
    <w:rsid w:val="710F0A5A"/>
    <w:rsid w:val="7126343E"/>
    <w:rsid w:val="712B6162"/>
    <w:rsid w:val="71303D14"/>
    <w:rsid w:val="71377EA4"/>
    <w:rsid w:val="713C26D9"/>
    <w:rsid w:val="71493AED"/>
    <w:rsid w:val="714A4FE9"/>
    <w:rsid w:val="714F718C"/>
    <w:rsid w:val="71553E3F"/>
    <w:rsid w:val="716608DB"/>
    <w:rsid w:val="7171431F"/>
    <w:rsid w:val="717C4E1F"/>
    <w:rsid w:val="717F672A"/>
    <w:rsid w:val="719237DF"/>
    <w:rsid w:val="719473D7"/>
    <w:rsid w:val="719656F6"/>
    <w:rsid w:val="71AF76C3"/>
    <w:rsid w:val="71B02910"/>
    <w:rsid w:val="71B30AE6"/>
    <w:rsid w:val="71BC1DFC"/>
    <w:rsid w:val="71C17104"/>
    <w:rsid w:val="71CE4145"/>
    <w:rsid w:val="71DD5738"/>
    <w:rsid w:val="71E11516"/>
    <w:rsid w:val="71E536E8"/>
    <w:rsid w:val="71F461F6"/>
    <w:rsid w:val="72161089"/>
    <w:rsid w:val="7218193A"/>
    <w:rsid w:val="72194C8D"/>
    <w:rsid w:val="721C0D1A"/>
    <w:rsid w:val="722343F3"/>
    <w:rsid w:val="723468E3"/>
    <w:rsid w:val="72386696"/>
    <w:rsid w:val="723C35D9"/>
    <w:rsid w:val="724102A5"/>
    <w:rsid w:val="724435DE"/>
    <w:rsid w:val="72450863"/>
    <w:rsid w:val="72455767"/>
    <w:rsid w:val="72475B3A"/>
    <w:rsid w:val="72610E73"/>
    <w:rsid w:val="72990245"/>
    <w:rsid w:val="72A279EB"/>
    <w:rsid w:val="72A5160D"/>
    <w:rsid w:val="72A63AA8"/>
    <w:rsid w:val="72B81787"/>
    <w:rsid w:val="72B91094"/>
    <w:rsid w:val="72E062CE"/>
    <w:rsid w:val="72F266E2"/>
    <w:rsid w:val="72FD69A4"/>
    <w:rsid w:val="73080AC8"/>
    <w:rsid w:val="73083021"/>
    <w:rsid w:val="732175AB"/>
    <w:rsid w:val="73251306"/>
    <w:rsid w:val="73357559"/>
    <w:rsid w:val="734B63DD"/>
    <w:rsid w:val="734C3F19"/>
    <w:rsid w:val="735035E9"/>
    <w:rsid w:val="73512080"/>
    <w:rsid w:val="735F132B"/>
    <w:rsid w:val="735F2CF7"/>
    <w:rsid w:val="73674954"/>
    <w:rsid w:val="736D073C"/>
    <w:rsid w:val="73891031"/>
    <w:rsid w:val="738C622E"/>
    <w:rsid w:val="738F125E"/>
    <w:rsid w:val="739B2F10"/>
    <w:rsid w:val="739B4565"/>
    <w:rsid w:val="73AB2D7A"/>
    <w:rsid w:val="73D14AC6"/>
    <w:rsid w:val="73D84523"/>
    <w:rsid w:val="74016830"/>
    <w:rsid w:val="74023965"/>
    <w:rsid w:val="7418463E"/>
    <w:rsid w:val="74261C28"/>
    <w:rsid w:val="742B129D"/>
    <w:rsid w:val="742B7BF2"/>
    <w:rsid w:val="74740A9F"/>
    <w:rsid w:val="74751700"/>
    <w:rsid w:val="74854431"/>
    <w:rsid w:val="749B0E4B"/>
    <w:rsid w:val="749D4627"/>
    <w:rsid w:val="74C13C53"/>
    <w:rsid w:val="74C2787D"/>
    <w:rsid w:val="74D353DC"/>
    <w:rsid w:val="74EB2180"/>
    <w:rsid w:val="74F04153"/>
    <w:rsid w:val="74F143F3"/>
    <w:rsid w:val="75063D3F"/>
    <w:rsid w:val="750855B0"/>
    <w:rsid w:val="751906D2"/>
    <w:rsid w:val="752350FE"/>
    <w:rsid w:val="75422CCD"/>
    <w:rsid w:val="755035DF"/>
    <w:rsid w:val="75594761"/>
    <w:rsid w:val="75632CD9"/>
    <w:rsid w:val="75661E26"/>
    <w:rsid w:val="757717A4"/>
    <w:rsid w:val="757D7A7B"/>
    <w:rsid w:val="7586638A"/>
    <w:rsid w:val="758A042B"/>
    <w:rsid w:val="758B64F7"/>
    <w:rsid w:val="758D3437"/>
    <w:rsid w:val="7597395C"/>
    <w:rsid w:val="75D01AD0"/>
    <w:rsid w:val="75D747CC"/>
    <w:rsid w:val="75FF59C0"/>
    <w:rsid w:val="7605508C"/>
    <w:rsid w:val="761C3176"/>
    <w:rsid w:val="76283CAE"/>
    <w:rsid w:val="762C578C"/>
    <w:rsid w:val="763065D3"/>
    <w:rsid w:val="76563724"/>
    <w:rsid w:val="76611364"/>
    <w:rsid w:val="7672066F"/>
    <w:rsid w:val="76786DDF"/>
    <w:rsid w:val="767E208E"/>
    <w:rsid w:val="767F277B"/>
    <w:rsid w:val="768014A2"/>
    <w:rsid w:val="76846F1F"/>
    <w:rsid w:val="76AA199B"/>
    <w:rsid w:val="76BA00A4"/>
    <w:rsid w:val="76C17C78"/>
    <w:rsid w:val="76D17069"/>
    <w:rsid w:val="76D20745"/>
    <w:rsid w:val="76D360BB"/>
    <w:rsid w:val="76E725D4"/>
    <w:rsid w:val="76EB589B"/>
    <w:rsid w:val="76F113F4"/>
    <w:rsid w:val="76F41714"/>
    <w:rsid w:val="771E24B4"/>
    <w:rsid w:val="77210243"/>
    <w:rsid w:val="772877F5"/>
    <w:rsid w:val="773715CB"/>
    <w:rsid w:val="775441EC"/>
    <w:rsid w:val="775C1C7F"/>
    <w:rsid w:val="776927F2"/>
    <w:rsid w:val="776A1766"/>
    <w:rsid w:val="77764C09"/>
    <w:rsid w:val="777C4360"/>
    <w:rsid w:val="77911AD3"/>
    <w:rsid w:val="779D400A"/>
    <w:rsid w:val="77A84DCA"/>
    <w:rsid w:val="77C52680"/>
    <w:rsid w:val="77D0514D"/>
    <w:rsid w:val="77DA6DC2"/>
    <w:rsid w:val="77DE5F59"/>
    <w:rsid w:val="77F4594F"/>
    <w:rsid w:val="78004EC8"/>
    <w:rsid w:val="78011197"/>
    <w:rsid w:val="78332FEF"/>
    <w:rsid w:val="78373FD0"/>
    <w:rsid w:val="783F7AFD"/>
    <w:rsid w:val="7843737A"/>
    <w:rsid w:val="784D14F9"/>
    <w:rsid w:val="78673628"/>
    <w:rsid w:val="787822B6"/>
    <w:rsid w:val="787E07A7"/>
    <w:rsid w:val="787E1592"/>
    <w:rsid w:val="787E29AF"/>
    <w:rsid w:val="788A1032"/>
    <w:rsid w:val="78955367"/>
    <w:rsid w:val="78AD39EE"/>
    <w:rsid w:val="78B56664"/>
    <w:rsid w:val="78BC1ED6"/>
    <w:rsid w:val="78D35429"/>
    <w:rsid w:val="78DF1742"/>
    <w:rsid w:val="78DF605F"/>
    <w:rsid w:val="78E24729"/>
    <w:rsid w:val="78F50903"/>
    <w:rsid w:val="78FF3A52"/>
    <w:rsid w:val="790E40C3"/>
    <w:rsid w:val="79106F5B"/>
    <w:rsid w:val="792C5912"/>
    <w:rsid w:val="79482BA1"/>
    <w:rsid w:val="795C75BF"/>
    <w:rsid w:val="79717C3F"/>
    <w:rsid w:val="79825692"/>
    <w:rsid w:val="798C1293"/>
    <w:rsid w:val="799457F1"/>
    <w:rsid w:val="79BD6A4C"/>
    <w:rsid w:val="79DF4724"/>
    <w:rsid w:val="79E34ACA"/>
    <w:rsid w:val="79ED5BA5"/>
    <w:rsid w:val="79FD0CFE"/>
    <w:rsid w:val="7A126AEC"/>
    <w:rsid w:val="7A267B3F"/>
    <w:rsid w:val="7A300536"/>
    <w:rsid w:val="7A314436"/>
    <w:rsid w:val="7A330C5C"/>
    <w:rsid w:val="7A3B41D2"/>
    <w:rsid w:val="7A5C14C1"/>
    <w:rsid w:val="7A657A74"/>
    <w:rsid w:val="7A857D8E"/>
    <w:rsid w:val="7A8A5BF1"/>
    <w:rsid w:val="7A8B034E"/>
    <w:rsid w:val="7A8E32F4"/>
    <w:rsid w:val="7A9B3055"/>
    <w:rsid w:val="7AA37760"/>
    <w:rsid w:val="7ABD3398"/>
    <w:rsid w:val="7AC1326A"/>
    <w:rsid w:val="7ACD5254"/>
    <w:rsid w:val="7AD41DBD"/>
    <w:rsid w:val="7AE1147F"/>
    <w:rsid w:val="7AF83B47"/>
    <w:rsid w:val="7B14372F"/>
    <w:rsid w:val="7B187F57"/>
    <w:rsid w:val="7B1C0C70"/>
    <w:rsid w:val="7B1F6068"/>
    <w:rsid w:val="7B24349A"/>
    <w:rsid w:val="7B345E04"/>
    <w:rsid w:val="7B385219"/>
    <w:rsid w:val="7B3F1997"/>
    <w:rsid w:val="7B47007F"/>
    <w:rsid w:val="7B4C4E74"/>
    <w:rsid w:val="7B687277"/>
    <w:rsid w:val="7B79008C"/>
    <w:rsid w:val="7B95753A"/>
    <w:rsid w:val="7B974159"/>
    <w:rsid w:val="7B9E32A4"/>
    <w:rsid w:val="7BAD2097"/>
    <w:rsid w:val="7BB14381"/>
    <w:rsid w:val="7BC9055E"/>
    <w:rsid w:val="7BD80CB8"/>
    <w:rsid w:val="7BE308D8"/>
    <w:rsid w:val="7BE34B67"/>
    <w:rsid w:val="7BF74F5D"/>
    <w:rsid w:val="7BFF09B1"/>
    <w:rsid w:val="7BFF62A5"/>
    <w:rsid w:val="7C0539E1"/>
    <w:rsid w:val="7C2A62D9"/>
    <w:rsid w:val="7C3A49D5"/>
    <w:rsid w:val="7C4462B9"/>
    <w:rsid w:val="7C802B1A"/>
    <w:rsid w:val="7C8B0AF8"/>
    <w:rsid w:val="7C9073A3"/>
    <w:rsid w:val="7C932D0A"/>
    <w:rsid w:val="7C9949D3"/>
    <w:rsid w:val="7CA3222A"/>
    <w:rsid w:val="7CBD66CA"/>
    <w:rsid w:val="7CC1795F"/>
    <w:rsid w:val="7CC271A6"/>
    <w:rsid w:val="7CC2724B"/>
    <w:rsid w:val="7CD327DA"/>
    <w:rsid w:val="7CE16B24"/>
    <w:rsid w:val="7D1200A0"/>
    <w:rsid w:val="7D161E77"/>
    <w:rsid w:val="7D185E52"/>
    <w:rsid w:val="7D2F3FB5"/>
    <w:rsid w:val="7D4D582E"/>
    <w:rsid w:val="7D654A30"/>
    <w:rsid w:val="7D7A04B2"/>
    <w:rsid w:val="7D7A5D61"/>
    <w:rsid w:val="7D814086"/>
    <w:rsid w:val="7D8A4467"/>
    <w:rsid w:val="7D8A4A7A"/>
    <w:rsid w:val="7D932059"/>
    <w:rsid w:val="7D935B6B"/>
    <w:rsid w:val="7D945A0E"/>
    <w:rsid w:val="7D974512"/>
    <w:rsid w:val="7DBF3023"/>
    <w:rsid w:val="7DC0358E"/>
    <w:rsid w:val="7DC10CB4"/>
    <w:rsid w:val="7DC84F77"/>
    <w:rsid w:val="7DDC3A51"/>
    <w:rsid w:val="7DF17CD9"/>
    <w:rsid w:val="7E052BED"/>
    <w:rsid w:val="7E0960FC"/>
    <w:rsid w:val="7E160BBE"/>
    <w:rsid w:val="7E1F2501"/>
    <w:rsid w:val="7E265C76"/>
    <w:rsid w:val="7E361C59"/>
    <w:rsid w:val="7E4F3424"/>
    <w:rsid w:val="7E525132"/>
    <w:rsid w:val="7E655EDD"/>
    <w:rsid w:val="7E6B46F0"/>
    <w:rsid w:val="7E70400D"/>
    <w:rsid w:val="7E773EC6"/>
    <w:rsid w:val="7E7E53AD"/>
    <w:rsid w:val="7E830E3A"/>
    <w:rsid w:val="7E993DF9"/>
    <w:rsid w:val="7E9A3BF7"/>
    <w:rsid w:val="7EA362A6"/>
    <w:rsid w:val="7EBF61AD"/>
    <w:rsid w:val="7ECB61DC"/>
    <w:rsid w:val="7F02768F"/>
    <w:rsid w:val="7F056534"/>
    <w:rsid w:val="7F121EA4"/>
    <w:rsid w:val="7F155350"/>
    <w:rsid w:val="7F1A5FA5"/>
    <w:rsid w:val="7F2144F7"/>
    <w:rsid w:val="7F250E39"/>
    <w:rsid w:val="7F262CD2"/>
    <w:rsid w:val="7F492C35"/>
    <w:rsid w:val="7F5808C6"/>
    <w:rsid w:val="7F5B4330"/>
    <w:rsid w:val="7F682463"/>
    <w:rsid w:val="7F791135"/>
    <w:rsid w:val="7F7E365C"/>
    <w:rsid w:val="7F883DD7"/>
    <w:rsid w:val="7F8F6C4A"/>
    <w:rsid w:val="7F926A17"/>
    <w:rsid w:val="7F943C6B"/>
    <w:rsid w:val="7F971DCF"/>
    <w:rsid w:val="7F994B51"/>
    <w:rsid w:val="7FAB0E5A"/>
    <w:rsid w:val="7FB158D7"/>
    <w:rsid w:val="7FB344CC"/>
    <w:rsid w:val="7FB80298"/>
    <w:rsid w:val="7FBC0C2B"/>
    <w:rsid w:val="7FD672BE"/>
    <w:rsid w:val="7FE676F0"/>
    <w:rsid w:val="7FEB302F"/>
    <w:rsid w:val="7FFE3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99" w:semiHidden="0" w:name="Table Grid"/>
    <w:lsdException w:qFormat="1"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宋体" w:hAnsi="宋体" w:eastAsia="宋体" w:cs="宋体"/>
      <w:sz w:val="24"/>
      <w:szCs w:val="24"/>
      <w:lang w:val="en-US" w:eastAsia="zh-CN" w:bidi="ar-SA"/>
    </w:rPr>
  </w:style>
  <w:style w:type="paragraph" w:styleId="3">
    <w:name w:val="heading 1"/>
    <w:basedOn w:val="1"/>
    <w:next w:val="1"/>
    <w:link w:val="63"/>
    <w:autoRedefine/>
    <w:qFormat/>
    <w:uiPriority w:val="0"/>
    <w:pPr>
      <w:keepNext/>
      <w:keepLines/>
      <w:widowControl w:val="0"/>
      <w:numPr>
        <w:ilvl w:val="0"/>
        <w:numId w:val="1"/>
      </w:numPr>
      <w:spacing w:after="120" w:line="600" w:lineRule="exact"/>
      <w:jc w:val="both"/>
      <w:outlineLvl w:val="0"/>
    </w:pPr>
    <w:rPr>
      <w:rFonts w:hAnsi="Times New Roman" w:eastAsia="仿宋" w:cs="Times New Roman"/>
      <w:b/>
      <w:bCs/>
      <w:kern w:val="44"/>
      <w:sz w:val="36"/>
      <w:szCs w:val="44"/>
    </w:rPr>
  </w:style>
  <w:style w:type="paragraph" w:styleId="4">
    <w:name w:val="heading 2"/>
    <w:basedOn w:val="1"/>
    <w:next w:val="1"/>
    <w:link w:val="64"/>
    <w:autoRedefine/>
    <w:qFormat/>
    <w:uiPriority w:val="0"/>
    <w:pPr>
      <w:keepNext/>
      <w:keepLines/>
      <w:widowControl w:val="0"/>
      <w:numPr>
        <w:ilvl w:val="0"/>
        <w:numId w:val="2"/>
      </w:numPr>
      <w:spacing w:line="520" w:lineRule="exact"/>
      <w:jc w:val="both"/>
      <w:outlineLvl w:val="1"/>
    </w:pPr>
    <w:rPr>
      <w:rFonts w:hAnsi="Times New Roman" w:eastAsia="仿宋" w:cs="Times New Roman"/>
      <w:b/>
      <w:bCs/>
      <w:kern w:val="2"/>
      <w:sz w:val="32"/>
      <w:szCs w:val="32"/>
    </w:rPr>
  </w:style>
  <w:style w:type="paragraph" w:styleId="5">
    <w:name w:val="heading 3"/>
    <w:basedOn w:val="1"/>
    <w:next w:val="1"/>
    <w:link w:val="65"/>
    <w:autoRedefine/>
    <w:qFormat/>
    <w:uiPriority w:val="0"/>
    <w:pPr>
      <w:keepNext/>
      <w:keepLines/>
      <w:widowControl w:val="0"/>
      <w:numPr>
        <w:ilvl w:val="0"/>
        <w:numId w:val="3"/>
      </w:numPr>
      <w:spacing w:before="260" w:after="260" w:line="415" w:lineRule="auto"/>
      <w:jc w:val="both"/>
      <w:outlineLvl w:val="2"/>
    </w:pPr>
    <w:rPr>
      <w:rFonts w:ascii="Times New Roman" w:hAnsi="Times New Roman" w:eastAsia="仿宋" w:cs="Times New Roman"/>
      <w:b/>
      <w:bCs/>
      <w:kern w:val="2"/>
      <w:sz w:val="30"/>
      <w:szCs w:val="32"/>
    </w:rPr>
  </w:style>
  <w:style w:type="paragraph" w:styleId="6">
    <w:name w:val="heading 4"/>
    <w:basedOn w:val="1"/>
    <w:next w:val="1"/>
    <w:link w:val="66"/>
    <w:autoRedefine/>
    <w:qFormat/>
    <w:uiPriority w:val="0"/>
    <w:pPr>
      <w:keepNext/>
      <w:keepLines/>
      <w:widowControl w:val="0"/>
      <w:numPr>
        <w:ilvl w:val="3"/>
        <w:numId w:val="1"/>
      </w:numPr>
      <w:spacing w:before="280" w:after="290" w:line="377" w:lineRule="auto"/>
      <w:jc w:val="both"/>
      <w:outlineLvl w:val="3"/>
    </w:pPr>
    <w:rPr>
      <w:rFonts w:ascii="Cambria" w:hAnsi="Cambria" w:cs="Times New Roman"/>
      <w:b/>
      <w:bCs/>
      <w:kern w:val="2"/>
      <w:sz w:val="28"/>
      <w:szCs w:val="28"/>
    </w:rPr>
  </w:style>
  <w:style w:type="paragraph" w:styleId="7">
    <w:name w:val="heading 5"/>
    <w:basedOn w:val="1"/>
    <w:next w:val="1"/>
    <w:link w:val="67"/>
    <w:autoRedefine/>
    <w:qFormat/>
    <w:uiPriority w:val="0"/>
    <w:pPr>
      <w:keepNext/>
      <w:widowControl w:val="0"/>
      <w:numPr>
        <w:ilvl w:val="4"/>
        <w:numId w:val="1"/>
      </w:numPr>
      <w:jc w:val="both"/>
      <w:outlineLvl w:val="4"/>
    </w:pPr>
    <w:rPr>
      <w:rFonts w:ascii="Times New Roman" w:hAnsi="Times New Roman" w:cs="Times New Roman"/>
      <w:b/>
      <w:bCs/>
      <w:kern w:val="2"/>
    </w:rPr>
  </w:style>
  <w:style w:type="paragraph" w:styleId="8">
    <w:name w:val="heading 6"/>
    <w:basedOn w:val="1"/>
    <w:next w:val="1"/>
    <w:link w:val="68"/>
    <w:autoRedefine/>
    <w:qFormat/>
    <w:uiPriority w:val="0"/>
    <w:pPr>
      <w:keepNext/>
      <w:widowControl w:val="0"/>
      <w:numPr>
        <w:ilvl w:val="5"/>
        <w:numId w:val="1"/>
      </w:numPr>
      <w:spacing w:line="300" w:lineRule="exact"/>
      <w:jc w:val="both"/>
      <w:outlineLvl w:val="5"/>
    </w:pPr>
    <w:rPr>
      <w:rFonts w:ascii="Times New Roman" w:hAnsi="Times New Roman" w:cs="Times New Roman"/>
      <w:i/>
      <w:iCs/>
      <w:color w:val="000000"/>
      <w:kern w:val="2"/>
      <w:sz w:val="30"/>
      <w:szCs w:val="30"/>
    </w:rPr>
  </w:style>
  <w:style w:type="paragraph" w:styleId="9">
    <w:name w:val="heading 7"/>
    <w:basedOn w:val="1"/>
    <w:next w:val="1"/>
    <w:link w:val="69"/>
    <w:autoRedefine/>
    <w:qFormat/>
    <w:uiPriority w:val="0"/>
    <w:pPr>
      <w:keepNext/>
      <w:widowControl w:val="0"/>
      <w:numPr>
        <w:ilvl w:val="6"/>
        <w:numId w:val="1"/>
      </w:numPr>
      <w:jc w:val="both"/>
      <w:outlineLvl w:val="6"/>
    </w:pPr>
    <w:rPr>
      <w:rFonts w:ascii="Times New Roman" w:hAnsi="Times New Roman" w:cs="Times New Roman"/>
      <w:i/>
      <w:iCs/>
      <w:color w:val="000000"/>
      <w:kern w:val="2"/>
      <w:sz w:val="15"/>
      <w:szCs w:val="18"/>
    </w:rPr>
  </w:style>
  <w:style w:type="paragraph" w:styleId="10">
    <w:name w:val="heading 8"/>
    <w:basedOn w:val="1"/>
    <w:next w:val="1"/>
    <w:link w:val="70"/>
    <w:autoRedefine/>
    <w:qFormat/>
    <w:uiPriority w:val="0"/>
    <w:pPr>
      <w:keepNext/>
      <w:keepLines/>
      <w:widowControl w:val="0"/>
      <w:numPr>
        <w:ilvl w:val="7"/>
        <w:numId w:val="1"/>
      </w:numPr>
      <w:tabs>
        <w:tab w:val="left" w:pos="1440"/>
      </w:tabs>
      <w:autoSpaceDE w:val="0"/>
      <w:autoSpaceDN w:val="0"/>
      <w:adjustRightInd w:val="0"/>
      <w:spacing w:before="240" w:after="64" w:line="320" w:lineRule="atLeast"/>
      <w:jc w:val="both"/>
      <w:outlineLvl w:val="7"/>
    </w:pPr>
    <w:rPr>
      <w:rFonts w:ascii="Arial" w:hAnsi="Arial" w:eastAsia="黑体" w:cs="Times New Roman"/>
      <w:szCs w:val="20"/>
    </w:rPr>
  </w:style>
  <w:style w:type="paragraph" w:styleId="11">
    <w:name w:val="heading 9"/>
    <w:basedOn w:val="1"/>
    <w:next w:val="1"/>
    <w:link w:val="71"/>
    <w:autoRedefine/>
    <w:qFormat/>
    <w:uiPriority w:val="0"/>
    <w:pPr>
      <w:keepNext/>
      <w:keepLines/>
      <w:widowControl w:val="0"/>
      <w:numPr>
        <w:ilvl w:val="8"/>
        <w:numId w:val="1"/>
      </w:numPr>
      <w:tabs>
        <w:tab w:val="left" w:pos="1584"/>
      </w:tabs>
      <w:autoSpaceDE w:val="0"/>
      <w:autoSpaceDN w:val="0"/>
      <w:adjustRightInd w:val="0"/>
      <w:spacing w:before="240" w:after="64" w:line="320" w:lineRule="atLeast"/>
      <w:jc w:val="both"/>
      <w:outlineLvl w:val="8"/>
    </w:pPr>
    <w:rPr>
      <w:rFonts w:ascii="Arial" w:hAnsi="Arial" w:eastAsia="黑体" w:cs="Times New Roman"/>
      <w:sz w:val="21"/>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正文01"/>
    <w:basedOn w:val="1"/>
    <w:autoRedefine/>
    <w:qFormat/>
    <w:uiPriority w:val="0"/>
    <w:pPr>
      <w:adjustRightInd w:val="0"/>
      <w:snapToGrid w:val="0"/>
      <w:spacing w:line="360" w:lineRule="auto"/>
      <w:ind w:firstLine="480" w:firstLineChars="200"/>
    </w:pPr>
    <w:rPr>
      <w:rFonts w:ascii="Times New Roman" w:hAnsi="Times New Roman"/>
      <w:snapToGrid w:val="0"/>
      <w:color w:val="FF0000"/>
      <w:szCs w:val="22"/>
    </w:rPr>
  </w:style>
  <w:style w:type="paragraph" w:styleId="12">
    <w:name w:val="toc 7"/>
    <w:basedOn w:val="1"/>
    <w:next w:val="1"/>
    <w:autoRedefine/>
    <w:unhideWhenUsed/>
    <w:qFormat/>
    <w:uiPriority w:val="39"/>
    <w:pPr>
      <w:widowControl w:val="0"/>
      <w:ind w:left="2520" w:leftChars="1200"/>
      <w:jc w:val="both"/>
    </w:pPr>
    <w:rPr>
      <w:rFonts w:asciiTheme="minorHAnsi" w:hAnsiTheme="minorHAnsi" w:eastAsiaTheme="minorEastAsia" w:cstheme="minorBidi"/>
      <w:kern w:val="2"/>
      <w:sz w:val="21"/>
      <w:szCs w:val="22"/>
    </w:rPr>
  </w:style>
  <w:style w:type="paragraph" w:styleId="13">
    <w:name w:val="List Bullet 4"/>
    <w:basedOn w:val="1"/>
    <w:autoRedefine/>
    <w:qFormat/>
    <w:uiPriority w:val="0"/>
    <w:pPr>
      <w:widowControl w:val="0"/>
      <w:numPr>
        <w:ilvl w:val="0"/>
        <w:numId w:val="4"/>
      </w:numPr>
      <w:jc w:val="both"/>
    </w:pPr>
    <w:rPr>
      <w:rFonts w:ascii="Times New Roman" w:hAnsi="Times New Roman" w:cs="Times New Roman"/>
      <w:kern w:val="2"/>
      <w:sz w:val="21"/>
    </w:rPr>
  </w:style>
  <w:style w:type="paragraph" w:styleId="14">
    <w:name w:val="Normal Indent"/>
    <w:basedOn w:val="1"/>
    <w:next w:val="1"/>
    <w:link w:val="72"/>
    <w:autoRedefine/>
    <w:qFormat/>
    <w:uiPriority w:val="0"/>
    <w:pPr>
      <w:widowControl w:val="0"/>
      <w:ind w:firstLine="200" w:firstLineChars="200"/>
      <w:jc w:val="both"/>
    </w:pPr>
    <w:rPr>
      <w:kern w:val="2"/>
      <w:sz w:val="28"/>
    </w:rPr>
  </w:style>
  <w:style w:type="paragraph" w:styleId="15">
    <w:name w:val="caption"/>
    <w:basedOn w:val="1"/>
    <w:next w:val="1"/>
    <w:autoRedefine/>
    <w:qFormat/>
    <w:uiPriority w:val="35"/>
    <w:pPr>
      <w:widowControl w:val="0"/>
      <w:jc w:val="center"/>
    </w:pPr>
    <w:rPr>
      <w:rFonts w:ascii="Times New Roman" w:hAnsi="Times New Roman" w:eastAsia="仿宋" w:cstheme="majorBidi"/>
      <w:b/>
      <w:kern w:val="2"/>
      <w:sz w:val="28"/>
      <w:szCs w:val="20"/>
    </w:rPr>
  </w:style>
  <w:style w:type="paragraph" w:styleId="16">
    <w:name w:val="Document Map"/>
    <w:basedOn w:val="1"/>
    <w:link w:val="73"/>
    <w:autoRedefine/>
    <w:qFormat/>
    <w:uiPriority w:val="0"/>
    <w:pPr>
      <w:widowControl w:val="0"/>
      <w:shd w:val="clear" w:color="auto" w:fill="000080"/>
      <w:jc w:val="both"/>
    </w:pPr>
    <w:rPr>
      <w:rFonts w:ascii="Times New Roman" w:hAnsi="Times New Roman" w:cs="Times New Roman"/>
      <w:kern w:val="2"/>
      <w:sz w:val="21"/>
    </w:rPr>
  </w:style>
  <w:style w:type="paragraph" w:styleId="17">
    <w:name w:val="toa heading"/>
    <w:basedOn w:val="1"/>
    <w:next w:val="1"/>
    <w:autoRedefine/>
    <w:qFormat/>
    <w:uiPriority w:val="0"/>
    <w:pPr>
      <w:widowControl w:val="0"/>
      <w:adjustRightInd w:val="0"/>
      <w:snapToGrid w:val="0"/>
      <w:spacing w:before="120" w:line="312" w:lineRule="auto"/>
      <w:jc w:val="both"/>
    </w:pPr>
    <w:rPr>
      <w:rFonts w:ascii="Arial" w:hAnsi="Arial" w:cs="Arial"/>
      <w:kern w:val="2"/>
    </w:rPr>
  </w:style>
  <w:style w:type="paragraph" w:styleId="18">
    <w:name w:val="annotation text"/>
    <w:basedOn w:val="1"/>
    <w:link w:val="62"/>
    <w:autoRedefine/>
    <w:qFormat/>
    <w:uiPriority w:val="0"/>
    <w:pPr>
      <w:widowControl w:val="0"/>
      <w:adjustRightInd w:val="0"/>
      <w:snapToGrid w:val="0"/>
      <w:spacing w:line="120" w:lineRule="atLeast"/>
    </w:pPr>
    <w:rPr>
      <w:rFonts w:ascii="Times New Roman" w:hAnsi="Times New Roman" w:eastAsia="仿宋_GB2312" w:cs="Times New Roman"/>
      <w:kern w:val="2"/>
    </w:rPr>
  </w:style>
  <w:style w:type="paragraph" w:styleId="19">
    <w:name w:val="Body Text 3"/>
    <w:basedOn w:val="1"/>
    <w:link w:val="74"/>
    <w:autoRedefine/>
    <w:qFormat/>
    <w:uiPriority w:val="0"/>
    <w:pPr>
      <w:widowControl w:val="0"/>
      <w:spacing w:after="120"/>
      <w:jc w:val="both"/>
    </w:pPr>
    <w:rPr>
      <w:rFonts w:ascii="Times New Roman" w:hAnsi="Times New Roman" w:eastAsia="仿宋" w:cs="Times New Roman"/>
      <w:kern w:val="2"/>
      <w:sz w:val="16"/>
      <w:szCs w:val="16"/>
    </w:rPr>
  </w:style>
  <w:style w:type="paragraph" w:styleId="20">
    <w:name w:val="Body Text"/>
    <w:basedOn w:val="1"/>
    <w:next w:val="21"/>
    <w:link w:val="75"/>
    <w:autoRedefine/>
    <w:qFormat/>
    <w:uiPriority w:val="1"/>
    <w:pPr>
      <w:widowControl w:val="0"/>
      <w:autoSpaceDE w:val="0"/>
      <w:autoSpaceDN w:val="0"/>
    </w:pPr>
    <w:rPr>
      <w:sz w:val="28"/>
      <w:szCs w:val="28"/>
      <w:lang w:val="zh-CN" w:bidi="zh-CN"/>
    </w:rPr>
  </w:style>
  <w:style w:type="paragraph" w:styleId="21">
    <w:name w:val="List Bullet 5"/>
    <w:basedOn w:val="1"/>
    <w:autoRedefine/>
    <w:unhideWhenUsed/>
    <w:qFormat/>
    <w:uiPriority w:val="0"/>
    <w:pPr>
      <w:widowControl w:val="0"/>
      <w:tabs>
        <w:tab w:val="left" w:pos="1620"/>
        <w:tab w:val="left" w:pos="2040"/>
      </w:tabs>
      <w:ind w:left="1620" w:hanging="360"/>
      <w:jc w:val="both"/>
    </w:pPr>
    <w:rPr>
      <w:rFonts w:ascii="Times New Roman" w:hAnsi="Times New Roman" w:eastAsia="仿宋_GB2312" w:cs="Times New Roman"/>
      <w:kern w:val="2"/>
      <w:sz w:val="28"/>
    </w:rPr>
  </w:style>
  <w:style w:type="paragraph" w:styleId="22">
    <w:name w:val="Body Text Indent"/>
    <w:basedOn w:val="1"/>
    <w:next w:val="14"/>
    <w:link w:val="76"/>
    <w:autoRedefine/>
    <w:qFormat/>
    <w:uiPriority w:val="0"/>
    <w:pPr>
      <w:widowControl w:val="0"/>
      <w:spacing w:after="120"/>
      <w:ind w:left="420" w:leftChars="200"/>
      <w:jc w:val="both"/>
    </w:pPr>
    <w:rPr>
      <w:rFonts w:ascii="Times New Roman" w:hAnsi="Times New Roman" w:eastAsia="仿宋" w:cs="Times New Roman"/>
      <w:kern w:val="2"/>
      <w:sz w:val="28"/>
    </w:rPr>
  </w:style>
  <w:style w:type="paragraph" w:styleId="23">
    <w:name w:val="toc 5"/>
    <w:basedOn w:val="1"/>
    <w:next w:val="1"/>
    <w:autoRedefine/>
    <w:unhideWhenUsed/>
    <w:qFormat/>
    <w:uiPriority w:val="39"/>
    <w:pPr>
      <w:widowControl w:val="0"/>
      <w:ind w:left="1680" w:leftChars="800"/>
      <w:jc w:val="both"/>
    </w:pPr>
    <w:rPr>
      <w:rFonts w:asciiTheme="minorHAnsi" w:hAnsiTheme="minorHAnsi" w:eastAsiaTheme="minorEastAsia" w:cstheme="minorBidi"/>
      <w:kern w:val="2"/>
      <w:sz w:val="21"/>
      <w:szCs w:val="22"/>
    </w:rPr>
  </w:style>
  <w:style w:type="paragraph" w:styleId="24">
    <w:name w:val="toc 3"/>
    <w:basedOn w:val="1"/>
    <w:next w:val="1"/>
    <w:autoRedefine/>
    <w:qFormat/>
    <w:uiPriority w:val="39"/>
    <w:pPr>
      <w:widowControl w:val="0"/>
      <w:ind w:left="840" w:leftChars="400"/>
      <w:jc w:val="both"/>
    </w:pPr>
    <w:rPr>
      <w:rFonts w:ascii="Times New Roman" w:hAnsi="Times New Roman" w:eastAsia="仿宋_GB2312" w:cs="Times New Roman"/>
      <w:kern w:val="2"/>
      <w:sz w:val="28"/>
    </w:rPr>
  </w:style>
  <w:style w:type="paragraph" w:styleId="25">
    <w:name w:val="Plain Text"/>
    <w:basedOn w:val="1"/>
    <w:link w:val="77"/>
    <w:autoRedefine/>
    <w:qFormat/>
    <w:uiPriority w:val="0"/>
    <w:pPr>
      <w:spacing w:before="100" w:beforeAutospacing="1" w:after="100" w:afterAutospacing="1"/>
    </w:pPr>
    <w:rPr>
      <w:rFonts w:cs="Times New Roman"/>
      <w:szCs w:val="20"/>
    </w:rPr>
  </w:style>
  <w:style w:type="paragraph" w:styleId="26">
    <w:name w:val="toc 8"/>
    <w:basedOn w:val="1"/>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rPr>
  </w:style>
  <w:style w:type="paragraph" w:styleId="27">
    <w:name w:val="Date"/>
    <w:basedOn w:val="1"/>
    <w:next w:val="1"/>
    <w:link w:val="78"/>
    <w:autoRedefine/>
    <w:qFormat/>
    <w:uiPriority w:val="0"/>
    <w:pPr>
      <w:widowControl w:val="0"/>
      <w:ind w:left="100" w:leftChars="2500"/>
      <w:jc w:val="both"/>
    </w:pPr>
    <w:rPr>
      <w:rFonts w:ascii="Times New Roman" w:hAnsi="Times New Roman" w:cs="Times New Roman"/>
      <w:kern w:val="2"/>
      <w:sz w:val="44"/>
      <w:szCs w:val="20"/>
    </w:rPr>
  </w:style>
  <w:style w:type="paragraph" w:styleId="28">
    <w:name w:val="Body Text Indent 2"/>
    <w:basedOn w:val="1"/>
    <w:link w:val="79"/>
    <w:autoRedefine/>
    <w:qFormat/>
    <w:uiPriority w:val="0"/>
    <w:pPr>
      <w:widowControl w:val="0"/>
      <w:spacing w:line="500" w:lineRule="exact"/>
      <w:ind w:firstLine="556"/>
      <w:jc w:val="both"/>
    </w:pPr>
    <w:rPr>
      <w:rFonts w:ascii="仿宋_GB2312" w:hAnsi="Times New Roman" w:eastAsia="仿宋_GB2312" w:cs="Times New Roman"/>
      <w:kern w:val="2"/>
      <w:sz w:val="28"/>
      <w:szCs w:val="20"/>
    </w:rPr>
  </w:style>
  <w:style w:type="paragraph" w:styleId="29">
    <w:name w:val="Balloon Text"/>
    <w:basedOn w:val="1"/>
    <w:link w:val="80"/>
    <w:autoRedefine/>
    <w:semiHidden/>
    <w:unhideWhenUsed/>
    <w:qFormat/>
    <w:uiPriority w:val="99"/>
    <w:pPr>
      <w:widowControl w:val="0"/>
      <w:jc w:val="both"/>
    </w:pPr>
    <w:rPr>
      <w:rFonts w:ascii="Times New Roman" w:hAnsi="Times New Roman" w:eastAsia="仿宋_GB2312" w:cs="Times New Roman"/>
      <w:kern w:val="2"/>
      <w:sz w:val="18"/>
      <w:szCs w:val="18"/>
    </w:rPr>
  </w:style>
  <w:style w:type="paragraph" w:styleId="30">
    <w:name w:val="footer"/>
    <w:basedOn w:val="1"/>
    <w:link w:val="81"/>
    <w:autoRedefine/>
    <w:qFormat/>
    <w:uiPriority w:val="99"/>
    <w:pPr>
      <w:widowControl w:val="0"/>
      <w:tabs>
        <w:tab w:val="center" w:pos="4153"/>
        <w:tab w:val="right" w:pos="8306"/>
      </w:tabs>
      <w:snapToGrid w:val="0"/>
    </w:pPr>
    <w:rPr>
      <w:rFonts w:ascii="Times New Roman" w:hAnsi="Times New Roman" w:eastAsia="仿宋_GB2312" w:cs="Times New Roman"/>
      <w:kern w:val="2"/>
      <w:sz w:val="18"/>
      <w:szCs w:val="18"/>
    </w:rPr>
  </w:style>
  <w:style w:type="paragraph" w:styleId="31">
    <w:name w:val="header"/>
    <w:basedOn w:val="1"/>
    <w:link w:val="82"/>
    <w:autoRedefine/>
    <w:qFormat/>
    <w:uiPriority w:val="0"/>
    <w:pPr>
      <w:widowControl w:val="0"/>
      <w:pBdr>
        <w:bottom w:val="single" w:color="auto" w:sz="6" w:space="1"/>
      </w:pBdr>
      <w:tabs>
        <w:tab w:val="center" w:pos="4153"/>
        <w:tab w:val="right" w:pos="8306"/>
      </w:tabs>
      <w:snapToGrid w:val="0"/>
      <w:jc w:val="center"/>
    </w:pPr>
    <w:rPr>
      <w:rFonts w:ascii="Times New Roman" w:hAnsi="Times New Roman" w:eastAsia="仿宋_GB2312" w:cs="Times New Roman"/>
      <w:kern w:val="2"/>
      <w:sz w:val="18"/>
      <w:szCs w:val="18"/>
    </w:rPr>
  </w:style>
  <w:style w:type="paragraph" w:styleId="32">
    <w:name w:val="toc 1"/>
    <w:basedOn w:val="1"/>
    <w:next w:val="1"/>
    <w:autoRedefine/>
    <w:qFormat/>
    <w:uiPriority w:val="39"/>
    <w:pPr>
      <w:widowControl w:val="0"/>
      <w:jc w:val="both"/>
    </w:pPr>
    <w:rPr>
      <w:rFonts w:ascii="Times New Roman" w:hAnsi="Times New Roman" w:eastAsia="仿宋_GB2312" w:cs="Times New Roman"/>
      <w:kern w:val="2"/>
      <w:sz w:val="28"/>
    </w:rPr>
  </w:style>
  <w:style w:type="paragraph" w:styleId="33">
    <w:name w:val="toc 4"/>
    <w:basedOn w:val="1"/>
    <w:next w:val="1"/>
    <w:autoRedefine/>
    <w:unhideWhenUsed/>
    <w:qFormat/>
    <w:uiPriority w:val="39"/>
    <w:pPr>
      <w:widowControl w:val="0"/>
      <w:ind w:left="1260" w:leftChars="600"/>
      <w:jc w:val="both"/>
    </w:pPr>
    <w:rPr>
      <w:rFonts w:asciiTheme="minorHAnsi" w:hAnsiTheme="minorHAnsi" w:eastAsiaTheme="minorEastAsia" w:cstheme="minorBidi"/>
      <w:kern w:val="2"/>
      <w:sz w:val="21"/>
      <w:szCs w:val="22"/>
    </w:rPr>
  </w:style>
  <w:style w:type="paragraph" w:styleId="34">
    <w:name w:val="List"/>
    <w:basedOn w:val="1"/>
    <w:autoRedefine/>
    <w:qFormat/>
    <w:uiPriority w:val="0"/>
    <w:pPr>
      <w:widowControl w:val="0"/>
      <w:ind w:left="200" w:hanging="200" w:hangingChars="200"/>
      <w:jc w:val="both"/>
    </w:pPr>
    <w:rPr>
      <w:rFonts w:ascii="Times New Roman" w:hAnsi="Times New Roman" w:cs="Times New Roman"/>
      <w:kern w:val="2"/>
      <w:sz w:val="21"/>
    </w:rPr>
  </w:style>
  <w:style w:type="paragraph" w:styleId="35">
    <w:name w:val="footnote text"/>
    <w:basedOn w:val="1"/>
    <w:link w:val="83"/>
    <w:autoRedefine/>
    <w:qFormat/>
    <w:uiPriority w:val="0"/>
    <w:pPr>
      <w:widowControl w:val="0"/>
      <w:snapToGrid w:val="0"/>
    </w:pPr>
    <w:rPr>
      <w:rFonts w:ascii="Times New Roman" w:hAnsi="Times New Roman" w:eastAsia="仿宋_GB2312" w:cs="Times New Roman"/>
      <w:kern w:val="2"/>
      <w:sz w:val="18"/>
      <w:szCs w:val="18"/>
    </w:rPr>
  </w:style>
  <w:style w:type="paragraph" w:styleId="36">
    <w:name w:val="toc 6"/>
    <w:basedOn w:val="1"/>
    <w:next w:val="1"/>
    <w:autoRedefine/>
    <w:unhideWhenUsed/>
    <w:qFormat/>
    <w:uiPriority w:val="39"/>
    <w:pPr>
      <w:widowControl w:val="0"/>
      <w:ind w:left="2100" w:leftChars="1000"/>
      <w:jc w:val="both"/>
    </w:pPr>
    <w:rPr>
      <w:rFonts w:asciiTheme="minorHAnsi" w:hAnsiTheme="minorHAnsi" w:eastAsiaTheme="minorEastAsia" w:cstheme="minorBidi"/>
      <w:kern w:val="2"/>
      <w:sz w:val="21"/>
      <w:szCs w:val="22"/>
    </w:rPr>
  </w:style>
  <w:style w:type="paragraph" w:styleId="37">
    <w:name w:val="Body Text Indent 3"/>
    <w:basedOn w:val="1"/>
    <w:link w:val="84"/>
    <w:autoRedefine/>
    <w:qFormat/>
    <w:uiPriority w:val="0"/>
    <w:pPr>
      <w:widowControl w:val="0"/>
      <w:tabs>
        <w:tab w:val="left" w:pos="604"/>
      </w:tabs>
      <w:spacing w:line="360" w:lineRule="auto"/>
      <w:ind w:firstLine="600"/>
      <w:jc w:val="both"/>
    </w:pPr>
    <w:rPr>
      <w:rFonts w:ascii="Times New Roman" w:hAnsi="Times New Roman" w:cs="Times New Roman"/>
      <w:kern w:val="2"/>
    </w:rPr>
  </w:style>
  <w:style w:type="paragraph" w:styleId="38">
    <w:name w:val="toc 2"/>
    <w:basedOn w:val="1"/>
    <w:next w:val="1"/>
    <w:autoRedefine/>
    <w:qFormat/>
    <w:uiPriority w:val="39"/>
    <w:pPr>
      <w:widowControl w:val="0"/>
      <w:ind w:left="420" w:leftChars="200"/>
      <w:jc w:val="both"/>
    </w:pPr>
    <w:rPr>
      <w:rFonts w:ascii="Times New Roman" w:hAnsi="Times New Roman" w:eastAsia="仿宋_GB2312" w:cs="Times New Roman"/>
      <w:kern w:val="2"/>
      <w:sz w:val="28"/>
    </w:rPr>
  </w:style>
  <w:style w:type="paragraph" w:styleId="39">
    <w:name w:val="toc 9"/>
    <w:basedOn w:val="1"/>
    <w:next w:val="1"/>
    <w:autoRedefine/>
    <w:unhideWhenUsed/>
    <w:qFormat/>
    <w:uiPriority w:val="39"/>
    <w:pPr>
      <w:widowControl w:val="0"/>
      <w:ind w:left="3360" w:leftChars="1600"/>
      <w:jc w:val="both"/>
    </w:pPr>
    <w:rPr>
      <w:rFonts w:asciiTheme="minorHAnsi" w:hAnsiTheme="minorHAnsi" w:eastAsiaTheme="minorEastAsia" w:cstheme="minorBidi"/>
      <w:kern w:val="2"/>
      <w:sz w:val="21"/>
      <w:szCs w:val="22"/>
    </w:rPr>
  </w:style>
  <w:style w:type="paragraph" w:styleId="40">
    <w:name w:val="Body Text 2"/>
    <w:basedOn w:val="1"/>
    <w:link w:val="85"/>
    <w:autoRedefine/>
    <w:qFormat/>
    <w:uiPriority w:val="0"/>
    <w:pPr>
      <w:widowControl w:val="0"/>
      <w:jc w:val="both"/>
    </w:pPr>
    <w:rPr>
      <w:rFonts w:ascii="Times New Roman" w:hAnsi="Times New Roman" w:cs="Times New Roman"/>
      <w:b/>
      <w:bCs/>
      <w:kern w:val="2"/>
      <w:szCs w:val="20"/>
    </w:rPr>
  </w:style>
  <w:style w:type="paragraph" w:styleId="41">
    <w:name w:val="Normal (Web)"/>
    <w:basedOn w:val="1"/>
    <w:autoRedefine/>
    <w:qFormat/>
    <w:uiPriority w:val="0"/>
    <w:pPr>
      <w:spacing w:before="100" w:beforeAutospacing="1" w:after="100" w:afterAutospacing="1"/>
    </w:pPr>
    <w:rPr>
      <w:rFonts w:cs="Times New Roman"/>
      <w:szCs w:val="20"/>
    </w:rPr>
  </w:style>
  <w:style w:type="paragraph" w:styleId="42">
    <w:name w:val="annotation subject"/>
    <w:basedOn w:val="18"/>
    <w:next w:val="18"/>
    <w:link w:val="86"/>
    <w:autoRedefine/>
    <w:semiHidden/>
    <w:unhideWhenUsed/>
    <w:qFormat/>
    <w:uiPriority w:val="0"/>
    <w:rPr>
      <w:b/>
      <w:bCs/>
    </w:rPr>
  </w:style>
  <w:style w:type="paragraph" w:styleId="43">
    <w:name w:val="Body Text First Indent"/>
    <w:basedOn w:val="20"/>
    <w:next w:val="1"/>
    <w:link w:val="87"/>
    <w:autoRedefine/>
    <w:unhideWhenUsed/>
    <w:qFormat/>
    <w:uiPriority w:val="0"/>
    <w:pPr>
      <w:spacing w:after="120"/>
      <w:ind w:firstLine="420" w:firstLineChars="100"/>
      <w:jc w:val="both"/>
    </w:pPr>
    <w:rPr>
      <w:rFonts w:ascii="Calibri" w:hAnsi="Calibri" w:cs="Times New Roman"/>
      <w:kern w:val="2"/>
      <w:sz w:val="21"/>
      <w:szCs w:val="24"/>
      <w:lang w:val="en-US" w:bidi="ar-SA"/>
    </w:rPr>
  </w:style>
  <w:style w:type="paragraph" w:styleId="44">
    <w:name w:val="Body Text First Indent 2"/>
    <w:basedOn w:val="22"/>
    <w:next w:val="43"/>
    <w:link w:val="88"/>
    <w:autoRedefine/>
    <w:qFormat/>
    <w:uiPriority w:val="0"/>
    <w:pPr>
      <w:ind w:firstLine="420" w:firstLineChars="200"/>
    </w:pPr>
  </w:style>
  <w:style w:type="table" w:styleId="46">
    <w:name w:val="Table Grid"/>
    <w:basedOn w:val="45"/>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autoRedefine/>
    <w:qFormat/>
    <w:uiPriority w:val="0"/>
    <w:rPr>
      <w:rFonts w:ascii="宋体" w:hAnsi="宋体" w:cs="宋体"/>
      <w:b/>
      <w:bCs/>
      <w:sz w:val="24"/>
      <w:szCs w:val="24"/>
    </w:rPr>
  </w:style>
  <w:style w:type="character" w:styleId="49">
    <w:name w:val="page number"/>
    <w:basedOn w:val="47"/>
    <w:autoRedefine/>
    <w:qFormat/>
    <w:uiPriority w:val="0"/>
    <w:rPr>
      <w:rFonts w:ascii="宋体" w:hAnsi="宋体" w:cs="宋体"/>
      <w:sz w:val="24"/>
      <w:szCs w:val="24"/>
    </w:rPr>
  </w:style>
  <w:style w:type="character" w:styleId="50">
    <w:name w:val="FollowedHyperlink"/>
    <w:autoRedefine/>
    <w:qFormat/>
    <w:uiPriority w:val="0"/>
    <w:rPr>
      <w:rFonts w:ascii="宋体" w:hAnsi="宋体" w:cs="宋体"/>
      <w:color w:val="338DE6"/>
      <w:sz w:val="24"/>
      <w:szCs w:val="24"/>
      <w:u w:val="none"/>
    </w:rPr>
  </w:style>
  <w:style w:type="character" w:styleId="51">
    <w:name w:val="Emphasis"/>
    <w:autoRedefine/>
    <w:qFormat/>
    <w:uiPriority w:val="0"/>
    <w:rPr>
      <w:rFonts w:ascii="宋体" w:hAnsi="宋体" w:cs="宋体"/>
      <w:sz w:val="24"/>
      <w:szCs w:val="24"/>
    </w:rPr>
  </w:style>
  <w:style w:type="character" w:styleId="52">
    <w:name w:val="HTML Definition"/>
    <w:autoRedefine/>
    <w:qFormat/>
    <w:uiPriority w:val="0"/>
    <w:rPr>
      <w:rFonts w:ascii="宋体" w:hAnsi="宋体" w:cs="宋体"/>
      <w:sz w:val="24"/>
      <w:szCs w:val="24"/>
    </w:rPr>
  </w:style>
  <w:style w:type="character" w:styleId="53">
    <w:name w:val="HTML Typewriter"/>
    <w:basedOn w:val="47"/>
    <w:autoRedefine/>
    <w:qFormat/>
    <w:uiPriority w:val="0"/>
    <w:rPr>
      <w:rFonts w:ascii="Courier New" w:hAnsi="Courier New" w:cs="Courier New"/>
      <w:sz w:val="20"/>
      <w:szCs w:val="20"/>
    </w:rPr>
  </w:style>
  <w:style w:type="character" w:styleId="54">
    <w:name w:val="HTML Variable"/>
    <w:autoRedefine/>
    <w:qFormat/>
    <w:uiPriority w:val="0"/>
    <w:rPr>
      <w:rFonts w:ascii="宋体" w:hAnsi="宋体" w:cs="宋体"/>
      <w:sz w:val="24"/>
      <w:szCs w:val="24"/>
    </w:rPr>
  </w:style>
  <w:style w:type="character" w:styleId="55">
    <w:name w:val="Hyperlink"/>
    <w:autoRedefine/>
    <w:qFormat/>
    <w:uiPriority w:val="99"/>
    <w:rPr>
      <w:rFonts w:ascii="宋体" w:hAnsi="宋体" w:cs="宋体"/>
      <w:color w:val="0000FF"/>
      <w:sz w:val="24"/>
      <w:szCs w:val="24"/>
      <w:u w:val="single"/>
    </w:rPr>
  </w:style>
  <w:style w:type="character" w:styleId="56">
    <w:name w:val="HTML Code"/>
    <w:basedOn w:val="47"/>
    <w:autoRedefine/>
    <w:qFormat/>
    <w:uiPriority w:val="0"/>
    <w:rPr>
      <w:rFonts w:ascii="Courier New" w:hAnsi="Courier New" w:cs="Courier New"/>
      <w:sz w:val="20"/>
      <w:szCs w:val="20"/>
    </w:rPr>
  </w:style>
  <w:style w:type="character" w:styleId="57">
    <w:name w:val="annotation reference"/>
    <w:basedOn w:val="47"/>
    <w:autoRedefine/>
    <w:qFormat/>
    <w:uiPriority w:val="0"/>
    <w:rPr>
      <w:sz w:val="21"/>
      <w:szCs w:val="21"/>
    </w:rPr>
  </w:style>
  <w:style w:type="character" w:styleId="58">
    <w:name w:val="HTML Cite"/>
    <w:autoRedefine/>
    <w:qFormat/>
    <w:uiPriority w:val="0"/>
    <w:rPr>
      <w:rFonts w:ascii="宋体" w:hAnsi="宋体" w:cs="宋体"/>
      <w:sz w:val="24"/>
      <w:szCs w:val="24"/>
    </w:rPr>
  </w:style>
  <w:style w:type="character" w:styleId="59">
    <w:name w:val="footnote reference"/>
    <w:basedOn w:val="47"/>
    <w:autoRedefine/>
    <w:qFormat/>
    <w:uiPriority w:val="0"/>
    <w:rPr>
      <w:vertAlign w:val="superscript"/>
    </w:rPr>
  </w:style>
  <w:style w:type="character" w:styleId="60">
    <w:name w:val="HTML Keyboard"/>
    <w:autoRedefine/>
    <w:qFormat/>
    <w:uiPriority w:val="0"/>
    <w:rPr>
      <w:rFonts w:hint="default" w:ascii="serif" w:hAnsi="serif" w:eastAsia="serif" w:cs="serif"/>
      <w:sz w:val="21"/>
      <w:szCs w:val="21"/>
    </w:rPr>
  </w:style>
  <w:style w:type="character" w:styleId="61">
    <w:name w:val="HTML Sample"/>
    <w:autoRedefine/>
    <w:qFormat/>
    <w:uiPriority w:val="0"/>
    <w:rPr>
      <w:rFonts w:hint="default" w:ascii="serif" w:hAnsi="serif" w:eastAsia="serif" w:cs="serif"/>
      <w:sz w:val="21"/>
      <w:szCs w:val="21"/>
    </w:rPr>
  </w:style>
  <w:style w:type="character" w:customStyle="1" w:styleId="62">
    <w:name w:val="批注文字 字符"/>
    <w:basedOn w:val="47"/>
    <w:link w:val="18"/>
    <w:autoRedefine/>
    <w:qFormat/>
    <w:uiPriority w:val="0"/>
    <w:rPr>
      <w:rFonts w:ascii="Times New Roman" w:hAnsi="Times New Roman" w:eastAsia="仿宋_GB2312"/>
      <w:kern w:val="2"/>
      <w:sz w:val="24"/>
      <w:szCs w:val="24"/>
    </w:rPr>
  </w:style>
  <w:style w:type="character" w:customStyle="1" w:styleId="63">
    <w:name w:val="标题 1 字符"/>
    <w:link w:val="3"/>
    <w:autoRedefine/>
    <w:qFormat/>
    <w:uiPriority w:val="0"/>
    <w:rPr>
      <w:rFonts w:ascii="宋体" w:hAnsi="Times New Roman" w:eastAsia="仿宋"/>
      <w:b/>
      <w:bCs/>
      <w:kern w:val="44"/>
      <w:sz w:val="36"/>
      <w:szCs w:val="44"/>
    </w:rPr>
  </w:style>
  <w:style w:type="character" w:customStyle="1" w:styleId="64">
    <w:name w:val="标题 2 字符"/>
    <w:link w:val="4"/>
    <w:autoRedefine/>
    <w:qFormat/>
    <w:uiPriority w:val="0"/>
    <w:rPr>
      <w:rFonts w:ascii="宋体" w:hAnsi="Times New Roman" w:eastAsia="仿宋"/>
      <w:b/>
      <w:bCs/>
      <w:kern w:val="2"/>
      <w:sz w:val="32"/>
      <w:szCs w:val="32"/>
    </w:rPr>
  </w:style>
  <w:style w:type="character" w:customStyle="1" w:styleId="65">
    <w:name w:val="标题 3 字符"/>
    <w:link w:val="5"/>
    <w:autoRedefine/>
    <w:qFormat/>
    <w:uiPriority w:val="0"/>
    <w:rPr>
      <w:rFonts w:ascii="Times New Roman" w:hAnsi="Times New Roman" w:eastAsia="仿宋"/>
      <w:b/>
      <w:bCs/>
      <w:kern w:val="2"/>
      <w:sz w:val="30"/>
      <w:szCs w:val="32"/>
    </w:rPr>
  </w:style>
  <w:style w:type="character" w:customStyle="1" w:styleId="66">
    <w:name w:val="标题 4 字符"/>
    <w:link w:val="6"/>
    <w:autoRedefine/>
    <w:qFormat/>
    <w:uiPriority w:val="0"/>
    <w:rPr>
      <w:rFonts w:ascii="Cambria" w:hAnsi="Cambria"/>
      <w:b/>
      <w:bCs/>
      <w:kern w:val="2"/>
      <w:sz w:val="28"/>
      <w:szCs w:val="28"/>
    </w:rPr>
  </w:style>
  <w:style w:type="character" w:customStyle="1" w:styleId="67">
    <w:name w:val="标题 5 字符"/>
    <w:link w:val="7"/>
    <w:autoRedefine/>
    <w:qFormat/>
    <w:uiPriority w:val="0"/>
    <w:rPr>
      <w:rFonts w:ascii="Times New Roman" w:hAnsi="Times New Roman"/>
      <w:b/>
      <w:bCs/>
      <w:kern w:val="2"/>
      <w:sz w:val="24"/>
      <w:szCs w:val="24"/>
    </w:rPr>
  </w:style>
  <w:style w:type="character" w:customStyle="1" w:styleId="68">
    <w:name w:val="标题 6 字符"/>
    <w:link w:val="8"/>
    <w:autoRedefine/>
    <w:qFormat/>
    <w:uiPriority w:val="0"/>
    <w:rPr>
      <w:rFonts w:ascii="Times New Roman" w:hAnsi="Times New Roman"/>
      <w:i/>
      <w:iCs/>
      <w:color w:val="000000"/>
      <w:kern w:val="2"/>
      <w:sz w:val="30"/>
      <w:szCs w:val="30"/>
    </w:rPr>
  </w:style>
  <w:style w:type="character" w:customStyle="1" w:styleId="69">
    <w:name w:val="标题 7 字符"/>
    <w:link w:val="9"/>
    <w:autoRedefine/>
    <w:qFormat/>
    <w:uiPriority w:val="0"/>
    <w:rPr>
      <w:rFonts w:ascii="Times New Roman" w:hAnsi="Times New Roman"/>
      <w:i/>
      <w:iCs/>
      <w:color w:val="000000"/>
      <w:kern w:val="2"/>
      <w:sz w:val="15"/>
      <w:szCs w:val="18"/>
    </w:rPr>
  </w:style>
  <w:style w:type="character" w:customStyle="1" w:styleId="70">
    <w:name w:val="标题 8 字符"/>
    <w:link w:val="10"/>
    <w:autoRedefine/>
    <w:qFormat/>
    <w:uiPriority w:val="0"/>
    <w:rPr>
      <w:rFonts w:ascii="Arial" w:hAnsi="Arial" w:eastAsia="黑体"/>
      <w:sz w:val="24"/>
    </w:rPr>
  </w:style>
  <w:style w:type="character" w:customStyle="1" w:styleId="71">
    <w:name w:val="标题 9 字符"/>
    <w:link w:val="11"/>
    <w:autoRedefine/>
    <w:qFormat/>
    <w:uiPriority w:val="0"/>
    <w:rPr>
      <w:rFonts w:ascii="Arial" w:hAnsi="Arial" w:eastAsia="黑体"/>
      <w:sz w:val="21"/>
    </w:rPr>
  </w:style>
  <w:style w:type="character" w:customStyle="1" w:styleId="72">
    <w:name w:val="正文缩进 字符"/>
    <w:link w:val="14"/>
    <w:autoRedefine/>
    <w:qFormat/>
    <w:uiPriority w:val="0"/>
    <w:rPr>
      <w:rFonts w:ascii="宋体" w:hAnsi="宋体" w:cs="宋体"/>
      <w:kern w:val="2"/>
      <w:sz w:val="28"/>
      <w:szCs w:val="24"/>
    </w:rPr>
  </w:style>
  <w:style w:type="character" w:customStyle="1" w:styleId="73">
    <w:name w:val="文档结构图 字符"/>
    <w:basedOn w:val="47"/>
    <w:link w:val="16"/>
    <w:autoRedefine/>
    <w:qFormat/>
    <w:uiPriority w:val="0"/>
    <w:rPr>
      <w:rFonts w:ascii="Times New Roman" w:hAnsi="Times New Roman" w:eastAsia="宋体" w:cs="Times New Roman"/>
      <w:kern w:val="2"/>
      <w:sz w:val="21"/>
      <w:szCs w:val="24"/>
      <w:shd w:val="clear" w:color="auto" w:fill="000080"/>
    </w:rPr>
  </w:style>
  <w:style w:type="character" w:customStyle="1" w:styleId="74">
    <w:name w:val="正文文本 3 字符"/>
    <w:basedOn w:val="47"/>
    <w:link w:val="19"/>
    <w:autoRedefine/>
    <w:qFormat/>
    <w:uiPriority w:val="0"/>
    <w:rPr>
      <w:rFonts w:eastAsia="仿宋"/>
      <w:kern w:val="2"/>
      <w:sz w:val="16"/>
      <w:szCs w:val="16"/>
    </w:rPr>
  </w:style>
  <w:style w:type="character" w:customStyle="1" w:styleId="75">
    <w:name w:val="正文文本 字符"/>
    <w:basedOn w:val="47"/>
    <w:link w:val="20"/>
    <w:autoRedefine/>
    <w:qFormat/>
    <w:uiPriority w:val="1"/>
    <w:rPr>
      <w:rFonts w:ascii="宋体" w:hAnsi="宋体" w:cs="宋体"/>
      <w:sz w:val="28"/>
      <w:szCs w:val="28"/>
      <w:lang w:val="zh-CN" w:bidi="zh-CN"/>
    </w:rPr>
  </w:style>
  <w:style w:type="character" w:customStyle="1" w:styleId="76">
    <w:name w:val="正文文本缩进 字符"/>
    <w:basedOn w:val="47"/>
    <w:link w:val="22"/>
    <w:autoRedefine/>
    <w:qFormat/>
    <w:uiPriority w:val="0"/>
    <w:rPr>
      <w:rFonts w:eastAsia="仿宋"/>
      <w:kern w:val="2"/>
      <w:sz w:val="28"/>
      <w:szCs w:val="24"/>
    </w:rPr>
  </w:style>
  <w:style w:type="character" w:customStyle="1" w:styleId="77">
    <w:name w:val="纯文本 字符"/>
    <w:basedOn w:val="47"/>
    <w:link w:val="25"/>
    <w:autoRedefine/>
    <w:qFormat/>
    <w:uiPriority w:val="0"/>
    <w:rPr>
      <w:rFonts w:ascii="宋体" w:hAnsi="宋体" w:eastAsia="宋体" w:cs="Times New Roman"/>
      <w:sz w:val="24"/>
    </w:rPr>
  </w:style>
  <w:style w:type="character" w:customStyle="1" w:styleId="78">
    <w:name w:val="日期 字符"/>
    <w:basedOn w:val="47"/>
    <w:link w:val="27"/>
    <w:autoRedefine/>
    <w:qFormat/>
    <w:uiPriority w:val="0"/>
    <w:rPr>
      <w:rFonts w:ascii="Times New Roman" w:hAnsi="Times New Roman" w:eastAsia="宋体" w:cs="Times New Roman"/>
      <w:kern w:val="2"/>
      <w:sz w:val="44"/>
    </w:rPr>
  </w:style>
  <w:style w:type="character" w:customStyle="1" w:styleId="79">
    <w:name w:val="正文文本缩进 2 字符"/>
    <w:basedOn w:val="47"/>
    <w:link w:val="28"/>
    <w:autoRedefine/>
    <w:qFormat/>
    <w:uiPriority w:val="0"/>
    <w:rPr>
      <w:rFonts w:ascii="仿宋_GB2312" w:hAnsi="Times New Roman" w:eastAsia="仿宋_GB2312" w:cs="Times New Roman"/>
      <w:kern w:val="2"/>
      <w:sz w:val="28"/>
    </w:rPr>
  </w:style>
  <w:style w:type="character" w:customStyle="1" w:styleId="80">
    <w:name w:val="批注框文本 字符"/>
    <w:basedOn w:val="47"/>
    <w:link w:val="29"/>
    <w:autoRedefine/>
    <w:semiHidden/>
    <w:qFormat/>
    <w:uiPriority w:val="99"/>
    <w:rPr>
      <w:rFonts w:eastAsia="仿宋_GB2312"/>
      <w:kern w:val="2"/>
      <w:sz w:val="18"/>
      <w:szCs w:val="18"/>
    </w:rPr>
  </w:style>
  <w:style w:type="character" w:customStyle="1" w:styleId="81">
    <w:name w:val="页脚 字符"/>
    <w:basedOn w:val="47"/>
    <w:link w:val="30"/>
    <w:autoRedefine/>
    <w:qFormat/>
    <w:uiPriority w:val="99"/>
    <w:rPr>
      <w:rFonts w:eastAsia="仿宋_GB2312"/>
      <w:kern w:val="2"/>
      <w:sz w:val="18"/>
      <w:szCs w:val="18"/>
    </w:rPr>
  </w:style>
  <w:style w:type="character" w:customStyle="1" w:styleId="82">
    <w:name w:val="页眉 字符"/>
    <w:basedOn w:val="47"/>
    <w:link w:val="31"/>
    <w:autoRedefine/>
    <w:qFormat/>
    <w:uiPriority w:val="0"/>
    <w:rPr>
      <w:rFonts w:eastAsia="仿宋_GB2312"/>
      <w:kern w:val="2"/>
      <w:sz w:val="18"/>
      <w:szCs w:val="18"/>
    </w:rPr>
  </w:style>
  <w:style w:type="character" w:customStyle="1" w:styleId="83">
    <w:name w:val="脚注文本 字符"/>
    <w:basedOn w:val="47"/>
    <w:link w:val="35"/>
    <w:autoRedefine/>
    <w:qFormat/>
    <w:uiPriority w:val="0"/>
    <w:rPr>
      <w:rFonts w:eastAsia="仿宋_GB2312"/>
      <w:kern w:val="2"/>
      <w:sz w:val="18"/>
      <w:szCs w:val="18"/>
    </w:rPr>
  </w:style>
  <w:style w:type="character" w:customStyle="1" w:styleId="84">
    <w:name w:val="正文文本缩进 3 字符"/>
    <w:basedOn w:val="47"/>
    <w:link w:val="37"/>
    <w:autoRedefine/>
    <w:qFormat/>
    <w:uiPriority w:val="0"/>
    <w:rPr>
      <w:rFonts w:ascii="Times New Roman" w:hAnsi="Times New Roman" w:eastAsia="宋体" w:cs="Times New Roman"/>
      <w:kern w:val="2"/>
      <w:sz w:val="24"/>
      <w:szCs w:val="24"/>
    </w:rPr>
  </w:style>
  <w:style w:type="character" w:customStyle="1" w:styleId="85">
    <w:name w:val="正文文本 2 字符"/>
    <w:basedOn w:val="47"/>
    <w:link w:val="40"/>
    <w:autoRedefine/>
    <w:qFormat/>
    <w:uiPriority w:val="0"/>
    <w:rPr>
      <w:rFonts w:ascii="Times New Roman" w:hAnsi="Times New Roman" w:eastAsia="宋体" w:cs="Times New Roman"/>
      <w:b/>
      <w:bCs/>
      <w:kern w:val="2"/>
      <w:sz w:val="24"/>
    </w:rPr>
  </w:style>
  <w:style w:type="character" w:customStyle="1" w:styleId="86">
    <w:name w:val="批注主题 字符"/>
    <w:basedOn w:val="62"/>
    <w:link w:val="42"/>
    <w:autoRedefine/>
    <w:semiHidden/>
    <w:qFormat/>
    <w:uiPriority w:val="0"/>
    <w:rPr>
      <w:rFonts w:ascii="Times New Roman" w:hAnsi="Times New Roman" w:eastAsia="仿宋_GB2312"/>
      <w:b/>
      <w:bCs/>
      <w:kern w:val="2"/>
      <w:sz w:val="28"/>
      <w:szCs w:val="24"/>
    </w:rPr>
  </w:style>
  <w:style w:type="character" w:customStyle="1" w:styleId="87">
    <w:name w:val="正文文本首行缩进 字符"/>
    <w:basedOn w:val="75"/>
    <w:link w:val="43"/>
    <w:autoRedefine/>
    <w:qFormat/>
    <w:uiPriority w:val="0"/>
    <w:rPr>
      <w:rFonts w:ascii="Calibri" w:hAnsi="Calibri" w:eastAsia="宋体" w:cs="Times New Roman"/>
      <w:kern w:val="2"/>
      <w:sz w:val="21"/>
      <w:szCs w:val="24"/>
      <w:lang w:val="zh-CN" w:bidi="zh-CN"/>
    </w:rPr>
  </w:style>
  <w:style w:type="character" w:customStyle="1" w:styleId="88">
    <w:name w:val="正文文本首行缩进 2 字符"/>
    <w:basedOn w:val="76"/>
    <w:link w:val="44"/>
    <w:autoRedefine/>
    <w:qFormat/>
    <w:uiPriority w:val="0"/>
    <w:rPr>
      <w:rFonts w:eastAsia="仿宋"/>
      <w:kern w:val="2"/>
      <w:sz w:val="28"/>
      <w:szCs w:val="24"/>
    </w:rPr>
  </w:style>
  <w:style w:type="paragraph" w:customStyle="1" w:styleId="89">
    <w:name w:val="z-窗体顶端1"/>
    <w:basedOn w:val="1"/>
    <w:next w:val="1"/>
    <w:autoRedefine/>
    <w:hidden/>
    <w:qFormat/>
    <w:uiPriority w:val="0"/>
    <w:pPr>
      <w:pBdr>
        <w:bottom w:val="single" w:color="auto" w:sz="6" w:space="1"/>
      </w:pBdr>
      <w:jc w:val="center"/>
    </w:pPr>
    <w:rPr>
      <w:rFonts w:ascii="Arial" w:hAnsi="Arial" w:cs="Arial"/>
      <w:vanish/>
      <w:sz w:val="16"/>
      <w:szCs w:val="16"/>
    </w:rPr>
  </w:style>
  <w:style w:type="paragraph" w:customStyle="1" w:styleId="90">
    <w:name w:val="z-窗体底端1"/>
    <w:basedOn w:val="1"/>
    <w:next w:val="1"/>
    <w:autoRedefine/>
    <w:hidden/>
    <w:qFormat/>
    <w:uiPriority w:val="0"/>
    <w:pPr>
      <w:pBdr>
        <w:top w:val="single" w:color="auto" w:sz="6" w:space="1"/>
      </w:pBdr>
      <w:jc w:val="center"/>
    </w:pPr>
    <w:rPr>
      <w:rFonts w:ascii="Arial" w:hAnsi="Arial" w:cs="Arial"/>
      <w:vanish/>
      <w:sz w:val="16"/>
      <w:szCs w:val="16"/>
    </w:rPr>
  </w:style>
  <w:style w:type="paragraph" w:customStyle="1" w:styleId="91">
    <w:name w:val="图表名称11"/>
    <w:autoRedefine/>
    <w:qFormat/>
    <w:uiPriority w:val="0"/>
    <w:pPr>
      <w:adjustRightInd w:val="0"/>
      <w:snapToGrid w:val="0"/>
      <w:spacing w:line="480" w:lineRule="exact"/>
      <w:jc w:val="center"/>
    </w:pPr>
    <w:rPr>
      <w:rFonts w:ascii="宋体" w:hAnsi="宋体" w:eastAsia="宋体" w:cs="Times New Roman"/>
      <w:bCs/>
      <w:sz w:val="24"/>
      <w:lang w:val="en-US" w:eastAsia="zh-CN" w:bidi="ar-SA"/>
    </w:rPr>
  </w:style>
  <w:style w:type="paragraph" w:customStyle="1" w:styleId="92">
    <w:name w:val="表内文字边11"/>
    <w:basedOn w:val="1"/>
    <w:autoRedefine/>
    <w:qFormat/>
    <w:uiPriority w:val="0"/>
    <w:pPr>
      <w:adjustRightInd w:val="0"/>
      <w:snapToGrid w:val="0"/>
      <w:spacing w:line="240" w:lineRule="atLeast"/>
      <w:ind w:left="-21" w:leftChars="-10" w:right="-42" w:rightChars="-20"/>
      <w:jc w:val="both"/>
    </w:pPr>
    <w:rPr>
      <w:rFonts w:hAnsi="Times New Roman" w:cs="Times New Roman"/>
      <w:sz w:val="21"/>
      <w:szCs w:val="21"/>
    </w:rPr>
  </w:style>
  <w:style w:type="paragraph" w:customStyle="1" w:styleId="93">
    <w:name w:val="正文缩11"/>
    <w:basedOn w:val="1"/>
    <w:autoRedefine/>
    <w:qFormat/>
    <w:uiPriority w:val="0"/>
    <w:pPr>
      <w:widowControl w:val="0"/>
      <w:adjustRightInd w:val="0"/>
      <w:snapToGrid w:val="0"/>
      <w:spacing w:line="480" w:lineRule="atLeast"/>
      <w:ind w:firstLine="567"/>
      <w:jc w:val="both"/>
      <w:textAlignment w:val="baseline"/>
    </w:pPr>
    <w:rPr>
      <w:rFonts w:hAnsi="Times New Roman" w:cs="Times New Roman"/>
      <w:color w:val="000080"/>
      <w:spacing w:val="6"/>
      <w:sz w:val="28"/>
      <w:szCs w:val="20"/>
    </w:rPr>
  </w:style>
  <w:style w:type="paragraph" w:customStyle="1" w:styleId="94">
    <w:name w:val="样式211"/>
    <w:basedOn w:val="1"/>
    <w:autoRedefine/>
    <w:qFormat/>
    <w:uiPriority w:val="0"/>
    <w:pPr>
      <w:widowControl w:val="0"/>
      <w:adjustRightInd w:val="0"/>
      <w:spacing w:line="360" w:lineRule="auto"/>
      <w:jc w:val="center"/>
      <w:textAlignment w:val="baseline"/>
      <w:outlineLvl w:val="0"/>
    </w:pPr>
    <w:rPr>
      <w:rFonts w:ascii="Times New Roman" w:hAnsi="Times New Roman" w:cs="Times New Roman"/>
      <w:sz w:val="21"/>
      <w:szCs w:val="20"/>
    </w:rPr>
  </w:style>
  <w:style w:type="paragraph" w:customStyle="1" w:styleId="95">
    <w:name w:val="默认段落字体 Para Char Char Char Char Char11"/>
    <w:basedOn w:val="1"/>
    <w:autoRedefine/>
    <w:qFormat/>
    <w:uiPriority w:val="0"/>
    <w:pPr>
      <w:widowControl w:val="0"/>
      <w:jc w:val="both"/>
    </w:pPr>
    <w:rPr>
      <w:rFonts w:ascii="Times New Roman" w:hAnsi="Times New Roman" w:cs="Times New Roman"/>
      <w:kern w:val="2"/>
      <w:sz w:val="21"/>
    </w:rPr>
  </w:style>
  <w:style w:type="paragraph" w:customStyle="1" w:styleId="96">
    <w:name w:val="表内宋5中31"/>
    <w:basedOn w:val="1"/>
    <w:autoRedefine/>
    <w:qFormat/>
    <w:uiPriority w:val="0"/>
    <w:pPr>
      <w:widowControl w:val="0"/>
      <w:adjustRightInd w:val="0"/>
      <w:snapToGrid w:val="0"/>
      <w:jc w:val="both"/>
      <w:textAlignment w:val="baseline"/>
    </w:pPr>
    <w:rPr>
      <w:rFonts w:ascii="Times New Roman" w:hAnsi="Times New Roman" w:cs="Times New Roman"/>
      <w:color w:val="000000"/>
      <w:sz w:val="21"/>
      <w:szCs w:val="20"/>
    </w:rPr>
  </w:style>
  <w:style w:type="paragraph" w:styleId="97">
    <w:name w:val="List Paragraph"/>
    <w:basedOn w:val="1"/>
    <w:autoRedefine/>
    <w:unhideWhenUsed/>
    <w:qFormat/>
    <w:uiPriority w:val="1"/>
    <w:pPr>
      <w:widowControl w:val="0"/>
      <w:ind w:firstLine="420" w:firstLineChars="200"/>
      <w:jc w:val="both"/>
    </w:pPr>
    <w:rPr>
      <w:rFonts w:ascii="Times New Roman" w:hAnsi="Times New Roman" w:eastAsia="仿宋_GB2312" w:cs="Times New Roman"/>
      <w:kern w:val="2"/>
      <w:sz w:val="28"/>
    </w:rPr>
  </w:style>
  <w:style w:type="paragraph" w:customStyle="1" w:styleId="98">
    <w:name w:val="Table Paragraph"/>
    <w:basedOn w:val="1"/>
    <w:autoRedefine/>
    <w:qFormat/>
    <w:uiPriority w:val="1"/>
    <w:pPr>
      <w:widowControl w:val="0"/>
      <w:autoSpaceDE w:val="0"/>
      <w:autoSpaceDN w:val="0"/>
      <w:jc w:val="center"/>
    </w:pPr>
    <w:rPr>
      <w:rFonts w:ascii="Times New Roman" w:hAnsi="Times New Roman" w:eastAsia="Times New Roman" w:cs="Times New Roman"/>
      <w:sz w:val="22"/>
      <w:szCs w:val="22"/>
      <w:lang w:val="zh-CN" w:bidi="zh-CN"/>
    </w:rPr>
  </w:style>
  <w:style w:type="table" w:customStyle="1" w:styleId="99">
    <w:name w:val="Table Normal"/>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0">
    <w:name w:val="Table Normal1"/>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1">
    <w:name w:val="Table Normal2"/>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2">
    <w:name w:val="Table Normal3"/>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
    <w:name w:val="Table Normal4"/>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4">
    <w:name w:val="Table Normal5"/>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0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表格 内部文字1"/>
    <w:link w:val="107"/>
    <w:autoRedefine/>
    <w:qFormat/>
    <w:uiPriority w:val="0"/>
    <w:pPr>
      <w:adjustRightInd w:val="0"/>
      <w:snapToGrid w:val="0"/>
      <w:jc w:val="center"/>
    </w:pPr>
    <w:rPr>
      <w:rFonts w:ascii="Times New Roman" w:hAnsi="Times New Roman" w:eastAsia="宋体" w:cs="Times New Roman"/>
      <w:color w:val="00B0F0"/>
      <w:lang w:val="en-US" w:eastAsia="zh-CN" w:bidi="ar-SA"/>
    </w:rPr>
  </w:style>
  <w:style w:type="character" w:customStyle="1" w:styleId="107">
    <w:name w:val="表格 内部文字1 字符"/>
    <w:link w:val="106"/>
    <w:autoRedefine/>
    <w:qFormat/>
    <w:uiPriority w:val="0"/>
    <w:rPr>
      <w:color w:val="00B0F0"/>
    </w:rPr>
  </w:style>
  <w:style w:type="table" w:customStyle="1" w:styleId="108">
    <w:name w:val="1111"/>
    <w:basedOn w:val="45"/>
    <w:autoRedefine/>
    <w:qFormat/>
    <w:uiPriority w:val="0"/>
    <w:pPr>
      <w:adjustRightInd w:val="0"/>
      <w:snapToGrid w:val="0"/>
      <w:spacing w:line="320" w:lineRule="exact"/>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09">
    <w:name w:val="Char Char Char Char"/>
    <w:basedOn w:val="1"/>
    <w:autoRedefine/>
    <w:qFormat/>
    <w:uiPriority w:val="0"/>
    <w:pPr>
      <w:widowControl w:val="0"/>
      <w:jc w:val="both"/>
    </w:pPr>
    <w:rPr>
      <w:rFonts w:ascii="Times New Roman" w:hAnsi="Times New Roman" w:cs="Times New Roman"/>
      <w:kern w:val="2"/>
    </w:rPr>
  </w:style>
  <w:style w:type="character" w:customStyle="1" w:styleId="110">
    <w:name w:val="font11"/>
    <w:basedOn w:val="47"/>
    <w:autoRedefine/>
    <w:qFormat/>
    <w:uiPriority w:val="0"/>
    <w:rPr>
      <w:rFonts w:ascii="宋体" w:hAnsi="宋体" w:cs="宋体"/>
      <w:sz w:val="18"/>
      <w:szCs w:val="18"/>
    </w:rPr>
  </w:style>
  <w:style w:type="character" w:customStyle="1" w:styleId="111">
    <w:name w:val="viewthreadtxt"/>
    <w:basedOn w:val="47"/>
    <w:autoRedefine/>
    <w:qFormat/>
    <w:uiPriority w:val="0"/>
    <w:rPr>
      <w:sz w:val="24"/>
      <w:szCs w:val="24"/>
    </w:rPr>
  </w:style>
  <w:style w:type="paragraph" w:customStyle="1" w:styleId="11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3">
    <w:name w:val="表头lcc"/>
    <w:basedOn w:val="1"/>
    <w:autoRedefine/>
    <w:qFormat/>
    <w:uiPriority w:val="0"/>
    <w:pPr>
      <w:widowControl w:val="0"/>
      <w:adjustRightInd w:val="0"/>
      <w:jc w:val="center"/>
      <w:textAlignment w:val="baseline"/>
    </w:pPr>
    <w:rPr>
      <w:rFonts w:ascii="Times New Roman" w:hAnsi="Times New Roman" w:cs="Times New Roman"/>
      <w:b/>
      <w:kern w:val="2"/>
      <w:sz w:val="21"/>
      <w:szCs w:val="21"/>
    </w:rPr>
  </w:style>
  <w:style w:type="paragraph" w:customStyle="1" w:styleId="114">
    <w:name w:val="表文-lcc"/>
    <w:basedOn w:val="1"/>
    <w:autoRedefine/>
    <w:qFormat/>
    <w:uiPriority w:val="0"/>
    <w:pPr>
      <w:widowControl w:val="0"/>
      <w:jc w:val="center"/>
    </w:pPr>
    <w:rPr>
      <w:rFonts w:ascii="Times New Roman" w:hAnsi="Times New Roman" w:cs="Times New Roman"/>
      <w:kern w:val="2"/>
      <w:sz w:val="21"/>
      <w:szCs w:val="21"/>
    </w:rPr>
  </w:style>
  <w:style w:type="character" w:customStyle="1" w:styleId="115">
    <w:name w:val="font112"/>
    <w:autoRedefine/>
    <w:qFormat/>
    <w:uiPriority w:val="0"/>
    <w:rPr>
      <w:rFonts w:hint="eastAsia" w:ascii="宋体" w:hAnsi="宋体" w:eastAsia="宋体" w:cs="宋体"/>
      <w:color w:val="000000"/>
      <w:sz w:val="21"/>
      <w:szCs w:val="21"/>
      <w:u w:val="none"/>
    </w:rPr>
  </w:style>
  <w:style w:type="paragraph" w:customStyle="1" w:styleId="116">
    <w:name w:val="Char"/>
    <w:basedOn w:val="1"/>
    <w:autoRedefine/>
    <w:qFormat/>
    <w:uiPriority w:val="0"/>
    <w:pPr>
      <w:widowControl w:val="0"/>
      <w:jc w:val="both"/>
    </w:pPr>
    <w:rPr>
      <w:rFonts w:ascii="Times New Roman" w:hAnsi="Times New Roman" w:cs="Times New Roman"/>
      <w:kern w:val="2"/>
    </w:rPr>
  </w:style>
  <w:style w:type="paragraph" w:customStyle="1" w:styleId="117">
    <w:name w:val="修订1"/>
    <w:autoRedefine/>
    <w:hidden/>
    <w:unhideWhenUsed/>
    <w:qFormat/>
    <w:uiPriority w:val="99"/>
    <w:rPr>
      <w:rFonts w:ascii="Times New Roman" w:hAnsi="Times New Roman" w:eastAsia="仿宋_GB2312" w:cs="Times New Roman"/>
      <w:kern w:val="2"/>
      <w:sz w:val="28"/>
      <w:szCs w:val="24"/>
      <w:lang w:val="en-US" w:eastAsia="zh-CN" w:bidi="ar-SA"/>
    </w:rPr>
  </w:style>
  <w:style w:type="paragraph" w:customStyle="1" w:styleId="118">
    <w:name w:val="表格文字"/>
    <w:basedOn w:val="1"/>
    <w:link w:val="119"/>
    <w:autoRedefine/>
    <w:qFormat/>
    <w:uiPriority w:val="0"/>
    <w:pPr>
      <w:widowControl w:val="0"/>
      <w:jc w:val="center"/>
    </w:pPr>
    <w:rPr>
      <w:rFonts w:ascii="仿宋_GB2312" w:hAnsi="Arial Black" w:eastAsia="仿宋_GB2312" w:cs="Times New Roman"/>
      <w:kern w:val="44"/>
      <w:szCs w:val="20"/>
    </w:rPr>
  </w:style>
  <w:style w:type="character" w:customStyle="1" w:styleId="119">
    <w:name w:val="表格文字 Char"/>
    <w:link w:val="118"/>
    <w:autoRedefine/>
    <w:qFormat/>
    <w:uiPriority w:val="0"/>
    <w:rPr>
      <w:rFonts w:ascii="仿宋_GB2312" w:hAnsi="Arial Black" w:eastAsia="仿宋_GB2312" w:cs="Times New Roman"/>
      <w:kern w:val="44"/>
      <w:sz w:val="24"/>
    </w:rPr>
  </w:style>
  <w:style w:type="character" w:customStyle="1" w:styleId="120">
    <w:name w:val="要点1"/>
    <w:autoRedefine/>
    <w:qFormat/>
    <w:uiPriority w:val="0"/>
    <w:rPr>
      <w:rFonts w:eastAsia="仿宋_GB2312"/>
      <w:bCs/>
      <w:sz w:val="24"/>
    </w:rPr>
  </w:style>
  <w:style w:type="character" w:styleId="121">
    <w:name w:val="Placeholder Text"/>
    <w:basedOn w:val="47"/>
    <w:autoRedefine/>
    <w:semiHidden/>
    <w:qFormat/>
    <w:uiPriority w:val="99"/>
    <w:rPr>
      <w:color w:val="808080"/>
    </w:rPr>
  </w:style>
  <w:style w:type="character" w:customStyle="1" w:styleId="122">
    <w:name w:val="fontstyle21"/>
    <w:autoRedefine/>
    <w:qFormat/>
    <w:uiPriority w:val="0"/>
    <w:rPr>
      <w:rFonts w:ascii="TimesNewRomanPSMT" w:hAnsi="TimesNewRomanPSMT" w:eastAsia="TimesNewRomanPSMT" w:cs="TimesNewRomanPSMT"/>
      <w:color w:val="000000"/>
      <w:sz w:val="24"/>
      <w:szCs w:val="24"/>
    </w:rPr>
  </w:style>
  <w:style w:type="character" w:customStyle="1" w:styleId="123">
    <w:name w:val="正文文本_"/>
    <w:link w:val="124"/>
    <w:autoRedefine/>
    <w:qFormat/>
    <w:uiPriority w:val="0"/>
    <w:rPr>
      <w:rFonts w:ascii="Times New Roman" w:hAnsi="Times New Roman" w:eastAsia="Times New Roman" w:cs="Times New Roman"/>
      <w:shd w:val="clear" w:color="auto" w:fill="FFFFFF"/>
    </w:rPr>
  </w:style>
  <w:style w:type="paragraph" w:customStyle="1" w:styleId="124">
    <w:name w:val="正文文本1"/>
    <w:basedOn w:val="1"/>
    <w:link w:val="123"/>
    <w:autoRedefine/>
    <w:qFormat/>
    <w:uiPriority w:val="0"/>
    <w:pPr>
      <w:widowControl w:val="0"/>
      <w:shd w:val="clear" w:color="auto" w:fill="FFFFFF"/>
      <w:jc w:val="both"/>
    </w:pPr>
    <w:rPr>
      <w:rFonts w:ascii="Times New Roman" w:hAnsi="Times New Roman" w:eastAsia="Times New Roman" w:cs="Times New Roman"/>
      <w:sz w:val="20"/>
      <w:szCs w:val="20"/>
    </w:rPr>
  </w:style>
  <w:style w:type="character" w:customStyle="1" w:styleId="125">
    <w:name w:val="正文文本 + 9 pt"/>
    <w:autoRedefine/>
    <w:qFormat/>
    <w:uiPriority w:val="0"/>
    <w:rPr>
      <w:rFonts w:ascii="Times New Roman" w:hAnsi="Times New Roman" w:eastAsia="Times New Roman" w:cs="Times New Roman"/>
      <w:color w:val="000000"/>
      <w:spacing w:val="0"/>
      <w:w w:val="100"/>
      <w:position w:val="0"/>
      <w:sz w:val="18"/>
      <w:szCs w:val="18"/>
      <w:u w:val="none"/>
      <w:lang w:val="en-US"/>
    </w:rPr>
  </w:style>
  <w:style w:type="character" w:customStyle="1" w:styleId="126">
    <w:name w:val="font01"/>
    <w:autoRedefine/>
    <w:qFormat/>
    <w:uiPriority w:val="0"/>
    <w:rPr>
      <w:rFonts w:hint="eastAsia" w:ascii="宋体" w:hAnsi="宋体" w:eastAsia="宋体" w:cs="宋体"/>
      <w:color w:val="000000"/>
      <w:sz w:val="22"/>
      <w:szCs w:val="22"/>
      <w:u w:val="none"/>
    </w:rPr>
  </w:style>
  <w:style w:type="character" w:customStyle="1" w:styleId="127">
    <w:name w:val="head121"/>
    <w:autoRedefine/>
    <w:qFormat/>
    <w:uiPriority w:val="0"/>
    <w:rPr>
      <w:rFonts w:ascii="宋体" w:hAnsi="宋体" w:cs="宋体"/>
      <w:sz w:val="22"/>
      <w:szCs w:val="22"/>
    </w:rPr>
  </w:style>
  <w:style w:type="character" w:customStyle="1" w:styleId="128">
    <w:name w:val="正文文本 + SimSun"/>
    <w:autoRedefine/>
    <w:qFormat/>
    <w:uiPriority w:val="0"/>
    <w:rPr>
      <w:rFonts w:ascii="宋体" w:hAnsi="宋体" w:eastAsia="宋体" w:cs="宋体"/>
      <w:color w:val="000000"/>
      <w:spacing w:val="0"/>
      <w:w w:val="100"/>
      <w:position w:val="0"/>
      <w:sz w:val="19"/>
      <w:szCs w:val="19"/>
      <w:u w:val="none"/>
      <w:lang w:val="zh-TW"/>
    </w:rPr>
  </w:style>
  <w:style w:type="character" w:customStyle="1" w:styleId="129">
    <w:name w:val="正文缩进 字符1"/>
    <w:autoRedefine/>
    <w:qFormat/>
    <w:uiPriority w:val="0"/>
    <w:rPr>
      <w:rFonts w:ascii="宋体" w:hAnsi="宋体" w:eastAsia="宋体" w:cs="宋体"/>
      <w:kern w:val="2"/>
      <w:sz w:val="28"/>
      <w:szCs w:val="24"/>
      <w:lang w:val="en-US" w:eastAsia="zh-CN" w:bidi="ar-SA"/>
    </w:rPr>
  </w:style>
  <w:style w:type="character" w:customStyle="1" w:styleId="130">
    <w:name w:val="apple-style-span"/>
    <w:basedOn w:val="47"/>
    <w:autoRedefine/>
    <w:qFormat/>
    <w:uiPriority w:val="0"/>
    <w:rPr>
      <w:rFonts w:ascii="宋体" w:hAnsi="宋体" w:cs="宋体"/>
      <w:sz w:val="24"/>
      <w:szCs w:val="24"/>
    </w:rPr>
  </w:style>
  <w:style w:type="character" w:customStyle="1" w:styleId="131">
    <w:name w:val="标题 4 字符1"/>
    <w:autoRedefine/>
    <w:qFormat/>
    <w:uiPriority w:val="0"/>
    <w:rPr>
      <w:rFonts w:ascii="Arial" w:hAnsi="Arial" w:eastAsia="黑体" w:cs="宋体"/>
      <w:b/>
      <w:bCs/>
      <w:kern w:val="2"/>
      <w:sz w:val="28"/>
      <w:szCs w:val="28"/>
      <w:lang w:val="en-US" w:eastAsia="zh-CN" w:bidi="ar-SA"/>
    </w:rPr>
  </w:style>
  <w:style w:type="character" w:customStyle="1" w:styleId="132">
    <w:name w:val="a12"/>
    <w:basedOn w:val="47"/>
    <w:autoRedefine/>
    <w:qFormat/>
    <w:uiPriority w:val="0"/>
    <w:rPr>
      <w:rFonts w:ascii="宋体" w:hAnsi="宋体" w:cs="宋体"/>
      <w:sz w:val="24"/>
      <w:szCs w:val="24"/>
    </w:rPr>
  </w:style>
  <w:style w:type="character" w:customStyle="1" w:styleId="133">
    <w:name w:val="font31"/>
    <w:autoRedefine/>
    <w:qFormat/>
    <w:uiPriority w:val="0"/>
    <w:rPr>
      <w:rFonts w:hint="eastAsia" w:ascii="MS PGothic" w:hAnsi="MS PGothic" w:eastAsia="MS PGothic" w:cs="MS PGothic"/>
      <w:color w:val="000000"/>
      <w:sz w:val="22"/>
      <w:szCs w:val="22"/>
      <w:u w:val="none"/>
    </w:rPr>
  </w:style>
  <w:style w:type="character" w:customStyle="1" w:styleId="134">
    <w:name w:val="fontborder"/>
    <w:autoRedefine/>
    <w:qFormat/>
    <w:uiPriority w:val="0"/>
    <w:rPr>
      <w:rFonts w:ascii="宋体" w:hAnsi="宋体" w:cs="宋体"/>
      <w:sz w:val="24"/>
      <w:szCs w:val="24"/>
      <w:bdr w:val="single" w:color="000000" w:sz="6" w:space="0"/>
    </w:rPr>
  </w:style>
  <w:style w:type="character" w:customStyle="1" w:styleId="135">
    <w:name w:val="ask-title"/>
    <w:basedOn w:val="47"/>
    <w:autoRedefine/>
    <w:qFormat/>
    <w:uiPriority w:val="0"/>
    <w:rPr>
      <w:rFonts w:ascii="宋体" w:hAnsi="宋体" w:cs="宋体"/>
      <w:sz w:val="24"/>
      <w:szCs w:val="24"/>
    </w:rPr>
  </w:style>
  <w:style w:type="character" w:customStyle="1" w:styleId="136">
    <w:name w:val="fontstrikethrough"/>
    <w:autoRedefine/>
    <w:qFormat/>
    <w:uiPriority w:val="0"/>
    <w:rPr>
      <w:rFonts w:ascii="宋体" w:hAnsi="宋体" w:cs="宋体"/>
      <w:strike/>
      <w:sz w:val="24"/>
      <w:szCs w:val="24"/>
    </w:rPr>
  </w:style>
  <w:style w:type="character" w:customStyle="1" w:styleId="137">
    <w:name w:val="line_group1"/>
    <w:autoRedefine/>
    <w:qFormat/>
    <w:uiPriority w:val="0"/>
    <w:rPr>
      <w:rFonts w:ascii="宋体" w:hAnsi="宋体" w:cs="宋体"/>
      <w:color w:val="000000"/>
      <w:sz w:val="18"/>
      <w:szCs w:val="18"/>
    </w:rPr>
  </w:style>
  <w:style w:type="character" w:customStyle="1" w:styleId="138">
    <w:name w:val="标题 3 字符1"/>
    <w:autoRedefine/>
    <w:qFormat/>
    <w:uiPriority w:val="0"/>
    <w:rPr>
      <w:rFonts w:ascii="宋体" w:hAnsi="宋体" w:eastAsia="宋体" w:cs="宋体"/>
      <w:b/>
      <w:bCs/>
      <w:kern w:val="2"/>
      <w:sz w:val="32"/>
      <w:szCs w:val="32"/>
      <w:lang w:val="en-US" w:eastAsia="zh-CN" w:bidi="ar-SA"/>
    </w:rPr>
  </w:style>
  <w:style w:type="character" w:customStyle="1" w:styleId="139">
    <w:name w:val="fontstyle01"/>
    <w:autoRedefine/>
    <w:qFormat/>
    <w:uiPriority w:val="0"/>
    <w:rPr>
      <w:rFonts w:ascii="宋体" w:hAnsi="宋体" w:eastAsia="宋体" w:cs="宋体"/>
      <w:color w:val="000000"/>
      <w:sz w:val="24"/>
      <w:szCs w:val="24"/>
    </w:rPr>
  </w:style>
  <w:style w:type="paragraph" w:customStyle="1" w:styleId="140">
    <w:name w:val="正文首行缩进 211"/>
    <w:basedOn w:val="22"/>
    <w:autoRedefine/>
    <w:qFormat/>
    <w:uiPriority w:val="0"/>
    <w:pPr>
      <w:ind w:firstLine="420" w:firstLineChars="200"/>
    </w:pPr>
    <w:rPr>
      <w:rFonts w:eastAsia="宋体"/>
      <w:sz w:val="21"/>
      <w:szCs w:val="20"/>
    </w:rPr>
  </w:style>
  <w:style w:type="paragraph" w:customStyle="1" w:styleId="141">
    <w:name w:val="zxz5"/>
    <w:next w:val="1"/>
    <w:autoRedefine/>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42">
    <w:name w:val="Char Char Char Char Char Char Char Char Char Char Char Char Char Char Char Char Char Char Char Char Char Char Char Char Char"/>
    <w:basedOn w:val="1"/>
    <w:autoRedefine/>
    <w:qFormat/>
    <w:uiPriority w:val="0"/>
    <w:pPr>
      <w:widowControl w:val="0"/>
      <w:jc w:val="both"/>
    </w:pPr>
    <w:rPr>
      <w:rFonts w:ascii="Times New Roman" w:hAnsi="Times New Roman" w:cs="Times New Roman"/>
      <w:kern w:val="2"/>
      <w:sz w:val="21"/>
    </w:rPr>
  </w:style>
  <w:style w:type="paragraph" w:customStyle="1" w:styleId="143">
    <w:name w:val="Char Char1 Char"/>
    <w:basedOn w:val="1"/>
    <w:autoRedefine/>
    <w:qFormat/>
    <w:uiPriority w:val="0"/>
    <w:pPr>
      <w:widowControl w:val="0"/>
      <w:jc w:val="both"/>
    </w:pPr>
    <w:rPr>
      <w:rFonts w:ascii="Times New Roman" w:hAnsi="Times New Roman" w:cs="Times New Roman"/>
      <w:kern w:val="2"/>
    </w:rPr>
  </w:style>
  <w:style w:type="paragraph" w:customStyle="1" w:styleId="144">
    <w:name w:val="Char Char1 Char Char Char Char Char Char Char Char Char Char Char Char Char Char Char Char Char Char Char Char1 Char"/>
    <w:basedOn w:val="1"/>
    <w:autoRedefine/>
    <w:qFormat/>
    <w:uiPriority w:val="0"/>
    <w:pPr>
      <w:widowControl w:val="0"/>
      <w:spacing w:line="360" w:lineRule="auto"/>
      <w:ind w:firstLine="200" w:firstLineChars="200"/>
      <w:jc w:val="both"/>
    </w:pPr>
    <w:rPr>
      <w:kern w:val="2"/>
    </w:rPr>
  </w:style>
  <w:style w:type="paragraph" w:customStyle="1" w:styleId="145">
    <w:name w:val="标题2"/>
    <w:basedOn w:val="1"/>
    <w:next w:val="1"/>
    <w:autoRedefine/>
    <w:qFormat/>
    <w:uiPriority w:val="0"/>
    <w:pPr>
      <w:widowControl w:val="0"/>
      <w:autoSpaceDE w:val="0"/>
      <w:autoSpaceDN w:val="0"/>
      <w:snapToGrid w:val="0"/>
      <w:spacing w:line="590" w:lineRule="atLeast"/>
      <w:jc w:val="center"/>
    </w:pPr>
    <w:rPr>
      <w:rFonts w:ascii="Times New Roman" w:hAnsi="Times New Roman" w:eastAsia="方正楷体_GBK" w:cs="Times New Roman"/>
      <w:sz w:val="32"/>
      <w:szCs w:val="20"/>
    </w:rPr>
  </w:style>
  <w:style w:type="paragraph" w:customStyle="1" w:styleId="146">
    <w:name w:val="5级标题"/>
    <w:basedOn w:val="1"/>
    <w:autoRedefine/>
    <w:qFormat/>
    <w:uiPriority w:val="0"/>
    <w:pPr>
      <w:widowControl w:val="0"/>
      <w:spacing w:line="360" w:lineRule="auto"/>
    </w:pPr>
    <w:rPr>
      <w:rFonts w:ascii="Times New Roman" w:hAnsi="Times New Roman" w:cs="Times New Roman"/>
      <w:kern w:val="2"/>
      <w:szCs w:val="22"/>
    </w:rPr>
  </w:style>
  <w:style w:type="paragraph" w:customStyle="1" w:styleId="147">
    <w:name w:val="xl23"/>
    <w:basedOn w:val="1"/>
    <w:autoRedefine/>
    <w:qFormat/>
    <w:uiPriority w:val="0"/>
    <w:pPr>
      <w:spacing w:before="100" w:beforeAutospacing="1" w:after="100" w:afterAutospacing="1"/>
      <w:jc w:val="center"/>
    </w:pPr>
    <w:rPr>
      <w:rFonts w:ascii="Arial Unicode MS" w:hAnsi="Arial Unicode MS" w:cs="Times New Roman"/>
      <w:b/>
      <w:sz w:val="21"/>
    </w:rPr>
  </w:style>
  <w:style w:type="paragraph" w:customStyle="1" w:styleId="148">
    <w:name w:val="样式1"/>
    <w:basedOn w:val="1"/>
    <w:autoRedefine/>
    <w:qFormat/>
    <w:uiPriority w:val="0"/>
    <w:pPr>
      <w:widowControl w:val="0"/>
      <w:jc w:val="both"/>
    </w:pPr>
    <w:rPr>
      <w:rFonts w:ascii="Times New Roman" w:hAnsi="Times New Roman" w:cs="Times New Roman"/>
      <w:kern w:val="2"/>
      <w:sz w:val="21"/>
      <w:szCs w:val="20"/>
    </w:rPr>
  </w:style>
  <w:style w:type="paragraph" w:customStyle="1" w:styleId="149">
    <w:name w:val="Char Char Char Char1 Char Char Char"/>
    <w:basedOn w:val="1"/>
    <w:autoRedefine/>
    <w:qFormat/>
    <w:uiPriority w:val="0"/>
    <w:pPr>
      <w:widowControl w:val="0"/>
      <w:jc w:val="both"/>
    </w:pPr>
    <w:rPr>
      <w:rFonts w:ascii="Times New Roman" w:hAnsi="Times New Roman" w:cs="Times New Roman"/>
      <w:kern w:val="2"/>
    </w:rPr>
  </w:style>
  <w:style w:type="paragraph" w:customStyle="1" w:styleId="150">
    <w:name w:val="表字1"/>
    <w:basedOn w:val="1"/>
    <w:autoRedefine/>
    <w:qFormat/>
    <w:uiPriority w:val="0"/>
    <w:pPr>
      <w:widowControl w:val="0"/>
      <w:adjustRightInd w:val="0"/>
      <w:spacing w:line="360" w:lineRule="auto"/>
      <w:jc w:val="center"/>
      <w:textAlignment w:val="baseline"/>
    </w:pPr>
    <w:rPr>
      <w:rFonts w:hAnsi="Times New Roman" w:cs="Times New Roman"/>
      <w:sz w:val="21"/>
    </w:rPr>
  </w:style>
  <w:style w:type="paragraph" w:customStyle="1" w:styleId="151">
    <w:name w:val="小四表文左齐"/>
    <w:basedOn w:val="1"/>
    <w:autoRedefine/>
    <w:qFormat/>
    <w:uiPriority w:val="0"/>
    <w:pPr>
      <w:widowControl w:val="0"/>
      <w:spacing w:line="360" w:lineRule="auto"/>
      <w:jc w:val="center"/>
    </w:pPr>
    <w:rPr>
      <w:rFonts w:cs="Times New Roman"/>
      <w:sz w:val="21"/>
    </w:rPr>
  </w:style>
  <w:style w:type="paragraph" w:customStyle="1" w:styleId="152">
    <w:name w:val="xl24"/>
    <w:basedOn w:val="1"/>
    <w:autoRedefine/>
    <w:qFormat/>
    <w:uiPriority w:val="0"/>
    <w:pPr>
      <w:spacing w:before="100" w:after="100"/>
      <w:jc w:val="center"/>
    </w:pPr>
    <w:rPr>
      <w:rFonts w:cs="Times New Roman"/>
      <w:szCs w:val="20"/>
    </w:rPr>
  </w:style>
  <w:style w:type="paragraph" w:customStyle="1" w:styleId="153">
    <w:name w:val="样式5"/>
    <w:basedOn w:val="1"/>
    <w:autoRedefine/>
    <w:qFormat/>
    <w:uiPriority w:val="0"/>
    <w:pPr>
      <w:widowControl w:val="0"/>
      <w:spacing w:before="156" w:beforeLines="50" w:after="156" w:afterLines="50" w:line="480" w:lineRule="exact"/>
      <w:ind w:firstLine="300" w:firstLineChars="100"/>
      <w:jc w:val="both"/>
    </w:pPr>
    <w:rPr>
      <w:rFonts w:ascii="Times New Roman" w:hAnsi="Times New Roman" w:eastAsia="仿宋_GB2312" w:cs="Times New Roman"/>
      <w:bCs/>
      <w:kern w:val="2"/>
      <w:sz w:val="30"/>
      <w:szCs w:val="20"/>
    </w:rPr>
  </w:style>
  <w:style w:type="paragraph" w:customStyle="1" w:styleId="154">
    <w:name w:val="表格"/>
    <w:basedOn w:val="1"/>
    <w:next w:val="1"/>
    <w:link w:val="155"/>
    <w:autoRedefine/>
    <w:qFormat/>
    <w:uiPriority w:val="0"/>
    <w:pPr>
      <w:widowControl w:val="0"/>
      <w:jc w:val="center"/>
    </w:pPr>
    <w:rPr>
      <w:rFonts w:ascii="Times New Roman" w:hAnsi="Times New Roman" w:cs="Times New Roman"/>
      <w:kern w:val="2"/>
    </w:rPr>
  </w:style>
  <w:style w:type="character" w:customStyle="1" w:styleId="155">
    <w:name w:val="表格 Char"/>
    <w:link w:val="154"/>
    <w:autoRedefine/>
    <w:qFormat/>
    <w:uiPriority w:val="0"/>
    <w:rPr>
      <w:rFonts w:ascii="Times New Roman" w:hAnsi="Times New Roman" w:eastAsia="宋体" w:cs="Times New Roman"/>
      <w:kern w:val="2"/>
      <w:sz w:val="24"/>
      <w:szCs w:val="24"/>
    </w:rPr>
  </w:style>
  <w:style w:type="paragraph" w:customStyle="1" w:styleId="156">
    <w:name w:val="Char Char1 Char Char Char Char"/>
    <w:basedOn w:val="1"/>
    <w:autoRedefine/>
    <w:qFormat/>
    <w:uiPriority w:val="0"/>
    <w:pPr>
      <w:widowControl w:val="0"/>
      <w:jc w:val="both"/>
    </w:pPr>
    <w:rPr>
      <w:rFonts w:ascii="Times New Roman" w:hAnsi="Times New Roman" w:cs="Times New Roman"/>
      <w:kern w:val="2"/>
    </w:rPr>
  </w:style>
  <w:style w:type="paragraph" w:customStyle="1" w:styleId="157">
    <w:name w:val="Char Char Char1 Char"/>
    <w:basedOn w:val="1"/>
    <w:autoRedefine/>
    <w:qFormat/>
    <w:uiPriority w:val="0"/>
    <w:pPr>
      <w:widowControl w:val="0"/>
      <w:jc w:val="both"/>
    </w:pPr>
    <w:rPr>
      <w:rFonts w:ascii="Times New Roman" w:hAnsi="Times New Roman" w:cs="Times New Roman"/>
      <w:kern w:val="2"/>
    </w:rPr>
  </w:style>
  <w:style w:type="paragraph" w:customStyle="1" w:styleId="158">
    <w:name w:val="列出段落1"/>
    <w:basedOn w:val="1"/>
    <w:autoRedefine/>
    <w:qFormat/>
    <w:uiPriority w:val="34"/>
    <w:pPr>
      <w:widowControl w:val="0"/>
      <w:ind w:firstLine="420" w:firstLineChars="200"/>
      <w:jc w:val="both"/>
    </w:pPr>
    <w:rPr>
      <w:rFonts w:ascii="Times New Roman" w:hAnsi="Times New Roman" w:cs="Times New Roman"/>
      <w:kern w:val="2"/>
      <w:sz w:val="21"/>
    </w:rPr>
  </w:style>
  <w:style w:type="paragraph" w:customStyle="1" w:styleId="159">
    <w:name w:val="1"/>
    <w:basedOn w:val="1"/>
    <w:next w:val="37"/>
    <w:autoRedefine/>
    <w:qFormat/>
    <w:uiPriority w:val="0"/>
    <w:pPr>
      <w:widowControl w:val="0"/>
      <w:tabs>
        <w:tab w:val="left" w:pos="604"/>
      </w:tabs>
      <w:spacing w:line="360" w:lineRule="auto"/>
      <w:ind w:firstLine="600"/>
      <w:jc w:val="both"/>
    </w:pPr>
    <w:rPr>
      <w:rFonts w:ascii="Times New Roman" w:hAnsi="Times New Roman" w:cs="Times New Roman"/>
      <w:kern w:val="2"/>
    </w:rPr>
  </w:style>
  <w:style w:type="paragraph" w:customStyle="1" w:styleId="160">
    <w:name w:val="默认段落字体 Para Char Char Char Char"/>
    <w:basedOn w:val="1"/>
    <w:autoRedefine/>
    <w:qFormat/>
    <w:uiPriority w:val="0"/>
    <w:pPr>
      <w:widowControl w:val="0"/>
      <w:jc w:val="both"/>
    </w:pPr>
    <w:rPr>
      <w:rFonts w:ascii="Times New Roman" w:hAnsi="Times New Roman" w:cs="Times New Roman"/>
      <w:kern w:val="2"/>
    </w:rPr>
  </w:style>
  <w:style w:type="paragraph" w:customStyle="1" w:styleId="161">
    <w:name w:val="Body Text 21"/>
    <w:basedOn w:val="1"/>
    <w:autoRedefine/>
    <w:qFormat/>
    <w:uiPriority w:val="0"/>
    <w:pPr>
      <w:widowControl w:val="0"/>
      <w:adjustRightInd w:val="0"/>
      <w:jc w:val="both"/>
      <w:textAlignment w:val="baseline"/>
    </w:pPr>
    <w:rPr>
      <w:rFonts w:ascii="Times New Roman" w:hAnsi="Times New Roman" w:eastAsia="仿宋体" w:cs="Times New Roman"/>
      <w:kern w:val="2"/>
      <w:szCs w:val="20"/>
    </w:rPr>
  </w:style>
  <w:style w:type="paragraph" w:customStyle="1" w:styleId="162">
    <w:name w:val="表格内文字 Char"/>
    <w:basedOn w:val="1"/>
    <w:autoRedefine/>
    <w:qFormat/>
    <w:uiPriority w:val="0"/>
    <w:pPr>
      <w:widowControl w:val="0"/>
      <w:kinsoku w:val="0"/>
      <w:wordWrap w:val="0"/>
      <w:overflowPunct w:val="0"/>
      <w:spacing w:line="360" w:lineRule="exact"/>
      <w:jc w:val="center"/>
    </w:pPr>
    <w:rPr>
      <w:rFonts w:cs="Times New Roman"/>
      <w:snapToGrid w:val="0"/>
      <w:sz w:val="21"/>
      <w:szCs w:val="20"/>
    </w:rPr>
  </w:style>
  <w:style w:type="paragraph" w:customStyle="1" w:styleId="163">
    <w:name w:val="默认段落字体 Para Char"/>
    <w:basedOn w:val="1"/>
    <w:autoRedefine/>
    <w:qFormat/>
    <w:uiPriority w:val="0"/>
    <w:pPr>
      <w:widowControl w:val="0"/>
      <w:jc w:val="both"/>
    </w:pPr>
    <w:rPr>
      <w:rFonts w:ascii="Times New Roman" w:hAnsi="Times New Roman" w:cs="Times New Roman"/>
      <w:kern w:val="2"/>
    </w:rPr>
  </w:style>
  <w:style w:type="paragraph" w:customStyle="1" w:styleId="164">
    <w:name w:val="样式4"/>
    <w:basedOn w:val="1"/>
    <w:autoRedefine/>
    <w:qFormat/>
    <w:uiPriority w:val="0"/>
    <w:pPr>
      <w:widowControl w:val="0"/>
      <w:spacing w:before="156" w:beforeLines="50" w:after="156" w:afterLines="50" w:line="480" w:lineRule="exact"/>
      <w:jc w:val="both"/>
    </w:pPr>
    <w:rPr>
      <w:rFonts w:ascii="Times New Roman" w:hAnsi="Times New Roman" w:eastAsia="黑体" w:cs="Times New Roman"/>
      <w:bCs/>
      <w:kern w:val="2"/>
      <w:sz w:val="28"/>
      <w:szCs w:val="20"/>
    </w:rPr>
  </w:style>
  <w:style w:type="paragraph" w:customStyle="1" w:styleId="165">
    <w:name w:val="表题"/>
    <w:basedOn w:val="34"/>
    <w:autoRedefine/>
    <w:qFormat/>
    <w:uiPriority w:val="0"/>
    <w:pPr>
      <w:spacing w:before="156" w:beforeLines="50" w:line="480" w:lineRule="exact"/>
      <w:ind w:left="0" w:firstLine="0" w:firstLineChars="0"/>
      <w:jc w:val="center"/>
    </w:pPr>
    <w:rPr>
      <w:rFonts w:eastAsia="黑体"/>
      <w:sz w:val="28"/>
    </w:rPr>
  </w:style>
  <w:style w:type="character" w:customStyle="1" w:styleId="166">
    <w:name w:val="font21"/>
    <w:autoRedefine/>
    <w:qFormat/>
    <w:uiPriority w:val="0"/>
    <w:rPr>
      <w:rFonts w:hint="default" w:ascii="Times New Roman" w:hAnsi="Times New Roman" w:cs="Times New Roman"/>
      <w:b/>
      <w:color w:val="000000"/>
      <w:sz w:val="18"/>
      <w:szCs w:val="18"/>
      <w:u w:val="none"/>
    </w:rPr>
  </w:style>
  <w:style w:type="character" w:customStyle="1" w:styleId="167">
    <w:name w:val="font51"/>
    <w:autoRedefine/>
    <w:qFormat/>
    <w:uiPriority w:val="0"/>
    <w:rPr>
      <w:rFonts w:hint="default" w:ascii="Times New Roman" w:hAnsi="Times New Roman" w:cs="Times New Roman"/>
      <w:b/>
      <w:color w:val="000000"/>
      <w:sz w:val="18"/>
      <w:szCs w:val="18"/>
      <w:u w:val="none"/>
      <w:vertAlign w:val="superscript"/>
    </w:rPr>
  </w:style>
  <w:style w:type="paragraph" w:customStyle="1" w:styleId="168">
    <w:name w:val="正文首行缩进 21"/>
    <w:basedOn w:val="22"/>
    <w:autoRedefine/>
    <w:qFormat/>
    <w:uiPriority w:val="0"/>
    <w:pPr>
      <w:ind w:firstLine="420" w:firstLineChars="200"/>
    </w:pPr>
    <w:rPr>
      <w:rFonts w:eastAsia="宋体"/>
      <w:sz w:val="21"/>
      <w:szCs w:val="20"/>
    </w:rPr>
  </w:style>
  <w:style w:type="paragraph" w:customStyle="1" w:styleId="169">
    <w:name w:val="正文首行缩进1"/>
    <w:basedOn w:val="20"/>
    <w:autoRedefine/>
    <w:qFormat/>
    <w:uiPriority w:val="0"/>
    <w:pPr>
      <w:autoSpaceDE/>
      <w:autoSpaceDN/>
      <w:spacing w:after="120"/>
      <w:ind w:firstLine="420" w:firstLineChars="100"/>
      <w:jc w:val="both"/>
    </w:pPr>
    <w:rPr>
      <w:rFonts w:ascii="Times New Roman" w:hAnsi="Times New Roman" w:cs="Times New Roman"/>
      <w:kern w:val="2"/>
      <w:sz w:val="21"/>
      <w:szCs w:val="20"/>
      <w:lang w:val="en-US" w:bidi="ar-SA"/>
    </w:rPr>
  </w:style>
  <w:style w:type="paragraph" w:customStyle="1" w:styleId="170">
    <w:name w:val="列出段落11"/>
    <w:basedOn w:val="1"/>
    <w:autoRedefine/>
    <w:qFormat/>
    <w:uiPriority w:val="34"/>
    <w:pPr>
      <w:widowControl w:val="0"/>
      <w:ind w:firstLine="420" w:firstLineChars="200"/>
      <w:jc w:val="both"/>
    </w:pPr>
    <w:rPr>
      <w:rFonts w:ascii="Times New Roman" w:hAnsi="Times New Roman" w:cs="Times New Roman"/>
      <w:kern w:val="2"/>
      <w:sz w:val="21"/>
    </w:rPr>
  </w:style>
  <w:style w:type="paragraph" w:customStyle="1" w:styleId="171">
    <w:name w:val="常用正文样式"/>
    <w:basedOn w:val="1"/>
    <w:autoRedefine/>
    <w:qFormat/>
    <w:uiPriority w:val="0"/>
    <w:pPr>
      <w:widowControl w:val="0"/>
      <w:spacing w:line="360" w:lineRule="auto"/>
      <w:ind w:firstLine="480" w:firstLineChars="200"/>
      <w:jc w:val="both"/>
    </w:pPr>
    <w:rPr>
      <w:rFonts w:eastAsia="仿宋_GB2312"/>
      <w:bCs/>
      <w:kern w:val="28"/>
    </w:rPr>
  </w:style>
  <w:style w:type="character" w:customStyle="1" w:styleId="172">
    <w:name w:val="font71"/>
    <w:autoRedefine/>
    <w:qFormat/>
    <w:uiPriority w:val="0"/>
    <w:rPr>
      <w:rFonts w:hint="default" w:ascii="Times New Roman" w:hAnsi="Times New Roman" w:cs="Times New Roman"/>
      <w:b/>
      <w:color w:val="000000"/>
      <w:sz w:val="21"/>
      <w:szCs w:val="21"/>
      <w:u w:val="none"/>
    </w:rPr>
  </w:style>
  <w:style w:type="paragraph" w:customStyle="1" w:styleId="173">
    <w:name w:val="列表段落1"/>
    <w:basedOn w:val="1"/>
    <w:autoRedefine/>
    <w:qFormat/>
    <w:uiPriority w:val="0"/>
    <w:pPr>
      <w:widowControl w:val="0"/>
      <w:ind w:firstLine="420" w:firstLineChars="200"/>
      <w:jc w:val="both"/>
    </w:pPr>
    <w:rPr>
      <w:rFonts w:ascii="Times New Roman" w:hAnsi="Times New Roman" w:cs="Times New Roman"/>
      <w:kern w:val="2"/>
      <w:sz w:val="21"/>
      <w:szCs w:val="20"/>
    </w:rPr>
  </w:style>
  <w:style w:type="character" w:customStyle="1" w:styleId="174">
    <w:name w:val="标题 1 字符1"/>
    <w:basedOn w:val="47"/>
    <w:autoRedefine/>
    <w:qFormat/>
    <w:uiPriority w:val="0"/>
    <w:rPr>
      <w:rFonts w:eastAsia="仿宋_GB2312"/>
      <w:b/>
      <w:bCs/>
      <w:kern w:val="44"/>
      <w:sz w:val="44"/>
      <w:szCs w:val="44"/>
    </w:rPr>
  </w:style>
  <w:style w:type="character" w:customStyle="1" w:styleId="175">
    <w:name w:val="标题 2 字符1"/>
    <w:basedOn w:val="47"/>
    <w:autoRedefine/>
    <w:semiHidden/>
    <w:qFormat/>
    <w:uiPriority w:val="0"/>
    <w:rPr>
      <w:rFonts w:asciiTheme="majorHAnsi" w:hAnsiTheme="majorHAnsi" w:eastAsiaTheme="majorEastAsia" w:cstheme="majorBidi"/>
      <w:b/>
      <w:bCs/>
      <w:kern w:val="2"/>
      <w:sz w:val="32"/>
      <w:szCs w:val="32"/>
    </w:rPr>
  </w:style>
  <w:style w:type="character" w:customStyle="1" w:styleId="176">
    <w:name w:val="标题 5 字符1"/>
    <w:basedOn w:val="47"/>
    <w:autoRedefine/>
    <w:semiHidden/>
    <w:qFormat/>
    <w:uiPriority w:val="0"/>
    <w:rPr>
      <w:rFonts w:eastAsia="仿宋_GB2312"/>
      <w:b/>
      <w:bCs/>
      <w:kern w:val="2"/>
      <w:sz w:val="28"/>
      <w:szCs w:val="28"/>
    </w:rPr>
  </w:style>
  <w:style w:type="character" w:customStyle="1" w:styleId="177">
    <w:name w:val="标题 6 字符1"/>
    <w:basedOn w:val="47"/>
    <w:autoRedefine/>
    <w:semiHidden/>
    <w:qFormat/>
    <w:uiPriority w:val="0"/>
    <w:rPr>
      <w:rFonts w:asciiTheme="majorHAnsi" w:hAnsiTheme="majorHAnsi" w:eastAsiaTheme="majorEastAsia" w:cstheme="majorBidi"/>
      <w:b/>
      <w:bCs/>
      <w:kern w:val="2"/>
      <w:sz w:val="24"/>
      <w:szCs w:val="24"/>
    </w:rPr>
  </w:style>
  <w:style w:type="paragraph" w:customStyle="1" w:styleId="178">
    <w:name w:val="msonormal"/>
    <w:basedOn w:val="1"/>
    <w:autoRedefine/>
    <w:qFormat/>
    <w:uiPriority w:val="0"/>
    <w:pPr>
      <w:spacing w:before="100" w:beforeAutospacing="1" w:after="100" w:afterAutospacing="1"/>
    </w:pPr>
  </w:style>
  <w:style w:type="character" w:customStyle="1" w:styleId="179">
    <w:name w:val="标题 7 字符1"/>
    <w:basedOn w:val="47"/>
    <w:autoRedefine/>
    <w:semiHidden/>
    <w:qFormat/>
    <w:uiPriority w:val="0"/>
    <w:rPr>
      <w:rFonts w:eastAsia="仿宋_GB2312"/>
      <w:b/>
      <w:bCs/>
      <w:kern w:val="2"/>
      <w:sz w:val="24"/>
      <w:szCs w:val="24"/>
    </w:rPr>
  </w:style>
  <w:style w:type="character" w:customStyle="1" w:styleId="180">
    <w:name w:val="标题 8 字符1"/>
    <w:basedOn w:val="47"/>
    <w:autoRedefine/>
    <w:semiHidden/>
    <w:qFormat/>
    <w:uiPriority w:val="0"/>
    <w:rPr>
      <w:rFonts w:asciiTheme="majorHAnsi" w:hAnsiTheme="majorHAnsi" w:eastAsiaTheme="majorEastAsia" w:cstheme="majorBidi"/>
      <w:kern w:val="2"/>
      <w:sz w:val="24"/>
      <w:szCs w:val="24"/>
    </w:rPr>
  </w:style>
  <w:style w:type="character" w:customStyle="1" w:styleId="181">
    <w:name w:val="标题 9 字符1"/>
    <w:basedOn w:val="47"/>
    <w:autoRedefine/>
    <w:semiHidden/>
    <w:qFormat/>
    <w:uiPriority w:val="0"/>
    <w:rPr>
      <w:rFonts w:asciiTheme="majorHAnsi" w:hAnsiTheme="majorHAnsi" w:eastAsiaTheme="majorEastAsia" w:cstheme="majorBidi"/>
      <w:kern w:val="2"/>
      <w:sz w:val="21"/>
      <w:szCs w:val="21"/>
    </w:rPr>
  </w:style>
  <w:style w:type="paragraph" w:customStyle="1" w:styleId="182">
    <w:name w:val="修订2"/>
    <w:autoRedefine/>
    <w:semiHidden/>
    <w:qFormat/>
    <w:uiPriority w:val="99"/>
    <w:rPr>
      <w:rFonts w:ascii="Times New Roman" w:hAnsi="Times New Roman" w:eastAsia="仿宋_GB2312" w:cs="Times New Roman"/>
      <w:kern w:val="2"/>
      <w:sz w:val="28"/>
      <w:szCs w:val="24"/>
      <w:lang w:val="en-US" w:eastAsia="zh-CN" w:bidi="ar-SA"/>
    </w:rPr>
  </w:style>
  <w:style w:type="paragraph" w:customStyle="1" w:styleId="183">
    <w:name w:val="z-窗体顶端2"/>
    <w:basedOn w:val="1"/>
    <w:next w:val="1"/>
    <w:link w:val="184"/>
    <w:autoRedefine/>
    <w:semiHidden/>
    <w:unhideWhenUsed/>
    <w:qFormat/>
    <w:uiPriority w:val="0"/>
    <w:pPr>
      <w:widowControl w:val="0"/>
      <w:pBdr>
        <w:bottom w:val="single" w:color="auto" w:sz="6" w:space="1"/>
      </w:pBdr>
      <w:jc w:val="center"/>
    </w:pPr>
    <w:rPr>
      <w:rFonts w:ascii="Arial" w:hAnsi="Arial" w:eastAsia="仿宋_GB2312" w:cs="Arial"/>
      <w:vanish/>
      <w:kern w:val="2"/>
      <w:sz w:val="16"/>
      <w:szCs w:val="16"/>
    </w:rPr>
  </w:style>
  <w:style w:type="character" w:customStyle="1" w:styleId="184">
    <w:name w:val="z-窗体顶端 字符"/>
    <w:basedOn w:val="47"/>
    <w:link w:val="183"/>
    <w:autoRedefine/>
    <w:semiHidden/>
    <w:qFormat/>
    <w:uiPriority w:val="0"/>
    <w:rPr>
      <w:rFonts w:ascii="Arial" w:hAnsi="Arial" w:eastAsia="仿宋_GB2312" w:cs="Arial"/>
      <w:vanish/>
      <w:kern w:val="2"/>
      <w:sz w:val="16"/>
      <w:szCs w:val="16"/>
    </w:rPr>
  </w:style>
  <w:style w:type="paragraph" w:customStyle="1" w:styleId="185">
    <w:name w:val="z-窗体底端2"/>
    <w:basedOn w:val="1"/>
    <w:next w:val="1"/>
    <w:link w:val="186"/>
    <w:autoRedefine/>
    <w:semiHidden/>
    <w:unhideWhenUsed/>
    <w:qFormat/>
    <w:uiPriority w:val="0"/>
    <w:pPr>
      <w:widowControl w:val="0"/>
      <w:pBdr>
        <w:top w:val="single" w:color="auto" w:sz="6" w:space="1"/>
      </w:pBdr>
      <w:jc w:val="center"/>
    </w:pPr>
    <w:rPr>
      <w:rFonts w:ascii="Arial" w:hAnsi="Arial" w:eastAsia="仿宋_GB2312" w:cs="Arial"/>
      <w:vanish/>
      <w:kern w:val="2"/>
      <w:sz w:val="16"/>
      <w:szCs w:val="16"/>
    </w:rPr>
  </w:style>
  <w:style w:type="character" w:customStyle="1" w:styleId="186">
    <w:name w:val="z-窗体底端 字符"/>
    <w:basedOn w:val="47"/>
    <w:link w:val="185"/>
    <w:autoRedefine/>
    <w:semiHidden/>
    <w:qFormat/>
    <w:uiPriority w:val="0"/>
    <w:rPr>
      <w:rFonts w:ascii="Arial" w:hAnsi="Arial" w:eastAsia="仿宋_GB2312" w:cs="Arial"/>
      <w:vanish/>
      <w:kern w:val="2"/>
      <w:sz w:val="16"/>
      <w:szCs w:val="16"/>
    </w:rPr>
  </w:style>
  <w:style w:type="paragraph" w:customStyle="1" w:styleId="187">
    <w:name w:val="表内"/>
    <w:autoRedefine/>
    <w:qFormat/>
    <w:uiPriority w:val="0"/>
    <w:pPr>
      <w:adjustRightInd w:val="0"/>
      <w:snapToGrid w:val="0"/>
      <w:ind w:left="-105" w:leftChars="-50" w:right="-105" w:rightChars="-50"/>
      <w:jc w:val="center"/>
    </w:pPr>
    <w:rPr>
      <w:rFonts w:ascii="Times New Roman" w:hAnsi="Times New Roman" w:eastAsia="宋体" w:cs="Times New Roman"/>
      <w:sz w:val="21"/>
      <w:szCs w:val="22"/>
      <w:lang w:val="en-US" w:eastAsia="zh-CN" w:bidi="ar-SA"/>
    </w:rPr>
  </w:style>
  <w:style w:type="character" w:customStyle="1" w:styleId="188">
    <w:name w:val="z-窗体底端 字符1"/>
    <w:basedOn w:val="47"/>
    <w:autoRedefine/>
    <w:semiHidden/>
    <w:qFormat/>
    <w:uiPriority w:val="99"/>
    <w:rPr>
      <w:rFonts w:ascii="Arial" w:hAnsi="Arial" w:eastAsia="仿宋_GB2312" w:cs="Arial"/>
      <w:vanish/>
      <w:kern w:val="2"/>
      <w:sz w:val="16"/>
      <w:szCs w:val="16"/>
    </w:rPr>
  </w:style>
  <w:style w:type="character" w:customStyle="1" w:styleId="189">
    <w:name w:val="z-窗体顶端 字符1"/>
    <w:basedOn w:val="47"/>
    <w:autoRedefine/>
    <w:semiHidden/>
    <w:qFormat/>
    <w:uiPriority w:val="99"/>
    <w:rPr>
      <w:rFonts w:ascii="Arial" w:hAnsi="Arial" w:eastAsia="仿宋_GB2312" w:cs="Arial"/>
      <w:vanish/>
      <w:kern w:val="2"/>
      <w:sz w:val="16"/>
      <w:szCs w:val="16"/>
    </w:rPr>
  </w:style>
  <w:style w:type="character" w:customStyle="1" w:styleId="190">
    <w:name w:val="z-窗体底端 字符2"/>
    <w:basedOn w:val="47"/>
    <w:autoRedefine/>
    <w:semiHidden/>
    <w:qFormat/>
    <w:uiPriority w:val="0"/>
    <w:rPr>
      <w:rFonts w:ascii="Arial" w:hAnsi="Arial" w:eastAsia="仿宋_GB2312" w:cs="Arial"/>
      <w:vanish/>
      <w:kern w:val="2"/>
      <w:sz w:val="16"/>
      <w:szCs w:val="16"/>
    </w:rPr>
  </w:style>
  <w:style w:type="character" w:customStyle="1" w:styleId="191">
    <w:name w:val="z-窗体顶端 字符2"/>
    <w:basedOn w:val="47"/>
    <w:autoRedefine/>
    <w:semiHidden/>
    <w:qFormat/>
    <w:uiPriority w:val="0"/>
    <w:rPr>
      <w:rFonts w:ascii="Arial" w:hAnsi="Arial" w:eastAsia="仿宋_GB2312" w:cs="Arial"/>
      <w:vanish/>
      <w:kern w:val="2"/>
      <w:sz w:val="16"/>
      <w:szCs w:val="16"/>
    </w:rPr>
  </w:style>
  <w:style w:type="character" w:customStyle="1" w:styleId="192">
    <w:name w:val="z-窗体底端 字符3"/>
    <w:basedOn w:val="47"/>
    <w:autoRedefine/>
    <w:semiHidden/>
    <w:qFormat/>
    <w:uiPriority w:val="0"/>
    <w:rPr>
      <w:rFonts w:ascii="Arial" w:hAnsi="Arial" w:eastAsia="仿宋_GB2312" w:cs="Arial"/>
      <w:vanish/>
      <w:kern w:val="2"/>
      <w:sz w:val="16"/>
      <w:szCs w:val="16"/>
    </w:rPr>
  </w:style>
  <w:style w:type="character" w:customStyle="1" w:styleId="193">
    <w:name w:val="z-窗体顶端 字符3"/>
    <w:basedOn w:val="47"/>
    <w:autoRedefine/>
    <w:semiHidden/>
    <w:qFormat/>
    <w:uiPriority w:val="0"/>
    <w:rPr>
      <w:rFonts w:ascii="Arial" w:hAnsi="Arial" w:eastAsia="仿宋_GB2312" w:cs="Arial"/>
      <w:vanish/>
      <w:kern w:val="2"/>
      <w:sz w:val="16"/>
      <w:szCs w:val="16"/>
    </w:rPr>
  </w:style>
  <w:style w:type="character" w:customStyle="1" w:styleId="194">
    <w:name w:val="z-窗体底端 字符4"/>
    <w:basedOn w:val="47"/>
    <w:autoRedefine/>
    <w:semiHidden/>
    <w:qFormat/>
    <w:uiPriority w:val="0"/>
    <w:rPr>
      <w:rFonts w:ascii="Arial" w:hAnsi="Arial" w:eastAsia="仿宋_GB2312" w:cs="Arial"/>
      <w:vanish/>
      <w:kern w:val="2"/>
      <w:sz w:val="16"/>
      <w:szCs w:val="16"/>
    </w:rPr>
  </w:style>
  <w:style w:type="character" w:customStyle="1" w:styleId="195">
    <w:name w:val="z-窗体顶端 字符4"/>
    <w:basedOn w:val="47"/>
    <w:autoRedefine/>
    <w:semiHidden/>
    <w:qFormat/>
    <w:uiPriority w:val="0"/>
    <w:rPr>
      <w:rFonts w:ascii="Arial" w:hAnsi="Arial" w:eastAsia="仿宋_GB2312" w:cs="Arial"/>
      <w:vanish/>
      <w:kern w:val="2"/>
      <w:sz w:val="16"/>
      <w:szCs w:val="16"/>
    </w:rPr>
  </w:style>
  <w:style w:type="paragraph" w:customStyle="1" w:styleId="196">
    <w:name w:val="font5"/>
    <w:basedOn w:val="1"/>
    <w:autoRedefine/>
    <w:qFormat/>
    <w:uiPriority w:val="0"/>
    <w:pPr>
      <w:spacing w:before="100" w:beforeAutospacing="1" w:after="100" w:afterAutospacing="1"/>
    </w:pPr>
    <w:rPr>
      <w:rFonts w:ascii="等线" w:hAnsi="等线" w:eastAsia="等线"/>
      <w:sz w:val="18"/>
      <w:szCs w:val="18"/>
    </w:rPr>
  </w:style>
  <w:style w:type="paragraph" w:customStyle="1" w:styleId="197">
    <w:name w:val="font6"/>
    <w:basedOn w:val="1"/>
    <w:autoRedefine/>
    <w:qFormat/>
    <w:uiPriority w:val="0"/>
    <w:pPr>
      <w:spacing w:before="100" w:beforeAutospacing="1" w:after="100" w:afterAutospacing="1"/>
    </w:pPr>
    <w:rPr>
      <w:color w:val="000000"/>
      <w:sz w:val="21"/>
      <w:szCs w:val="21"/>
    </w:rPr>
  </w:style>
  <w:style w:type="paragraph" w:customStyle="1" w:styleId="198">
    <w:name w:val="font7"/>
    <w:basedOn w:val="1"/>
    <w:autoRedefine/>
    <w:qFormat/>
    <w:uiPriority w:val="0"/>
    <w:pPr>
      <w:spacing w:before="100" w:beforeAutospacing="1" w:after="100" w:afterAutospacing="1"/>
    </w:pPr>
    <w:rPr>
      <w:color w:val="000000"/>
      <w:sz w:val="21"/>
      <w:szCs w:val="21"/>
    </w:rPr>
  </w:style>
  <w:style w:type="paragraph" w:customStyle="1" w:styleId="199">
    <w:name w:val="font8"/>
    <w:basedOn w:val="1"/>
    <w:autoRedefine/>
    <w:qFormat/>
    <w:uiPriority w:val="0"/>
    <w:pPr>
      <w:spacing w:before="100" w:beforeAutospacing="1" w:after="100" w:afterAutospacing="1"/>
    </w:pPr>
    <w:rPr>
      <w:rFonts w:ascii="Times New Roman" w:hAnsi="Times New Roman" w:cs="Times New Roman"/>
      <w:color w:val="000000"/>
      <w:sz w:val="21"/>
      <w:szCs w:val="21"/>
    </w:rPr>
  </w:style>
  <w:style w:type="paragraph" w:customStyle="1" w:styleId="200">
    <w:name w:val="font9"/>
    <w:basedOn w:val="1"/>
    <w:autoRedefine/>
    <w:qFormat/>
    <w:uiPriority w:val="0"/>
    <w:pPr>
      <w:spacing w:before="100" w:beforeAutospacing="1" w:after="100" w:afterAutospacing="1"/>
    </w:pPr>
    <w:rPr>
      <w:rFonts w:ascii="Times New Roman" w:hAnsi="Times New Roman" w:cs="Times New Roman"/>
      <w:sz w:val="21"/>
      <w:szCs w:val="21"/>
    </w:rPr>
  </w:style>
  <w:style w:type="paragraph" w:customStyle="1" w:styleId="201">
    <w:name w:val="font10"/>
    <w:basedOn w:val="1"/>
    <w:autoRedefine/>
    <w:qFormat/>
    <w:uiPriority w:val="0"/>
    <w:pPr>
      <w:spacing w:before="100" w:beforeAutospacing="1" w:after="100" w:afterAutospacing="1"/>
    </w:pPr>
    <w:rPr>
      <w:sz w:val="21"/>
      <w:szCs w:val="21"/>
    </w:rPr>
  </w:style>
  <w:style w:type="paragraph" w:customStyle="1" w:styleId="202">
    <w:name w:val="xl63"/>
    <w:basedOn w:val="1"/>
    <w:autoRedefine/>
    <w:qFormat/>
    <w:uiPriority w:val="0"/>
    <w:pPr>
      <w:shd w:val="clear" w:color="000000" w:fill="FFFFFF"/>
      <w:spacing w:before="100" w:beforeAutospacing="1" w:after="100" w:afterAutospacing="1"/>
    </w:pPr>
  </w:style>
  <w:style w:type="paragraph" w:customStyle="1" w:styleId="203">
    <w:name w:val="xl6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04">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05">
    <w:name w:val="xl6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06">
    <w:name w:val="xl67"/>
    <w:basedOn w:val="1"/>
    <w:autoRedefine/>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07">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08">
    <w:name w:val="xl69"/>
    <w:basedOn w:val="1"/>
    <w:autoRedefine/>
    <w:qFormat/>
    <w:uiPriority w:val="0"/>
    <w:pPr>
      <w:spacing w:before="100" w:beforeAutospacing="1" w:after="100" w:afterAutospacing="1"/>
    </w:pPr>
  </w:style>
  <w:style w:type="paragraph" w:customStyle="1" w:styleId="209">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10">
    <w:name w:val="xl71"/>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1">
    <w:name w:val="xl7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2">
    <w:name w:val="xl73"/>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3">
    <w:name w:val="xl7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4">
    <w:name w:val="xl7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15">
    <w:name w:val="xl76"/>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16">
    <w:name w:val="xl77"/>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1"/>
      <w:szCs w:val="21"/>
    </w:rPr>
  </w:style>
  <w:style w:type="paragraph" w:customStyle="1" w:styleId="217">
    <w:name w:val="xl78"/>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8">
    <w:name w:val="xl7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19">
    <w:name w:val="xl8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s="Times New Roman"/>
      <w:color w:val="000000"/>
      <w:sz w:val="21"/>
      <w:szCs w:val="21"/>
    </w:rPr>
  </w:style>
  <w:style w:type="paragraph" w:customStyle="1" w:styleId="220">
    <w:name w:val="xl8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cs="Times New Roman"/>
      <w:sz w:val="21"/>
      <w:szCs w:val="21"/>
    </w:rPr>
  </w:style>
  <w:style w:type="paragraph" w:customStyle="1" w:styleId="221">
    <w:name w:val="xl82"/>
    <w:basedOn w:val="1"/>
    <w:autoRedefine/>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cs="Times New Roman"/>
      <w:sz w:val="21"/>
      <w:szCs w:val="21"/>
    </w:rPr>
  </w:style>
  <w:style w:type="character" w:customStyle="1" w:styleId="222">
    <w:name w:val="font12"/>
    <w:basedOn w:val="47"/>
    <w:autoRedefine/>
    <w:qFormat/>
    <w:uiPriority w:val="0"/>
    <w:rPr>
      <w:rFonts w:ascii="仿宋" w:hAnsi="仿宋" w:eastAsia="仿宋" w:cs="仿宋"/>
      <w:b/>
      <w:color w:val="000000"/>
      <w:sz w:val="24"/>
      <w:szCs w:val="24"/>
      <w:u w:val="none"/>
    </w:rPr>
  </w:style>
  <w:style w:type="character" w:customStyle="1" w:styleId="223">
    <w:name w:val="font81"/>
    <w:basedOn w:val="47"/>
    <w:autoRedefine/>
    <w:qFormat/>
    <w:uiPriority w:val="0"/>
    <w:rPr>
      <w:rFonts w:hint="default" w:ascii="Times New Roman" w:hAnsi="Times New Roman" w:cs="Times New Roman"/>
      <w:b/>
      <w:color w:val="000000"/>
      <w:sz w:val="24"/>
      <w:szCs w:val="24"/>
      <w:u w:val="none"/>
    </w:rPr>
  </w:style>
  <w:style w:type="character" w:customStyle="1" w:styleId="224">
    <w:name w:val="font61"/>
    <w:basedOn w:val="47"/>
    <w:autoRedefine/>
    <w:qFormat/>
    <w:uiPriority w:val="0"/>
    <w:rPr>
      <w:rFonts w:hint="default" w:ascii="Times New Roman" w:hAnsi="Times New Roman" w:cs="Times New Roman"/>
      <w:color w:val="000000"/>
      <w:sz w:val="24"/>
      <w:szCs w:val="24"/>
      <w:u w:val="none"/>
      <w:vertAlign w:val="subscript"/>
    </w:rPr>
  </w:style>
  <w:style w:type="character" w:customStyle="1" w:styleId="225">
    <w:name w:val="font101"/>
    <w:basedOn w:val="47"/>
    <w:autoRedefine/>
    <w:qFormat/>
    <w:uiPriority w:val="0"/>
    <w:rPr>
      <w:rFonts w:hint="eastAsia" w:ascii="仿宋" w:hAnsi="仿宋" w:eastAsia="仿宋" w:cs="仿宋"/>
      <w:color w:val="000000"/>
      <w:sz w:val="24"/>
      <w:szCs w:val="24"/>
      <w:u w:val="none"/>
    </w:rPr>
  </w:style>
  <w:style w:type="character" w:customStyle="1" w:styleId="226">
    <w:name w:val="font111"/>
    <w:basedOn w:val="47"/>
    <w:autoRedefine/>
    <w:qFormat/>
    <w:uiPriority w:val="0"/>
    <w:rPr>
      <w:rFonts w:hint="default" w:ascii="Times New Roman" w:hAnsi="Times New Roman" w:cs="Times New Roman"/>
      <w:color w:val="000000"/>
      <w:sz w:val="21"/>
      <w:szCs w:val="21"/>
      <w:u w:val="none"/>
    </w:rPr>
  </w:style>
  <w:style w:type="character" w:customStyle="1" w:styleId="227">
    <w:name w:val="font41"/>
    <w:basedOn w:val="47"/>
    <w:autoRedefine/>
    <w:qFormat/>
    <w:uiPriority w:val="0"/>
    <w:rPr>
      <w:rFonts w:hint="default" w:ascii="Times New Roman" w:hAnsi="Times New Roman" w:cs="Times New Roman"/>
      <w:color w:val="000000"/>
      <w:sz w:val="21"/>
      <w:szCs w:val="21"/>
      <w:u w:val="none"/>
      <w:vertAlign w:val="subscript"/>
    </w:rPr>
  </w:style>
  <w:style w:type="table" w:customStyle="1" w:styleId="228">
    <w:name w:val="Table Normal6"/>
    <w:autoRedefine/>
    <w:semiHidden/>
    <w:qFormat/>
    <w:uiPriority w:val="2"/>
    <w:pPr>
      <w:widowControl w:val="0"/>
      <w:autoSpaceDE w:val="0"/>
      <w:autoSpaceDN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paragraph" w:customStyle="1" w:styleId="229">
    <w:name w:val="正文首行缩进  2字符"/>
    <w:basedOn w:val="1"/>
    <w:autoRedefine/>
    <w:qFormat/>
    <w:uiPriority w:val="0"/>
    <w:pPr>
      <w:spacing w:line="360" w:lineRule="auto"/>
      <w:ind w:firstLine="480" w:firstLineChars="200"/>
      <w:jc w:val="both"/>
    </w:pPr>
    <w:rPr>
      <w:rFonts w:ascii="Times New Roman" w:hAnsi="Times New Roman" w:cs="Times New Roman"/>
      <w:kern w:val="2"/>
    </w:rPr>
  </w:style>
  <w:style w:type="paragraph" w:customStyle="1" w:styleId="230">
    <w:name w:val="p0"/>
    <w:basedOn w:val="1"/>
    <w:autoRedefine/>
    <w:qFormat/>
    <w:uiPriority w:val="0"/>
    <w:pPr>
      <w:spacing w:line="360" w:lineRule="auto"/>
      <w:ind w:firstLine="800" w:firstLineChars="200"/>
      <w:jc w:val="both"/>
    </w:pPr>
    <w:rPr>
      <w:rFonts w:ascii="Times New Roman" w:hAnsi="Times New Roman" w:cs="Times New Roman"/>
    </w:rPr>
  </w:style>
  <w:style w:type="character" w:customStyle="1" w:styleId="231">
    <w:name w:val="16"/>
    <w:basedOn w:val="47"/>
    <w:autoRedefine/>
    <w:qFormat/>
    <w:uiPriority w:val="0"/>
    <w:rPr>
      <w:rFonts w:hint="default" w:ascii="Times New Roman" w:hAnsi="Times New Roman" w:cs="Times New Roman"/>
      <w:color w:val="000000"/>
      <w:sz w:val="22"/>
      <w:szCs w:val="22"/>
    </w:rPr>
  </w:style>
  <w:style w:type="character" w:customStyle="1" w:styleId="232">
    <w:name w:val="17"/>
    <w:basedOn w:val="47"/>
    <w:autoRedefine/>
    <w:qFormat/>
    <w:uiPriority w:val="0"/>
    <w:rPr>
      <w:rFonts w:hint="eastAsia" w:ascii="宋体" w:hAnsi="宋体" w:eastAsia="宋体"/>
      <w:color w:val="000000"/>
      <w:sz w:val="22"/>
      <w:szCs w:val="22"/>
    </w:rPr>
  </w:style>
  <w:style w:type="character" w:customStyle="1" w:styleId="233">
    <w:name w:val="15"/>
    <w:basedOn w:val="47"/>
    <w:autoRedefine/>
    <w:qFormat/>
    <w:uiPriority w:val="0"/>
    <w:rPr>
      <w:rFonts w:hint="default" w:ascii="Times New Roman" w:hAnsi="Times New Roman" w:cs="Times New Roman"/>
      <w:color w:val="000000"/>
      <w:sz w:val="22"/>
      <w:szCs w:val="22"/>
    </w:rPr>
  </w:style>
  <w:style w:type="character" w:customStyle="1" w:styleId="234">
    <w:name w:val="font91"/>
    <w:basedOn w:val="47"/>
    <w:autoRedefine/>
    <w:qFormat/>
    <w:uiPriority w:val="0"/>
    <w:rPr>
      <w:rFonts w:hint="eastAsia" w:ascii="宋体" w:hAnsi="宋体" w:eastAsia="宋体" w:cs="宋体"/>
      <w:b/>
      <w:color w:val="000000"/>
      <w:sz w:val="21"/>
      <w:szCs w:val="21"/>
      <w:u w:val="none"/>
    </w:rPr>
  </w:style>
  <w:style w:type="paragraph" w:customStyle="1" w:styleId="235">
    <w:name w:val="正文文本4"/>
    <w:basedOn w:val="1"/>
    <w:autoRedefine/>
    <w:qFormat/>
    <w:uiPriority w:val="0"/>
    <w:pPr>
      <w:shd w:val="clear" w:color="auto" w:fill="FFFFFF"/>
      <w:spacing w:line="269" w:lineRule="exact"/>
      <w:jc w:val="distribute"/>
    </w:pPr>
    <w:rPr>
      <w:spacing w:val="20"/>
      <w:sz w:val="26"/>
      <w:szCs w:val="26"/>
    </w:rPr>
  </w:style>
  <w:style w:type="paragraph" w:customStyle="1" w:styleId="236">
    <w:name w:val="Table Text"/>
    <w:basedOn w:val="1"/>
    <w:autoRedefine/>
    <w:semiHidden/>
    <w:qFormat/>
    <w:uiPriority w:val="0"/>
    <w:rPr>
      <w:rFonts w:ascii="仿宋" w:hAnsi="仿宋" w:eastAsia="仿宋" w:cs="仿宋"/>
      <w:lang w:eastAsia="en-US"/>
    </w:rPr>
  </w:style>
  <w:style w:type="paragraph" w:customStyle="1" w:styleId="237">
    <w:name w:val="5表格"/>
    <w:basedOn w:val="1"/>
    <w:autoRedefine/>
    <w:qFormat/>
    <w:uiPriority w:val="99"/>
    <w:pPr>
      <w:jc w:val="center"/>
    </w:pPr>
    <w:rPr>
      <w:rFonts w:eastAsia="仿宋"/>
      <w:kern w:val="24"/>
      <w:szCs w:val="21"/>
      <w:lang w:val="zh-CN"/>
    </w:rPr>
  </w:style>
  <w:style w:type="paragraph" w:customStyle="1" w:styleId="238">
    <w:name w:val="1 Char Char Char Char"/>
    <w:basedOn w:val="1"/>
    <w:autoRedefine/>
    <w:qFormat/>
    <w:uiPriority w:val="0"/>
  </w:style>
  <w:style w:type="paragraph" w:customStyle="1" w:styleId="239">
    <w:name w:val="主体"/>
    <w:autoRedefine/>
    <w:qFormat/>
    <w:uiPriority w:val="0"/>
    <w:pPr>
      <w:widowControl w:val="0"/>
      <w:autoSpaceDE w:val="0"/>
      <w:autoSpaceDN w:val="0"/>
      <w:spacing w:line="360" w:lineRule="auto"/>
      <w:ind w:firstLine="480" w:firstLineChars="200"/>
      <w:jc w:val="both"/>
    </w:pPr>
    <w:rPr>
      <w:rFonts w:ascii="等线" w:hAnsi="等线" w:eastAsia="等线" w:cs="Times New Roman"/>
      <w:bCs/>
      <w:kern w:val="2"/>
      <w:sz w:val="24"/>
      <w:szCs w:val="24"/>
      <w:lang w:val="en-US" w:eastAsia="zh-CN" w:bidi="ar-SA"/>
    </w:rPr>
  </w:style>
  <w:style w:type="paragraph" w:customStyle="1" w:styleId="240">
    <w:name w:val="表文字"/>
    <w:basedOn w:val="1"/>
    <w:autoRedefine/>
    <w:qFormat/>
    <w:uiPriority w:val="0"/>
    <w:pPr>
      <w:widowControl w:val="0"/>
      <w:jc w:val="center"/>
    </w:pPr>
    <w:rPr>
      <w:rFonts w:ascii="Calibri" w:hAnsi="Calibri" w:cs="Times New Roman"/>
      <w:kern w:val="2"/>
      <w:sz w:val="21"/>
      <w:szCs w:val="21"/>
    </w:rPr>
  </w:style>
  <w:style w:type="character" w:customStyle="1" w:styleId="241">
    <w:name w:val="明显参考1"/>
    <w:autoRedefine/>
    <w:qFormat/>
    <w:uiPriority w:val="32"/>
    <w:rPr>
      <w:b/>
      <w:bCs/>
      <w:smallCaps/>
      <w:color w:val="ED7D31"/>
      <w:spacing w:val="5"/>
      <w:u w:val="single"/>
    </w:rPr>
  </w:style>
  <w:style w:type="paragraph" w:customStyle="1" w:styleId="242">
    <w:name w:val="表格内容"/>
    <w:basedOn w:val="1"/>
    <w:autoRedefine/>
    <w:qFormat/>
    <w:uiPriority w:val="0"/>
    <w:pPr>
      <w:jc w:val="center"/>
    </w:pPr>
    <w:rPr>
      <w:rFonts w:ascii="Calibri Light" w:hAnsi="Calibri Light"/>
      <w:sz w:val="21"/>
      <w:szCs w:val="21"/>
    </w:rPr>
  </w:style>
  <w:style w:type="paragraph" w:customStyle="1" w:styleId="243">
    <w:name w:val="Other|1"/>
    <w:basedOn w:val="1"/>
    <w:autoRedefine/>
    <w:qFormat/>
    <w:uiPriority w:val="0"/>
    <w:pPr>
      <w:widowControl w:val="0"/>
      <w:jc w:val="center"/>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43.png"/><Relationship Id="rId80" Type="http://schemas.openxmlformats.org/officeDocument/2006/relationships/image" Target="media/image42.png"/><Relationship Id="rId8" Type="http://schemas.openxmlformats.org/officeDocument/2006/relationships/footer" Target="footer1.xml"/><Relationship Id="rId79" Type="http://schemas.openxmlformats.org/officeDocument/2006/relationships/image" Target="media/image41.png"/><Relationship Id="rId78" Type="http://schemas.openxmlformats.org/officeDocument/2006/relationships/image" Target="media/image40.png"/><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jpeg"/><Relationship Id="rId7" Type="http://schemas.openxmlformats.org/officeDocument/2006/relationships/header" Target="header5.xml"/><Relationship Id="rId69" Type="http://schemas.openxmlformats.org/officeDocument/2006/relationships/image" Target="media/image31.emf"/><Relationship Id="rId68" Type="http://schemas.openxmlformats.org/officeDocument/2006/relationships/oleObject" Target="embeddings/oleObject7.bin"/><Relationship Id="rId67" Type="http://schemas.openxmlformats.org/officeDocument/2006/relationships/image" Target="media/image30.png"/><Relationship Id="rId66" Type="http://schemas.openxmlformats.org/officeDocument/2006/relationships/image" Target="media/image29.bmp"/><Relationship Id="rId65" Type="http://schemas.openxmlformats.org/officeDocument/2006/relationships/image" Target="media/image28.jpeg"/><Relationship Id="rId64" Type="http://schemas.openxmlformats.org/officeDocument/2006/relationships/image" Target="media/image27.png"/><Relationship Id="rId63" Type="http://schemas.openxmlformats.org/officeDocument/2006/relationships/image" Target="media/image26.png"/><Relationship Id="rId62" Type="http://schemas.openxmlformats.org/officeDocument/2006/relationships/image" Target="media/image25.png"/><Relationship Id="rId61" Type="http://schemas.openxmlformats.org/officeDocument/2006/relationships/image" Target="media/image24.png"/><Relationship Id="rId60" Type="http://schemas.openxmlformats.org/officeDocument/2006/relationships/image" Target="media/image23.png"/><Relationship Id="rId6" Type="http://schemas.openxmlformats.org/officeDocument/2006/relationships/header" Target="header4.xml"/><Relationship Id="rId59" Type="http://schemas.openxmlformats.org/officeDocument/2006/relationships/image" Target="media/image22.jpeg"/><Relationship Id="rId58" Type="http://schemas.openxmlformats.org/officeDocument/2006/relationships/image" Target="media/image21.emf"/><Relationship Id="rId57" Type="http://schemas.openxmlformats.org/officeDocument/2006/relationships/oleObject" Target="embeddings/oleObject6.bin"/><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3.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wmf"/><Relationship Id="rId43" Type="http://schemas.openxmlformats.org/officeDocument/2006/relationships/oleObject" Target="embeddings/oleObject5.bin"/><Relationship Id="rId42" Type="http://schemas.openxmlformats.org/officeDocument/2006/relationships/image" Target="media/image7.wmf"/><Relationship Id="rId41" Type="http://schemas.openxmlformats.org/officeDocument/2006/relationships/oleObject" Target="embeddings/oleObject4.bin"/><Relationship Id="rId40" Type="http://schemas.openxmlformats.org/officeDocument/2006/relationships/image" Target="media/image6.wmf"/><Relationship Id="rId4" Type="http://schemas.openxmlformats.org/officeDocument/2006/relationships/header" Target="header2.xml"/><Relationship Id="rId39" Type="http://schemas.openxmlformats.org/officeDocument/2006/relationships/oleObject" Target="embeddings/oleObject3.bin"/><Relationship Id="rId38" Type="http://schemas.openxmlformats.org/officeDocument/2006/relationships/image" Target="media/image5.wmf"/><Relationship Id="rId37" Type="http://schemas.openxmlformats.org/officeDocument/2006/relationships/oleObject" Target="embeddings/oleObject2.bin"/><Relationship Id="rId36" Type="http://schemas.openxmlformats.org/officeDocument/2006/relationships/image" Target="media/image4.wmf"/><Relationship Id="rId35" Type="http://schemas.openxmlformats.org/officeDocument/2006/relationships/oleObject" Target="embeddings/oleObject1.bin"/><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header" Target="header25.xml"/><Relationship Id="rId3" Type="http://schemas.openxmlformats.org/officeDocument/2006/relationships/header" Target="header1.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C06438-5FC5-40D9-A897-376BD90CBCF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268</Pages>
  <Words>167851</Words>
  <Characters>204874</Characters>
  <Lines>1622</Lines>
  <Paragraphs>456</Paragraphs>
  <TotalTime>2</TotalTime>
  <ScaleCrop>false</ScaleCrop>
  <LinksUpToDate>false</LinksUpToDate>
  <CharactersWithSpaces>205488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2021-01-19T02:55:00Z</dcterms:created>
  <dc:creator>李浩</dc:creator>
  <cp:keywords>环境影响报告书</cp:keywords>
  <cp:lastModifiedBy>Cathy♥丹 ☆_☆</cp:lastModifiedBy>
  <cp:lastPrinted>2024-06-17T06:51:00Z</cp:lastPrinted>
  <dcterms:modified xsi:type="dcterms:W3CDTF">2024-07-16T03:17:15Z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FF8D708996EE43CA87F727ED6184D4ED_13</vt:lpwstr>
  </property>
</Properties>
</file>